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p>
      <w:pPr>
        <w:spacing w:line="1428" w:lineRule="exact"/>
        <w:ind w:left="17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8"/>
          <w:sz w:val="20"/>
          <w:szCs w:val="20"/>
        </w:rPr>
        <w:drawing>
          <wp:inline distT="0" distB="0" distL="0" distR="0">
            <wp:extent cx="3303451" cy="906779"/>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3303451" cy="906779"/>
                    </a:xfrm>
                    <a:prstGeom prst="rect">
                      <a:avLst/>
                    </a:prstGeom>
                  </pic:spPr>
                </pic:pic>
              </a:graphicData>
            </a:graphic>
          </wp:inline>
        </w:drawing>
      </w:r>
      <w:r>
        <w:rPr>
          <w:rFonts w:ascii="Times New Roman" w:hAnsi="Times New Roman" w:cs="Times New Roman" w:eastAsia="Times New Roman" w:hint="default"/>
          <w:position w:val="-28"/>
          <w:sz w:val="20"/>
          <w:szCs w:val="20"/>
        </w:rPr>
      </w:r>
    </w:p>
    <w:p>
      <w:pPr>
        <w:spacing w:line="240" w:lineRule="auto" w:before="8"/>
        <w:rPr>
          <w:rFonts w:ascii="Times New Roman" w:hAnsi="Times New Roman" w:cs="Times New Roman" w:eastAsia="Times New Roman" w:hint="default"/>
          <w:sz w:val="27"/>
          <w:szCs w:val="27"/>
        </w:rPr>
      </w:pPr>
    </w:p>
    <w:p>
      <w:pPr>
        <w:spacing w:line="585" w:lineRule="exact" w:before="0"/>
        <w:ind w:left="1852" w:right="3532" w:firstLine="0"/>
        <w:jc w:val="center"/>
        <w:rPr>
          <w:rFonts w:ascii="Microsoft JhengHei" w:hAnsi="Microsoft JhengHei" w:cs="Microsoft JhengHei" w:eastAsia="Microsoft JhengHei" w:hint="default"/>
          <w:sz w:val="48"/>
          <w:szCs w:val="48"/>
        </w:rPr>
      </w:pPr>
      <w:r>
        <w:rPr>
          <w:rFonts w:ascii="Microsoft JhengHei" w:hAnsi="Microsoft JhengHei" w:cs="Microsoft JhengHei" w:eastAsia="Microsoft JhengHei" w:hint="default"/>
          <w:b/>
          <w:bCs/>
          <w:sz w:val="48"/>
          <w:szCs w:val="48"/>
        </w:rPr>
        <w:t>光一科技股份有限公司</w:t>
      </w:r>
      <w:r>
        <w:rPr>
          <w:rFonts w:ascii="Microsoft JhengHei" w:hAnsi="Microsoft JhengHei" w:cs="Microsoft JhengHei" w:eastAsia="Microsoft JhengHei" w:hint="default"/>
          <w:sz w:val="48"/>
          <w:szCs w:val="48"/>
        </w:rPr>
      </w:r>
    </w:p>
    <w:p>
      <w:pPr>
        <w:spacing w:line="240" w:lineRule="auto" w:before="4"/>
        <w:rPr>
          <w:rFonts w:ascii="Microsoft JhengHei" w:hAnsi="Microsoft JhengHei" w:cs="Microsoft JhengHei" w:eastAsia="Microsoft JhengHei" w:hint="default"/>
          <w:b/>
          <w:bCs/>
          <w:sz w:val="29"/>
          <w:szCs w:val="29"/>
        </w:rPr>
      </w:pPr>
    </w:p>
    <w:p>
      <w:pPr>
        <w:spacing w:before="0"/>
        <w:ind w:left="1852" w:right="3527" w:firstLine="0"/>
        <w:jc w:val="center"/>
        <w:rPr>
          <w:rFonts w:ascii="Microsoft JhengHei" w:hAnsi="Microsoft JhengHei" w:cs="Microsoft JhengHei" w:eastAsia="Microsoft JhengHei" w:hint="default"/>
          <w:sz w:val="48"/>
          <w:szCs w:val="48"/>
        </w:rPr>
      </w:pPr>
      <w:r>
        <w:rPr>
          <w:rFonts w:ascii="Calibri" w:hAnsi="Calibri" w:cs="Calibri" w:eastAsia="Calibri" w:hint="default"/>
          <w:b/>
          <w:bCs/>
          <w:w w:val="95"/>
          <w:sz w:val="48"/>
          <w:szCs w:val="48"/>
        </w:rPr>
        <w:t>2019</w:t>
      </w:r>
      <w:r>
        <w:rPr>
          <w:rFonts w:ascii="Calibri" w:hAnsi="Calibri" w:cs="Calibri" w:eastAsia="Calibri" w:hint="default"/>
          <w:b/>
          <w:bCs/>
          <w:spacing w:val="61"/>
          <w:w w:val="95"/>
          <w:sz w:val="48"/>
          <w:szCs w:val="48"/>
        </w:rPr>
        <w:t> </w:t>
      </w:r>
      <w:r>
        <w:rPr>
          <w:rFonts w:ascii="Microsoft JhengHei" w:hAnsi="Microsoft JhengHei" w:cs="Microsoft JhengHei" w:eastAsia="Microsoft JhengHei" w:hint="default"/>
          <w:b/>
          <w:bCs/>
          <w:w w:val="95"/>
          <w:sz w:val="48"/>
          <w:szCs w:val="48"/>
        </w:rPr>
        <w:t>年年度报告</w:t>
      </w:r>
      <w:r>
        <w:rPr>
          <w:rFonts w:ascii="Microsoft JhengHei" w:hAnsi="Microsoft JhengHei" w:cs="Microsoft JhengHei" w:eastAsia="Microsoft JhengHei" w:hint="default"/>
          <w:w w:val="95"/>
          <w:sz w:val="48"/>
          <w:szCs w:val="48"/>
        </w:rPr>
      </w: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5"/>
        <w:rPr>
          <w:rFonts w:ascii="Microsoft JhengHei" w:hAnsi="Microsoft JhengHei" w:cs="Microsoft JhengHei" w:eastAsia="Microsoft JhengHei" w:hint="default"/>
          <w:b/>
          <w:bCs/>
          <w:sz w:val="65"/>
          <w:szCs w:val="65"/>
        </w:rPr>
      </w:pPr>
    </w:p>
    <w:p>
      <w:pPr>
        <w:spacing w:before="0"/>
        <w:ind w:left="1852" w:right="3530" w:firstLine="0"/>
        <w:jc w:val="center"/>
        <w:rPr>
          <w:rFonts w:ascii="Microsoft JhengHei" w:hAnsi="Microsoft JhengHei" w:cs="Microsoft JhengHei" w:eastAsia="Microsoft JhengHei" w:hint="default"/>
          <w:sz w:val="36"/>
          <w:szCs w:val="36"/>
        </w:rPr>
      </w:pPr>
      <w:r>
        <w:rPr>
          <w:rFonts w:ascii="Calibri" w:hAnsi="Calibri" w:cs="Calibri" w:eastAsia="Calibri" w:hint="default"/>
          <w:b/>
          <w:bCs/>
          <w:sz w:val="36"/>
          <w:szCs w:val="36"/>
        </w:rPr>
        <w:t>2020</w:t>
      </w:r>
      <w:r>
        <w:rPr>
          <w:rFonts w:ascii="Calibri" w:hAnsi="Calibri" w:cs="Calibri" w:eastAsia="Calibri" w:hint="default"/>
          <w:b/>
          <w:bCs/>
          <w:spacing w:val="-39"/>
          <w:sz w:val="36"/>
          <w:szCs w:val="36"/>
        </w:rPr>
        <w:t> </w:t>
      </w:r>
      <w:r>
        <w:rPr>
          <w:rFonts w:ascii="Microsoft JhengHei" w:hAnsi="Microsoft JhengHei" w:cs="Microsoft JhengHei" w:eastAsia="Microsoft JhengHei" w:hint="default"/>
          <w:b/>
          <w:bCs/>
          <w:sz w:val="36"/>
          <w:szCs w:val="36"/>
        </w:rPr>
        <w:t>年</w:t>
      </w:r>
      <w:r>
        <w:rPr>
          <w:rFonts w:ascii="Microsoft JhengHei" w:hAnsi="Microsoft JhengHei" w:cs="Microsoft JhengHei" w:eastAsia="Microsoft JhengHei" w:hint="default"/>
          <w:b/>
          <w:bCs/>
          <w:spacing w:val="-48"/>
          <w:sz w:val="36"/>
          <w:szCs w:val="36"/>
        </w:rPr>
        <w:t> </w:t>
      </w:r>
      <w:r>
        <w:rPr>
          <w:rFonts w:ascii="Calibri" w:hAnsi="Calibri" w:cs="Calibri" w:eastAsia="Calibri" w:hint="default"/>
          <w:b/>
          <w:bCs/>
          <w:sz w:val="36"/>
          <w:szCs w:val="36"/>
        </w:rPr>
        <w:t>04</w:t>
      </w:r>
      <w:r>
        <w:rPr>
          <w:rFonts w:ascii="Calibri" w:hAnsi="Calibri" w:cs="Calibri" w:eastAsia="Calibri" w:hint="default"/>
          <w:b/>
          <w:bCs/>
          <w:spacing w:val="-39"/>
          <w:sz w:val="36"/>
          <w:szCs w:val="36"/>
        </w:rPr>
        <w:t> </w:t>
      </w:r>
      <w:r>
        <w:rPr>
          <w:rFonts w:ascii="Microsoft JhengHei" w:hAnsi="Microsoft JhengHei" w:cs="Microsoft JhengHei" w:eastAsia="Microsoft JhengHei" w:hint="default"/>
          <w:b/>
          <w:bCs/>
          <w:sz w:val="36"/>
          <w:szCs w:val="36"/>
        </w:rPr>
        <w:t>月</w:t>
      </w:r>
      <w:r>
        <w:rPr>
          <w:rFonts w:ascii="Microsoft JhengHei" w:hAnsi="Microsoft JhengHei" w:cs="Microsoft JhengHei" w:eastAsia="Microsoft JhengHei" w:hint="default"/>
          <w:sz w:val="36"/>
          <w:szCs w:val="36"/>
        </w:rPr>
      </w:r>
    </w:p>
    <w:p>
      <w:pPr>
        <w:spacing w:after="0"/>
        <w:jc w:val="center"/>
        <w:rPr>
          <w:rFonts w:ascii="Microsoft JhengHei" w:hAnsi="Microsoft JhengHei" w:cs="Microsoft JhengHei" w:eastAsia="Microsoft JhengHei" w:hint="default"/>
          <w:sz w:val="36"/>
          <w:szCs w:val="36"/>
        </w:rPr>
        <w:sectPr>
          <w:footerReference w:type="default" r:id="rId5"/>
          <w:type w:val="continuous"/>
          <w:pgSz w:w="11910" w:h="16840"/>
          <w:pgMar w:footer="1037" w:top="1580" w:bottom="1220" w:left="1680" w:right="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8"/>
          <w:szCs w:val="28"/>
        </w:rPr>
      </w:pPr>
    </w:p>
    <w:p>
      <w:pPr>
        <w:pStyle w:val="Heading1"/>
        <w:spacing w:line="240" w:lineRule="auto"/>
        <w:ind w:left="2803" w:right="1024"/>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
        </w:rPr>
        <w:t> </w:t>
      </w:r>
      <w:r>
        <w:rPr/>
        <w:t>重要提示、目录和释义</w:t>
      </w:r>
      <w:r>
        <w:rPr>
          <w:b w:val="0"/>
          <w:bCs w:val="0"/>
        </w:rPr>
      </w:r>
    </w:p>
    <w:p>
      <w:pPr>
        <w:spacing w:line="240" w:lineRule="auto" w:before="7"/>
        <w:rPr>
          <w:rFonts w:ascii="宋体" w:hAnsi="宋体" w:cs="宋体" w:eastAsia="宋体" w:hint="default"/>
          <w:b/>
          <w:bCs/>
          <w:sz w:val="44"/>
          <w:szCs w:val="44"/>
        </w:rPr>
      </w:pPr>
    </w:p>
    <w:p>
      <w:pPr>
        <w:pStyle w:val="Heading2"/>
        <w:spacing w:line="360" w:lineRule="auto"/>
        <w:ind w:right="1024" w:firstLine="480"/>
        <w:jc w:val="left"/>
        <w:rPr>
          <w:b w:val="0"/>
          <w:bCs w:val="0"/>
        </w:rPr>
      </w:pPr>
      <w:r>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60" w:lineRule="auto" w:before="31"/>
        <w:ind w:right="1024" w:firstLine="480"/>
        <w:jc w:val="left"/>
        <w:rPr>
          <w:b w:val="0"/>
          <w:bCs w:val="0"/>
        </w:rPr>
      </w:pPr>
      <w:r>
        <w:rPr/>
        <w:t>公司负责人龙昌明先生、主管会计工作负责人及会计机构负责人佟岩先生声明：保证年</w:t>
      </w:r>
      <w:r>
        <w:rPr>
          <w:w w:val="99"/>
        </w:rPr>
        <w:t> </w:t>
      </w:r>
      <w:r>
        <w:rPr/>
        <w:t>度报告中财务报告的真实、准确、完整。</w:t>
      </w:r>
      <w:r>
        <w:rPr>
          <w:b w:val="0"/>
          <w:bCs w:val="0"/>
        </w:rPr>
      </w:r>
    </w:p>
    <w:p>
      <w:pPr>
        <w:pStyle w:val="Heading2"/>
        <w:spacing w:line="240" w:lineRule="auto" w:before="31"/>
        <w:ind w:left="633" w:right="1024"/>
        <w:jc w:val="left"/>
        <w:rPr>
          <w:b w:val="0"/>
          <w:bCs w:val="0"/>
        </w:rPr>
      </w:pPr>
      <w:r>
        <w:rPr/>
        <w:t>所有董事均已出席了审议本报告的董事会会议。</w:t>
      </w:r>
      <w:r>
        <w:rPr>
          <w:b w:val="0"/>
          <w:bCs w:val="0"/>
        </w:rPr>
      </w:r>
    </w:p>
    <w:p>
      <w:pPr>
        <w:pStyle w:val="BodyText"/>
        <w:spacing w:line="408" w:lineRule="auto" w:before="181"/>
        <w:ind w:left="575" w:right="1024"/>
        <w:jc w:val="left"/>
      </w:pPr>
      <w:r>
        <w:rPr>
          <w:rFonts w:ascii="宋体" w:hAnsi="宋体" w:cs="宋体" w:eastAsia="宋体" w:hint="default"/>
        </w:rPr>
        <w:t>1</w:t>
      </w:r>
      <w:r>
        <w:rPr/>
        <w:t>、投资项目未达预期的风险</w:t>
      </w:r>
      <w:r>
        <w:rPr>
          <w:spacing w:val="-101"/>
        </w:rPr>
        <w:t> </w:t>
      </w:r>
      <w:r>
        <w:rPr>
          <w:spacing w:val="-101"/>
        </w:rPr>
      </w:r>
      <w:r>
        <w:rPr/>
        <w:t>随着公司版权云整体战略的推进，公司通过直接、间接投资完成了与数字版权服务相关的产业布局。</w:t>
      </w:r>
    </w:p>
    <w:p>
      <w:pPr>
        <w:pStyle w:val="BodyText"/>
        <w:spacing w:line="405" w:lineRule="auto" w:before="48"/>
        <w:ind w:right="1024"/>
        <w:jc w:val="left"/>
      </w:pPr>
      <w:r>
        <w:rPr/>
        <w:t>但互联网红利逐渐消失暴露了个别标的公司人才储备、进度把控、市场开发、资源整合方面存在的问题，</w:t>
      </w:r>
      <w:r>
        <w:rPr>
          <w:spacing w:val="-30"/>
        </w:rPr>
        <w:t> </w:t>
      </w:r>
      <w:r>
        <w:rPr>
          <w:spacing w:val="-30"/>
        </w:rPr>
      </w:r>
      <w:r>
        <w:rPr/>
        <w:t>经营业绩等未达预期的风险。整体版权云项目尚处于投资期，未能贡献规模利润。</w:t>
      </w:r>
    </w:p>
    <w:p>
      <w:pPr>
        <w:pStyle w:val="BodyText"/>
        <w:spacing w:line="408" w:lineRule="auto" w:before="50"/>
        <w:ind w:left="575" w:right="1024"/>
        <w:jc w:val="left"/>
      </w:pPr>
      <w:r>
        <w:rPr>
          <w:rFonts w:ascii="宋体" w:hAnsi="宋体" w:cs="宋体" w:eastAsia="宋体" w:hint="default"/>
        </w:rPr>
        <w:t>2</w:t>
      </w:r>
      <w:r>
        <w:rPr/>
        <w:t>、市场风险</w:t>
      </w:r>
      <w:r>
        <w:rPr>
          <w:spacing w:val="-99"/>
        </w:rPr>
        <w:t> </w:t>
      </w:r>
      <w:r>
        <w:rPr>
          <w:spacing w:val="-2"/>
        </w:rPr>
        <w:t>公司电力业务受细分行业发展规划和国家电网投资周期影响，近年来招标规模呈下降趋势，行业竞争</w:t>
      </w:r>
    </w:p>
    <w:p>
      <w:pPr>
        <w:pStyle w:val="BodyText"/>
        <w:spacing w:line="408" w:lineRule="auto" w:before="48"/>
        <w:ind w:right="1124"/>
        <w:jc w:val="both"/>
      </w:pPr>
      <w:r>
        <w:rPr>
          <w:spacing w:val="-4"/>
          <w:w w:val="100"/>
        </w:rPr>
        <w:t>更加激烈，针对市场风险，公司将从以下方面采取措施：（</w:t>
      </w:r>
      <w:r>
        <w:rPr>
          <w:rFonts w:ascii="宋体" w:hAnsi="宋体" w:cs="宋体" w:eastAsia="宋体" w:hint="default"/>
          <w:spacing w:val="-4"/>
          <w:w w:val="100"/>
        </w:rPr>
        <w:t>1</w:t>
      </w:r>
      <w:r>
        <w:rPr>
          <w:spacing w:val="-4"/>
          <w:w w:val="100"/>
        </w:rPr>
        <w:t>）加大新技术、新产品投资开发力度，为泛在</w:t>
      </w:r>
      <w:r>
        <w:rPr>
          <w:spacing w:val="-97"/>
          <w:w w:val="100"/>
        </w:rPr>
        <w:t> </w:t>
      </w:r>
      <w:r>
        <w:rPr>
          <w:spacing w:val="-97"/>
          <w:w w:val="100"/>
        </w:rPr>
      </w:r>
      <w:r>
        <w:rPr>
          <w:spacing w:val="-4"/>
          <w:w w:val="100"/>
        </w:rPr>
        <w:t>电力物联网业务发展做技术储备；（</w:t>
      </w:r>
      <w:r>
        <w:rPr>
          <w:rFonts w:ascii="宋体" w:hAnsi="宋体" w:cs="宋体" w:eastAsia="宋体" w:hint="default"/>
          <w:spacing w:val="-4"/>
          <w:w w:val="100"/>
        </w:rPr>
        <w:t>2</w:t>
      </w:r>
      <w:r>
        <w:rPr>
          <w:spacing w:val="-4"/>
          <w:w w:val="100"/>
        </w:rPr>
        <w:t>）调整业务结构，积极开发传统产品新的应用市场，同时在配电网的</w:t>
      </w:r>
      <w:r>
        <w:rPr>
          <w:spacing w:val="-98"/>
          <w:w w:val="100"/>
        </w:rPr>
        <w:t> </w:t>
      </w:r>
      <w:r>
        <w:rPr>
          <w:spacing w:val="-98"/>
          <w:w w:val="100"/>
        </w:rPr>
      </w:r>
      <w:r>
        <w:rPr>
          <w:spacing w:val="-2"/>
        </w:rPr>
        <w:t>综合信息及状态采集与应用、新的通讯技术在信息用采设备方面的应用、工程项目设计施工、配电网的能</w:t>
      </w:r>
      <w:r>
        <w:rPr>
          <w:spacing w:val="-33"/>
        </w:rPr>
        <w:t> </w:t>
      </w:r>
      <w:r>
        <w:rPr>
          <w:spacing w:val="-33"/>
        </w:rPr>
      </w:r>
      <w:r>
        <w:rPr/>
        <w:t>源区域管理与互动等方面加强投入。</w:t>
      </w:r>
    </w:p>
    <w:p>
      <w:pPr>
        <w:pStyle w:val="BodyText"/>
        <w:spacing w:line="405" w:lineRule="auto" w:before="48"/>
        <w:ind w:left="575" w:right="1024"/>
        <w:jc w:val="left"/>
      </w:pPr>
      <w:r>
        <w:rPr>
          <w:rFonts w:ascii="宋体" w:hAnsi="宋体" w:cs="宋体" w:eastAsia="宋体" w:hint="default"/>
        </w:rPr>
        <w:t>3</w:t>
      </w:r>
      <w:r>
        <w:rPr/>
        <w:t>、管理风险</w:t>
      </w:r>
      <w:r>
        <w:rPr>
          <w:spacing w:val="-99"/>
        </w:rPr>
        <w:t> </w:t>
      </w:r>
      <w:r>
        <w:rPr/>
        <w:t>随着公司“</w:t>
      </w:r>
      <w:r>
        <w:rPr>
          <w:rFonts w:ascii="宋体" w:hAnsi="宋体" w:cs="宋体" w:eastAsia="宋体" w:hint="default"/>
        </w:rPr>
        <w:t>1+3</w:t>
      </w:r>
      <w:r>
        <w:rPr/>
        <w:t>”产业布局的不断推进，投资及新设企业陆续增加，公司规模日益扩大，管理主体日</w:t>
      </w:r>
    </w:p>
    <w:p>
      <w:pPr>
        <w:pStyle w:val="BodyText"/>
        <w:spacing w:line="408" w:lineRule="auto" w:before="51"/>
        <w:ind w:right="1024"/>
        <w:jc w:val="left"/>
      </w:pPr>
      <w:r>
        <w:rPr>
          <w:spacing w:val="-2"/>
        </w:rPr>
        <w:t>益增多，这些变化对公司的管理提出更高要求。针对可能出现的管理风险，公司将从以下几方面采取相应</w:t>
      </w:r>
      <w:r>
        <w:rPr>
          <w:spacing w:val="-33"/>
        </w:rPr>
        <w:t> </w:t>
      </w:r>
      <w:r>
        <w:rPr>
          <w:spacing w:val="-33"/>
        </w:rPr>
      </w:r>
      <w:r>
        <w:rPr>
          <w:spacing w:val="-4"/>
          <w:w w:val="100"/>
        </w:rPr>
        <w:t>措施：（</w:t>
      </w:r>
      <w:r>
        <w:rPr>
          <w:rFonts w:ascii="宋体" w:hAnsi="宋体" w:cs="宋体" w:eastAsia="宋体" w:hint="default"/>
          <w:spacing w:val="-4"/>
          <w:w w:val="100"/>
        </w:rPr>
        <w:t>1</w:t>
      </w:r>
      <w:r>
        <w:rPr>
          <w:spacing w:val="-4"/>
          <w:w w:val="100"/>
        </w:rPr>
        <w:t>）加强内部控制，严格遵守上市企业规范运作指引的相关要求，完善法人治理结构，规范公司运</w:t>
      </w:r>
      <w:r>
        <w:rPr>
          <w:spacing w:val="-104"/>
          <w:w w:val="100"/>
        </w:rPr>
        <w:t> </w:t>
      </w:r>
      <w:r>
        <w:rPr>
          <w:spacing w:val="-104"/>
          <w:w w:val="100"/>
        </w:rPr>
      </w:r>
      <w:r>
        <w:rPr>
          <w:spacing w:val="-4"/>
          <w:w w:val="100"/>
        </w:rPr>
        <w:t>作体系，强化各项决策的科学性，促进公司机制的创新和管理升级；（</w:t>
      </w:r>
      <w:r>
        <w:rPr>
          <w:rFonts w:ascii="宋体" w:hAnsi="宋体" w:cs="宋体" w:eastAsia="宋体" w:hint="default"/>
          <w:spacing w:val="-4"/>
          <w:w w:val="100"/>
        </w:rPr>
        <w:t>2</w:t>
      </w:r>
      <w:r>
        <w:rPr>
          <w:spacing w:val="-4"/>
          <w:w w:val="100"/>
        </w:rPr>
        <w:t>）加强分、子公司日常管理，以业</w:t>
      </w:r>
      <w:r>
        <w:rPr>
          <w:spacing w:val="-97"/>
          <w:w w:val="100"/>
        </w:rPr>
        <w:t> </w:t>
      </w:r>
      <w:r>
        <w:rPr>
          <w:spacing w:val="-97"/>
          <w:w w:val="100"/>
        </w:rPr>
      </w:r>
      <w:r>
        <w:rPr>
          <w:spacing w:val="-2"/>
          <w:w w:val="100"/>
        </w:rPr>
        <w:t>务拓展为导向、以资源整合为核心，减少管理层级，降低管理风险，提升协同价值；（</w:t>
      </w:r>
      <w:r>
        <w:rPr>
          <w:rFonts w:ascii="宋体" w:hAnsi="宋体" w:cs="宋体" w:eastAsia="宋体" w:hint="default"/>
          <w:spacing w:val="-2"/>
          <w:w w:val="100"/>
        </w:rPr>
        <w:t>3</w:t>
      </w:r>
      <w:r>
        <w:rPr>
          <w:spacing w:val="-2"/>
          <w:w w:val="100"/>
        </w:rPr>
        <w:t>）规范投后管理，</w:t>
      </w:r>
      <w:r>
        <w:rPr>
          <w:spacing w:val="-94"/>
          <w:w w:val="100"/>
        </w:rPr>
        <w:t> </w:t>
      </w:r>
      <w:r>
        <w:rPr>
          <w:spacing w:val="-2"/>
        </w:rPr>
        <w:t>对所投资企业从行业发展跟踪、董事会决策与执行，定期与日常报告等多维度参与重大事项管理，督促所</w:t>
      </w:r>
      <w:r>
        <w:rPr>
          <w:spacing w:val="-31"/>
        </w:rPr>
        <w:t> </w:t>
      </w:r>
      <w:r>
        <w:rPr>
          <w:spacing w:val="-31"/>
        </w:rPr>
      </w:r>
      <w:r>
        <w:rPr/>
        <w:t>属企业规范运作，科学决策。</w:t>
      </w:r>
    </w:p>
    <w:p>
      <w:pPr>
        <w:pStyle w:val="BodyText"/>
        <w:spacing w:line="408" w:lineRule="auto" w:before="48"/>
        <w:ind w:left="575" w:right="1024"/>
        <w:jc w:val="left"/>
      </w:pPr>
      <w:r>
        <w:rPr>
          <w:rFonts w:ascii="宋体" w:hAnsi="宋体" w:cs="宋体" w:eastAsia="宋体" w:hint="default"/>
        </w:rPr>
        <w:t>4</w:t>
      </w:r>
      <w:r>
        <w:rPr/>
        <w:t>、控股股东、实际控制人债务问题引发被动减持风险</w:t>
      </w:r>
      <w:r>
        <w:rPr>
          <w:w w:val="100"/>
        </w:rPr>
        <w:t> </w:t>
      </w:r>
      <w:r>
        <w:rPr>
          <w:spacing w:val="-2"/>
        </w:rPr>
        <w:t>长期以来，公司控股股东、实际控制人持有股票高质押、逾期未能回购引发的被动减持影响公司相关</w:t>
      </w:r>
    </w:p>
    <w:p>
      <w:pPr>
        <w:pStyle w:val="BodyText"/>
        <w:spacing w:line="240" w:lineRule="auto" w:before="48"/>
        <w:ind w:right="1024"/>
        <w:jc w:val="left"/>
      </w:pPr>
      <w:r>
        <w:rPr/>
        <w:t>信息披露的及时、准确、完整。报告期内，债务问题没有得到有效解决，存在被动减持的风险。</w:t>
      </w:r>
    </w:p>
    <w:p>
      <w:pPr>
        <w:spacing w:after="0" w:line="240" w:lineRule="auto"/>
        <w:jc w:val="left"/>
        <w:sectPr>
          <w:headerReference w:type="default" r:id="rId7"/>
          <w:footerReference w:type="default" r:id="rId8"/>
          <w:pgSz w:w="11910" w:h="16840"/>
          <w:pgMar w:header="871" w:footer="1037" w:top="1040" w:bottom="1220" w:left="980" w:right="0"/>
          <w:pgNumType w:start="2"/>
        </w:sectPr>
      </w:pPr>
    </w:p>
    <w:p>
      <w:pPr>
        <w:spacing w:line="240" w:lineRule="auto" w:before="10"/>
        <w:rPr>
          <w:rFonts w:ascii="宋体" w:hAnsi="宋体" w:cs="宋体" w:eastAsia="宋体" w:hint="default"/>
          <w:sz w:val="25"/>
          <w:szCs w:val="25"/>
        </w:rPr>
      </w:pPr>
    </w:p>
    <w:p>
      <w:pPr>
        <w:pStyle w:val="Heading2"/>
        <w:spacing w:line="240" w:lineRule="auto" w:before="26"/>
        <w:ind w:left="633" w:right="1024"/>
        <w:jc w:val="left"/>
        <w:rPr>
          <w:b w:val="0"/>
          <w:bCs w:val="0"/>
        </w:rPr>
      </w:pPr>
      <w:r>
        <w:rPr/>
        <w:t>公司计划不派发现金红利，不送红股，不以公积金转增股本。</w:t>
      </w:r>
      <w:r>
        <w:rPr>
          <w:b w:val="0"/>
          <w:bCs w:val="0"/>
        </w:rPr>
      </w:r>
    </w:p>
    <w:p>
      <w:pPr>
        <w:spacing w:after="0" w:line="240" w:lineRule="auto"/>
        <w:jc w:val="left"/>
        <w:sectPr>
          <w:pgSz w:w="11910" w:h="16840"/>
          <w:pgMar w:header="871" w:footer="1037" w:top="1100" w:bottom="122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p>
      <w:pPr>
        <w:tabs>
          <w:tab w:pos="725" w:val="left" w:leader="none"/>
        </w:tabs>
        <w:spacing w:line="460" w:lineRule="exact" w:before="0"/>
        <w:ind w:left="0" w:right="973"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85" w:val="right" w:leader="dot"/>
            </w:tabs>
            <w:spacing w:line="240" w:lineRule="auto" w:before="769"/>
            <w:ind w:right="0"/>
            <w:jc w:val="left"/>
            <w:rPr>
              <w:rFonts w:ascii="宋体" w:hAnsi="宋体" w:cs="宋体" w:eastAsia="宋体" w:hint="default"/>
            </w:rPr>
          </w:pPr>
          <w:hyperlink w:history="true" w:anchor="_bookmark0">
            <w:r>
              <w:rPr/>
              <w:t>第一节 重要提示、目录和释义</w:t>
            </w:r>
            <w:r>
              <w:rPr>
                <w:rFonts w:ascii="宋体" w:hAnsi="宋体" w:cs="宋体" w:eastAsia="宋体" w:hint="default"/>
              </w:rPr>
              <w:tab/>
              <w:t>2</w:t>
            </w:r>
          </w:hyperlink>
        </w:p>
        <w:p>
          <w:pPr>
            <w:pStyle w:val="TOC1"/>
            <w:tabs>
              <w:tab w:pos="9785" w:val="right" w:leader="dot"/>
            </w:tabs>
            <w:spacing w:line="240" w:lineRule="auto"/>
            <w:ind w:right="0"/>
            <w:jc w:val="left"/>
            <w:rPr>
              <w:rFonts w:ascii="宋体" w:hAnsi="宋体" w:cs="宋体" w:eastAsia="宋体" w:hint="default"/>
            </w:rPr>
          </w:pPr>
          <w:hyperlink w:history="true" w:anchor="_bookmark1">
            <w:r>
              <w:rPr/>
              <w:t>第二节 公司简介和主要财务指标</w:t>
            </w:r>
            <w:r>
              <w:rPr>
                <w:rFonts w:ascii="宋体" w:hAnsi="宋体" w:cs="宋体" w:eastAsia="宋体" w:hint="default"/>
              </w:rPr>
              <w:tab/>
              <w:t>6</w:t>
            </w:r>
          </w:hyperlink>
        </w:p>
        <w:p>
          <w:pPr>
            <w:pStyle w:val="TOC1"/>
            <w:tabs>
              <w:tab w:pos="9785" w:val="right" w:leader="dot"/>
            </w:tabs>
            <w:spacing w:line="240" w:lineRule="auto"/>
            <w:ind w:right="0"/>
            <w:jc w:val="left"/>
            <w:rPr>
              <w:rFonts w:ascii="宋体" w:hAnsi="宋体" w:cs="宋体" w:eastAsia="宋体" w:hint="default"/>
            </w:rPr>
          </w:pPr>
          <w:hyperlink w:history="true" w:anchor="_bookmark2">
            <w:r>
              <w:rPr/>
              <w:t>第三节 公司业务概要</w:t>
            </w:r>
            <w:r>
              <w:rPr>
                <w:rFonts w:ascii="宋体" w:hAnsi="宋体" w:cs="宋体" w:eastAsia="宋体" w:hint="default"/>
              </w:rPr>
              <w:tab/>
              <w:t>10</w:t>
            </w:r>
          </w:hyperlink>
        </w:p>
        <w:p>
          <w:pPr>
            <w:pStyle w:val="TOC1"/>
            <w:tabs>
              <w:tab w:pos="9785" w:val="right" w:leader="dot"/>
            </w:tabs>
            <w:spacing w:line="240" w:lineRule="auto"/>
            <w:ind w:right="0"/>
            <w:jc w:val="left"/>
            <w:rPr>
              <w:rFonts w:ascii="宋体" w:hAnsi="宋体" w:cs="宋体" w:eastAsia="宋体" w:hint="default"/>
            </w:rPr>
          </w:pPr>
          <w:hyperlink w:history="true" w:anchor="_bookmark3">
            <w:r>
              <w:rPr/>
              <w:t>第四节 经营情况讨论与分析</w:t>
            </w:r>
            <w:r>
              <w:rPr>
                <w:rFonts w:ascii="宋体" w:hAnsi="宋体" w:cs="宋体" w:eastAsia="宋体" w:hint="default"/>
              </w:rPr>
              <w:tab/>
              <w:t>17</w:t>
            </w:r>
          </w:hyperlink>
        </w:p>
        <w:p>
          <w:pPr>
            <w:pStyle w:val="TOC1"/>
            <w:tabs>
              <w:tab w:pos="9785" w:val="right" w:leader="dot"/>
            </w:tabs>
            <w:spacing w:line="240" w:lineRule="auto"/>
            <w:ind w:right="0"/>
            <w:jc w:val="left"/>
            <w:rPr>
              <w:rFonts w:ascii="宋体" w:hAnsi="宋体" w:cs="宋体" w:eastAsia="宋体" w:hint="default"/>
            </w:rPr>
          </w:pPr>
          <w:hyperlink w:history="true" w:anchor="_bookmark4">
            <w:r>
              <w:rPr/>
              <w:t>第五节 重要事项</w:t>
            </w:r>
            <w:r>
              <w:rPr>
                <w:rFonts w:ascii="宋体" w:hAnsi="宋体" w:cs="宋体" w:eastAsia="宋体" w:hint="default"/>
              </w:rPr>
              <w:tab/>
              <w:t>37</w:t>
            </w:r>
          </w:hyperlink>
        </w:p>
        <w:p>
          <w:pPr>
            <w:pStyle w:val="TOC1"/>
            <w:tabs>
              <w:tab w:pos="9785" w:val="right" w:leader="dot"/>
            </w:tabs>
            <w:spacing w:line="240" w:lineRule="auto"/>
            <w:ind w:right="0"/>
            <w:jc w:val="left"/>
            <w:rPr>
              <w:rFonts w:ascii="宋体" w:hAnsi="宋体" w:cs="宋体" w:eastAsia="宋体" w:hint="default"/>
            </w:rPr>
          </w:pPr>
          <w:hyperlink w:history="true" w:anchor="_bookmark5">
            <w:r>
              <w:rPr/>
              <w:t>第六节 股份变动及股东情况</w:t>
            </w:r>
            <w:r>
              <w:rPr>
                <w:rFonts w:ascii="宋体" w:hAnsi="宋体" w:cs="宋体" w:eastAsia="宋体" w:hint="default"/>
              </w:rPr>
              <w:tab/>
              <w:t>53</w:t>
            </w:r>
          </w:hyperlink>
        </w:p>
        <w:p>
          <w:pPr>
            <w:pStyle w:val="TOC1"/>
            <w:tabs>
              <w:tab w:pos="9785" w:val="right" w:leader="dot"/>
            </w:tabs>
            <w:spacing w:line="240" w:lineRule="auto"/>
            <w:ind w:right="0"/>
            <w:jc w:val="left"/>
            <w:rPr>
              <w:rFonts w:ascii="宋体" w:hAnsi="宋体" w:cs="宋体" w:eastAsia="宋体" w:hint="default"/>
            </w:rPr>
          </w:pPr>
          <w:hyperlink w:history="true" w:anchor="_bookmark6">
            <w:r>
              <w:rPr/>
              <w:t>第七节 优先股相关情况</w:t>
            </w:r>
            <w:r>
              <w:rPr>
                <w:rFonts w:ascii="宋体" w:hAnsi="宋体" w:cs="宋体" w:eastAsia="宋体" w:hint="default"/>
              </w:rPr>
              <w:tab/>
              <w:t>59</w:t>
            </w:r>
          </w:hyperlink>
        </w:p>
        <w:p>
          <w:pPr>
            <w:pStyle w:val="TOC1"/>
            <w:tabs>
              <w:tab w:pos="9785" w:val="right" w:leader="dot"/>
            </w:tabs>
            <w:spacing w:line="240" w:lineRule="auto"/>
            <w:ind w:right="0"/>
            <w:jc w:val="left"/>
            <w:rPr>
              <w:rFonts w:ascii="宋体" w:hAnsi="宋体" w:cs="宋体" w:eastAsia="宋体" w:hint="default"/>
            </w:rPr>
          </w:pPr>
          <w:hyperlink w:history="true" w:anchor="_bookmark7">
            <w:r>
              <w:rPr/>
              <w:t>第八节 可转换公司债券相关情况</w:t>
            </w:r>
            <w:r>
              <w:rPr>
                <w:rFonts w:ascii="宋体" w:hAnsi="宋体" w:cs="宋体" w:eastAsia="宋体" w:hint="default"/>
              </w:rPr>
              <w:tab/>
              <w:t>60</w:t>
            </w:r>
          </w:hyperlink>
        </w:p>
        <w:p>
          <w:pPr>
            <w:pStyle w:val="TOC1"/>
            <w:tabs>
              <w:tab w:pos="9785" w:val="right" w:leader="dot"/>
            </w:tabs>
            <w:spacing w:line="240" w:lineRule="auto"/>
            <w:ind w:right="0"/>
            <w:jc w:val="left"/>
            <w:rPr>
              <w:rFonts w:ascii="宋体" w:hAnsi="宋体" w:cs="宋体" w:eastAsia="宋体" w:hint="default"/>
            </w:rPr>
          </w:pPr>
          <w:hyperlink w:history="true" w:anchor="_bookmark8">
            <w:r>
              <w:rPr/>
              <w:t>第九节 董事、监事、高级管理人员和员工情况</w:t>
            </w:r>
            <w:r>
              <w:rPr>
                <w:rFonts w:ascii="宋体" w:hAnsi="宋体" w:cs="宋体" w:eastAsia="宋体" w:hint="default"/>
              </w:rPr>
              <w:tab/>
              <w:t>60</w:t>
            </w:r>
          </w:hyperlink>
        </w:p>
        <w:p>
          <w:pPr>
            <w:pStyle w:val="TOC1"/>
            <w:tabs>
              <w:tab w:pos="9785" w:val="right" w:leader="dot"/>
            </w:tabs>
            <w:spacing w:line="240" w:lineRule="auto"/>
            <w:ind w:right="0"/>
            <w:jc w:val="left"/>
            <w:rPr>
              <w:rFonts w:ascii="宋体" w:hAnsi="宋体" w:cs="宋体" w:eastAsia="宋体" w:hint="default"/>
            </w:rPr>
          </w:pPr>
          <w:hyperlink w:history="true" w:anchor="_bookmark9">
            <w:r>
              <w:rPr/>
              <w:t>第十节 公司治理</w:t>
            </w:r>
            <w:r>
              <w:rPr>
                <w:rFonts w:ascii="宋体" w:hAnsi="宋体" w:cs="宋体" w:eastAsia="宋体" w:hint="default"/>
              </w:rPr>
              <w:tab/>
              <w:t>68</w:t>
            </w:r>
          </w:hyperlink>
        </w:p>
        <w:p>
          <w:pPr>
            <w:pStyle w:val="TOC1"/>
            <w:tabs>
              <w:tab w:pos="9785" w:val="right" w:leader="dot"/>
            </w:tabs>
            <w:spacing w:line="240" w:lineRule="auto"/>
            <w:ind w:right="0"/>
            <w:jc w:val="left"/>
            <w:rPr>
              <w:rFonts w:ascii="宋体" w:hAnsi="宋体" w:cs="宋体" w:eastAsia="宋体" w:hint="default"/>
            </w:rPr>
          </w:pPr>
          <w:hyperlink w:history="true" w:anchor="_bookmark10">
            <w:r>
              <w:rPr/>
              <w:t>第十一节 公司债券相关情况</w:t>
            </w:r>
            <w:r>
              <w:rPr>
                <w:rFonts w:ascii="宋体" w:hAnsi="宋体" w:cs="宋体" w:eastAsia="宋体" w:hint="default"/>
              </w:rPr>
              <w:tab/>
              <w:t>73</w:t>
            </w:r>
          </w:hyperlink>
        </w:p>
        <w:p>
          <w:pPr>
            <w:pStyle w:val="TOC1"/>
            <w:tabs>
              <w:tab w:pos="9785" w:val="right" w:leader="dot"/>
            </w:tabs>
            <w:spacing w:line="240" w:lineRule="auto"/>
            <w:ind w:right="0"/>
            <w:jc w:val="left"/>
            <w:rPr>
              <w:rFonts w:ascii="宋体" w:hAnsi="宋体" w:cs="宋体" w:eastAsia="宋体" w:hint="default"/>
            </w:rPr>
          </w:pPr>
          <w:hyperlink w:history="true" w:anchor="_bookmark11">
            <w:r>
              <w:rPr/>
              <w:t>第十二节 财务报告</w:t>
            </w:r>
            <w:r>
              <w:rPr>
                <w:rFonts w:ascii="宋体" w:hAnsi="宋体" w:cs="宋体" w:eastAsia="宋体" w:hint="default"/>
              </w:rPr>
              <w:tab/>
              <w:t>74</w:t>
            </w:r>
          </w:hyperlink>
        </w:p>
        <w:p>
          <w:pPr>
            <w:pStyle w:val="TOC1"/>
            <w:tabs>
              <w:tab w:pos="9785" w:val="right" w:leader="dot"/>
            </w:tabs>
            <w:spacing w:line="240" w:lineRule="auto"/>
            <w:ind w:right="0"/>
            <w:jc w:val="left"/>
            <w:rPr>
              <w:rFonts w:ascii="宋体" w:hAnsi="宋体" w:cs="宋体" w:eastAsia="宋体" w:hint="default"/>
            </w:rPr>
          </w:pPr>
          <w:hyperlink w:history="true" w:anchor="_bookmark12">
            <w:r>
              <w:rPr/>
              <w:t>第十三节 备查文件目录</w:t>
            </w:r>
            <w:r>
              <w:rPr>
                <w:rFonts w:ascii="宋体" w:hAnsi="宋体" w:cs="宋体" w:eastAsia="宋体" w:hint="default"/>
              </w:rPr>
              <w:tab/>
              <w:t>211</w:t>
            </w:r>
          </w:hyperlink>
        </w:p>
      </w:sdtContent>
    </w:sdt>
    <w:p>
      <w:pPr>
        <w:spacing w:after="0" w:line="240" w:lineRule="auto"/>
        <w:jc w:val="left"/>
        <w:rPr>
          <w:rFonts w:ascii="宋体" w:hAnsi="宋体" w:cs="宋体" w:eastAsia="宋体" w:hint="default"/>
        </w:rPr>
        <w:sectPr>
          <w:pgSz w:w="11910" w:h="16840"/>
          <w:pgMar w:header="871" w:footer="1037" w:top="1100" w:bottom="1220" w:left="980" w:right="0"/>
        </w:sectPr>
      </w:pPr>
    </w:p>
    <w:p>
      <w:pPr>
        <w:spacing w:before="342"/>
        <w:ind w:left="0" w:right="974" w:firstLine="0"/>
        <w:jc w:val="center"/>
        <w:rPr>
          <w:rFonts w:ascii="宋体" w:hAnsi="宋体" w:cs="宋体" w:eastAsia="宋体" w:hint="default"/>
          <w:sz w:val="36"/>
          <w:szCs w:val="36"/>
        </w:rPr>
      </w:pPr>
      <w:r>
        <w:rPr>
          <w:rFonts w:ascii="宋体" w:hAnsi="宋体" w:cs="宋体" w:eastAsia="宋体" w:hint="default"/>
          <w:b/>
          <w:bCs/>
          <w:spacing w:val="4"/>
          <w:sz w:val="36"/>
          <w:szCs w:val="36"/>
        </w:rPr>
        <w:t>释义</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3314"/>
        <w:gridCol w:w="691"/>
        <w:gridCol w:w="5570"/>
      </w:tblGrid>
      <w:tr>
        <w:trPr>
          <w:trHeight w:val="408" w:hRule="exact"/>
        </w:trPr>
        <w:tc>
          <w:tcPr>
            <w:tcW w:w="331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57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光一科技</w:t>
            </w:r>
            <w:r>
              <w:rPr>
                <w:rFonts w:ascii="宋体" w:hAnsi="宋体" w:cs="宋体" w:eastAsia="宋体" w:hint="default"/>
                <w:sz w:val="18"/>
                <w:szCs w:val="18"/>
              </w:rPr>
              <w:t>/</w:t>
            </w:r>
            <w:r>
              <w:rPr>
                <w:rFonts w:ascii="宋体" w:hAnsi="宋体" w:cs="宋体" w:eastAsia="宋体" w:hint="default"/>
                <w:sz w:val="18"/>
                <w:szCs w:val="18"/>
              </w:rPr>
              <w:t>公司</w:t>
            </w:r>
            <w:r>
              <w:rPr>
                <w:rFonts w:ascii="宋体" w:hAnsi="宋体" w:cs="宋体" w:eastAsia="宋体" w:hint="default"/>
                <w:sz w:val="18"/>
                <w:szCs w:val="18"/>
              </w:rPr>
              <w:t>/</w:t>
            </w:r>
            <w:r>
              <w:rPr>
                <w:rFonts w:ascii="宋体" w:hAnsi="宋体" w:cs="宋体" w:eastAsia="宋体" w:hint="default"/>
                <w:sz w:val="18"/>
                <w:szCs w:val="18"/>
              </w:rPr>
              <w:t>本公司</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光一科技股份有限公司</w:t>
            </w:r>
          </w:p>
        </w:tc>
      </w:tr>
      <w:tr>
        <w:trPr>
          <w:trHeight w:val="403"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光一投资</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江苏光一投资管理有限责任公司、本公司控股股东</w:t>
            </w:r>
          </w:p>
        </w:tc>
      </w:tr>
      <w:tr>
        <w:trPr>
          <w:trHeight w:val="404"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苏源光一</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江苏苏源光一科技有限公司、本公司全资子公司</w:t>
            </w:r>
          </w:p>
        </w:tc>
      </w:tr>
      <w:tr>
        <w:trPr>
          <w:trHeight w:val="403"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智友尚云</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南京智友尚云信息技术有限公司、本公司全资子公司</w:t>
            </w:r>
          </w:p>
        </w:tc>
      </w:tr>
      <w:tr>
        <w:trPr>
          <w:trHeight w:val="398"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光一贵仁</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江苏光一贵仁股权投资基金管理有限公司、本公司全资子公司</w:t>
            </w:r>
          </w:p>
        </w:tc>
      </w:tr>
      <w:tr>
        <w:trPr>
          <w:trHeight w:val="403"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索瑞电气</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湖北索瑞电气有限公司、本公司全资子公司</w:t>
            </w:r>
          </w:p>
        </w:tc>
      </w:tr>
      <w:tr>
        <w:trPr>
          <w:trHeight w:val="404"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德能工程</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江苏光一德能电气工程有限公司、本公司全资子公司</w:t>
            </w:r>
          </w:p>
        </w:tc>
      </w:tr>
      <w:tr>
        <w:trPr>
          <w:trHeight w:val="403"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云商天下</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南京云商天下信息技术有限公司、本公司控股子公司</w:t>
            </w:r>
          </w:p>
        </w:tc>
      </w:tr>
      <w:tr>
        <w:trPr>
          <w:trHeight w:val="398"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pacing w:val="-3"/>
                <w:sz w:val="18"/>
                <w:szCs w:val="18"/>
              </w:rPr>
              <w:t>中云文化大数据</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中云文化大数据科技有限公司、本公司参股公司</w:t>
            </w:r>
          </w:p>
        </w:tc>
      </w:tr>
      <w:tr>
        <w:trPr>
          <w:trHeight w:val="403"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中广格兰</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北京中广格兰信息科技有限公司、本公司参股公司</w:t>
            </w:r>
          </w:p>
        </w:tc>
      </w:tr>
      <w:tr>
        <w:trPr>
          <w:trHeight w:val="404"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其厚电气</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江苏其厚智能电气设备有限公司、本公司参股公司</w:t>
            </w:r>
          </w:p>
        </w:tc>
      </w:tr>
      <w:tr>
        <w:trPr>
          <w:trHeight w:val="403"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光一文投</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南</w:t>
            </w:r>
            <w:r>
              <w:rPr>
                <w:rFonts w:ascii="宋体" w:hAnsi="宋体" w:cs="宋体" w:eastAsia="宋体" w:hint="default"/>
                <w:spacing w:val="-5"/>
                <w:w w:val="101"/>
                <w:sz w:val="18"/>
                <w:szCs w:val="18"/>
              </w:rPr>
              <w:t>京</w:t>
            </w:r>
            <w:r>
              <w:rPr>
                <w:rFonts w:ascii="宋体" w:hAnsi="宋体" w:cs="宋体" w:eastAsia="宋体" w:hint="default"/>
                <w:w w:val="101"/>
                <w:sz w:val="18"/>
                <w:szCs w:val="18"/>
              </w:rPr>
              <w:t>光</w:t>
            </w:r>
            <w:r>
              <w:rPr>
                <w:rFonts w:ascii="宋体" w:hAnsi="宋体" w:cs="宋体" w:eastAsia="宋体" w:hint="default"/>
                <w:spacing w:val="-5"/>
                <w:w w:val="101"/>
                <w:sz w:val="18"/>
                <w:szCs w:val="18"/>
              </w:rPr>
              <w:t>一</w:t>
            </w:r>
            <w:r>
              <w:rPr>
                <w:rFonts w:ascii="宋体" w:hAnsi="宋体" w:cs="宋体" w:eastAsia="宋体" w:hint="default"/>
                <w:w w:val="101"/>
                <w:sz w:val="18"/>
                <w:szCs w:val="18"/>
              </w:rPr>
              <w:t>文</w:t>
            </w:r>
            <w:r>
              <w:rPr>
                <w:rFonts w:ascii="宋体" w:hAnsi="宋体" w:cs="宋体" w:eastAsia="宋体" w:hint="default"/>
                <w:spacing w:val="-5"/>
                <w:w w:val="101"/>
                <w:sz w:val="18"/>
                <w:szCs w:val="18"/>
              </w:rPr>
              <w:t>化</w:t>
            </w:r>
            <w:r>
              <w:rPr>
                <w:rFonts w:ascii="宋体" w:hAnsi="宋体" w:cs="宋体" w:eastAsia="宋体" w:hint="default"/>
                <w:w w:val="101"/>
                <w:sz w:val="18"/>
                <w:szCs w:val="18"/>
              </w:rPr>
              <w:t>产</w:t>
            </w:r>
            <w:r>
              <w:rPr>
                <w:rFonts w:ascii="宋体" w:hAnsi="宋体" w:cs="宋体" w:eastAsia="宋体" w:hint="default"/>
                <w:spacing w:val="-5"/>
                <w:w w:val="101"/>
                <w:sz w:val="18"/>
                <w:szCs w:val="18"/>
              </w:rPr>
              <w:t>业</w:t>
            </w:r>
            <w:r>
              <w:rPr>
                <w:rFonts w:ascii="宋体" w:hAnsi="宋体" w:cs="宋体" w:eastAsia="宋体" w:hint="default"/>
                <w:w w:val="101"/>
                <w:sz w:val="18"/>
                <w:szCs w:val="18"/>
              </w:rPr>
              <w:t>投</w:t>
            </w:r>
            <w:r>
              <w:rPr>
                <w:rFonts w:ascii="宋体" w:hAnsi="宋体" w:cs="宋体" w:eastAsia="宋体" w:hint="default"/>
                <w:spacing w:val="-5"/>
                <w:w w:val="101"/>
                <w:sz w:val="18"/>
                <w:szCs w:val="18"/>
              </w:rPr>
              <w:t>资</w:t>
            </w:r>
            <w:r>
              <w:rPr>
                <w:rFonts w:ascii="宋体" w:hAnsi="宋体" w:cs="宋体" w:eastAsia="宋体" w:hint="default"/>
                <w:w w:val="101"/>
                <w:sz w:val="18"/>
                <w:szCs w:val="18"/>
              </w:rPr>
              <w:t>发</w:t>
            </w:r>
            <w:r>
              <w:rPr>
                <w:rFonts w:ascii="宋体" w:hAnsi="宋体" w:cs="宋体" w:eastAsia="宋体" w:hint="default"/>
                <w:spacing w:val="-5"/>
                <w:w w:val="101"/>
                <w:sz w:val="18"/>
                <w:szCs w:val="18"/>
              </w:rPr>
              <w:t>展</w:t>
            </w:r>
            <w:r>
              <w:rPr>
                <w:rFonts w:ascii="宋体" w:hAnsi="宋体" w:cs="宋体" w:eastAsia="宋体" w:hint="default"/>
                <w:w w:val="101"/>
                <w:sz w:val="18"/>
                <w:szCs w:val="18"/>
              </w:rPr>
              <w:t>合</w:t>
            </w:r>
            <w:r>
              <w:rPr>
                <w:rFonts w:ascii="宋体" w:hAnsi="宋体" w:cs="宋体" w:eastAsia="宋体" w:hint="default"/>
                <w:spacing w:val="-5"/>
                <w:w w:val="101"/>
                <w:sz w:val="18"/>
                <w:szCs w:val="18"/>
              </w:rPr>
              <w:t>伙</w:t>
            </w:r>
            <w:r>
              <w:rPr>
                <w:rFonts w:ascii="宋体" w:hAnsi="宋体" w:cs="宋体" w:eastAsia="宋体" w:hint="default"/>
                <w:w w:val="101"/>
                <w:sz w:val="18"/>
                <w:szCs w:val="18"/>
              </w:rPr>
              <w:t>企</w:t>
            </w:r>
            <w:r>
              <w:rPr>
                <w:rFonts w:ascii="宋体" w:hAnsi="宋体" w:cs="宋体" w:eastAsia="宋体" w:hint="default"/>
                <w:spacing w:val="-5"/>
                <w:w w:val="101"/>
                <w:sz w:val="18"/>
                <w:szCs w:val="18"/>
              </w:rPr>
              <w:t>业</w:t>
            </w:r>
            <w:r>
              <w:rPr>
                <w:rFonts w:ascii="宋体" w:hAnsi="宋体" w:cs="宋体" w:eastAsia="宋体" w:hint="default"/>
                <w:w w:val="101"/>
                <w:sz w:val="18"/>
                <w:szCs w:val="18"/>
              </w:rPr>
              <w:t>（</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合</w:t>
            </w:r>
            <w:r>
              <w:rPr>
                <w:rFonts w:ascii="宋体" w:hAnsi="宋体" w:cs="宋体" w:eastAsia="宋体" w:hint="default"/>
                <w:w w:val="101"/>
                <w:sz w:val="18"/>
                <w:szCs w:val="18"/>
              </w:rPr>
              <w:t>伙</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投</w:t>
            </w:r>
            <w:r>
              <w:rPr>
                <w:rFonts w:ascii="宋体" w:hAnsi="宋体" w:cs="宋体" w:eastAsia="宋体" w:hint="default"/>
                <w:w w:val="101"/>
                <w:sz w:val="18"/>
                <w:szCs w:val="18"/>
              </w:rPr>
              <w:t>资</w:t>
            </w:r>
            <w:r>
              <w:rPr>
                <w:rFonts w:ascii="宋体" w:hAnsi="宋体" w:cs="宋体" w:eastAsia="宋体" w:hint="default"/>
                <w:spacing w:val="-5"/>
                <w:w w:val="101"/>
                <w:sz w:val="18"/>
                <w:szCs w:val="18"/>
              </w:rPr>
              <w:t>平</w:t>
            </w:r>
            <w:r>
              <w:rPr>
                <w:rFonts w:ascii="宋体" w:hAnsi="宋体" w:cs="宋体" w:eastAsia="宋体" w:hint="default"/>
                <w:w w:val="101"/>
                <w:sz w:val="18"/>
                <w:szCs w:val="18"/>
              </w:rPr>
              <w:t>台</w:t>
            </w:r>
            <w:r>
              <w:rPr>
                <w:rFonts w:ascii="宋体" w:hAnsi="宋体" w:cs="宋体" w:eastAsia="宋体" w:hint="default"/>
                <w:sz w:val="18"/>
                <w:szCs w:val="18"/>
              </w:rPr>
            </w:r>
          </w:p>
        </w:tc>
      </w:tr>
      <w:tr>
        <w:trPr>
          <w:trHeight w:val="398"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CCDI</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中国文化（出版广电）大数据产业项目</w:t>
            </w:r>
          </w:p>
        </w:tc>
      </w:tr>
      <w:tr>
        <w:trPr>
          <w:trHeight w:val="403"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版权云项目</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国家数字音像传播服务平台</w:t>
            </w:r>
          </w:p>
        </w:tc>
      </w:tr>
      <w:tr>
        <w:trPr>
          <w:trHeight w:val="403" w:hRule="exact"/>
        </w:trPr>
        <w:tc>
          <w:tcPr>
            <w:tcW w:w="331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报告期</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57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z w:val="18"/>
                <w:szCs w:val="18"/>
              </w:rPr>
              <w:t>日</w:t>
            </w:r>
          </w:p>
        </w:tc>
      </w:tr>
      <w:tr>
        <w:trPr>
          <w:trHeight w:val="413" w:hRule="exact"/>
        </w:trPr>
        <w:tc>
          <w:tcPr>
            <w:tcW w:w="331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pacing w:val="-3"/>
                <w:sz w:val="18"/>
                <w:szCs w:val="18"/>
              </w:rPr>
              <w:t>元</w:t>
            </w:r>
            <w:r>
              <w:rPr>
                <w:rFonts w:ascii="宋体" w:hAnsi="宋体" w:cs="宋体" w:eastAsia="宋体" w:hint="default"/>
                <w:spacing w:val="-3"/>
                <w:sz w:val="18"/>
                <w:szCs w:val="18"/>
              </w:rPr>
              <w:t>/</w:t>
            </w:r>
            <w:r>
              <w:rPr>
                <w:rFonts w:ascii="宋体" w:hAnsi="宋体" w:cs="宋体" w:eastAsia="宋体" w:hint="default"/>
                <w:spacing w:val="-3"/>
                <w:sz w:val="18"/>
                <w:szCs w:val="18"/>
              </w:rPr>
              <w:t>万元</w:t>
            </w:r>
            <w:r>
              <w:rPr>
                <w:rFonts w:ascii="宋体" w:hAnsi="宋体" w:cs="宋体" w:eastAsia="宋体" w:hint="default"/>
                <w:sz w:val="18"/>
                <w:szCs w:val="18"/>
              </w:rPr>
            </w:r>
          </w:p>
        </w:tc>
        <w:tc>
          <w:tcPr>
            <w:tcW w:w="691"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57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宋体" w:hAnsi="宋体" w:cs="宋体" w:eastAsia="宋体" w:hint="default"/>
                <w:sz w:val="18"/>
                <w:szCs w:val="18"/>
              </w:rPr>
              <w:t>/</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871" w:footer="1037" w:top="1100" w:bottom="122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2645" w:right="1024"/>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pStyle w:val="Heading2"/>
        <w:spacing w:line="240" w:lineRule="auto" w:before="26"/>
        <w:ind w:right="1024"/>
        <w:jc w:val="left"/>
        <w:rPr>
          <w:b w:val="0"/>
          <w:bCs w:val="0"/>
        </w:rPr>
      </w:pPr>
      <w:bookmarkStart w:name="一、公司信息" w:id="5"/>
      <w:bookmarkEnd w:id="5"/>
      <w:r>
        <w:rPr>
          <w:b w:val="0"/>
          <w:bCs w:val="0"/>
        </w:rPr>
      </w:r>
      <w:r>
        <w:rPr/>
        <w:t>一、公司信息</w:t>
      </w:r>
      <w:r>
        <w:rPr>
          <w:b w:val="0"/>
          <w:bCs w:val="0"/>
        </w:rPr>
      </w:r>
    </w:p>
    <w:p>
      <w:pPr>
        <w:spacing w:line="240" w:lineRule="auto" w:before="12"/>
        <w:rPr>
          <w:rFonts w:ascii="宋体" w:hAnsi="宋体" w:cs="宋体" w:eastAsia="宋体" w:hint="default"/>
          <w:b/>
          <w:bCs/>
          <w:sz w:val="2"/>
          <w:szCs w:val="2"/>
        </w:rPr>
      </w:pPr>
    </w:p>
    <w:tbl>
      <w:tblPr>
        <w:tblW w:w="0" w:type="auto"/>
        <w:jc w:val="left"/>
        <w:tblInd w:w="138" w:type="dxa"/>
        <w:tblLayout w:type="fixed"/>
        <w:tblCellMar>
          <w:top w:w="0" w:type="dxa"/>
          <w:left w:w="0" w:type="dxa"/>
          <w:bottom w:w="0" w:type="dxa"/>
          <w:right w:w="0" w:type="dxa"/>
        </w:tblCellMar>
        <w:tblLook w:val="01E0"/>
      </w:tblPr>
      <w:tblGrid>
        <w:gridCol w:w="2286"/>
        <w:gridCol w:w="2953"/>
        <w:gridCol w:w="2156"/>
        <w:gridCol w:w="2180"/>
      </w:tblGrid>
      <w:tr>
        <w:trPr>
          <w:trHeight w:val="331" w:hRule="exact"/>
        </w:trPr>
        <w:tc>
          <w:tcPr>
            <w:tcW w:w="228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光一科技</w:t>
            </w:r>
          </w:p>
        </w:tc>
        <w:tc>
          <w:tcPr>
            <w:tcW w:w="215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sz w:val="18"/>
              </w:rPr>
              <w:t>300356</w:t>
            </w:r>
          </w:p>
        </w:tc>
      </w:tr>
      <w:tr>
        <w:trPr>
          <w:trHeight w:val="403" w:hRule="exact"/>
        </w:trPr>
        <w:tc>
          <w:tcPr>
            <w:tcW w:w="22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光一科技股份有限公司</w:t>
            </w:r>
          </w:p>
        </w:tc>
      </w:tr>
      <w:tr>
        <w:trPr>
          <w:trHeight w:val="404" w:hRule="exact"/>
        </w:trPr>
        <w:tc>
          <w:tcPr>
            <w:tcW w:w="22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光一科技</w:t>
            </w:r>
          </w:p>
        </w:tc>
      </w:tr>
      <w:tr>
        <w:trPr>
          <w:trHeight w:val="403" w:hRule="exact"/>
        </w:trPr>
        <w:tc>
          <w:tcPr>
            <w:tcW w:w="22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龙昌明</w:t>
            </w:r>
          </w:p>
        </w:tc>
      </w:tr>
      <w:tr>
        <w:trPr>
          <w:trHeight w:val="398" w:hRule="exact"/>
        </w:trPr>
        <w:tc>
          <w:tcPr>
            <w:tcW w:w="22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南京市江宁区将军大道</w:t>
            </w:r>
            <w:r>
              <w:rPr>
                <w:rFonts w:ascii="宋体" w:hAnsi="宋体" w:cs="宋体" w:eastAsia="宋体" w:hint="default"/>
                <w:spacing w:val="-42"/>
                <w:sz w:val="18"/>
                <w:szCs w:val="18"/>
              </w:rPr>
              <w:t> </w:t>
            </w:r>
            <w:r>
              <w:rPr>
                <w:rFonts w:ascii="宋体" w:hAnsi="宋体" w:cs="宋体" w:eastAsia="宋体" w:hint="default"/>
                <w:sz w:val="18"/>
                <w:szCs w:val="18"/>
              </w:rPr>
              <w:t>128</w:t>
            </w:r>
            <w:r>
              <w:rPr>
                <w:rFonts w:ascii="宋体" w:hAnsi="宋体" w:cs="宋体" w:eastAsia="宋体" w:hint="default"/>
                <w:spacing w:val="-48"/>
                <w:sz w:val="18"/>
                <w:szCs w:val="18"/>
              </w:rPr>
              <w:t> </w:t>
            </w:r>
            <w:r>
              <w:rPr>
                <w:rFonts w:ascii="宋体" w:hAnsi="宋体" w:cs="宋体" w:eastAsia="宋体" w:hint="default"/>
                <w:sz w:val="18"/>
                <w:szCs w:val="18"/>
              </w:rPr>
              <w:t>号</w:t>
            </w:r>
          </w:p>
        </w:tc>
      </w:tr>
      <w:tr>
        <w:trPr>
          <w:trHeight w:val="403" w:hRule="exact"/>
        </w:trPr>
        <w:tc>
          <w:tcPr>
            <w:tcW w:w="22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211106</w:t>
            </w:r>
          </w:p>
        </w:tc>
      </w:tr>
      <w:tr>
        <w:trPr>
          <w:trHeight w:val="404" w:hRule="exact"/>
        </w:trPr>
        <w:tc>
          <w:tcPr>
            <w:tcW w:w="22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南京市江宁区将军大道</w:t>
            </w:r>
            <w:r>
              <w:rPr>
                <w:rFonts w:ascii="宋体" w:hAnsi="宋体" w:cs="宋体" w:eastAsia="宋体" w:hint="default"/>
                <w:spacing w:val="-42"/>
                <w:sz w:val="18"/>
                <w:szCs w:val="18"/>
              </w:rPr>
              <w:t> </w:t>
            </w:r>
            <w:r>
              <w:rPr>
                <w:rFonts w:ascii="宋体" w:hAnsi="宋体" w:cs="宋体" w:eastAsia="宋体" w:hint="default"/>
                <w:sz w:val="18"/>
                <w:szCs w:val="18"/>
              </w:rPr>
              <w:t>128</w:t>
            </w:r>
            <w:r>
              <w:rPr>
                <w:rFonts w:ascii="宋体" w:hAnsi="宋体" w:cs="宋体" w:eastAsia="宋体" w:hint="default"/>
                <w:spacing w:val="-48"/>
                <w:sz w:val="18"/>
                <w:szCs w:val="18"/>
              </w:rPr>
              <w:t> </w:t>
            </w:r>
            <w:r>
              <w:rPr>
                <w:rFonts w:ascii="宋体" w:hAnsi="宋体" w:cs="宋体" w:eastAsia="宋体" w:hint="default"/>
                <w:sz w:val="18"/>
                <w:szCs w:val="18"/>
              </w:rPr>
              <w:t>号</w:t>
            </w:r>
          </w:p>
        </w:tc>
      </w:tr>
      <w:tr>
        <w:trPr>
          <w:trHeight w:val="403" w:hRule="exact"/>
        </w:trPr>
        <w:tc>
          <w:tcPr>
            <w:tcW w:w="22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211106</w:t>
            </w:r>
          </w:p>
        </w:tc>
      </w:tr>
      <w:tr>
        <w:trPr>
          <w:trHeight w:val="398" w:hRule="exact"/>
        </w:trPr>
        <w:tc>
          <w:tcPr>
            <w:tcW w:w="22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公司国际互联网网址</w:t>
            </w:r>
          </w:p>
        </w:tc>
        <w:tc>
          <w:tcPr>
            <w:tcW w:w="7289"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hyperlink r:id="rId9">
              <w:r>
                <w:rPr>
                  <w:rFonts w:ascii="宋体"/>
                  <w:sz w:val="18"/>
                </w:rPr>
                <w:t>http://www.elefirst.com</w:t>
              </w:r>
            </w:hyperlink>
          </w:p>
        </w:tc>
      </w:tr>
      <w:tr>
        <w:trPr>
          <w:trHeight w:val="413" w:hRule="exact"/>
        </w:trPr>
        <w:tc>
          <w:tcPr>
            <w:tcW w:w="228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hyperlink r:id="rId10">
              <w:r>
                <w:rPr>
                  <w:rFonts w:ascii="宋体"/>
                  <w:sz w:val="18"/>
                </w:rPr>
                <w:t>gykj300356@163.com</w:t>
              </w:r>
            </w:hyperlink>
          </w:p>
        </w:tc>
      </w:tr>
    </w:tbl>
    <w:p>
      <w:pPr>
        <w:spacing w:line="240" w:lineRule="auto" w:before="2"/>
        <w:rPr>
          <w:rFonts w:ascii="宋体" w:hAnsi="宋体" w:cs="宋体" w:eastAsia="宋体" w:hint="default"/>
          <w:b/>
          <w:bCs/>
          <w:sz w:val="19"/>
          <w:szCs w:val="19"/>
        </w:rPr>
      </w:pPr>
    </w:p>
    <w:p>
      <w:pPr>
        <w:pStyle w:val="Heading2"/>
        <w:spacing w:line="240" w:lineRule="auto" w:before="26"/>
        <w:ind w:right="1024"/>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2"/>
        <w:rPr>
          <w:rFonts w:ascii="宋体" w:hAnsi="宋体" w:cs="宋体" w:eastAsia="宋体" w:hint="default"/>
          <w:b/>
          <w:bCs/>
          <w:sz w:val="2"/>
          <w:szCs w:val="2"/>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331"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0"/>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2"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戴晓东</w:t>
            </w: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南京市江宁区将军大道</w:t>
            </w:r>
            <w:r>
              <w:rPr>
                <w:rFonts w:ascii="宋体" w:hAnsi="宋体" w:cs="宋体" w:eastAsia="宋体" w:hint="default"/>
                <w:spacing w:val="-42"/>
                <w:sz w:val="18"/>
                <w:szCs w:val="18"/>
              </w:rPr>
              <w:t> </w:t>
            </w:r>
            <w:r>
              <w:rPr>
                <w:rFonts w:ascii="宋体" w:hAnsi="宋体" w:cs="宋体" w:eastAsia="宋体" w:hint="default"/>
                <w:sz w:val="18"/>
                <w:szCs w:val="18"/>
              </w:rPr>
              <w:t>128</w:t>
            </w:r>
            <w:r>
              <w:rPr>
                <w:rFonts w:ascii="宋体" w:hAnsi="宋体" w:cs="宋体" w:eastAsia="宋体" w:hint="default"/>
                <w:spacing w:val="-48"/>
                <w:sz w:val="18"/>
                <w:szCs w:val="18"/>
              </w:rPr>
              <w:t> </w:t>
            </w:r>
            <w:r>
              <w:rPr>
                <w:rFonts w:ascii="宋体" w:hAnsi="宋体" w:cs="宋体" w:eastAsia="宋体" w:hint="default"/>
                <w:sz w:val="18"/>
                <w:szCs w:val="18"/>
              </w:rPr>
              <w:t>号</w:t>
            </w: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sz w:val="18"/>
              </w:rPr>
              <w:t>025-68531928</w:t>
            </w: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传真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sz w:val="18"/>
              </w:rPr>
              <w:t>025-68531868</w:t>
            </w: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hyperlink r:id="rId10">
              <w:r>
                <w:rPr>
                  <w:rFonts w:ascii="宋体"/>
                  <w:sz w:val="18"/>
                </w:rPr>
                <w:t>gykj300356@163.com</w:t>
              </w:r>
            </w:hyperlink>
          </w:p>
        </w:tc>
        <w:tc>
          <w:tcPr>
            <w:tcW w:w="3193"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b/>
          <w:bCs/>
          <w:sz w:val="19"/>
          <w:szCs w:val="19"/>
        </w:rPr>
      </w:pPr>
    </w:p>
    <w:p>
      <w:pPr>
        <w:pStyle w:val="Heading2"/>
        <w:spacing w:line="240" w:lineRule="auto" w:before="26"/>
        <w:ind w:right="1024"/>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2"/>
        <w:rPr>
          <w:rFonts w:ascii="宋体" w:hAnsi="宋体" w:cs="宋体" w:eastAsia="宋体" w:hint="default"/>
          <w:b/>
          <w:bCs/>
          <w:sz w:val="2"/>
          <w:szCs w:val="2"/>
        </w:rPr>
      </w:pPr>
    </w:p>
    <w:tbl>
      <w:tblPr>
        <w:tblW w:w="0" w:type="auto"/>
        <w:jc w:val="left"/>
        <w:tblInd w:w="138" w:type="dxa"/>
        <w:tblLayout w:type="fixed"/>
        <w:tblCellMar>
          <w:top w:w="0" w:type="dxa"/>
          <w:left w:w="0" w:type="dxa"/>
          <w:bottom w:w="0" w:type="dxa"/>
          <w:right w:w="0" w:type="dxa"/>
        </w:tblCellMar>
        <w:tblLook w:val="01E0"/>
      </w:tblPr>
      <w:tblGrid>
        <w:gridCol w:w="3995"/>
        <w:gridCol w:w="5575"/>
      </w:tblGrid>
      <w:tr>
        <w:trPr>
          <w:trHeight w:val="332" w:hRule="exact"/>
        </w:trPr>
        <w:tc>
          <w:tcPr>
            <w:tcW w:w="399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5"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7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322" w:hRule="exact"/>
        </w:trPr>
        <w:tc>
          <w:tcPr>
            <w:tcW w:w="39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5"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left="100" w:right="0"/>
              <w:jc w:val="left"/>
              <w:rPr>
                <w:rFonts w:ascii="宋体" w:hAnsi="宋体" w:cs="宋体" w:eastAsia="宋体" w:hint="default"/>
                <w:sz w:val="18"/>
                <w:szCs w:val="18"/>
              </w:rPr>
            </w:pPr>
            <w:hyperlink r:id="rId11">
              <w:r>
                <w:rPr>
                  <w:rFonts w:ascii="宋体"/>
                  <w:sz w:val="18"/>
                </w:rPr>
                <w:t>http://www.cninfo.com.cn</w:t>
              </w:r>
            </w:hyperlink>
          </w:p>
        </w:tc>
      </w:tr>
      <w:tr>
        <w:trPr>
          <w:trHeight w:val="336" w:hRule="exact"/>
        </w:trPr>
        <w:tc>
          <w:tcPr>
            <w:tcW w:w="399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10"/>
              <w:ind w:left="9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3"/>
                <w:sz w:val="18"/>
                <w:szCs w:val="18"/>
              </w:rPr>
              <w:t>公司董事会办公室、深圳证券交易所</w:t>
            </w:r>
          </w:p>
        </w:tc>
      </w:tr>
    </w:tbl>
    <w:p>
      <w:pPr>
        <w:spacing w:line="240" w:lineRule="auto" w:before="9"/>
        <w:rPr>
          <w:rFonts w:ascii="宋体" w:hAnsi="宋体" w:cs="宋体" w:eastAsia="宋体" w:hint="default"/>
          <w:b/>
          <w:bCs/>
          <w:sz w:val="17"/>
          <w:szCs w:val="17"/>
        </w:rPr>
      </w:pPr>
    </w:p>
    <w:p>
      <w:pPr>
        <w:pStyle w:val="Heading2"/>
        <w:spacing w:line="240" w:lineRule="auto" w:before="26"/>
        <w:ind w:right="1024"/>
        <w:jc w:val="left"/>
        <w:rPr>
          <w:b w:val="0"/>
          <w:bCs w:val="0"/>
        </w:rPr>
      </w:pPr>
      <w:bookmarkStart w:name="四、其他有关资料" w:id="8"/>
      <w:bookmarkEnd w:id="8"/>
      <w:r>
        <w:rPr>
          <w:b w:val="0"/>
          <w:bCs w:val="0"/>
        </w:rPr>
      </w:r>
      <w:r>
        <w:rPr/>
        <w:t>四、其他有关资料</w:t>
      </w:r>
      <w:r>
        <w:rPr>
          <w:b w:val="0"/>
          <w:bCs w:val="0"/>
        </w:rPr>
      </w:r>
    </w:p>
    <w:p>
      <w:pPr>
        <w:pStyle w:val="BodyText"/>
        <w:spacing w:line="240" w:lineRule="auto" w:before="66"/>
        <w:ind w:right="1024"/>
        <w:jc w:val="left"/>
      </w:pPr>
      <w:r>
        <w:rPr/>
        <w:t>公司聘请的会计师事务所</w:t>
      </w:r>
    </w:p>
    <w:p>
      <w:pPr>
        <w:spacing w:line="240" w:lineRule="auto" w:before="0"/>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2665"/>
        <w:gridCol w:w="6905"/>
      </w:tblGrid>
      <w:tr>
        <w:trPr>
          <w:trHeight w:val="413" w:hRule="exact"/>
        </w:trPr>
        <w:tc>
          <w:tcPr>
            <w:tcW w:w="266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众华会计师事务所（特殊普通合伙）</w:t>
            </w:r>
          </w:p>
        </w:tc>
      </w:tr>
      <w:tr>
        <w:trPr>
          <w:trHeight w:val="398" w:hRule="exact"/>
        </w:trPr>
        <w:tc>
          <w:tcPr>
            <w:tcW w:w="266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上海市中山南路</w:t>
            </w:r>
            <w:r>
              <w:rPr>
                <w:rFonts w:ascii="宋体" w:hAnsi="宋体" w:cs="宋体" w:eastAsia="宋体" w:hint="default"/>
                <w:spacing w:val="-44"/>
                <w:sz w:val="18"/>
                <w:szCs w:val="18"/>
              </w:rPr>
              <w:t> </w:t>
            </w:r>
            <w:r>
              <w:rPr>
                <w:rFonts w:ascii="宋体" w:hAnsi="宋体" w:cs="宋体" w:eastAsia="宋体" w:hint="default"/>
                <w:sz w:val="18"/>
                <w:szCs w:val="18"/>
              </w:rPr>
              <w:t>100</w:t>
            </w:r>
            <w:r>
              <w:rPr>
                <w:rFonts w:ascii="宋体" w:hAnsi="宋体" w:cs="宋体" w:eastAsia="宋体" w:hint="default"/>
                <w:spacing w:val="-44"/>
                <w:sz w:val="18"/>
                <w:szCs w:val="18"/>
              </w:rPr>
              <w:t> </w:t>
            </w:r>
            <w:r>
              <w:rPr>
                <w:rFonts w:ascii="宋体" w:hAnsi="宋体" w:cs="宋体" w:eastAsia="宋体" w:hint="default"/>
                <w:sz w:val="18"/>
                <w:szCs w:val="18"/>
              </w:rPr>
              <w:t>号金外滩国际广场</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9"/>
                <w:sz w:val="18"/>
                <w:szCs w:val="18"/>
              </w:rPr>
              <w:t> </w:t>
            </w:r>
            <w:r>
              <w:rPr>
                <w:rFonts w:ascii="宋体" w:hAnsi="宋体" w:cs="宋体" w:eastAsia="宋体" w:hint="default"/>
                <w:sz w:val="18"/>
                <w:szCs w:val="18"/>
              </w:rPr>
              <w:t>楼</w:t>
            </w:r>
          </w:p>
        </w:tc>
      </w:tr>
      <w:tr>
        <w:trPr>
          <w:trHeight w:val="413" w:hRule="exact"/>
        </w:trPr>
        <w:tc>
          <w:tcPr>
            <w:tcW w:w="266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刘磊、金宁绩</w:t>
            </w:r>
          </w:p>
        </w:tc>
      </w:tr>
    </w:tbl>
    <w:p>
      <w:pPr>
        <w:spacing w:line="240" w:lineRule="auto" w:before="8"/>
        <w:rPr>
          <w:rFonts w:ascii="宋体" w:hAnsi="宋体" w:cs="宋体" w:eastAsia="宋体" w:hint="default"/>
          <w:sz w:val="5"/>
          <w:szCs w:val="5"/>
        </w:rPr>
      </w:pPr>
    </w:p>
    <w:p>
      <w:pPr>
        <w:pStyle w:val="BodyText"/>
        <w:spacing w:line="240" w:lineRule="auto" w:before="36"/>
        <w:ind w:right="1024"/>
        <w:jc w:val="left"/>
      </w:pPr>
      <w:r>
        <w:rPr/>
        <w:t>公司聘请的报告期内履行持续督导职责的保荐机构</w:t>
      </w:r>
    </w:p>
    <w:p>
      <w:pPr>
        <w:spacing w:line="240" w:lineRule="auto" w:before="12"/>
        <w:rPr>
          <w:rFonts w:ascii="宋体" w:hAnsi="宋体" w:cs="宋体" w:eastAsia="宋体" w:hint="default"/>
          <w:sz w:val="17"/>
          <w:szCs w:val="17"/>
        </w:rPr>
      </w:pPr>
    </w:p>
    <w:p>
      <w:pPr>
        <w:pStyle w:val="BodyText"/>
        <w:spacing w:line="439" w:lineRule="auto"/>
        <w:ind w:right="5885"/>
        <w:jc w:val="left"/>
      </w:pPr>
      <w:r>
        <w:rPr/>
        <w:t>□ 适用 √ 不适用</w:t>
      </w:r>
      <w:r>
        <w:rPr>
          <w:spacing w:val="-101"/>
        </w:rPr>
        <w:t> </w:t>
      </w:r>
      <w:r>
        <w:rPr>
          <w:spacing w:val="-101"/>
        </w:rPr>
      </w:r>
      <w:r>
        <w:rPr>
          <w:spacing w:val="-2"/>
        </w:rPr>
        <w:t>公司聘请的报告期内履行持续督导职责的财务顾问</w:t>
      </w:r>
    </w:p>
    <w:p>
      <w:pPr>
        <w:spacing w:after="0" w:line="439" w:lineRule="auto"/>
        <w:jc w:val="left"/>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spacing w:line="412" w:lineRule="auto" w:before="36"/>
        <w:ind w:left="153" w:right="5885"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五、主要会计数据和财务指标" w:id="9"/>
      <w:bookmarkEnd w:id="9"/>
      <w:r>
        <w:rPr>
          <w:rFonts w:ascii="宋体" w:hAnsi="宋体" w:cs="宋体" w:eastAsia="宋体" w:hint="default"/>
          <w:spacing w:val="-101"/>
          <w:sz w:val="21"/>
          <w:szCs w:val="21"/>
        </w:rPr>
      </w:r>
      <w:r>
        <w:rPr>
          <w:rFonts w:ascii="宋体" w:hAnsi="宋体" w:cs="宋体" w:eastAsia="宋体" w:hint="default"/>
          <w:b/>
          <w:bCs/>
          <w:sz w:val="24"/>
          <w:szCs w:val="24"/>
        </w:rPr>
        <w:t>五、主要会计数据和财务指标</w:t>
      </w:r>
      <w:r>
        <w:rPr>
          <w:rFonts w:ascii="宋体" w:hAnsi="宋体" w:cs="宋体" w:eastAsia="宋体" w:hint="default"/>
          <w:b/>
          <w:bCs/>
          <w:w w:val="99"/>
          <w:sz w:val="24"/>
          <w:szCs w:val="24"/>
        </w:rPr>
        <w:t> </w:t>
      </w:r>
      <w:r>
        <w:rPr>
          <w:rFonts w:ascii="宋体" w:hAnsi="宋体" w:cs="宋体" w:eastAsia="宋体" w:hint="default"/>
          <w:spacing w:val="-1"/>
          <w:sz w:val="21"/>
          <w:szCs w:val="21"/>
        </w:rPr>
        <w:t>公司是否需追溯调整或重述以前年度会计数据</w:t>
      </w:r>
    </w:p>
    <w:p>
      <w:pPr>
        <w:pStyle w:val="BodyText"/>
        <w:spacing w:line="240" w:lineRule="auto" w:before="82"/>
        <w:ind w:right="1024"/>
        <w:jc w:val="left"/>
      </w:pPr>
      <w:r>
        <w:rPr/>
        <w:t>□ 是 √</w:t>
      </w:r>
      <w:r>
        <w:rPr>
          <w:spacing w:val="5"/>
        </w:rPr>
        <w:t> </w:t>
      </w:r>
      <w:r>
        <w:rPr/>
        <w:t>否</w:t>
      </w:r>
    </w:p>
    <w:p>
      <w:pPr>
        <w:spacing w:line="240" w:lineRule="auto" w:before="11"/>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2622"/>
        <w:gridCol w:w="1738"/>
        <w:gridCol w:w="1738"/>
        <w:gridCol w:w="1738"/>
        <w:gridCol w:w="1738"/>
      </w:tblGrid>
      <w:tr>
        <w:trPr>
          <w:trHeight w:val="413" w:hRule="exact"/>
        </w:trPr>
        <w:tc>
          <w:tcPr>
            <w:tcW w:w="2622"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7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7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7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57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0"/>
                <w:sz w:val="18"/>
                <w:szCs w:val="18"/>
              </w:rPr>
              <w:t> </w:t>
            </w:r>
            <w:r>
              <w:rPr>
                <w:rFonts w:ascii="宋体" w:hAnsi="宋体" w:cs="宋体" w:eastAsia="宋体" w:hint="default"/>
                <w:sz w:val="18"/>
                <w:szCs w:val="18"/>
              </w:rPr>
              <w:t>年</w:t>
            </w:r>
          </w:p>
        </w:tc>
      </w:tr>
      <w:tr>
        <w:trPr>
          <w:trHeight w:val="404"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409,098,683.66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435,931,413.33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-6.16%</w:t>
            </w:r>
          </w:p>
        </w:tc>
        <w:tc>
          <w:tcPr>
            <w:tcW w:w="17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540,224,208.56</w:t>
            </w:r>
          </w:p>
        </w:tc>
      </w:tr>
      <w:tr>
        <w:trPr>
          <w:trHeight w:val="710"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25,194,200.65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23,403,488.93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sz w:val="18"/>
              </w:rPr>
              <w:t>7.65%</w:t>
            </w:r>
          </w:p>
        </w:tc>
        <w:tc>
          <w:tcPr>
            <w:tcW w:w="17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-392,404,175.23</w:t>
            </w:r>
          </w:p>
        </w:tc>
      </w:tr>
      <w:tr>
        <w:trPr>
          <w:trHeight w:val="715"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61"/>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777,892.03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-13,013,192.91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105.98%</w:t>
            </w:r>
          </w:p>
        </w:tc>
        <w:tc>
          <w:tcPr>
            <w:tcW w:w="17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-408,211,975.10</w:t>
            </w:r>
          </w:p>
        </w:tc>
      </w:tr>
      <w:tr>
        <w:trPr>
          <w:trHeight w:val="716"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81"/>
              <w:ind w:left="9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216,278,235.93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42,841,247.74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404.84%</w:t>
            </w:r>
          </w:p>
        </w:tc>
        <w:tc>
          <w:tcPr>
            <w:tcW w:w="17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2"/>
                <w:sz w:val="18"/>
              </w:rPr>
              <w:t>-10,610,929.68</w:t>
            </w:r>
          </w:p>
        </w:tc>
      </w:tr>
      <w:tr>
        <w:trPr>
          <w:trHeight w:val="403"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0.0618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0.0574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7.67%</w:t>
            </w:r>
          </w:p>
        </w:tc>
        <w:tc>
          <w:tcPr>
            <w:tcW w:w="17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-0.9619</w:t>
            </w:r>
          </w:p>
        </w:tc>
      </w:tr>
      <w:tr>
        <w:trPr>
          <w:trHeight w:val="398"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0.0618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0.0574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7.67%</w:t>
            </w:r>
          </w:p>
        </w:tc>
        <w:tc>
          <w:tcPr>
            <w:tcW w:w="17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-0.9619</w:t>
            </w:r>
          </w:p>
        </w:tc>
      </w:tr>
      <w:tr>
        <w:trPr>
          <w:trHeight w:val="404"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2.36%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z w:val="18"/>
              </w:rPr>
              <w:t>2.24%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0.12%</w:t>
            </w:r>
          </w:p>
        </w:tc>
        <w:tc>
          <w:tcPr>
            <w:tcW w:w="17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-32.12%</w:t>
            </w:r>
          </w:p>
        </w:tc>
      </w:tr>
      <w:tr>
        <w:trPr>
          <w:trHeight w:val="715"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8"/>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77" w:right="137" w:hanging="634"/>
              <w:jc w:val="left"/>
              <w:rPr>
                <w:rFonts w:ascii="宋体" w:hAnsi="宋体" w:cs="宋体" w:eastAsia="宋体" w:hint="default"/>
                <w:sz w:val="18"/>
                <w:szCs w:val="18"/>
              </w:rPr>
            </w:pPr>
            <w:r>
              <w:rPr>
                <w:rFonts w:ascii="宋体" w:hAnsi="宋体" w:cs="宋体" w:eastAsia="宋体" w:hint="default"/>
                <w:spacing w:val="-2"/>
                <w:sz w:val="18"/>
                <w:szCs w:val="18"/>
              </w:rPr>
              <w:t>本年末比上年末增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减</w:t>
            </w:r>
          </w:p>
        </w:tc>
        <w:tc>
          <w:tcPr>
            <w:tcW w:w="1738"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8"/>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3"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1,756,075,503.39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1,823,788,194.70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-3.71%</w:t>
            </w:r>
          </w:p>
        </w:tc>
        <w:tc>
          <w:tcPr>
            <w:tcW w:w="173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1,834,019,350.87</w:t>
            </w:r>
          </w:p>
        </w:tc>
      </w:tr>
      <w:tr>
        <w:trPr>
          <w:trHeight w:val="725" w:hRule="exact"/>
        </w:trPr>
        <w:tc>
          <w:tcPr>
            <w:tcW w:w="262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7"/>
              <w:ind w:left="9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1,078,497,175.47</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1,053,187,340.12</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sz w:val="18"/>
              </w:rPr>
              <w:t>2.40%</w:t>
            </w:r>
          </w:p>
        </w:tc>
        <w:tc>
          <w:tcPr>
            <w:tcW w:w="173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1,034,354,565.02</w:t>
            </w:r>
          </w:p>
        </w:tc>
      </w:tr>
    </w:tbl>
    <w:p>
      <w:pPr>
        <w:pStyle w:val="BodyText"/>
        <w:spacing w:line="240" w:lineRule="auto" w:before="28"/>
        <w:ind w:right="1024"/>
        <w:jc w:val="left"/>
      </w:pPr>
      <w:r>
        <w:rPr/>
        <w:t>截止披露前一交易日的公司总股本：</w:t>
      </w:r>
    </w:p>
    <w:p>
      <w:pPr>
        <w:spacing w:line="240" w:lineRule="auto" w:before="7"/>
        <w:rPr>
          <w:rFonts w:ascii="宋体" w:hAnsi="宋体" w:cs="宋体" w:eastAsia="宋体" w:hint="default"/>
          <w:sz w:val="6"/>
          <w:szCs w:val="6"/>
        </w:rPr>
      </w:pPr>
    </w:p>
    <w:tbl>
      <w:tblPr>
        <w:tblW w:w="0" w:type="auto"/>
        <w:jc w:val="left"/>
        <w:tblInd w:w="138" w:type="dxa"/>
        <w:tblLayout w:type="fixed"/>
        <w:tblCellMar>
          <w:top w:w="0" w:type="dxa"/>
          <w:left w:w="0" w:type="dxa"/>
          <w:bottom w:w="0" w:type="dxa"/>
          <w:right w:w="0" w:type="dxa"/>
        </w:tblCellMar>
        <w:tblLook w:val="01E0"/>
      </w:tblPr>
      <w:tblGrid>
        <w:gridCol w:w="4523"/>
        <w:gridCol w:w="5047"/>
      </w:tblGrid>
      <w:tr>
        <w:trPr>
          <w:trHeight w:val="422" w:hRule="exact"/>
        </w:trPr>
        <w:tc>
          <w:tcPr>
            <w:tcW w:w="4523"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pacing w:val="-3"/>
                <w:sz w:val="18"/>
                <w:szCs w:val="18"/>
              </w:rPr>
              <w:t>截止披露前一交易日的公司总股本（股）</w:t>
            </w:r>
          </w:p>
        </w:tc>
        <w:tc>
          <w:tcPr>
            <w:tcW w:w="50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407,904,620</w:t>
            </w:r>
          </w:p>
        </w:tc>
      </w:tr>
    </w:tbl>
    <w:p>
      <w:pPr>
        <w:pStyle w:val="BodyText"/>
        <w:spacing w:line="410" w:lineRule="auto" w:before="66"/>
        <w:ind w:right="1024"/>
        <w:jc w:val="left"/>
      </w:pPr>
      <w:r>
        <w:rPr>
          <w:spacing w:val="-2"/>
        </w:rPr>
        <w:t>公司报告期末至年度报告披露日股本是否因发行新股、增发、配股、股权激励行权、回购等原因发生变化</w:t>
      </w:r>
      <w:r>
        <w:rPr>
          <w:spacing w:val="-33"/>
        </w:rPr>
        <w:t> </w:t>
      </w:r>
      <w:r>
        <w:rPr>
          <w:spacing w:val="-33"/>
        </w:rPr>
      </w:r>
      <w:r>
        <w:rPr/>
        <w:t>且影响所有者权益金额</w:t>
      </w:r>
    </w:p>
    <w:p>
      <w:pPr>
        <w:pStyle w:val="BodyText"/>
        <w:spacing w:line="240" w:lineRule="auto" w:before="41"/>
        <w:ind w:right="1024"/>
        <w:jc w:val="left"/>
      </w:pPr>
      <w:r>
        <w:rPr/>
        <w:t>√ 是 □</w:t>
      </w:r>
      <w:r>
        <w:rPr>
          <w:spacing w:val="5"/>
        </w:rPr>
        <w:t> </w:t>
      </w:r>
      <w:r>
        <w:rPr/>
        <w:t>否</w:t>
      </w:r>
    </w:p>
    <w:p>
      <w:pPr>
        <w:spacing w:line="240" w:lineRule="auto" w:before="11"/>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4523"/>
        <w:gridCol w:w="5047"/>
      </w:tblGrid>
      <w:tr>
        <w:trPr>
          <w:trHeight w:val="413" w:hRule="exact"/>
        </w:trPr>
        <w:tc>
          <w:tcPr>
            <w:tcW w:w="452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4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0.00</w:t>
            </w:r>
          </w:p>
        </w:tc>
      </w:tr>
      <w:tr>
        <w:trPr>
          <w:trHeight w:val="413" w:hRule="exact"/>
        </w:trPr>
        <w:tc>
          <w:tcPr>
            <w:tcW w:w="452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用最新股本计算的全面摊薄每股收益（元</w:t>
            </w:r>
            <w:r>
              <w:rPr>
                <w:rFonts w:ascii="宋体" w:hAnsi="宋体" w:cs="宋体" w:eastAsia="宋体" w:hint="default"/>
                <w:spacing w:val="-3"/>
                <w:sz w:val="18"/>
                <w:szCs w:val="18"/>
              </w:rPr>
              <w:t>/</w:t>
            </w:r>
            <w:r>
              <w:rPr>
                <w:rFonts w:ascii="宋体" w:hAnsi="宋体" w:cs="宋体" w:eastAsia="宋体" w:hint="default"/>
                <w:spacing w:val="-3"/>
                <w:sz w:val="18"/>
                <w:szCs w:val="18"/>
              </w:rPr>
              <w:t>股）</w:t>
            </w:r>
          </w:p>
        </w:tc>
        <w:tc>
          <w:tcPr>
            <w:tcW w:w="504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0.0618</w:t>
            </w:r>
          </w:p>
        </w:tc>
      </w:tr>
    </w:tbl>
    <w:p>
      <w:pPr>
        <w:spacing w:line="240" w:lineRule="auto" w:before="9"/>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71" w:footer="1037" w:top="1100" w:bottom="1220" w:left="980" w:right="0"/>
        </w:sectPr>
      </w:pPr>
    </w:p>
    <w:p>
      <w:pPr>
        <w:pStyle w:val="Heading2"/>
        <w:spacing w:line="240" w:lineRule="auto" w:before="26"/>
        <w:ind w:right="0"/>
        <w:jc w:val="left"/>
        <w:rPr>
          <w:b w:val="0"/>
          <w:bCs w:val="0"/>
        </w:rPr>
      </w:pPr>
      <w:bookmarkStart w:name="六、分季度主要财务指标" w:id="10"/>
      <w:bookmarkEnd w:id="10"/>
      <w:r>
        <w:rPr>
          <w:b w:val="0"/>
          <w:bCs w:val="0"/>
        </w:rPr>
      </w:r>
      <w:r>
        <w:rPr>
          <w:w w:val="95"/>
        </w:rPr>
        <w:t>六、分季度主要财务指标</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5"/>
        <w:rPr>
          <w:rFonts w:ascii="宋体" w:hAnsi="宋体" w:cs="宋体" w:eastAsia="宋体" w:hint="default"/>
          <w:b/>
          <w:bCs/>
          <w:sz w:val="15"/>
          <w:szCs w:val="1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1220" w:left="980" w:right="0"/>
          <w:cols w:num="2" w:equalWidth="0">
            <w:col w:w="2803" w:space="6119"/>
            <w:col w:w="2008"/>
          </w:cols>
        </w:sectPr>
      </w:pPr>
    </w:p>
    <w:p>
      <w:pPr>
        <w:spacing w:line="240" w:lineRule="auto" w:before="9"/>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2622"/>
        <w:gridCol w:w="1743"/>
        <w:gridCol w:w="1738"/>
        <w:gridCol w:w="1738"/>
        <w:gridCol w:w="1733"/>
      </w:tblGrid>
      <w:tr>
        <w:trPr>
          <w:trHeight w:val="413" w:hRule="exact"/>
        </w:trPr>
        <w:tc>
          <w:tcPr>
            <w:tcW w:w="2622"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74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4"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33,254,366.86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97,553,861.98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100,104,535.03</w:t>
            </w:r>
          </w:p>
        </w:tc>
        <w:tc>
          <w:tcPr>
            <w:tcW w:w="17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178,185,919.79</w:t>
            </w:r>
          </w:p>
        </w:tc>
      </w:tr>
      <w:tr>
        <w:trPr>
          <w:trHeight w:val="398"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-15,728,932.14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8,888,259.11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21,096,204.12</w:t>
            </w:r>
          </w:p>
        </w:tc>
        <w:tc>
          <w:tcPr>
            <w:tcW w:w="17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9"/>
              <w:ind w:right="89"/>
              <w:jc w:val="right"/>
              <w:rPr>
                <w:rFonts w:ascii="宋体" w:hAnsi="宋体" w:cs="宋体" w:eastAsia="宋体" w:hint="default"/>
                <w:sz w:val="18"/>
                <w:szCs w:val="18"/>
              </w:rPr>
            </w:pPr>
            <w:r>
              <w:rPr>
                <w:rFonts w:ascii="宋体"/>
                <w:spacing w:val="-1"/>
                <w:sz w:val="18"/>
              </w:rPr>
              <w:t>10,938,669.56</w:t>
            </w:r>
          </w:p>
        </w:tc>
      </w:tr>
      <w:tr>
        <w:trPr>
          <w:trHeight w:val="403"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7"/>
              <w:ind w:left="9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-18,939,159.00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11,104,414.54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10,524,833.50</w:t>
            </w:r>
          </w:p>
        </w:tc>
        <w:tc>
          <w:tcPr>
            <w:tcW w:w="17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-1,912,197.01</w:t>
            </w:r>
          </w:p>
        </w:tc>
      </w:tr>
    </w:tbl>
    <w:p>
      <w:pPr>
        <w:spacing w:after="0" w:line="240" w:lineRule="auto"/>
        <w:jc w:val="right"/>
        <w:rPr>
          <w:rFonts w:ascii="宋体" w:hAnsi="宋体" w:cs="宋体" w:eastAsia="宋体" w:hint="default"/>
          <w:sz w:val="18"/>
          <w:szCs w:val="18"/>
        </w:rPr>
        <w:sectPr>
          <w:type w:val="continuous"/>
          <w:pgSz w:w="11910" w:h="16840"/>
          <w:pgMar w:top="1580" w:bottom="1220" w:left="980" w:right="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622"/>
        <w:gridCol w:w="1743"/>
        <w:gridCol w:w="1738"/>
        <w:gridCol w:w="1738"/>
        <w:gridCol w:w="1733"/>
      </w:tblGrid>
      <w:tr>
        <w:trPr>
          <w:trHeight w:val="413" w:hRule="exact"/>
        </w:trPr>
        <w:tc>
          <w:tcPr>
            <w:tcW w:w="2622"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74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60"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5"/>
              <w:ind w:left="95" w:right="0"/>
              <w:jc w:val="left"/>
              <w:rPr>
                <w:rFonts w:ascii="宋体" w:hAnsi="宋体" w:cs="宋体" w:eastAsia="宋体" w:hint="default"/>
                <w:sz w:val="18"/>
                <w:szCs w:val="18"/>
              </w:rPr>
            </w:pPr>
            <w:r>
              <w:rPr>
                <w:rFonts w:ascii="宋体" w:hAnsi="宋体" w:cs="宋体" w:eastAsia="宋体" w:hint="default"/>
                <w:spacing w:val="-3"/>
                <w:sz w:val="18"/>
                <w:szCs w:val="18"/>
              </w:rPr>
              <w:t>经常性损益的净利润</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262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455" w:right="0"/>
              <w:jc w:val="left"/>
              <w:rPr>
                <w:rFonts w:ascii="宋体" w:hAnsi="宋体" w:cs="宋体" w:eastAsia="宋体" w:hint="default"/>
                <w:sz w:val="18"/>
                <w:szCs w:val="18"/>
              </w:rPr>
            </w:pPr>
            <w:r>
              <w:rPr>
                <w:rFonts w:ascii="宋体"/>
                <w:sz w:val="18"/>
              </w:rPr>
              <w:t>19,560,337.91</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542" w:right="0"/>
              <w:jc w:val="left"/>
              <w:rPr>
                <w:rFonts w:ascii="宋体" w:hAnsi="宋体" w:cs="宋体" w:eastAsia="宋体" w:hint="default"/>
                <w:sz w:val="18"/>
                <w:szCs w:val="18"/>
              </w:rPr>
            </w:pPr>
            <w:r>
              <w:rPr>
                <w:rFonts w:ascii="宋体"/>
                <w:sz w:val="18"/>
              </w:rPr>
              <w:t>4,032,031.46</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456" w:right="0"/>
              <w:jc w:val="left"/>
              <w:rPr>
                <w:rFonts w:ascii="宋体" w:hAnsi="宋体" w:cs="宋体" w:eastAsia="宋体" w:hint="default"/>
                <w:sz w:val="18"/>
                <w:szCs w:val="18"/>
              </w:rPr>
            </w:pPr>
            <w:r>
              <w:rPr>
                <w:rFonts w:ascii="宋体"/>
                <w:sz w:val="18"/>
              </w:rPr>
              <w:t>49,318,316.31</w:t>
            </w:r>
          </w:p>
        </w:tc>
        <w:tc>
          <w:tcPr>
            <w:tcW w:w="17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359" w:right="0"/>
              <w:jc w:val="left"/>
              <w:rPr>
                <w:rFonts w:ascii="宋体" w:hAnsi="宋体" w:cs="宋体" w:eastAsia="宋体" w:hint="default"/>
                <w:sz w:val="18"/>
                <w:szCs w:val="18"/>
              </w:rPr>
            </w:pPr>
            <w:r>
              <w:rPr>
                <w:rFonts w:ascii="宋体"/>
                <w:sz w:val="18"/>
              </w:rPr>
              <w:t>143,367,550.25</w:t>
            </w:r>
          </w:p>
        </w:tc>
      </w:tr>
    </w:tbl>
    <w:p>
      <w:pPr>
        <w:pStyle w:val="BodyText"/>
        <w:spacing w:line="240" w:lineRule="auto" w:before="66"/>
        <w:ind w:right="1024"/>
        <w:jc w:val="left"/>
      </w:pPr>
      <w:r>
        <w:rPr/>
        <w:t>上述财务指标或其加总数是否与公司已披露季度报告、半年度报告相关财务指标存在重大差异</w:t>
      </w:r>
    </w:p>
    <w:p>
      <w:pPr>
        <w:spacing w:line="240" w:lineRule="auto" w:before="12"/>
        <w:rPr>
          <w:rFonts w:ascii="宋体" w:hAnsi="宋体" w:cs="宋体" w:eastAsia="宋体" w:hint="default"/>
          <w:sz w:val="14"/>
          <w:szCs w:val="14"/>
        </w:rPr>
      </w:pPr>
    </w:p>
    <w:p>
      <w:pPr>
        <w:pStyle w:val="BodyText"/>
        <w:spacing w:line="240" w:lineRule="auto"/>
        <w:ind w:right="1024"/>
        <w:jc w:val="left"/>
      </w:pPr>
      <w:r>
        <w:rPr/>
        <w:t>□ 是 √</w:t>
      </w:r>
      <w:r>
        <w:rPr>
          <w:spacing w:val="5"/>
        </w:rPr>
        <w:t> </w:t>
      </w:r>
      <w:r>
        <w:rPr/>
        <w:t>否</w:t>
      </w:r>
    </w:p>
    <w:p>
      <w:pPr>
        <w:pStyle w:val="Heading2"/>
        <w:spacing w:line="240" w:lineRule="auto" w:before="165"/>
        <w:ind w:right="1024"/>
        <w:jc w:val="left"/>
        <w:rPr>
          <w:b w:val="0"/>
          <w:bCs w:val="0"/>
        </w:rPr>
      </w:pPr>
      <w:r>
        <w:rPr/>
        <w:t>七、境内外会计准则下会计数据差异</w:t>
      </w:r>
      <w:r>
        <w:rPr>
          <w:b w:val="0"/>
          <w:bCs w:val="0"/>
        </w:rPr>
      </w:r>
    </w:p>
    <w:p>
      <w:pPr>
        <w:pStyle w:val="Heading4"/>
        <w:spacing w:line="240" w:lineRule="auto" w:before="182"/>
        <w:ind w:right="1024"/>
        <w:jc w:val="left"/>
        <w:rPr>
          <w:b w:val="0"/>
          <w:bCs w:val="0"/>
        </w:rPr>
      </w:pP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14"/>
          <w:szCs w:val="14"/>
        </w:rPr>
      </w:pPr>
    </w:p>
    <w:p>
      <w:pPr>
        <w:spacing w:line="408" w:lineRule="auto" w:before="0"/>
        <w:ind w:left="153" w:right="1024"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公司报告期不存在按照国际会计准则与按照中国会计准则披露的财务报告中净利润和净资产差异情况。</w:t>
      </w:r>
      <w:r>
        <w:rPr>
          <w:rFonts w:ascii="宋体" w:hAnsi="宋体" w:cs="宋体" w:eastAsia="宋体" w:hint="default"/>
          <w:spacing w:val="-16"/>
          <w:sz w:val="21"/>
          <w:szCs w:val="21"/>
        </w:rPr>
        <w:t> </w:t>
      </w:r>
      <w:r>
        <w:rPr>
          <w:rFonts w:ascii="宋体" w:hAnsi="宋体" w:cs="宋体" w:eastAsia="宋体" w:hint="default"/>
          <w:spacing w:val="-16"/>
          <w:sz w:val="21"/>
          <w:szCs w:val="21"/>
        </w:rPr>
      </w:r>
      <w:bookmarkStart w:name="2、同时按照境外会计准则与按照中国会计准则披露的财务报告中净利润和净资产差异情况" w:id="11"/>
      <w:bookmarkEnd w:id="11"/>
      <w:r>
        <w:rPr>
          <w:rFonts w:ascii="宋体" w:hAnsi="宋体" w:cs="宋体" w:eastAsia="宋体" w:hint="default"/>
          <w:spacing w:val="-16"/>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408" w:lineRule="auto" w:before="49"/>
        <w:ind w:left="153" w:right="1024"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公司报告期不存在按照境外会计准则与按照中国会计准则披露的财务报告中净利润和净资产差异情况。</w:t>
      </w:r>
      <w:r>
        <w:rPr>
          <w:rFonts w:ascii="宋体" w:hAnsi="宋体" w:cs="宋体" w:eastAsia="宋体" w:hint="default"/>
          <w:spacing w:val="-17"/>
          <w:sz w:val="21"/>
          <w:szCs w:val="21"/>
        </w:rPr>
        <w:t> </w:t>
      </w:r>
      <w:r>
        <w:rPr>
          <w:rFonts w:ascii="宋体" w:hAnsi="宋体" w:cs="宋体" w:eastAsia="宋体" w:hint="default"/>
          <w:spacing w:val="-17"/>
          <w:sz w:val="21"/>
          <w:szCs w:val="21"/>
        </w:rPr>
      </w:r>
      <w:bookmarkStart w:name="3、境内外会计准则下会计数据差异原因说明" w:id="12"/>
      <w:bookmarkEnd w:id="12"/>
      <w:r>
        <w:rPr>
          <w:rFonts w:ascii="宋体" w:hAnsi="宋体" w:cs="宋体" w:eastAsia="宋体" w:hint="default"/>
          <w:spacing w:val="-17"/>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、境内外会计准则下会计数据差异原因说明</w:t>
      </w:r>
      <w:r>
        <w:rPr>
          <w:rFonts w:ascii="宋体" w:hAnsi="宋体" w:cs="宋体" w:eastAsia="宋体" w:hint="default"/>
          <w:sz w:val="21"/>
          <w:szCs w:val="21"/>
        </w:rPr>
      </w:r>
    </w:p>
    <w:p>
      <w:pPr>
        <w:pStyle w:val="BodyText"/>
        <w:spacing w:line="240" w:lineRule="auto" w:before="44"/>
        <w:ind w:right="1024"/>
        <w:jc w:val="left"/>
      </w:pPr>
      <w:r>
        <w:rPr/>
        <w:t>□ 适用 √</w:t>
      </w:r>
      <w:r>
        <w:rPr>
          <w:spacing w:val="4"/>
        </w:rPr>
        <w:t> </w:t>
      </w:r>
      <w:r>
        <w:rPr/>
        <w:t>不适用</w:t>
      </w:r>
    </w:p>
    <w:p>
      <w:pPr>
        <w:spacing w:line="240" w:lineRule="auto" w:before="7"/>
        <w:rPr>
          <w:rFonts w:ascii="宋体" w:hAnsi="宋体" w:cs="宋体" w:eastAsia="宋体" w:hint="default"/>
          <w:sz w:val="29"/>
          <w:szCs w:val="29"/>
        </w:rPr>
      </w:pPr>
    </w:p>
    <w:p>
      <w:pPr>
        <w:pStyle w:val="Heading2"/>
        <w:spacing w:line="240" w:lineRule="auto"/>
        <w:ind w:right="1024"/>
        <w:jc w:val="left"/>
        <w:rPr>
          <w:b w:val="0"/>
          <w:bCs w:val="0"/>
        </w:rPr>
      </w:pPr>
      <w:bookmarkStart w:name="八、 非经常性损益项目及金额" w:id="13"/>
      <w:bookmarkEnd w:id="13"/>
      <w:r>
        <w:rPr>
          <w:b w:val="0"/>
          <w:bCs w:val="0"/>
        </w:rPr>
      </w:r>
      <w:r>
        <w:rPr/>
        <w:t>八、非经常性损益项目及金额</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024"/>
        <w:jc w:val="left"/>
      </w:pPr>
      <w:bookmarkStart w:name="√ 适用 □ 不适用" w:id="14"/>
      <w:bookmarkEnd w:id="14"/>
      <w:r>
        <w:rPr/>
      </w:r>
      <w:r>
        <w:rPr/>
        <w:t>√ 适用 □</w:t>
      </w:r>
      <w:r>
        <w:rPr>
          <w:spacing w:val="4"/>
        </w:rPr>
        <w:t> </w:t>
      </w:r>
      <w:r>
        <w:rPr/>
        <w:t>不适用</w:t>
      </w:r>
    </w:p>
    <w:p>
      <w:pPr>
        <w:spacing w:line="240" w:lineRule="auto" w:before="4"/>
        <w:rPr>
          <w:rFonts w:ascii="宋体" w:hAnsi="宋体" w:cs="宋体" w:eastAsia="宋体" w:hint="default"/>
          <w:sz w:val="28"/>
          <w:szCs w:val="28"/>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510"/>
        <w:gridCol w:w="1618"/>
        <w:gridCol w:w="1560"/>
        <w:gridCol w:w="1532"/>
        <w:gridCol w:w="1349"/>
      </w:tblGrid>
      <w:tr>
        <w:trPr>
          <w:trHeight w:val="413" w:hRule="exact"/>
        </w:trPr>
        <w:tc>
          <w:tcPr>
            <w:tcW w:w="351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6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年金额</w:t>
            </w:r>
          </w:p>
        </w:tc>
        <w:tc>
          <w:tcPr>
            <w:tcW w:w="15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年金额</w:t>
            </w:r>
          </w:p>
        </w:tc>
        <w:tc>
          <w:tcPr>
            <w:tcW w:w="153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0"/>
                <w:sz w:val="18"/>
                <w:szCs w:val="18"/>
              </w:rPr>
              <w:t> </w:t>
            </w:r>
            <w:r>
              <w:rPr>
                <w:rFonts w:ascii="宋体" w:hAnsi="宋体" w:cs="宋体" w:eastAsia="宋体" w:hint="default"/>
                <w:sz w:val="18"/>
                <w:szCs w:val="18"/>
              </w:rPr>
              <w:t>年金额</w:t>
            </w:r>
          </w:p>
        </w:tc>
        <w:tc>
          <w:tcPr>
            <w:tcW w:w="134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51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47"/>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9,825,478.79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78" w:right="0"/>
              <w:jc w:val="left"/>
              <w:rPr>
                <w:rFonts w:ascii="宋体" w:hAnsi="宋体" w:cs="宋体" w:eastAsia="宋体" w:hint="default"/>
                <w:sz w:val="18"/>
                <w:szCs w:val="18"/>
              </w:rPr>
            </w:pPr>
            <w:r>
              <w:rPr>
                <w:rFonts w:ascii="宋体"/>
                <w:sz w:val="18"/>
              </w:rPr>
              <w:t>33,522,824.24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4,433,717.60</w:t>
            </w:r>
          </w:p>
        </w:tc>
        <w:tc>
          <w:tcPr>
            <w:tcW w:w="1349" w:type="dxa"/>
            <w:tcBorders>
              <w:top w:val="single" w:sz="4" w:space="0" w:color="000000"/>
              <w:left w:val="single" w:sz="4" w:space="0" w:color="000000"/>
              <w:bottom w:val="single" w:sz="4" w:space="0" w:color="000000"/>
              <w:right w:val="single" w:sz="12" w:space="0" w:color="000000"/>
            </w:tcBorders>
          </w:tcPr>
          <w:p>
            <w:pPr/>
          </w:p>
        </w:tc>
      </w:tr>
      <w:tr>
        <w:trPr>
          <w:trHeight w:val="1028" w:hRule="exact"/>
        </w:trPr>
        <w:tc>
          <w:tcPr>
            <w:tcW w:w="351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4"/>
              <w:ind w:left="95" w:right="147"/>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9"/>
              <w:jc w:val="right"/>
              <w:rPr>
                <w:rFonts w:ascii="宋体" w:hAnsi="宋体" w:cs="宋体" w:eastAsia="宋体" w:hint="default"/>
                <w:sz w:val="18"/>
                <w:szCs w:val="18"/>
              </w:rPr>
            </w:pPr>
            <w:r>
              <w:rPr>
                <w:rFonts w:ascii="宋体"/>
                <w:spacing w:val="-1"/>
                <w:sz w:val="18"/>
              </w:rPr>
              <w:t>9,278,467.14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69" w:right="0"/>
              <w:jc w:val="left"/>
              <w:rPr>
                <w:rFonts w:ascii="宋体" w:hAnsi="宋体" w:cs="宋体" w:eastAsia="宋体" w:hint="default"/>
                <w:sz w:val="18"/>
                <w:szCs w:val="18"/>
              </w:rPr>
            </w:pPr>
            <w:r>
              <w:rPr>
                <w:rFonts w:ascii="宋体"/>
                <w:sz w:val="18"/>
              </w:rPr>
              <w:t>8,205,180.57</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4"/>
              <w:jc w:val="right"/>
              <w:rPr>
                <w:rFonts w:ascii="宋体" w:hAnsi="宋体" w:cs="宋体" w:eastAsia="宋体" w:hint="default"/>
                <w:sz w:val="18"/>
                <w:szCs w:val="18"/>
              </w:rPr>
            </w:pPr>
            <w:r>
              <w:rPr>
                <w:rFonts w:ascii="宋体"/>
                <w:spacing w:val="-1"/>
                <w:sz w:val="18"/>
              </w:rPr>
              <w:t>9,617,486.79</w:t>
            </w:r>
          </w:p>
        </w:tc>
        <w:tc>
          <w:tcPr>
            <w:tcW w:w="1349"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351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47"/>
              <w:jc w:val="left"/>
              <w:rPr>
                <w:rFonts w:ascii="宋体" w:hAnsi="宋体" w:cs="宋体" w:eastAsia="宋体" w:hint="default"/>
                <w:sz w:val="18"/>
                <w:szCs w:val="18"/>
              </w:rPr>
            </w:pPr>
            <w:r>
              <w:rPr>
                <w:rFonts w:ascii="宋体" w:hAnsi="宋体" w:cs="宋体" w:eastAsia="宋体" w:hint="default"/>
                <w:spacing w:val="-3"/>
                <w:sz w:val="18"/>
                <w:szCs w:val="18"/>
              </w:rPr>
              <w:t>计入当期损益的对非金融企业收取的资金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占用费</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590,416.67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351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3"/>
              <w:jc w:val="right"/>
              <w:rPr>
                <w:rFonts w:ascii="宋体" w:hAnsi="宋体" w:cs="宋体" w:eastAsia="宋体" w:hint="default"/>
                <w:sz w:val="18"/>
                <w:szCs w:val="18"/>
              </w:rPr>
            </w:pPr>
            <w:r>
              <w:rPr>
                <w:rFonts w:ascii="宋体"/>
                <w:spacing w:val="-1"/>
                <w:sz w:val="18"/>
              </w:rPr>
              <w:t>352,833.33</w:t>
            </w:r>
          </w:p>
        </w:tc>
        <w:tc>
          <w:tcPr>
            <w:tcW w:w="1349" w:type="dxa"/>
            <w:tcBorders>
              <w:top w:val="single" w:sz="4" w:space="0" w:color="000000"/>
              <w:left w:val="single" w:sz="4" w:space="0" w:color="000000"/>
              <w:bottom w:val="single" w:sz="4" w:space="0" w:color="000000"/>
              <w:right w:val="single" w:sz="12" w:space="0" w:color="000000"/>
            </w:tcBorders>
          </w:tcPr>
          <w:p>
            <w:pPr/>
          </w:p>
        </w:tc>
      </w:tr>
      <w:tr>
        <w:trPr>
          <w:trHeight w:val="2276" w:hRule="exact"/>
        </w:trPr>
        <w:tc>
          <w:tcPr>
            <w:tcW w:w="351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5" w:right="147"/>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值业务外，持有交易性金融资产、衍生金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融资产、交易性金融负债、衍生金融负债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产生的公允价值变动损益，以及处置交易</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性金融资产、衍生金融资产、交易性金融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负债、衍生金融负债和其他债权投资取得</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的投资收益</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6,533,762.91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1,500,000.00</w:t>
            </w:r>
          </w:p>
        </w:tc>
        <w:tc>
          <w:tcPr>
            <w:tcW w:w="1349" w:type="dxa"/>
            <w:tcBorders>
              <w:top w:val="single" w:sz="4" w:space="0" w:color="000000"/>
              <w:left w:val="single" w:sz="4" w:space="0" w:color="000000"/>
              <w:bottom w:val="single" w:sz="4" w:space="0" w:color="000000"/>
              <w:right w:val="single" w:sz="12" w:space="0" w:color="000000"/>
            </w:tcBorders>
          </w:tcPr>
          <w:p>
            <w:pPr/>
          </w:p>
        </w:tc>
      </w:tr>
    </w:tbl>
    <w:p>
      <w:pPr>
        <w:spacing w:after="0"/>
        <w:sectPr>
          <w:pgSz w:w="11910" w:h="16840"/>
          <w:pgMar w:header="871" w:footer="1037" w:top="1100" w:bottom="1220" w:left="980" w:right="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3510"/>
        <w:gridCol w:w="1618"/>
        <w:gridCol w:w="1560"/>
        <w:gridCol w:w="1532"/>
        <w:gridCol w:w="1349"/>
      </w:tblGrid>
      <w:tr>
        <w:trPr>
          <w:trHeight w:val="413" w:hRule="exact"/>
        </w:trPr>
        <w:tc>
          <w:tcPr>
            <w:tcW w:w="351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61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年金额</w:t>
            </w:r>
          </w:p>
        </w:tc>
        <w:tc>
          <w:tcPr>
            <w:tcW w:w="15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年金额</w:t>
            </w:r>
          </w:p>
        </w:tc>
        <w:tc>
          <w:tcPr>
            <w:tcW w:w="153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0"/>
                <w:sz w:val="18"/>
                <w:szCs w:val="18"/>
              </w:rPr>
              <w:t> </w:t>
            </w:r>
            <w:r>
              <w:rPr>
                <w:rFonts w:ascii="宋体" w:hAnsi="宋体" w:cs="宋体" w:eastAsia="宋体" w:hint="default"/>
                <w:sz w:val="18"/>
                <w:szCs w:val="18"/>
              </w:rPr>
              <w:t>年金额</w:t>
            </w:r>
          </w:p>
        </w:tc>
        <w:tc>
          <w:tcPr>
            <w:tcW w:w="134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51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-1,215,819.89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87,843.03</w:t>
            </w:r>
          </w:p>
        </w:tc>
        <w:tc>
          <w:tcPr>
            <w:tcW w:w="153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351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16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3"/>
              <w:jc w:val="right"/>
              <w:rPr>
                <w:rFonts w:ascii="宋体" w:hAnsi="宋体" w:cs="宋体" w:eastAsia="宋体" w:hint="default"/>
                <w:sz w:val="18"/>
                <w:szCs w:val="18"/>
              </w:rPr>
            </w:pPr>
            <w:r>
              <w:rPr>
                <w:rFonts w:ascii="宋体"/>
                <w:spacing w:val="-1"/>
                <w:sz w:val="18"/>
              </w:rPr>
              <w:t>11,619.85</w:t>
            </w:r>
          </w:p>
        </w:tc>
        <w:tc>
          <w:tcPr>
            <w:tcW w:w="134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51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115,276.88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5,283,536.75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58,552.66</w:t>
            </w:r>
          </w:p>
        </w:tc>
        <w:tc>
          <w:tcPr>
            <w:tcW w:w="134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51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480,720.12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115,629.25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49,305.04</w:t>
            </w:r>
          </w:p>
        </w:tc>
        <w:tc>
          <w:tcPr>
            <w:tcW w:w="1349"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51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24,416,308.62</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36,416,681.84</w:t>
            </w:r>
          </w:p>
        </w:tc>
        <w:tc>
          <w:tcPr>
            <w:tcW w:w="15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15,807,799.87</w:t>
            </w:r>
          </w:p>
        </w:tc>
        <w:tc>
          <w:tcPr>
            <w:tcW w:w="1349"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sz w:val="18"/>
              </w:rPr>
              <w:t>--</w:t>
            </w:r>
          </w:p>
        </w:tc>
      </w:tr>
    </w:tbl>
    <w:p>
      <w:pPr>
        <w:pStyle w:val="BodyText"/>
        <w:spacing w:line="240" w:lineRule="auto" w:before="67"/>
        <w:ind w:right="1024"/>
        <w:jc w:val="left"/>
      </w:pPr>
      <w:r>
        <w:rPr>
          <w:spacing w:val="-2"/>
        </w:rPr>
        <w:t>对公司根据《公开发行证券的公司信息披露解释性公告第</w:t>
      </w:r>
      <w:r>
        <w:rPr/>
        <w:t> </w:t>
      </w:r>
      <w:r>
        <w:rPr>
          <w:rFonts w:ascii="宋体" w:hAnsi="宋体" w:cs="宋体" w:eastAsia="宋体" w:hint="default"/>
        </w:rPr>
        <w:t>1</w:t>
      </w:r>
      <w:r>
        <w:rPr>
          <w:rFonts w:ascii="宋体" w:hAnsi="宋体" w:cs="宋体" w:eastAsia="宋体" w:hint="default"/>
          <w:spacing w:val="-35"/>
        </w:rPr>
        <w:t> </w:t>
      </w:r>
      <w:r>
        <w:rPr>
          <w:spacing w:val="-2"/>
        </w:rPr>
        <w:t>号——非经常性损益》定义界定的非经常性损</w:t>
      </w:r>
    </w:p>
    <w:p>
      <w:pPr>
        <w:spacing w:line="240" w:lineRule="auto" w:before="8"/>
        <w:rPr>
          <w:rFonts w:ascii="宋体" w:hAnsi="宋体" w:cs="宋体" w:eastAsia="宋体" w:hint="default"/>
          <w:sz w:val="14"/>
          <w:szCs w:val="14"/>
        </w:rPr>
      </w:pPr>
    </w:p>
    <w:p>
      <w:pPr>
        <w:pStyle w:val="BodyText"/>
        <w:spacing w:line="410" w:lineRule="auto"/>
        <w:ind w:right="1109"/>
        <w:jc w:val="left"/>
      </w:pPr>
      <w:r>
        <w:rPr/>
        <w:t>益项目，以及把《公开发行证券的公司信息披露解释性公告第</w:t>
      </w:r>
      <w:r>
        <w:rPr>
          <w:spacing w:val="-59"/>
        </w:rPr>
        <w:t> </w:t>
      </w:r>
      <w:r>
        <w:rPr>
          <w:rFonts w:ascii="宋体" w:hAnsi="宋体" w:cs="宋体" w:eastAsia="宋体" w:hint="default"/>
        </w:rPr>
        <w:t>1</w:t>
      </w:r>
      <w:r>
        <w:rPr>
          <w:rFonts w:ascii="宋体" w:hAnsi="宋体" w:cs="宋体" w:eastAsia="宋体" w:hint="default"/>
          <w:spacing w:val="-64"/>
        </w:rPr>
        <w:t> </w:t>
      </w:r>
      <w:r>
        <w:rPr/>
        <w:t>号——非经常性损益》中列举的非经常性</w:t>
      </w:r>
      <w:r>
        <w:rPr>
          <w:w w:val="100"/>
        </w:rPr>
        <w:t> </w:t>
      </w:r>
      <w:r>
        <w:rPr/>
        <w:t>损益项目界定为经常性损益的项目，应说明原因</w:t>
      </w:r>
    </w:p>
    <w:p>
      <w:pPr>
        <w:pStyle w:val="BodyText"/>
        <w:spacing w:line="376" w:lineRule="auto" w:before="41"/>
        <w:ind w:right="5885"/>
        <w:jc w:val="left"/>
      </w:pPr>
      <w:r>
        <w:rPr/>
        <w:t>□ 适用 √ 不适用</w:t>
      </w:r>
      <w:r>
        <w:rPr>
          <w:spacing w:val="-101"/>
        </w:rPr>
        <w:t> </w:t>
      </w:r>
      <w:r>
        <w:rPr>
          <w:spacing w:val="-101"/>
        </w:rPr>
      </w:r>
      <w:r>
        <w:rPr>
          <w:spacing w:val="-1"/>
        </w:rPr>
        <w:t>公司报告期不存在非经常性损益项目。</w:t>
      </w:r>
    </w:p>
    <w:p>
      <w:pPr>
        <w:spacing w:after="0" w:line="376" w:lineRule="auto"/>
        <w:jc w:val="left"/>
        <w:sectPr>
          <w:pgSz w:w="11910" w:h="16840"/>
          <w:pgMar w:header="871" w:footer="1037" w:top="110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447" w:right="1024"/>
        <w:jc w:val="left"/>
        <w:rPr>
          <w:b w:val="0"/>
          <w:bCs w:val="0"/>
        </w:rPr>
      </w:pPr>
      <w:bookmarkStart w:name="第三节 公司业务概要" w:id="15"/>
      <w:bookmarkEnd w:id="15"/>
      <w:r>
        <w:rPr>
          <w:b w:val="0"/>
          <w:bCs w:val="0"/>
        </w:rPr>
      </w:r>
      <w:bookmarkStart w:name="_bookmark2" w:id="16"/>
      <w:bookmarkEnd w:id="16"/>
      <w:r>
        <w:rPr>
          <w:b w:val="0"/>
          <w:bCs w:val="0"/>
        </w:rPr>
      </w:r>
      <w:r>
        <w:rPr/>
        <w:t>第三节 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31"/>
          <w:szCs w:val="31"/>
        </w:rPr>
      </w:pPr>
    </w:p>
    <w:p>
      <w:pPr>
        <w:pStyle w:val="BodyText"/>
        <w:spacing w:line="408" w:lineRule="auto"/>
        <w:ind w:left="575" w:right="1024"/>
        <w:jc w:val="left"/>
      </w:pPr>
      <w:r>
        <w:rPr/>
        <w:t>（一）主要业务</w:t>
      </w:r>
      <w:r>
        <w:rPr>
          <w:spacing w:val="-102"/>
        </w:rPr>
        <w:t> </w:t>
      </w:r>
      <w:r>
        <w:rPr>
          <w:spacing w:val="-102"/>
        </w:rPr>
      </w:r>
      <w:r>
        <w:rPr>
          <w:spacing w:val="-4"/>
        </w:rPr>
        <w:t>报告期内，公司继续推进“</w:t>
      </w:r>
      <w:r>
        <w:rPr>
          <w:rFonts w:ascii="宋体" w:hAnsi="宋体" w:cs="宋体" w:eastAsia="宋体" w:hint="default"/>
          <w:spacing w:val="-4"/>
        </w:rPr>
        <w:t>1+3</w:t>
      </w:r>
      <w:r>
        <w:rPr>
          <w:spacing w:val="-4"/>
        </w:rPr>
        <w:t>”发展战略，确立了以智能电网、能源互联网为产业基础，向版权云、</w:t>
      </w:r>
    </w:p>
    <w:p>
      <w:pPr>
        <w:pStyle w:val="BodyText"/>
        <w:spacing w:line="405" w:lineRule="auto" w:before="48"/>
        <w:ind w:right="1024"/>
        <w:jc w:val="left"/>
      </w:pPr>
      <w:r>
        <w:rPr>
          <w:spacing w:val="-2"/>
        </w:rPr>
        <w:t>健康管理等互联网更纵深领域拓展的产业布局。目前，数字版权相关业务在合并报表范围内尚未形成规模</w:t>
      </w:r>
      <w:r>
        <w:rPr>
          <w:spacing w:val="-33"/>
        </w:rPr>
        <w:t> </w:t>
      </w:r>
      <w:r>
        <w:rPr>
          <w:spacing w:val="-33"/>
        </w:rPr>
      </w:r>
      <w:r>
        <w:rPr/>
        <w:t>收益，电力业务仍为公司的主要业务。</w:t>
      </w:r>
    </w:p>
    <w:p>
      <w:pPr>
        <w:pStyle w:val="BodyText"/>
        <w:spacing w:line="408" w:lineRule="auto" w:before="50"/>
        <w:ind w:left="575" w:right="1024"/>
        <w:jc w:val="left"/>
      </w:pPr>
      <w:r>
        <w:rPr>
          <w:rFonts w:ascii="宋体" w:hAnsi="宋体" w:cs="宋体" w:eastAsia="宋体" w:hint="default"/>
        </w:rPr>
        <w:t>1</w:t>
      </w:r>
      <w:r>
        <w:rPr/>
        <w:t>、电力业务</w:t>
      </w:r>
      <w:r>
        <w:rPr>
          <w:spacing w:val="-99"/>
        </w:rPr>
        <w:t> </w:t>
      </w:r>
      <w:r>
        <w:rPr>
          <w:spacing w:val="-2"/>
        </w:rPr>
        <w:t>经过多年的发展，公司已形成运用物联网、边缘计算、传感、通讯、计量、大数据、云计算等技术为</w:t>
      </w:r>
    </w:p>
    <w:p>
      <w:pPr>
        <w:pStyle w:val="BodyText"/>
        <w:spacing w:line="408" w:lineRule="auto" w:before="48"/>
        <w:ind w:right="1125"/>
        <w:jc w:val="both"/>
      </w:pPr>
      <w:r>
        <w:rPr>
          <w:spacing w:val="-2"/>
        </w:rPr>
        <w:t>电力行业用户提供基于物联网架构的电力信息智能采集整体解决方案、智能配用电网整体解决方案、综合</w:t>
      </w:r>
      <w:r>
        <w:rPr>
          <w:spacing w:val="-33"/>
        </w:rPr>
        <w:t> </w:t>
      </w:r>
      <w:r>
        <w:rPr>
          <w:spacing w:val="-33"/>
        </w:rPr>
      </w:r>
      <w:r>
        <w:rPr>
          <w:spacing w:val="-2"/>
        </w:rPr>
        <w:t>能源管理整体解决方案、智能微电网整体解决方案和电力工程的建设、智能电网的运行维护等信息化、全</w:t>
      </w:r>
      <w:r>
        <w:rPr>
          <w:spacing w:val="-33"/>
        </w:rPr>
        <w:t> </w:t>
      </w:r>
      <w:r>
        <w:rPr>
          <w:spacing w:val="-33"/>
        </w:rPr>
      </w:r>
      <w:r>
        <w:rPr/>
        <w:t>方位的产品、方案体系。</w:t>
      </w:r>
    </w:p>
    <w:p>
      <w:pPr>
        <w:pStyle w:val="BodyText"/>
        <w:spacing w:line="240" w:lineRule="auto" w:before="44"/>
        <w:ind w:left="575" w:right="1024"/>
        <w:jc w:val="left"/>
      </w:pPr>
      <w:r>
        <w:rPr/>
        <w:t>电力业务产品主要有以下五类：</w:t>
      </w:r>
    </w:p>
    <w:p>
      <w:pPr>
        <w:spacing w:line="240" w:lineRule="auto" w:before="12"/>
        <w:rPr>
          <w:rFonts w:ascii="宋体" w:hAnsi="宋体" w:cs="宋体" w:eastAsia="宋体" w:hint="default"/>
          <w:sz w:val="14"/>
          <w:szCs w:val="14"/>
        </w:rPr>
      </w:pPr>
    </w:p>
    <w:p>
      <w:pPr>
        <w:pStyle w:val="BodyText"/>
        <w:spacing w:line="405" w:lineRule="auto"/>
        <w:ind w:left="575" w:right="1024"/>
        <w:jc w:val="left"/>
      </w:pPr>
      <w:r>
        <w:rPr/>
        <w:t>（</w:t>
      </w:r>
      <w:r>
        <w:rPr>
          <w:rFonts w:ascii="宋体" w:hAnsi="宋体" w:cs="宋体" w:eastAsia="宋体" w:hint="default"/>
        </w:rPr>
        <w:t>1</w:t>
      </w:r>
      <w:r>
        <w:rPr/>
        <w:t>）智能用电产品</w:t>
      </w:r>
      <w:r>
        <w:rPr>
          <w:spacing w:val="-100"/>
        </w:rPr>
        <w:t> </w:t>
      </w:r>
      <w:r>
        <w:rPr>
          <w:spacing w:val="-100"/>
        </w:rPr>
      </w:r>
      <w:r>
        <w:rPr>
          <w:spacing w:val="-2"/>
        </w:rPr>
        <w:t>能源管理器、模组化终端、智能断路器、集中器、采集器、专变终端、计量箱、智能锁具等。</w:t>
      </w:r>
    </w:p>
    <w:p>
      <w:pPr>
        <w:pStyle w:val="BodyText"/>
        <w:spacing w:line="405" w:lineRule="auto" w:before="51"/>
        <w:ind w:left="575" w:right="1024"/>
        <w:jc w:val="left"/>
      </w:pPr>
      <w:r>
        <w:rPr/>
        <w:t>（</w:t>
      </w:r>
      <w:r>
        <w:rPr>
          <w:rFonts w:ascii="宋体" w:hAnsi="宋体" w:cs="宋体" w:eastAsia="宋体" w:hint="default"/>
        </w:rPr>
        <w:t>2</w:t>
      </w:r>
      <w:r>
        <w:rPr/>
        <w:t>）智能配电产品</w:t>
      </w:r>
      <w:r>
        <w:rPr>
          <w:spacing w:val="-100"/>
        </w:rPr>
        <w:t> </w:t>
      </w:r>
      <w:r>
        <w:rPr>
          <w:spacing w:val="-100"/>
        </w:rPr>
      </w:r>
      <w:r>
        <w:rPr>
          <w:spacing w:val="-2"/>
        </w:rPr>
        <w:t>故障指示终端、配变智能终端、融合终端、箱式变电站、高低压柜、环网箱、智能一体化柱上变压器</w:t>
      </w:r>
    </w:p>
    <w:p>
      <w:pPr>
        <w:pStyle w:val="BodyText"/>
        <w:spacing w:line="240" w:lineRule="auto" w:before="50"/>
        <w:ind w:right="0"/>
        <w:jc w:val="both"/>
      </w:pPr>
      <w:r>
        <w:rPr/>
        <w:t>台等。</w:t>
      </w:r>
    </w:p>
    <w:p>
      <w:pPr>
        <w:spacing w:line="240" w:lineRule="auto" w:before="8"/>
        <w:rPr>
          <w:rFonts w:ascii="宋体" w:hAnsi="宋体" w:cs="宋体" w:eastAsia="宋体" w:hint="default"/>
          <w:sz w:val="14"/>
          <w:szCs w:val="14"/>
        </w:rPr>
      </w:pPr>
    </w:p>
    <w:p>
      <w:pPr>
        <w:pStyle w:val="BodyText"/>
        <w:spacing w:line="410" w:lineRule="auto"/>
        <w:ind w:left="575" w:right="2353"/>
        <w:jc w:val="left"/>
      </w:pPr>
      <w:r>
        <w:rPr/>
        <w:t>（</w:t>
      </w:r>
      <w:r>
        <w:rPr>
          <w:rFonts w:ascii="宋体" w:hAnsi="宋体" w:cs="宋体" w:eastAsia="宋体" w:hint="default"/>
        </w:rPr>
        <w:t>3</w:t>
      </w:r>
      <w:r>
        <w:rPr/>
        <w:t>）智慧能源产品</w:t>
      </w:r>
      <w:r>
        <w:rPr>
          <w:spacing w:val="-100"/>
        </w:rPr>
        <w:t> </w:t>
      </w:r>
      <w:r>
        <w:rPr>
          <w:spacing w:val="-100"/>
        </w:rPr>
      </w:r>
      <w:r>
        <w:rPr>
          <w:spacing w:val="-2"/>
        </w:rPr>
        <w:t>能源监测终端、能源管理终端、电量采集终端、水气表采集终端等。</w:t>
      </w:r>
    </w:p>
    <w:p>
      <w:pPr>
        <w:pStyle w:val="BodyText"/>
        <w:spacing w:line="410" w:lineRule="auto" w:before="41"/>
        <w:ind w:left="575" w:right="1024"/>
        <w:jc w:val="left"/>
      </w:pPr>
      <w:r>
        <w:rPr/>
        <w:t>（</w:t>
      </w:r>
      <w:r>
        <w:rPr>
          <w:rFonts w:ascii="宋体" w:hAnsi="宋体" w:cs="宋体" w:eastAsia="宋体" w:hint="default"/>
        </w:rPr>
        <w:t>4</w:t>
      </w:r>
      <w:r>
        <w:rPr/>
        <w:t>）智能系统产品</w:t>
      </w:r>
      <w:r>
        <w:rPr>
          <w:spacing w:val="-100"/>
        </w:rPr>
        <w:t> </w:t>
      </w:r>
      <w:r>
        <w:rPr>
          <w:spacing w:val="-100"/>
        </w:rPr>
      </w:r>
      <w:r>
        <w:rPr>
          <w:spacing w:val="-2"/>
        </w:rPr>
        <w:t>指从系统软件到终端的完整解决方案，应用于输电、配电、用电、微电网领域，包括线路视频图像监</w:t>
      </w:r>
    </w:p>
    <w:p>
      <w:pPr>
        <w:pStyle w:val="BodyText"/>
        <w:spacing w:line="240" w:lineRule="auto" w:before="42"/>
        <w:ind w:right="0"/>
        <w:jc w:val="both"/>
      </w:pPr>
      <w:r>
        <w:rPr/>
        <w:t>管系统、线损分析管理系统、校企能源管理系统、配电房监控管理系统等。</w:t>
      </w:r>
    </w:p>
    <w:p>
      <w:pPr>
        <w:spacing w:line="240" w:lineRule="auto" w:before="12"/>
        <w:rPr>
          <w:rFonts w:ascii="宋体" w:hAnsi="宋体" w:cs="宋体" w:eastAsia="宋体" w:hint="default"/>
          <w:sz w:val="14"/>
          <w:szCs w:val="14"/>
        </w:rPr>
      </w:pPr>
    </w:p>
    <w:p>
      <w:pPr>
        <w:pStyle w:val="BodyText"/>
        <w:spacing w:line="405" w:lineRule="auto"/>
        <w:ind w:left="575" w:right="2353"/>
        <w:jc w:val="left"/>
      </w:pPr>
      <w:r>
        <w:rPr/>
        <w:t>（</w:t>
      </w:r>
      <w:r>
        <w:rPr>
          <w:rFonts w:ascii="宋体" w:hAnsi="宋体" w:cs="宋体" w:eastAsia="宋体" w:hint="default"/>
        </w:rPr>
        <w:t>5</w:t>
      </w:r>
      <w:r>
        <w:rPr/>
        <w:t>）授权代理产品</w:t>
      </w:r>
      <w:r>
        <w:rPr>
          <w:spacing w:val="-100"/>
        </w:rPr>
        <w:t> </w:t>
      </w:r>
      <w:r>
        <w:rPr>
          <w:spacing w:val="-100"/>
        </w:rPr>
      </w:r>
      <w:r>
        <w:rPr>
          <w:rFonts w:ascii="宋体" w:hAnsi="宋体" w:cs="宋体" w:eastAsia="宋体" w:hint="default"/>
          <w:spacing w:val="-2"/>
        </w:rPr>
        <w:t>HPLC</w:t>
      </w:r>
      <w:r>
        <w:rPr>
          <w:spacing w:val="-2"/>
        </w:rPr>
        <w:t>通讯单元模块、空气能热泵机组、智能电表、三相负荷不平衡调节装置等</w:t>
      </w:r>
    </w:p>
    <w:p>
      <w:pPr>
        <w:pStyle w:val="BodyText"/>
        <w:spacing w:line="408" w:lineRule="auto" w:before="50"/>
        <w:ind w:left="575" w:right="1024"/>
        <w:jc w:val="left"/>
      </w:pPr>
      <w:r>
        <w:rPr/>
        <w:t>（</w:t>
      </w:r>
      <w:r>
        <w:rPr>
          <w:rFonts w:ascii="宋体" w:hAnsi="宋体" w:cs="宋体" w:eastAsia="宋体" w:hint="default"/>
        </w:rPr>
        <w:t>6</w:t>
      </w:r>
      <w:r>
        <w:rPr/>
        <w:t>）工程施工运维</w:t>
      </w:r>
      <w:r>
        <w:rPr>
          <w:spacing w:val="-100"/>
        </w:rPr>
        <w:t> </w:t>
      </w:r>
      <w:r>
        <w:rPr>
          <w:spacing w:val="-100"/>
        </w:rPr>
      </w:r>
      <w:r>
        <w:rPr>
          <w:spacing w:val="-2"/>
        </w:rPr>
        <w:t>居配工程施工、</w:t>
      </w:r>
      <w:r>
        <w:rPr>
          <w:rFonts w:ascii="宋体" w:hAnsi="宋体" w:cs="宋体" w:eastAsia="宋体" w:hint="default"/>
          <w:spacing w:val="-2"/>
        </w:rPr>
        <w:t>10kV</w:t>
      </w:r>
      <w:r>
        <w:rPr>
          <w:spacing w:val="-2"/>
        </w:rPr>
        <w:t>及以下线路工程施工、空气源热泵采暖工程施工、配网自动化运维、用采系统运</w:t>
      </w:r>
    </w:p>
    <w:p>
      <w:pPr>
        <w:pStyle w:val="BodyText"/>
        <w:spacing w:line="240" w:lineRule="auto" w:before="48"/>
        <w:ind w:right="0"/>
        <w:jc w:val="both"/>
      </w:pPr>
      <w:r>
        <w:rPr/>
        <w:t>维、配电房检测等。</w:t>
      </w:r>
    </w:p>
    <w:p>
      <w:pPr>
        <w:spacing w:after="0" w:line="240" w:lineRule="auto"/>
        <w:jc w:val="both"/>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5" w:lineRule="auto" w:before="36"/>
        <w:ind w:left="455" w:right="1024" w:firstLine="120"/>
        <w:jc w:val="left"/>
      </w:pPr>
      <w:r>
        <w:rPr>
          <w:rFonts w:ascii="宋体" w:hAnsi="宋体" w:cs="宋体" w:eastAsia="宋体" w:hint="default"/>
        </w:rPr>
        <w:t>2</w:t>
      </w:r>
      <w:r>
        <w:rPr/>
        <w:t>、版权云业务</w:t>
      </w:r>
      <w:r>
        <w:rPr>
          <w:w w:val="100"/>
        </w:rPr>
        <w:t> </w:t>
      </w:r>
      <w:r>
        <w:rPr/>
        <w:t>公司版权云业务以</w:t>
      </w:r>
      <w:r>
        <w:rPr>
          <w:rFonts w:ascii="宋体" w:hAnsi="宋体" w:cs="宋体" w:eastAsia="宋体" w:hint="default"/>
        </w:rPr>
        <w:t>CCDI</w:t>
      </w:r>
      <w:r>
        <w:rPr/>
        <w:t>国家数字音像传播服务平台（即版权云项目）为依托，以互联网内容安全为目</w:t>
      </w:r>
    </w:p>
    <w:p>
      <w:pPr>
        <w:pStyle w:val="BodyText"/>
        <w:spacing w:line="408" w:lineRule="auto" w:before="51"/>
        <w:ind w:right="1125"/>
        <w:jc w:val="both"/>
      </w:pPr>
      <w:r>
        <w:rPr>
          <w:spacing w:val="-2"/>
        </w:rPr>
        <w:t>标，以全网监测能力建设为核心，以第三方内容合规风控服务、版权交易服务和移动内容大数据服务为商</w:t>
      </w:r>
      <w:r>
        <w:rPr>
          <w:spacing w:val="-33"/>
        </w:rPr>
        <w:t> </w:t>
      </w:r>
      <w:r>
        <w:rPr>
          <w:spacing w:val="-33"/>
        </w:rPr>
      </w:r>
      <w:r>
        <w:rPr>
          <w:spacing w:val="-2"/>
        </w:rPr>
        <w:t>业模式，通过直接投资和产业基金间接投资的方式，即以上市公司光一科技及子公司光一贵仁、控股股东</w:t>
      </w:r>
      <w:r>
        <w:rPr>
          <w:spacing w:val="-33"/>
        </w:rPr>
        <w:t> </w:t>
      </w:r>
      <w:r>
        <w:rPr>
          <w:spacing w:val="-33"/>
        </w:rPr>
      </w:r>
      <w:r>
        <w:rPr>
          <w:spacing w:val="-2"/>
        </w:rPr>
        <w:t>光一投资和产业基金为平台的三位一体投资模式，对互联网内容传播生态产业链的关键环节进行布局和资</w:t>
      </w:r>
      <w:r>
        <w:rPr>
          <w:spacing w:val="-33"/>
        </w:rPr>
        <w:t> </w:t>
      </w:r>
      <w:r>
        <w:rPr>
          <w:spacing w:val="-33"/>
        </w:rPr>
      </w:r>
      <w:r>
        <w:rPr/>
        <w:t>源整合。</w:t>
      </w:r>
    </w:p>
    <w:p>
      <w:pPr>
        <w:pStyle w:val="BodyText"/>
        <w:spacing w:line="405" w:lineRule="auto" w:before="49"/>
        <w:ind w:left="575" w:right="8859"/>
        <w:jc w:val="left"/>
      </w:pPr>
      <w:r>
        <w:rPr/>
        <w:t>（二）经营模式</w:t>
      </w:r>
      <w:r>
        <w:rPr>
          <w:spacing w:val="-102"/>
        </w:rPr>
        <w:t> </w:t>
      </w:r>
      <w:r>
        <w:rPr>
          <w:spacing w:val="-102"/>
        </w:rPr>
      </w:r>
      <w:r>
        <w:rPr>
          <w:rFonts w:ascii="宋体" w:hAnsi="宋体" w:cs="宋体" w:eastAsia="宋体" w:hint="default"/>
        </w:rPr>
        <w:t>1</w:t>
      </w:r>
      <w:r>
        <w:rPr/>
        <w:t>、电力业务</w:t>
      </w:r>
    </w:p>
    <w:p>
      <w:pPr>
        <w:pStyle w:val="BodyText"/>
        <w:spacing w:line="408" w:lineRule="auto" w:before="50"/>
        <w:ind w:left="575" w:right="1024"/>
        <w:jc w:val="left"/>
      </w:pPr>
      <w:r>
        <w:rPr/>
        <w:t>（</w:t>
      </w:r>
      <w:r>
        <w:rPr>
          <w:rFonts w:ascii="宋体" w:hAnsi="宋体" w:cs="宋体" w:eastAsia="宋体" w:hint="default"/>
        </w:rPr>
        <w:t>1</w:t>
      </w:r>
      <w:r>
        <w:rPr/>
        <w:t>）销售模式</w:t>
      </w:r>
      <w:r>
        <w:rPr>
          <w:spacing w:val="-103"/>
        </w:rPr>
        <w:t> </w:t>
      </w:r>
      <w:r>
        <w:rPr>
          <w:spacing w:val="-103"/>
        </w:rPr>
      </w:r>
      <w:r>
        <w:rPr>
          <w:spacing w:val="-2"/>
        </w:rPr>
        <w:t>公司经过</w:t>
      </w:r>
      <w:r>
        <w:rPr>
          <w:rFonts w:ascii="宋体" w:hAnsi="宋体" w:cs="宋体" w:eastAsia="宋体" w:hint="default"/>
          <w:spacing w:val="-2"/>
        </w:rPr>
        <w:t>20</w:t>
      </w:r>
      <w:r>
        <w:rPr>
          <w:spacing w:val="-2"/>
        </w:rPr>
        <w:t>年的发展，已建立了全国的营销平台，通过全国</w:t>
      </w:r>
      <w:r>
        <w:rPr>
          <w:rFonts w:ascii="宋体" w:hAnsi="宋体" w:cs="宋体" w:eastAsia="宋体" w:hint="default"/>
          <w:spacing w:val="-2"/>
        </w:rPr>
        <w:t>16</w:t>
      </w:r>
      <w:r>
        <w:rPr>
          <w:spacing w:val="-2"/>
        </w:rPr>
        <w:t>个网省办事处，广泛建立与电力客户的</w:t>
      </w:r>
    </w:p>
    <w:p>
      <w:pPr>
        <w:pStyle w:val="BodyText"/>
        <w:spacing w:line="408" w:lineRule="auto" w:before="48"/>
        <w:ind w:right="1123"/>
        <w:jc w:val="both"/>
      </w:pPr>
      <w:r>
        <w:rPr>
          <w:spacing w:val="-2"/>
        </w:rPr>
        <w:t>合作关系，提升了区域营销优势。产品销售模式主要通过国</w:t>
      </w:r>
      <w:hyperlink r:id="rId12">
        <w:r>
          <w:rPr>
            <w:spacing w:val="-2"/>
          </w:rPr>
          <w:t>家电网</w:t>
        </w:r>
      </w:hyperlink>
      <w:r>
        <w:rPr>
          <w:spacing w:val="-2"/>
        </w:rPr>
        <w:t>和南方电网及各地方电力公司集中招投</w:t>
      </w:r>
      <w:r>
        <w:rPr>
          <w:spacing w:val="-31"/>
        </w:rPr>
        <w:t> </w:t>
      </w:r>
      <w:r>
        <w:rPr>
          <w:spacing w:val="-31"/>
        </w:rPr>
      </w:r>
      <w:r>
        <w:rPr>
          <w:spacing w:val="-2"/>
        </w:rPr>
        <w:t>标方式销售，为电力客户提供产品、履约服务和技术支持，其次是通过公司营销人员和代理商参加各网省</w:t>
      </w:r>
      <w:r>
        <w:rPr>
          <w:spacing w:val="-33"/>
        </w:rPr>
        <w:t> </w:t>
      </w:r>
      <w:r>
        <w:rPr>
          <w:spacing w:val="-33"/>
        </w:rPr>
      </w:r>
      <w:r>
        <w:rPr>
          <w:spacing w:val="-2"/>
        </w:rPr>
        <w:t>地市的自主采购招标进行销售。工程销售模式以工程施工业务为主，通过电力公司、政府公共平台及用户</w:t>
      </w:r>
      <w:r>
        <w:rPr>
          <w:spacing w:val="-33"/>
        </w:rPr>
        <w:t> </w:t>
      </w:r>
      <w:r>
        <w:rPr>
          <w:spacing w:val="-33"/>
        </w:rPr>
      </w:r>
      <w:r>
        <w:rPr>
          <w:spacing w:val="-2"/>
        </w:rPr>
        <w:t>招投标获取订单，实施完成后，甲方单位确认审计后实现销售。系统集成类的销售模式以能效监测系统或</w:t>
      </w:r>
      <w:r>
        <w:rPr>
          <w:spacing w:val="-32"/>
        </w:rPr>
        <w:t> </w:t>
      </w:r>
      <w:r>
        <w:rPr>
          <w:spacing w:val="-32"/>
        </w:rPr>
      </w:r>
      <w:r>
        <w:rPr/>
        <w:t>区域能源管理为主，采取整体打包服务的方式，提供实施方案，方案经确认且实施完成后实现销售。</w:t>
      </w:r>
    </w:p>
    <w:p>
      <w:pPr>
        <w:pStyle w:val="BodyText"/>
        <w:spacing w:line="410" w:lineRule="auto" w:before="43"/>
        <w:ind w:left="575" w:right="1024"/>
        <w:jc w:val="left"/>
      </w:pPr>
      <w:r>
        <w:rPr/>
        <w:t>（</w:t>
      </w:r>
      <w:r>
        <w:rPr>
          <w:rFonts w:ascii="宋体" w:hAnsi="宋体" w:cs="宋体" w:eastAsia="宋体" w:hint="default"/>
        </w:rPr>
        <w:t>2</w:t>
      </w:r>
      <w:r>
        <w:rPr/>
        <w:t>）研发模式</w:t>
      </w:r>
      <w:r>
        <w:rPr>
          <w:spacing w:val="-103"/>
        </w:rPr>
        <w:t> </w:t>
      </w:r>
      <w:r>
        <w:rPr>
          <w:spacing w:val="-103"/>
        </w:rPr>
      </w:r>
      <w:r>
        <w:rPr>
          <w:spacing w:val="-2"/>
        </w:rPr>
        <w:t>公司以客户需求为导向，紧跟国内电力市场变化趋势，按照集成产品开发研发模式、依托产品生命周</w:t>
      </w:r>
    </w:p>
    <w:p>
      <w:pPr>
        <w:pStyle w:val="BodyText"/>
        <w:spacing w:line="408" w:lineRule="auto" w:before="42"/>
        <w:ind w:right="1122"/>
        <w:jc w:val="both"/>
      </w:pPr>
      <w:r>
        <w:rPr>
          <w:spacing w:val="-2"/>
        </w:rPr>
        <w:t>期管理开展研发项目管理活动，提早布局基于智慧电网架构的智能配用电整体解决方案。通过测试驱动开</w:t>
      </w:r>
      <w:r>
        <w:rPr>
          <w:spacing w:val="-33"/>
        </w:rPr>
        <w:t> </w:t>
      </w:r>
      <w:r>
        <w:rPr>
          <w:spacing w:val="-33"/>
        </w:rPr>
      </w:r>
      <w:r>
        <w:rPr>
          <w:spacing w:val="-2"/>
        </w:rPr>
        <w:t>发模式，建立了快速响应的自动化测试与验收体系，大幅度提高了研发的测试效率与测试质量；推行柔性</w:t>
      </w:r>
      <w:r>
        <w:rPr>
          <w:spacing w:val="-33"/>
        </w:rPr>
        <w:t> </w:t>
      </w:r>
      <w:r>
        <w:rPr>
          <w:spacing w:val="-33"/>
        </w:rPr>
      </w:r>
      <w:r>
        <w:rPr>
          <w:spacing w:val="-7"/>
        </w:rPr>
        <w:t>需求管理模式，实现“基础应用——客户需求——快速响应——全面测试——现场维护”的研发管理体系，</w:t>
      </w:r>
      <w:r>
        <w:rPr>
          <w:spacing w:val="-5"/>
        </w:rPr>
        <w:t> </w:t>
      </w:r>
      <w:r>
        <w:rPr>
          <w:spacing w:val="-5"/>
        </w:rPr>
      </w:r>
      <w:r>
        <w:rPr>
          <w:spacing w:val="-2"/>
        </w:rPr>
        <w:t>确保端到端按需交付质量；通过研发生产一体化设计方式，打破了研发与生产的边界，大幅度缩短了产品</w:t>
      </w:r>
      <w:r>
        <w:rPr>
          <w:spacing w:val="-33"/>
        </w:rPr>
        <w:t> </w:t>
      </w:r>
      <w:r>
        <w:rPr>
          <w:spacing w:val="-33"/>
        </w:rPr>
      </w:r>
      <w:r>
        <w:rPr/>
        <w:t>可生产性磨合周期。</w:t>
      </w:r>
    </w:p>
    <w:p>
      <w:pPr>
        <w:pStyle w:val="BodyText"/>
        <w:spacing w:line="405" w:lineRule="auto" w:before="48"/>
        <w:ind w:left="575" w:right="1024"/>
        <w:jc w:val="left"/>
      </w:pPr>
      <w:r>
        <w:rPr/>
        <w:t>（</w:t>
      </w:r>
      <w:r>
        <w:rPr>
          <w:rFonts w:ascii="宋体" w:hAnsi="宋体" w:cs="宋体" w:eastAsia="宋体" w:hint="default"/>
        </w:rPr>
        <w:t>3</w:t>
      </w:r>
      <w:r>
        <w:rPr/>
        <w:t>）生产模式</w:t>
      </w:r>
      <w:r>
        <w:rPr>
          <w:spacing w:val="-103"/>
        </w:rPr>
        <w:t> </w:t>
      </w:r>
      <w:r>
        <w:rPr>
          <w:spacing w:val="-103"/>
        </w:rPr>
      </w:r>
      <w:r>
        <w:rPr>
          <w:spacing w:val="-2"/>
        </w:rPr>
        <w:t>公司主要采用“以销定产”的管理模式，通过智能制造技术和柔性生产模式，缩短产品生产周期，提</w:t>
      </w:r>
    </w:p>
    <w:p>
      <w:pPr>
        <w:pStyle w:val="BodyText"/>
        <w:spacing w:line="405" w:lineRule="auto" w:before="51"/>
        <w:ind w:right="1123"/>
        <w:jc w:val="both"/>
      </w:pPr>
      <w:r>
        <w:rPr>
          <w:spacing w:val="-4"/>
        </w:rPr>
        <w:t>高生产效率，满足客户定制化产品需求。公司通过集成</w:t>
      </w:r>
      <w:r>
        <w:rPr>
          <w:rFonts w:ascii="宋体" w:hAnsi="宋体" w:cs="宋体" w:eastAsia="宋体" w:hint="default"/>
          <w:spacing w:val="-4"/>
        </w:rPr>
        <w:t>ERP</w:t>
      </w:r>
      <w:r>
        <w:rPr>
          <w:spacing w:val="-4"/>
        </w:rPr>
        <w:t>、</w:t>
      </w:r>
      <w:r>
        <w:rPr>
          <w:rFonts w:ascii="宋体" w:hAnsi="宋体" w:cs="宋体" w:eastAsia="宋体" w:hint="default"/>
          <w:spacing w:val="-4"/>
        </w:rPr>
        <w:t>MES</w:t>
      </w:r>
      <w:r>
        <w:rPr>
          <w:spacing w:val="-4"/>
        </w:rPr>
        <w:t>、</w:t>
      </w:r>
      <w:r>
        <w:rPr>
          <w:rFonts w:ascii="宋体" w:hAnsi="宋体" w:cs="宋体" w:eastAsia="宋体" w:hint="default"/>
          <w:spacing w:val="-4"/>
        </w:rPr>
        <w:t>SCM</w:t>
      </w:r>
      <w:r>
        <w:rPr>
          <w:spacing w:val="-4"/>
        </w:rPr>
        <w:t>等系统，实现智能制造的生产模式，</w:t>
      </w:r>
      <w:r>
        <w:rPr>
          <w:spacing w:val="-27"/>
        </w:rPr>
        <w:t> </w:t>
      </w:r>
      <w:r>
        <w:rPr>
          <w:spacing w:val="-27"/>
        </w:rPr>
      </w:r>
      <w:r>
        <w:rPr/>
        <w:t>支撑公司全国工厂的生产、交付、数据分析、持续改善和及时报告。</w:t>
      </w:r>
    </w:p>
    <w:p>
      <w:pPr>
        <w:pStyle w:val="BodyText"/>
        <w:spacing w:line="408" w:lineRule="auto" w:before="50"/>
        <w:ind w:left="575" w:right="1024"/>
        <w:jc w:val="left"/>
      </w:pPr>
      <w:r>
        <w:rPr/>
        <w:t>（</w:t>
      </w:r>
      <w:r>
        <w:rPr>
          <w:rFonts w:ascii="宋体" w:hAnsi="宋体" w:cs="宋体" w:eastAsia="宋体" w:hint="default"/>
        </w:rPr>
        <w:t>4</w:t>
      </w:r>
      <w:r>
        <w:rPr/>
        <w:t>）采购模式</w:t>
      </w:r>
      <w:r>
        <w:rPr>
          <w:spacing w:val="-103"/>
        </w:rPr>
        <w:t> </w:t>
      </w:r>
      <w:r>
        <w:rPr>
          <w:spacing w:val="-103"/>
        </w:rPr>
      </w:r>
      <w:r>
        <w:rPr>
          <w:spacing w:val="-2"/>
        </w:rPr>
        <w:t>公司已逐步建立起供应链平台，通过实行“集中竞标、集中下单，分批交付”的集中采购管控模式及</w:t>
      </w:r>
    </w:p>
    <w:p>
      <w:pPr>
        <w:pStyle w:val="BodyText"/>
        <w:spacing w:line="405" w:lineRule="auto" w:before="48"/>
        <w:ind w:right="1125"/>
        <w:jc w:val="both"/>
      </w:pPr>
      <w:r>
        <w:rPr>
          <w:spacing w:val="-2"/>
        </w:rPr>
        <w:t>合格供应商管理机制，实现采购的成本、质量和交付优势。公司通过供应商管理系统、合同管理系统等进</w:t>
      </w:r>
      <w:r>
        <w:rPr>
          <w:spacing w:val="-33"/>
        </w:rPr>
        <w:t> </w:t>
      </w:r>
      <w:r>
        <w:rPr>
          <w:spacing w:val="-33"/>
        </w:rPr>
      </w:r>
      <w:r>
        <w:rPr>
          <w:spacing w:val="-2"/>
        </w:rPr>
        <w:t>行数据交互，实现采购管理系统化，极大地提高了采购管理效率，减少各节点上的库存周期和库存资金占</w:t>
      </w:r>
    </w:p>
    <w:p>
      <w:pPr>
        <w:spacing w:after="0" w:line="405" w:lineRule="auto"/>
        <w:jc w:val="both"/>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5" w:lineRule="auto" w:before="36"/>
        <w:ind w:left="575" w:right="5885" w:hanging="423"/>
        <w:jc w:val="left"/>
      </w:pPr>
      <w:r>
        <w:rPr>
          <w:spacing w:val="-2"/>
        </w:rPr>
        <w:t>用，缩短交货周期，快速响应市场需求。</w:t>
      </w:r>
      <w:r>
        <w:rPr>
          <w:spacing w:val="-68"/>
        </w:rPr>
        <w:t> </w:t>
      </w:r>
      <w:r>
        <w:rPr>
          <w:spacing w:val="-68"/>
        </w:rPr>
      </w:r>
      <w:r>
        <w:rPr>
          <w:rFonts w:ascii="宋体" w:hAnsi="宋体" w:cs="宋体" w:eastAsia="宋体" w:hint="default"/>
        </w:rPr>
        <w:t>2</w:t>
      </w:r>
      <w:r>
        <w:rPr/>
        <w:t>、版权云业务</w:t>
      </w:r>
    </w:p>
    <w:p>
      <w:pPr>
        <w:pStyle w:val="BodyText"/>
        <w:spacing w:line="240" w:lineRule="auto" w:before="51"/>
        <w:ind w:left="575" w:right="1024"/>
        <w:jc w:val="left"/>
      </w:pPr>
      <w:r>
        <w:rPr>
          <w:rFonts w:ascii="宋体" w:hAnsi="宋体" w:cs="宋体" w:eastAsia="宋体" w:hint="default"/>
        </w:rPr>
        <w:t>2019</w:t>
      </w:r>
      <w:r>
        <w:rPr/>
        <w:t>年公司在版权云业务上做了一些延展性尝试</w:t>
      </w:r>
    </w:p>
    <w:p>
      <w:pPr>
        <w:spacing w:line="240" w:lineRule="auto" w:before="8"/>
        <w:rPr>
          <w:rFonts w:ascii="宋体" w:hAnsi="宋体" w:cs="宋体" w:eastAsia="宋体" w:hint="default"/>
          <w:sz w:val="14"/>
          <w:szCs w:val="14"/>
        </w:rPr>
      </w:pPr>
    </w:p>
    <w:p>
      <w:pPr>
        <w:pStyle w:val="BodyText"/>
        <w:spacing w:line="410" w:lineRule="auto"/>
        <w:ind w:left="575" w:right="1024"/>
        <w:jc w:val="left"/>
      </w:pPr>
      <w:r>
        <w:rPr/>
        <w:t>（</w:t>
      </w:r>
      <w:r>
        <w:rPr>
          <w:rFonts w:ascii="宋体" w:hAnsi="宋体" w:cs="宋体" w:eastAsia="宋体" w:hint="default"/>
        </w:rPr>
        <w:t>1</w:t>
      </w:r>
      <w:r>
        <w:rPr/>
        <w:t>）音乐版权</w:t>
      </w:r>
      <w:r>
        <w:rPr>
          <w:spacing w:val="-103"/>
        </w:rPr>
        <w:t> </w:t>
      </w:r>
      <w:r>
        <w:rPr>
          <w:spacing w:val="-103"/>
        </w:rPr>
      </w:r>
      <w:r>
        <w:rPr>
          <w:spacing w:val="-2"/>
        </w:rPr>
        <w:t>随着视频化时代的到来，视频成为了内容呈现的主要形势，各大平台纷纷在积累、创造、生产视频版</w:t>
      </w:r>
    </w:p>
    <w:p>
      <w:pPr>
        <w:pStyle w:val="BodyText"/>
        <w:spacing w:line="408" w:lineRule="auto" w:before="41"/>
        <w:ind w:right="1122"/>
        <w:jc w:val="both"/>
      </w:pPr>
      <w:r>
        <w:rPr>
          <w:spacing w:val="-2"/>
        </w:rPr>
        <w:t>权资源，而这个背后应运而生的是音乐版权大量的配合使用场景。而现在企业在各种线上线下的生产经营</w:t>
      </w:r>
      <w:r>
        <w:rPr>
          <w:spacing w:val="-33"/>
        </w:rPr>
        <w:t> </w:t>
      </w:r>
      <w:r>
        <w:rPr>
          <w:spacing w:val="-33"/>
        </w:rPr>
      </w:r>
      <w:r>
        <w:rPr>
          <w:spacing w:val="-2"/>
        </w:rPr>
        <w:t>活动尤其是宣传推广活动中，音乐的使用场景也是日趋多元化。因此音乐版权将越来越凸显其作为版权基</w:t>
      </w:r>
      <w:r>
        <w:rPr>
          <w:spacing w:val="-32"/>
        </w:rPr>
        <w:t> </w:t>
      </w:r>
      <w:r>
        <w:rPr>
          <w:spacing w:val="-32"/>
        </w:rPr>
      </w:r>
      <w:r>
        <w:rPr>
          <w:spacing w:val="-2"/>
        </w:rPr>
        <w:t>础设施的重要性。公司</w:t>
      </w:r>
      <w:r>
        <w:rPr>
          <w:rFonts w:ascii="宋体" w:hAnsi="宋体" w:cs="宋体" w:eastAsia="宋体" w:hint="default"/>
          <w:spacing w:val="-2"/>
        </w:rPr>
        <w:t>19</w:t>
      </w:r>
      <w:r>
        <w:rPr>
          <w:spacing w:val="-2"/>
        </w:rPr>
        <w:t>年和成都嗨翻屋科技有限公司共同合作研究音乐版权的确权、监测、交易及</w:t>
      </w:r>
      <w:r>
        <w:rPr>
          <w:rFonts w:ascii="宋体" w:hAnsi="宋体" w:cs="宋体" w:eastAsia="宋体" w:hint="default"/>
          <w:spacing w:val="-2"/>
        </w:rPr>
        <w:t>AI</w:t>
      </w:r>
      <w:r>
        <w:rPr>
          <w:spacing w:val="-2"/>
        </w:rPr>
        <w:t>的</w:t>
      </w:r>
      <w:r>
        <w:rPr>
          <w:spacing w:val="-27"/>
        </w:rPr>
        <w:t> </w:t>
      </w:r>
      <w:r>
        <w:rPr>
          <w:spacing w:val="-2"/>
        </w:rPr>
        <w:t>技术；并就音乐的使用场景研究企业使用音乐，直播及短视频平台使用音乐，以及线下公播场景使用音乐</w:t>
      </w:r>
      <w:r>
        <w:rPr>
          <w:spacing w:val="-33"/>
        </w:rPr>
        <w:t> </w:t>
      </w:r>
      <w:r>
        <w:rPr>
          <w:spacing w:val="-33"/>
        </w:rPr>
      </w:r>
      <w:r>
        <w:rPr/>
        <w:t>的商业化产品，将适时推出针对市场需求的音乐版权服务。</w:t>
      </w:r>
    </w:p>
    <w:p>
      <w:pPr>
        <w:pStyle w:val="BodyText"/>
        <w:spacing w:line="405" w:lineRule="auto" w:before="48"/>
        <w:ind w:left="575" w:right="2353"/>
        <w:jc w:val="left"/>
      </w:pPr>
      <w:r>
        <w:rPr/>
        <w:t>（</w:t>
      </w:r>
      <w:r>
        <w:rPr>
          <w:rFonts w:ascii="宋体" w:hAnsi="宋体" w:cs="宋体" w:eastAsia="宋体" w:hint="default"/>
        </w:rPr>
        <w:t>2</w:t>
      </w:r>
      <w:r>
        <w:rPr/>
        <w:t>）知识产权</w:t>
      </w:r>
      <w:r>
        <w:rPr>
          <w:spacing w:val="-103"/>
        </w:rPr>
        <w:t> </w:t>
      </w:r>
      <w:r>
        <w:rPr>
          <w:spacing w:val="-103"/>
        </w:rPr>
      </w:r>
      <w:r>
        <w:rPr>
          <w:spacing w:val="-1"/>
        </w:rPr>
        <w:t>为</w:t>
      </w:r>
      <w:r>
        <w:rPr>
          <w:rFonts w:ascii="宋体" w:hAnsi="宋体" w:cs="宋体" w:eastAsia="宋体" w:hint="default"/>
          <w:spacing w:val="-1"/>
        </w:rPr>
        <w:t>TeamChina</w:t>
      </w:r>
      <w:r>
        <w:rPr>
          <w:spacing w:val="-1"/>
        </w:rPr>
        <w:t>提供了体育品牌的登记、传播、授权、保护提供了深度的咨询服务。</w:t>
      </w:r>
    </w:p>
    <w:p>
      <w:pPr>
        <w:pStyle w:val="BodyText"/>
        <w:spacing w:line="408" w:lineRule="auto" w:before="50"/>
        <w:ind w:left="575" w:right="1024" w:hanging="212"/>
        <w:jc w:val="left"/>
      </w:pPr>
      <w:r>
        <w:rPr/>
        <w:t>（三）报告期业务驱动因素</w:t>
      </w:r>
      <w:r>
        <w:rPr>
          <w:spacing w:val="-101"/>
        </w:rPr>
        <w:t> </w:t>
      </w:r>
      <w:r>
        <w:rPr>
          <w:spacing w:val="-101"/>
        </w:rPr>
      </w:r>
      <w:r>
        <w:rPr>
          <w:spacing w:val="-2"/>
        </w:rPr>
        <w:t>报告期内，电力业务面对细分市场周期性的环境，公司继续巩固拓展既有市场，用采系列产品、电能</w:t>
      </w:r>
    </w:p>
    <w:p>
      <w:pPr>
        <w:pStyle w:val="BodyText"/>
        <w:spacing w:line="405" w:lineRule="auto" w:before="48"/>
        <w:ind w:right="1024"/>
        <w:jc w:val="left"/>
      </w:pPr>
      <w:r>
        <w:rPr>
          <w:spacing w:val="-4"/>
        </w:rPr>
        <w:t>表箱系列产品的市场占有额同比略有上升，但受限于市场整体需求量减少，加之招标后实施进度的滞后性，</w:t>
      </w:r>
      <w:r>
        <w:rPr>
          <w:spacing w:val="-42"/>
        </w:rPr>
        <w:t> </w:t>
      </w:r>
      <w:r>
        <w:rPr>
          <w:spacing w:val="-42"/>
        </w:rPr>
      </w:r>
      <w:r>
        <w:rPr/>
        <w:t>产品交付量减少。</w:t>
      </w:r>
    </w:p>
    <w:p>
      <w:pPr>
        <w:pStyle w:val="BodyText"/>
        <w:spacing w:line="408" w:lineRule="auto" w:before="50"/>
        <w:ind w:right="1124" w:firstLine="422"/>
        <w:jc w:val="both"/>
      </w:pPr>
      <w:r>
        <w:rPr>
          <w:spacing w:val="-2"/>
        </w:rPr>
        <w:t>在《泛在物联网</w:t>
      </w:r>
      <w:r>
        <w:rPr>
          <w:rFonts w:ascii="宋体" w:hAnsi="宋体" w:cs="宋体" w:eastAsia="宋体" w:hint="default"/>
          <w:spacing w:val="-2"/>
        </w:rPr>
        <w:t>2020</w:t>
      </w:r>
      <w:r>
        <w:rPr>
          <w:spacing w:val="-2"/>
        </w:rPr>
        <w:t>年重点建设任务大纲》中关于设备侧物联网建设中提到“按照智慧物联体系总体</w:t>
      </w:r>
      <w:r>
        <w:rPr>
          <w:w w:val="100"/>
        </w:rPr>
        <w:t> </w:t>
      </w:r>
      <w:r>
        <w:rPr>
          <w:spacing w:val="-2"/>
        </w:rPr>
        <w:t>架构要求，构建基于感知层、网络层、平台层和应用层的设备侧物联网一体化布局的总体架构；形成设备</w:t>
      </w:r>
      <w:r>
        <w:rPr>
          <w:spacing w:val="-33"/>
        </w:rPr>
        <w:t> </w:t>
      </w:r>
      <w:r>
        <w:rPr>
          <w:spacing w:val="-33"/>
        </w:rPr>
      </w:r>
      <w:r>
        <w:rPr>
          <w:spacing w:val="-4"/>
        </w:rPr>
        <w:t>侧物联网关键核心标准，研究终端即插即用、端云协同等关键技术并在工程中应用实践；完成国网公司</w:t>
      </w:r>
      <w:r>
        <w:rPr>
          <w:rFonts w:ascii="宋体" w:hAnsi="宋体" w:cs="宋体" w:eastAsia="宋体" w:hint="default"/>
          <w:spacing w:val="-4"/>
        </w:rPr>
        <w:t>30%</w:t>
      </w:r>
      <w:r>
        <w:rPr>
          <w:rFonts w:ascii="宋体" w:hAnsi="宋体" w:cs="宋体" w:eastAsia="宋体" w:hint="default"/>
          <w:spacing w:val="-41"/>
        </w:rPr>
        <w:t> </w:t>
      </w:r>
      <w:r>
        <w:rPr>
          <w:spacing w:val="-2"/>
          <w:w w:val="100"/>
        </w:rPr>
        <w:t>公变台区的配电物联网建设改造；推动物联网在输电、变电、换流等多领域、多场景广泛应用。”</w:t>
      </w:r>
      <w:r>
        <w:rPr>
          <w:rFonts w:ascii="宋体" w:hAnsi="宋体" w:cs="宋体" w:eastAsia="宋体" w:hint="default"/>
          <w:spacing w:val="-2"/>
          <w:w w:val="100"/>
        </w:rPr>
        <w:t>2019</w:t>
      </w:r>
      <w:r>
        <w:rPr>
          <w:spacing w:val="-2"/>
          <w:w w:val="100"/>
        </w:rPr>
        <w:t>年</w:t>
      </w:r>
      <w:r>
        <w:rPr>
          <w:spacing w:val="-92"/>
          <w:w w:val="100"/>
        </w:rPr>
        <w:t> </w:t>
      </w:r>
      <w:r>
        <w:rPr/>
        <w:t>国网智芯推出了以“国网芯”为基础的核心组部件，正在研制融合终端拟取代</w:t>
      </w:r>
      <w:r>
        <w:rPr>
          <w:rFonts w:ascii="宋体" w:hAnsi="宋体" w:cs="宋体" w:eastAsia="宋体" w:hint="default"/>
        </w:rPr>
        <w:t>TTU</w:t>
      </w:r>
      <w:r>
        <w:rPr/>
        <w:t>，设备管理部</w:t>
      </w:r>
      <w:r>
        <w:rPr>
          <w:rFonts w:ascii="宋体" w:hAnsi="宋体" w:cs="宋体" w:eastAsia="宋体" w:hint="default"/>
        </w:rPr>
        <w:t>2020</w:t>
      </w:r>
      <w:r>
        <w:rPr/>
        <w:t>年重</w:t>
      </w:r>
      <w:r>
        <w:rPr>
          <w:spacing w:val="-28"/>
        </w:rPr>
        <w:t> </w:t>
      </w:r>
      <w:r>
        <w:rPr/>
        <w:t>点工作中提出加快融合终端的应用落地，</w:t>
      </w:r>
      <w:r>
        <w:rPr>
          <w:rFonts w:ascii="宋体" w:hAnsi="宋体" w:cs="宋体" w:eastAsia="宋体" w:hint="default"/>
        </w:rPr>
        <w:t>2020</w:t>
      </w:r>
      <w:r>
        <w:rPr/>
        <w:t>年计划实施</w:t>
      </w:r>
      <w:r>
        <w:rPr>
          <w:rFonts w:ascii="宋体" w:hAnsi="宋体" w:cs="宋体" w:eastAsia="宋体" w:hint="default"/>
        </w:rPr>
        <w:t>55</w:t>
      </w:r>
      <w:r>
        <w:rPr/>
        <w:t>万个台区。资金约</w:t>
      </w:r>
      <w:r>
        <w:rPr>
          <w:rFonts w:ascii="宋体" w:hAnsi="宋体" w:cs="宋体" w:eastAsia="宋体" w:hint="default"/>
        </w:rPr>
        <w:t>40</w:t>
      </w:r>
      <w:r>
        <w:rPr/>
        <w:t>亿元。</w:t>
      </w:r>
    </w:p>
    <w:p>
      <w:pPr>
        <w:pStyle w:val="BodyText"/>
        <w:spacing w:line="408" w:lineRule="auto" w:before="48"/>
        <w:ind w:right="1122" w:firstLine="422"/>
        <w:jc w:val="both"/>
      </w:pPr>
      <w:r>
        <w:rPr>
          <w:spacing w:val="-2"/>
        </w:rPr>
        <w:t>国家大力推动用电采集设备通信模式窄带载波方案向宽带载波方案的更换，</w:t>
      </w:r>
      <w:r>
        <w:rPr>
          <w:rFonts w:ascii="宋体" w:hAnsi="宋体" w:cs="宋体" w:eastAsia="宋体" w:hint="default"/>
          <w:spacing w:val="-2"/>
        </w:rPr>
        <w:t>HPLC</w:t>
      </w:r>
      <w:r>
        <w:rPr>
          <w:spacing w:val="-2"/>
        </w:rPr>
        <w:t>宽带载波模块近几年</w:t>
      </w:r>
      <w:r>
        <w:rPr>
          <w:w w:val="100"/>
        </w:rPr>
        <w:t> </w:t>
      </w:r>
      <w:r>
        <w:rPr/>
        <w:t>招标量是非常可观的，</w:t>
      </w:r>
      <w:r>
        <w:rPr>
          <w:rFonts w:ascii="宋体" w:hAnsi="宋体" w:cs="宋体" w:eastAsia="宋体" w:hint="default"/>
        </w:rPr>
        <w:t>2018</w:t>
      </w:r>
      <w:r>
        <w:rPr/>
        <w:t>年和</w:t>
      </w:r>
      <w:r>
        <w:rPr>
          <w:rFonts w:ascii="宋体" w:hAnsi="宋体" w:cs="宋体" w:eastAsia="宋体" w:hint="default"/>
        </w:rPr>
        <w:t>2019</w:t>
      </w:r>
      <w:r>
        <w:rPr/>
        <w:t>年</w:t>
      </w:r>
      <w:r>
        <w:rPr>
          <w:rFonts w:ascii="宋体" w:hAnsi="宋体" w:cs="宋体" w:eastAsia="宋体" w:hint="default"/>
        </w:rPr>
        <w:t>HPLC</w:t>
      </w:r>
      <w:r>
        <w:rPr/>
        <w:t>通信单元共招标</w:t>
      </w:r>
      <w:r>
        <w:rPr>
          <w:rFonts w:ascii="宋体" w:hAnsi="宋体" w:cs="宋体" w:eastAsia="宋体" w:hint="default"/>
        </w:rPr>
        <w:t>1.4</w:t>
      </w:r>
      <w:r>
        <w:rPr/>
        <w:t>亿只，金额达</w:t>
      </w:r>
      <w:r>
        <w:rPr>
          <w:rFonts w:ascii="宋体" w:hAnsi="宋体" w:cs="宋体" w:eastAsia="宋体" w:hint="default"/>
        </w:rPr>
        <w:t>90</w:t>
      </w:r>
      <w:r>
        <w:rPr/>
        <w:t>亿元。据了解，</w:t>
      </w:r>
      <w:r>
        <w:rPr>
          <w:rFonts w:ascii="宋体" w:hAnsi="宋体" w:cs="宋体" w:eastAsia="宋体" w:hint="default"/>
        </w:rPr>
        <w:t>2020</w:t>
      </w:r>
      <w:r>
        <w:rPr/>
        <w:t>年招</w:t>
      </w:r>
      <w:r>
        <w:rPr>
          <w:spacing w:val="-30"/>
        </w:rPr>
        <w:t> </w:t>
      </w:r>
      <w:r>
        <w:rPr/>
        <w:t>标量也比较大，估算约</w:t>
      </w:r>
      <w:r>
        <w:rPr>
          <w:rFonts w:ascii="宋体" w:hAnsi="宋体" w:cs="宋体" w:eastAsia="宋体" w:hint="default"/>
        </w:rPr>
        <w:t>70</w:t>
      </w:r>
      <w:r>
        <w:rPr/>
        <w:t>～</w:t>
      </w:r>
      <w:r>
        <w:rPr>
          <w:rFonts w:ascii="宋体" w:hAnsi="宋体" w:cs="宋体" w:eastAsia="宋体" w:hint="default"/>
        </w:rPr>
        <w:t>80</w:t>
      </w:r>
      <w:r>
        <w:rPr/>
        <w:t>亿元，一季度已招标</w:t>
      </w:r>
      <w:r>
        <w:rPr>
          <w:rFonts w:ascii="宋体" w:hAnsi="宋体" w:cs="宋体" w:eastAsia="宋体" w:hint="default"/>
        </w:rPr>
        <w:t>6</w:t>
      </w:r>
      <w:r>
        <w:rPr/>
        <w:t>亿元。</w:t>
      </w:r>
    </w:p>
    <w:p>
      <w:pPr>
        <w:pStyle w:val="BodyText"/>
        <w:spacing w:line="240" w:lineRule="auto" w:before="43"/>
        <w:ind w:left="575" w:right="1024"/>
        <w:jc w:val="left"/>
      </w:pPr>
      <w:r>
        <w:rPr/>
        <w:t>报告期内，公司数字版权相关业务在合并报表范围内收益未形成规模。</w:t>
      </w:r>
    </w:p>
    <w:p>
      <w:pPr>
        <w:spacing w:line="240" w:lineRule="auto" w:before="12"/>
        <w:rPr>
          <w:rFonts w:ascii="宋体" w:hAnsi="宋体" w:cs="宋体" w:eastAsia="宋体" w:hint="default"/>
          <w:sz w:val="14"/>
          <w:szCs w:val="14"/>
        </w:rPr>
      </w:pPr>
    </w:p>
    <w:p>
      <w:pPr>
        <w:pStyle w:val="BodyText"/>
        <w:spacing w:line="240" w:lineRule="auto"/>
        <w:ind w:left="364" w:right="1024"/>
        <w:jc w:val="left"/>
      </w:pPr>
      <w:r>
        <w:rPr/>
        <w:t>（四）公司所处行业的发展趋势及公司所在的地位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4"/>
        <w:spacing w:line="240" w:lineRule="auto" w:before="0"/>
        <w:ind w:left="2491" w:right="1024"/>
        <w:jc w:val="left"/>
        <w:rPr>
          <w:b w:val="0"/>
          <w:bCs w:val="0"/>
        </w:rPr>
      </w:pPr>
      <w:r>
        <w:rPr>
          <w:rFonts w:ascii="宋体" w:hAnsi="宋体" w:cs="宋体" w:eastAsia="宋体" w:hint="default"/>
        </w:rPr>
        <w:t>2012-2019</w:t>
      </w:r>
      <w:r>
        <w:rPr/>
        <w:t>年国家电网用电信息采集设备及电能表招标情况</w:t>
      </w:r>
      <w:r>
        <w:rPr>
          <w:b w:val="0"/>
          <w:bCs w:val="0"/>
        </w:rPr>
      </w:r>
    </w:p>
    <w:p>
      <w:pPr>
        <w:spacing w:after="0" w:line="240" w:lineRule="auto"/>
        <w:jc w:val="left"/>
        <w:sectPr>
          <w:pgSz w:w="11910" w:h="16840"/>
          <w:pgMar w:header="871" w:footer="1037" w:top="1100" w:bottom="1220" w:left="980" w:right="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2"/>
          <w:szCs w:val="12"/>
        </w:rPr>
      </w:pPr>
    </w:p>
    <w:p>
      <w:pPr>
        <w:spacing w:line="5717" w:lineRule="exact"/>
        <w:ind w:left="574" w:right="0" w:firstLine="0"/>
        <w:rPr>
          <w:rFonts w:ascii="宋体" w:hAnsi="宋体" w:cs="宋体" w:eastAsia="宋体" w:hint="default"/>
          <w:sz w:val="20"/>
          <w:szCs w:val="20"/>
        </w:rPr>
      </w:pPr>
      <w:r>
        <w:rPr>
          <w:rFonts w:ascii="宋体" w:hAnsi="宋体" w:cs="宋体" w:eastAsia="宋体" w:hint="default"/>
          <w:position w:val="-113"/>
          <w:sz w:val="20"/>
          <w:szCs w:val="20"/>
        </w:rPr>
        <w:drawing>
          <wp:inline distT="0" distB="0" distL="0" distR="0">
            <wp:extent cx="5269134" cy="3630453"/>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5269134" cy="3630453"/>
                    </a:xfrm>
                    <a:prstGeom prst="rect">
                      <a:avLst/>
                    </a:prstGeom>
                  </pic:spPr>
                </pic:pic>
              </a:graphicData>
            </a:graphic>
          </wp:inline>
        </w:drawing>
      </w:r>
      <w:r>
        <w:rPr>
          <w:rFonts w:ascii="宋体" w:hAnsi="宋体" w:cs="宋体" w:eastAsia="宋体" w:hint="default"/>
          <w:position w:val="-113"/>
          <w:sz w:val="20"/>
          <w:szCs w:val="20"/>
        </w:rPr>
      </w:r>
    </w:p>
    <w:p>
      <w:pPr>
        <w:spacing w:line="240" w:lineRule="auto" w:before="13"/>
        <w:rPr>
          <w:rFonts w:ascii="宋体" w:hAnsi="宋体" w:cs="宋体" w:eastAsia="宋体" w:hint="default"/>
          <w:b/>
          <w:bCs/>
          <w:sz w:val="5"/>
          <w:szCs w:val="5"/>
        </w:rPr>
      </w:pPr>
    </w:p>
    <w:p>
      <w:pPr>
        <w:spacing w:before="46"/>
        <w:ind w:left="3082" w:right="1024" w:firstLine="0"/>
        <w:jc w:val="left"/>
        <w:rPr>
          <w:rFonts w:ascii="宋体" w:hAnsi="宋体" w:cs="宋体" w:eastAsia="宋体" w:hint="default"/>
          <w:sz w:val="18"/>
          <w:szCs w:val="18"/>
        </w:rPr>
      </w:pPr>
      <w:r>
        <w:rPr>
          <w:rFonts w:ascii="宋体" w:hAnsi="宋体" w:cs="宋体" w:eastAsia="宋体" w:hint="default"/>
          <w:spacing w:val="-3"/>
          <w:sz w:val="18"/>
          <w:szCs w:val="18"/>
        </w:rPr>
        <w:t>数据来源：根据国家电网公司历年招标数据统计</w:t>
      </w:r>
    </w:p>
    <w:p>
      <w:pPr>
        <w:pStyle w:val="BodyText"/>
        <w:spacing w:line="408" w:lineRule="auto" w:before="132"/>
        <w:ind w:right="1122" w:firstLine="422"/>
        <w:jc w:val="both"/>
      </w:pPr>
      <w:r>
        <w:rPr>
          <w:spacing w:val="-2"/>
        </w:rPr>
        <w:t>国网公司要继续发展，业务转型，开拓市场、挖潜增效、用足用好国家产业政策，以泛在电力物联网</w:t>
      </w:r>
      <w:r>
        <w:rPr>
          <w:w w:val="100"/>
        </w:rPr>
        <w:t> </w:t>
      </w:r>
      <w:r>
        <w:rPr>
          <w:spacing w:val="-6"/>
        </w:rPr>
        <w:t>建设为主攻方向，不断培育壮大新产业、新业态、新模式，不断开拓产业链、创新链、价值链。因此，</w:t>
      </w:r>
      <w:r>
        <w:rPr>
          <w:rFonts w:ascii="宋体" w:hAnsi="宋体" w:cs="宋体" w:eastAsia="宋体" w:hint="default"/>
          <w:spacing w:val="-6"/>
        </w:rPr>
        <w:t>2020</w:t>
      </w:r>
      <w:r>
        <w:rPr>
          <w:rFonts w:ascii="宋体" w:hAnsi="宋体" w:cs="宋体" w:eastAsia="宋体" w:hint="default"/>
          <w:spacing w:val="-39"/>
        </w:rPr>
        <w:t> </w:t>
      </w:r>
      <w:r>
        <w:rPr>
          <w:spacing w:val="-2"/>
        </w:rPr>
        <w:t>年，作为支撑国网泛在电力物联网技术，新一代智能电表有较好的应用前景。目前的</w:t>
      </w:r>
      <w:r>
        <w:rPr>
          <w:rFonts w:ascii="宋体" w:hAnsi="宋体" w:cs="宋体" w:eastAsia="宋体" w:hint="default"/>
          <w:spacing w:val="-2"/>
        </w:rPr>
        <w:t>IR46</w:t>
      </w:r>
      <w:r>
        <w:rPr>
          <w:spacing w:val="-2"/>
        </w:rPr>
        <w:t>标准，只有正弦</w:t>
      </w:r>
      <w:r>
        <w:rPr>
          <w:spacing w:val="-26"/>
        </w:rPr>
        <w:t> </w:t>
      </w:r>
      <w:r>
        <w:rPr>
          <w:spacing w:val="-26"/>
        </w:rPr>
      </w:r>
      <w:r>
        <w:rPr/>
        <w:t>波的有功计量标准；</w:t>
      </w:r>
      <w:r>
        <w:rPr>
          <w:rFonts w:ascii="宋体" w:hAnsi="宋体" w:cs="宋体" w:eastAsia="宋体" w:hint="default"/>
        </w:rPr>
        <w:t>IEC</w:t>
      </w:r>
      <w:r>
        <w:rPr/>
        <w:t>标准，在有正弦波的有功、无功计量标准，基波无功计量标准；国标，正弦波的</w:t>
      </w:r>
      <w:r>
        <w:rPr>
          <w:spacing w:val="-31"/>
        </w:rPr>
        <w:t> </w:t>
      </w:r>
      <w:r>
        <w:rPr>
          <w:spacing w:val="-31"/>
        </w:rPr>
      </w:r>
      <w:r>
        <w:rPr/>
        <w:t>有功、无功计量标准，基波无功计量标准，等同采用</w:t>
      </w:r>
      <w:r>
        <w:rPr>
          <w:rFonts w:ascii="宋体" w:hAnsi="宋体" w:cs="宋体" w:eastAsia="宋体" w:hint="default"/>
        </w:rPr>
        <w:t>IEC</w:t>
      </w:r>
      <w:r>
        <w:rPr/>
        <w:t>标准，还自订多种计量电表、谐波电表标准；国</w:t>
      </w:r>
      <w:r>
        <w:rPr>
          <w:spacing w:val="-27"/>
        </w:rPr>
        <w:t> </w:t>
      </w:r>
      <w:r>
        <w:rPr>
          <w:spacing w:val="-27"/>
        </w:rPr>
      </w:r>
      <w:r>
        <w:rPr>
          <w:spacing w:val="-2"/>
          <w:w w:val="100"/>
        </w:rPr>
        <w:t>网企业标准（</w:t>
      </w:r>
      <w:r>
        <w:rPr>
          <w:rFonts w:ascii="宋体" w:hAnsi="宋体" w:cs="宋体" w:eastAsia="宋体" w:hint="default"/>
          <w:spacing w:val="-2"/>
          <w:w w:val="100"/>
        </w:rPr>
        <w:t>2013</w:t>
      </w:r>
      <w:r>
        <w:rPr>
          <w:spacing w:val="-2"/>
          <w:w w:val="100"/>
        </w:rPr>
        <w:t>版），正弦波的有功、无功计量标准，直接采用国标，还自订多种计量功能并扩展出多</w:t>
      </w:r>
      <w:r>
        <w:rPr>
          <w:spacing w:val="-95"/>
          <w:w w:val="100"/>
        </w:rPr>
        <w:t> </w:t>
      </w:r>
      <w:r>
        <w:rPr>
          <w:spacing w:val="-95"/>
          <w:w w:val="100"/>
        </w:rPr>
      </w:r>
      <w:r>
        <w:rPr/>
        <w:t>功能电表。国网，尚需研究制订的企业新标准</w:t>
      </w:r>
      <w:r>
        <w:rPr>
          <w:rFonts w:ascii="宋体" w:hAnsi="宋体" w:cs="宋体" w:eastAsia="宋体" w:hint="default"/>
        </w:rPr>
        <w:t>/</w:t>
      </w:r>
      <w:r>
        <w:rPr/>
        <w:t>规范</w:t>
      </w:r>
      <w:r>
        <w:rPr>
          <w:rFonts w:ascii="宋体" w:hAnsi="宋体" w:cs="宋体" w:eastAsia="宋体" w:hint="default"/>
        </w:rPr>
        <w:t>/</w:t>
      </w:r>
      <w:r>
        <w:rPr/>
        <w:t>导则。</w:t>
      </w:r>
      <w:r>
        <w:rPr>
          <w:rFonts w:ascii="宋体" w:hAnsi="宋体" w:cs="宋体" w:eastAsia="宋体" w:hint="default"/>
        </w:rPr>
        <w:t>2019</w:t>
      </w:r>
      <w:r>
        <w:rPr/>
        <w:t>年</w:t>
      </w:r>
      <w:r>
        <w:rPr>
          <w:rFonts w:ascii="宋体" w:hAnsi="宋体" w:cs="宋体" w:eastAsia="宋体" w:hint="default"/>
        </w:rPr>
        <w:t>6</w:t>
      </w:r>
      <w:r>
        <w:rPr/>
        <w:t>月，国网的多芯模组化智能电表样机</w:t>
      </w:r>
    </w:p>
    <w:p>
      <w:pPr>
        <w:pStyle w:val="BodyText"/>
        <w:spacing w:line="410" w:lineRule="auto" w:before="44"/>
        <w:ind w:right="1125"/>
        <w:jc w:val="both"/>
      </w:pPr>
      <w:r>
        <w:rPr>
          <w:spacing w:val="-2"/>
        </w:rPr>
        <w:t>——新一代智能电表推出，后续工作量还很多，多芯模组化三相智能电表应用设计技术与历次智能电表设</w:t>
      </w:r>
      <w:r>
        <w:rPr>
          <w:spacing w:val="-33"/>
        </w:rPr>
        <w:t> </w:t>
      </w:r>
      <w:r>
        <w:rPr>
          <w:spacing w:val="-33"/>
        </w:rPr>
      </w:r>
      <w:r>
        <w:rPr>
          <w:spacing w:val="-2"/>
        </w:rPr>
        <w:t>计相比，实现了新跨越。国网多芯模组化智能电表实现智能电表设计技术的新跨越，究其缘由，是支撑泛</w:t>
      </w:r>
      <w:r>
        <w:rPr>
          <w:spacing w:val="-33"/>
        </w:rPr>
        <w:t> </w:t>
      </w:r>
      <w:r>
        <w:rPr>
          <w:spacing w:val="-33"/>
        </w:rPr>
      </w:r>
      <w:r>
        <w:rPr>
          <w:spacing w:val="-2"/>
        </w:rPr>
        <w:t>在电力物联网技术的需要。早期基于国网标准的智能电表，都不适应泛在电力物联网建设与电价新政的要</w:t>
      </w:r>
      <w:r>
        <w:rPr>
          <w:spacing w:val="-33"/>
        </w:rPr>
        <w:t> </w:t>
      </w:r>
      <w:r>
        <w:rPr>
          <w:spacing w:val="-33"/>
        </w:rPr>
      </w:r>
      <w:r>
        <w:rPr/>
        <w:t>求。国网多芯模组化智能电表未来将有可能形成爆发性的增长。</w:t>
      </w:r>
    </w:p>
    <w:p>
      <w:pPr>
        <w:pStyle w:val="BodyText"/>
        <w:spacing w:line="408" w:lineRule="auto" w:before="41"/>
        <w:ind w:right="1030" w:firstLine="422"/>
        <w:jc w:val="both"/>
      </w:pPr>
      <w:r>
        <w:rPr>
          <w:rFonts w:ascii="宋体" w:hAnsi="宋体" w:cs="宋体" w:eastAsia="宋体" w:hint="default"/>
          <w:spacing w:val="-2"/>
        </w:rPr>
        <w:t>2019</w:t>
      </w:r>
      <w:r>
        <w:rPr>
          <w:spacing w:val="-2"/>
        </w:rPr>
        <w:t>年在中国智能量测产业技术创新战略联盟智能终端工作组第三次会议上，国网营销部领导在会议</w:t>
      </w:r>
      <w:r>
        <w:rPr>
          <w:w w:val="100"/>
        </w:rPr>
        <w:t> </w:t>
      </w:r>
      <w:r>
        <w:rPr>
          <w:spacing w:val="-2"/>
        </w:rPr>
        <w:t>上提出要进一步加快智能终端技术研究和产品设计，充分考虑居民家庭智慧用能服务、电动汽车有序充电</w:t>
      </w:r>
      <w:r>
        <w:rPr>
          <w:spacing w:val="-33"/>
        </w:rPr>
        <w:t> </w:t>
      </w:r>
      <w:r>
        <w:rPr>
          <w:spacing w:val="-33"/>
        </w:rPr>
      </w:r>
      <w:r>
        <w:rPr>
          <w:spacing w:val="-2"/>
        </w:rPr>
        <w:t>服务、社区多能服务、商业楼宇用能服务、工业企业及园区用能服务五个应用场景，重点在安全性、可靠</w:t>
      </w:r>
      <w:r>
        <w:rPr>
          <w:spacing w:val="-38"/>
        </w:rPr>
        <w:t> </w:t>
      </w:r>
      <w:r>
        <w:rPr>
          <w:spacing w:val="-38"/>
        </w:rPr>
      </w:r>
      <w:r>
        <w:rPr>
          <w:spacing w:val="-2"/>
        </w:rPr>
        <w:t>性、可扩展性方面加强技术攻关，有力支撑客户侧泛在电力物联网建设。国网模组化终端预期市场规模较</w:t>
      </w:r>
      <w:r>
        <w:rPr>
          <w:spacing w:val="-33"/>
        </w:rPr>
        <w:t> </w:t>
      </w:r>
      <w:r>
        <w:rPr>
          <w:spacing w:val="-33"/>
        </w:rPr>
      </w:r>
      <w:r>
        <w:rPr/>
        <w:t>大。现在由中国电科院牵头，各省专家及部分终端厂家成立了模组化终端联盟组推进项目实施。据了解，</w:t>
      </w:r>
    </w:p>
    <w:p>
      <w:pPr>
        <w:spacing w:after="0" w:line="408" w:lineRule="auto"/>
        <w:jc w:val="both"/>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1125"/>
        <w:jc w:val="both"/>
      </w:pPr>
      <w:r>
        <w:rPr>
          <w:spacing w:val="-2"/>
        </w:rPr>
        <w:t>营销部计划将现有采集设备全部更换为模组化终端。因国网模组化终端标准在不断地修改完善，目前，我</w:t>
      </w:r>
      <w:r>
        <w:rPr>
          <w:spacing w:val="-32"/>
        </w:rPr>
        <w:t> </w:t>
      </w:r>
      <w:r>
        <w:rPr>
          <w:spacing w:val="-32"/>
        </w:rPr>
      </w:r>
      <w:r>
        <w:rPr>
          <w:spacing w:val="-2"/>
        </w:rPr>
        <w:t>公司已加入智能量测产业技术创新战略联盟工作组，密切跟踪国网模组化终端的技术标准制定以及统一操</w:t>
      </w:r>
      <w:r>
        <w:rPr>
          <w:spacing w:val="-33"/>
        </w:rPr>
        <w:t> </w:t>
      </w:r>
      <w:r>
        <w:rPr>
          <w:spacing w:val="-33"/>
        </w:rPr>
      </w:r>
      <w:r>
        <w:rPr/>
        <w:t>作系统要求、</w:t>
      </w:r>
      <w:r>
        <w:rPr>
          <w:rFonts w:ascii="宋体" w:hAnsi="宋体" w:cs="宋体" w:eastAsia="宋体" w:hint="default"/>
        </w:rPr>
        <w:t>APP</w:t>
      </w:r>
      <w:r>
        <w:rPr/>
        <w:t>功能规范等技术要求。同时，根据获取的资料，开展新型模组化终端的技术预研、样机</w:t>
      </w:r>
      <w:r>
        <w:rPr>
          <w:spacing w:val="-31"/>
        </w:rPr>
        <w:t> </w:t>
      </w:r>
      <w:r>
        <w:rPr>
          <w:spacing w:val="-31"/>
        </w:rPr>
      </w:r>
      <w:r>
        <w:rPr/>
        <w:t>设计等工作。</w:t>
      </w:r>
    </w:p>
    <w:p>
      <w:pPr>
        <w:pStyle w:val="BodyText"/>
        <w:spacing w:line="408" w:lineRule="auto" w:before="48"/>
        <w:ind w:right="0" w:firstLine="422"/>
        <w:jc w:val="left"/>
      </w:pPr>
      <w:r>
        <w:rPr>
          <w:spacing w:val="-2"/>
          <w:w w:val="100"/>
        </w:rPr>
        <w:t>国家推出了促进经济增长的“新基建”：</w:t>
      </w:r>
      <w:r>
        <w:rPr>
          <w:rFonts w:ascii="宋体" w:hAnsi="宋体" w:cs="宋体" w:eastAsia="宋体" w:hint="default"/>
          <w:spacing w:val="-2"/>
          <w:w w:val="100"/>
        </w:rPr>
        <w:t>5G</w:t>
      </w:r>
      <w:r>
        <w:rPr>
          <w:spacing w:val="-2"/>
          <w:w w:val="100"/>
        </w:rPr>
        <w:t>基建、特高压、城际高速铁路和城际轨道交通、充电桩、</w:t>
      </w:r>
      <w:r>
        <w:rPr>
          <w:w w:val="100"/>
        </w:rPr>
        <w:t> </w:t>
      </w:r>
      <w:r>
        <w:rPr/>
        <w:t>大数据中心、人工智能、工业互联网七大板块，总金额接近</w:t>
      </w:r>
      <w:r>
        <w:rPr>
          <w:rFonts w:ascii="宋体" w:hAnsi="宋体" w:cs="宋体" w:eastAsia="宋体" w:hint="default"/>
        </w:rPr>
        <w:t>34</w:t>
      </w:r>
      <w:r>
        <w:rPr/>
        <w:t>万亿。其中，</w:t>
      </w:r>
      <w:r>
        <w:rPr>
          <w:rFonts w:ascii="宋体" w:hAnsi="宋体" w:cs="宋体" w:eastAsia="宋体" w:hint="default"/>
        </w:rPr>
        <w:t>5G</w:t>
      </w:r>
      <w:r>
        <w:rPr/>
        <w:t>基建板块，由于公司不是设</w:t>
      </w:r>
      <w:r>
        <w:rPr>
          <w:w w:val="100"/>
        </w:rPr>
        <w:t> </w:t>
      </w:r>
      <w:r>
        <w:rPr/>
        <w:t>备供应商，无法直接参与，但可以从其它方面或商业模式参与。经过测算，单个</w:t>
      </w:r>
      <w:r>
        <w:rPr>
          <w:rFonts w:ascii="宋体" w:hAnsi="宋体" w:cs="宋体" w:eastAsia="宋体" w:hint="default"/>
        </w:rPr>
        <w:t>5G</w:t>
      </w:r>
      <w:r>
        <w:rPr/>
        <w:t>基站的能耗是</w:t>
      </w:r>
      <w:r>
        <w:rPr>
          <w:rFonts w:ascii="宋体" w:hAnsi="宋体" w:cs="宋体" w:eastAsia="宋体" w:hint="default"/>
        </w:rPr>
        <w:t>4G</w:t>
      </w:r>
      <w:r>
        <w:rPr/>
        <w:t>基站的</w:t>
      </w:r>
      <w:r>
        <w:rPr>
          <w:w w:val="100"/>
        </w:rPr>
        <w:t> </w:t>
      </w:r>
      <w:r>
        <w:rPr>
          <w:rFonts w:ascii="宋体" w:hAnsi="宋体" w:cs="宋体" w:eastAsia="宋体" w:hint="default"/>
        </w:rPr>
        <w:t>3</w:t>
      </w:r>
      <w:r>
        <w:rPr/>
        <w:t>～</w:t>
      </w:r>
      <w:r>
        <w:rPr>
          <w:rFonts w:ascii="宋体" w:hAnsi="宋体" w:cs="宋体" w:eastAsia="宋体" w:hint="default"/>
        </w:rPr>
        <w:t>4</w:t>
      </w:r>
      <w:r>
        <w:rPr/>
        <w:t>倍，而</w:t>
      </w:r>
      <w:r>
        <w:rPr>
          <w:rFonts w:ascii="宋体" w:hAnsi="宋体" w:cs="宋体" w:eastAsia="宋体" w:hint="default"/>
        </w:rPr>
        <w:t>5G</w:t>
      </w:r>
      <w:r>
        <w:rPr/>
        <w:t>基站的覆盖面积远小于</w:t>
      </w:r>
      <w:r>
        <w:rPr>
          <w:rFonts w:ascii="宋体" w:hAnsi="宋体" w:cs="宋体" w:eastAsia="宋体" w:hint="default"/>
        </w:rPr>
        <w:t>4G</w:t>
      </w:r>
      <w:r>
        <w:rPr/>
        <w:t>基站，要达到</w:t>
      </w:r>
      <w:r>
        <w:rPr>
          <w:rFonts w:ascii="宋体" w:hAnsi="宋体" w:cs="宋体" w:eastAsia="宋体" w:hint="default"/>
        </w:rPr>
        <w:t>4G</w:t>
      </w:r>
      <w:r>
        <w:rPr/>
        <w:t>基站的覆盖面积，</w:t>
      </w:r>
      <w:r>
        <w:rPr>
          <w:rFonts w:ascii="宋体" w:hAnsi="宋体" w:cs="宋体" w:eastAsia="宋体" w:hint="default"/>
        </w:rPr>
        <w:t>5G</w:t>
      </w:r>
      <w:r>
        <w:rPr/>
        <w:t>基站的数量将是</w:t>
      </w:r>
      <w:r>
        <w:rPr>
          <w:rFonts w:ascii="宋体" w:hAnsi="宋体" w:cs="宋体" w:eastAsia="宋体" w:hint="default"/>
        </w:rPr>
        <w:t>4G</w:t>
      </w:r>
      <w:r>
        <w:rPr/>
        <w:t>基站的</w:t>
      </w:r>
      <w:r>
        <w:rPr>
          <w:rFonts w:ascii="宋体" w:hAnsi="宋体" w:cs="宋体" w:eastAsia="宋体" w:hint="default"/>
        </w:rPr>
        <w:t>3</w:t>
      </w:r>
      <w:r>
        <w:rPr/>
        <w:t>～</w:t>
      </w:r>
      <w:r>
        <w:rPr>
          <w:rFonts w:ascii="宋体" w:hAnsi="宋体" w:cs="宋体" w:eastAsia="宋体" w:hint="default"/>
        </w:rPr>
        <w:t>4</w:t>
      </w:r>
      <w:r>
        <w:rPr>
          <w:rFonts w:ascii="宋体" w:hAnsi="宋体" w:cs="宋体" w:eastAsia="宋体" w:hint="default"/>
          <w:w w:val="100"/>
        </w:rPr>
        <w:t> </w:t>
      </w:r>
      <w:r>
        <w:rPr/>
        <w:t>倍。这样</w:t>
      </w:r>
      <w:r>
        <w:rPr>
          <w:rFonts w:ascii="宋体" w:hAnsi="宋体" w:cs="宋体" w:eastAsia="宋体" w:hint="default"/>
        </w:rPr>
        <w:t>5G</w:t>
      </w:r>
      <w:r>
        <w:rPr/>
        <w:t>网络的整体能耗将是</w:t>
      </w:r>
      <w:r>
        <w:rPr>
          <w:rFonts w:ascii="宋体" w:hAnsi="宋体" w:cs="宋体" w:eastAsia="宋体" w:hint="default"/>
        </w:rPr>
        <w:t>4G</w:t>
      </w:r>
      <w:r>
        <w:rPr/>
        <w:t>网络的</w:t>
      </w:r>
      <w:r>
        <w:rPr>
          <w:rFonts w:ascii="宋体" w:hAnsi="宋体" w:cs="宋体" w:eastAsia="宋体" w:hint="default"/>
        </w:rPr>
        <w:t>9</w:t>
      </w:r>
      <w:r>
        <w:rPr/>
        <w:t>倍左右。而据运营商的数据显示，如果建成与</w:t>
      </w:r>
      <w:r>
        <w:rPr>
          <w:rFonts w:ascii="宋体" w:hAnsi="宋体" w:cs="宋体" w:eastAsia="宋体" w:hint="default"/>
        </w:rPr>
        <w:t>4G</w:t>
      </w:r>
      <w:r>
        <w:rPr/>
        <w:t>网络覆盖情况</w:t>
      </w:r>
      <w:r>
        <w:rPr>
          <w:spacing w:val="-29"/>
        </w:rPr>
        <w:t> </w:t>
      </w:r>
      <w:r>
        <w:rPr>
          <w:spacing w:val="-29"/>
        </w:rPr>
      </w:r>
      <w:r>
        <w:rPr>
          <w:spacing w:val="-6"/>
        </w:rPr>
        <w:t>相同的</w:t>
      </w:r>
      <w:r>
        <w:rPr>
          <w:rFonts w:ascii="宋体" w:hAnsi="宋体" w:cs="宋体" w:eastAsia="宋体" w:hint="default"/>
          <w:spacing w:val="-6"/>
        </w:rPr>
        <w:t>5G</w:t>
      </w:r>
      <w:r>
        <w:rPr>
          <w:spacing w:val="-6"/>
        </w:rPr>
        <w:t>网络，届时三大运营商的总能耗将达到</w:t>
      </w:r>
      <w:r>
        <w:rPr>
          <w:rFonts w:ascii="宋体" w:hAnsi="宋体" w:cs="宋体" w:eastAsia="宋体" w:hint="default"/>
          <w:spacing w:val="-6"/>
        </w:rPr>
        <w:t>2430</w:t>
      </w:r>
      <w:r>
        <w:rPr>
          <w:spacing w:val="-6"/>
        </w:rPr>
        <w:t>亿度，电费将超过</w:t>
      </w:r>
      <w:r>
        <w:rPr>
          <w:rFonts w:ascii="宋体" w:hAnsi="宋体" w:cs="宋体" w:eastAsia="宋体" w:hint="default"/>
          <w:spacing w:val="-6"/>
        </w:rPr>
        <w:t>2000</w:t>
      </w:r>
      <w:r>
        <w:rPr>
          <w:spacing w:val="-6"/>
        </w:rPr>
        <w:t>亿元。而这样高额的电费成本，</w:t>
      </w:r>
      <w:r>
        <w:rPr>
          <w:spacing w:val="-22"/>
        </w:rPr>
        <w:t> </w:t>
      </w:r>
      <w:r>
        <w:rPr>
          <w:spacing w:val="-22"/>
        </w:rPr>
      </w:r>
      <w:r>
        <w:rPr>
          <w:spacing w:val="-4"/>
        </w:rPr>
        <w:t>将是运营商不可承受之痛。如果我们能够研发出</w:t>
      </w:r>
      <w:r>
        <w:rPr>
          <w:rFonts w:ascii="宋体" w:hAnsi="宋体" w:cs="宋体" w:eastAsia="宋体" w:hint="default"/>
          <w:spacing w:val="-4"/>
        </w:rPr>
        <w:t>5G</w:t>
      </w:r>
      <w:r>
        <w:rPr>
          <w:spacing w:val="-4"/>
        </w:rPr>
        <w:t>基站节能或能源回收的产品及技术，哪怕节能率只有</w:t>
      </w:r>
      <w:r>
        <w:rPr>
          <w:rFonts w:ascii="宋体" w:hAnsi="宋体" w:cs="宋体" w:eastAsia="宋体" w:hint="default"/>
          <w:spacing w:val="-4"/>
        </w:rPr>
        <w:t>10%</w:t>
      </w:r>
      <w:r>
        <w:rPr>
          <w:spacing w:val="-4"/>
        </w:rPr>
        <w:t>，</w:t>
      </w:r>
      <w:r>
        <w:rPr>
          <w:spacing w:val="-32"/>
        </w:rPr>
        <w:t> </w:t>
      </w:r>
      <w:r>
        <w:rPr/>
        <w:t>每年也将是</w:t>
      </w:r>
      <w:r>
        <w:rPr>
          <w:rFonts w:ascii="宋体" w:hAnsi="宋体" w:cs="宋体" w:eastAsia="宋体" w:hint="default"/>
        </w:rPr>
        <w:t>200</w:t>
      </w:r>
      <w:r>
        <w:rPr/>
        <w:t>亿的市场。</w:t>
      </w:r>
    </w:p>
    <w:p>
      <w:pPr>
        <w:pStyle w:val="BodyText"/>
        <w:spacing w:line="408" w:lineRule="auto" w:before="48"/>
        <w:ind w:right="1024" w:firstLine="422"/>
        <w:jc w:val="left"/>
      </w:pPr>
      <w:r>
        <w:rPr>
          <w:spacing w:val="-2"/>
        </w:rPr>
        <w:t>光一科技深耕电力业务十余年，专注于信息采集技术和全面解决方案的研究与运用，重点打造以信息</w:t>
      </w:r>
      <w:r>
        <w:rPr>
          <w:w w:val="100"/>
        </w:rPr>
        <w:t> </w:t>
      </w:r>
      <w:r>
        <w:rPr/>
        <w:t>采集及处理为核心、综合能源管理为价值的智能电网互联网</w:t>
      </w:r>
      <w:r>
        <w:rPr>
          <w:rFonts w:ascii="宋体" w:hAnsi="宋体" w:cs="宋体" w:eastAsia="宋体" w:hint="default"/>
        </w:rPr>
        <w:t>+</w:t>
      </w:r>
      <w:r>
        <w:rPr/>
        <w:t>业务板块相对完整的产业链。通过解读国网</w:t>
      </w:r>
      <w:r>
        <w:rPr>
          <w:w w:val="100"/>
        </w:rPr>
        <w:t> </w:t>
      </w:r>
      <w:r>
        <w:rPr>
          <w:spacing w:val="-2"/>
        </w:rPr>
        <w:t>营销部、设备部</w:t>
      </w:r>
      <w:r>
        <w:rPr>
          <w:rFonts w:ascii="宋体" w:hAnsi="宋体" w:cs="宋体" w:eastAsia="宋体" w:hint="default"/>
          <w:spacing w:val="-2"/>
        </w:rPr>
        <w:t>2020</w:t>
      </w:r>
      <w:r>
        <w:rPr>
          <w:spacing w:val="-2"/>
        </w:rPr>
        <w:t>工作计划，我们在融合终端、智能锁具、综合能源服务的楼宇用能优化方面可以展开</w:t>
      </w:r>
      <w:r>
        <w:rPr>
          <w:spacing w:val="-29"/>
        </w:rPr>
        <w:t> </w:t>
      </w:r>
      <w:r>
        <w:rPr>
          <w:spacing w:val="-29"/>
        </w:rPr>
      </w:r>
      <w:r>
        <w:rPr/>
        <w:t>预研、研发和开拓。</w:t>
      </w:r>
    </w:p>
    <w:p>
      <w:pPr>
        <w:pStyle w:val="BodyText"/>
        <w:spacing w:line="408" w:lineRule="auto" w:before="48"/>
        <w:ind w:left="575" w:right="1024"/>
        <w:jc w:val="left"/>
      </w:pPr>
      <w:r>
        <w:rPr/>
        <w:t>（</w:t>
      </w:r>
      <w:r>
        <w:rPr>
          <w:rFonts w:ascii="宋体" w:hAnsi="宋体" w:cs="宋体" w:eastAsia="宋体" w:hint="default"/>
        </w:rPr>
        <w:t>2</w:t>
      </w:r>
      <w:r>
        <w:rPr/>
        <w:t>）版权云业务</w:t>
      </w:r>
      <w:r>
        <w:rPr>
          <w:spacing w:val="-101"/>
        </w:rPr>
        <w:t> </w:t>
      </w:r>
      <w:r>
        <w:rPr>
          <w:spacing w:val="-101"/>
        </w:rPr>
      </w:r>
      <w:r>
        <w:rPr>
          <w:color w:val="0E0E0E"/>
          <w:spacing w:val="-7"/>
          <w:w w:val="100"/>
        </w:rPr>
        <w:t>在国家政策方面，国务院在《文化产业振兴规划》、《国家“十二五”时期文化改革发展规划纲要》中</w:t>
      </w:r>
      <w:r>
        <w:rPr>
          <w:spacing w:val="-7"/>
          <w:w w:val="100"/>
        </w:rPr>
      </w:r>
    </w:p>
    <w:p>
      <w:pPr>
        <w:pStyle w:val="BodyText"/>
        <w:spacing w:line="408" w:lineRule="auto" w:before="48"/>
        <w:ind w:right="1122"/>
        <w:jc w:val="both"/>
      </w:pPr>
      <w:r>
        <w:rPr>
          <w:color w:val="0E0E0E"/>
          <w:spacing w:val="-2"/>
        </w:rPr>
        <w:t>将发展数字、网络出版产业作为出版传媒产业转型升级的重要战略；</w:t>
      </w:r>
      <w:r>
        <w:rPr>
          <w:rFonts w:ascii="宋体" w:hAnsi="宋体" w:cs="宋体" w:eastAsia="宋体" w:hint="default"/>
          <w:color w:val="0E0E0E"/>
          <w:spacing w:val="-2"/>
        </w:rPr>
        <w:t>2017</w:t>
      </w:r>
      <w:r>
        <w:rPr>
          <w:color w:val="0E0E0E"/>
          <w:spacing w:val="-2"/>
        </w:rPr>
        <w:t>年</w:t>
      </w:r>
      <w:r>
        <w:rPr>
          <w:rFonts w:ascii="宋体" w:hAnsi="宋体" w:cs="宋体" w:eastAsia="宋体" w:hint="default"/>
          <w:color w:val="0E0E0E"/>
          <w:spacing w:val="-2"/>
        </w:rPr>
        <w:t>5</w:t>
      </w:r>
      <w:r>
        <w:rPr>
          <w:color w:val="0E0E0E"/>
          <w:spacing w:val="-2"/>
        </w:rPr>
        <w:t>月</w:t>
      </w:r>
      <w:r>
        <w:rPr>
          <w:rFonts w:ascii="宋体" w:hAnsi="宋体" w:cs="宋体" w:eastAsia="宋体" w:hint="default"/>
          <w:color w:val="0E0E0E"/>
          <w:spacing w:val="-2"/>
        </w:rPr>
        <w:t>7</w:t>
      </w:r>
      <w:r>
        <w:rPr>
          <w:color w:val="0E0E0E"/>
          <w:spacing w:val="-2"/>
        </w:rPr>
        <w:t>日，中共中央办公厅、国</w:t>
      </w:r>
      <w:r>
        <w:rPr>
          <w:color w:val="0E0E0E"/>
          <w:spacing w:val="-24"/>
        </w:rPr>
        <w:t> </w:t>
      </w:r>
      <w:r>
        <w:rPr>
          <w:color w:val="0E0E0E"/>
          <w:spacing w:val="-24"/>
        </w:rPr>
      </w:r>
      <w:r>
        <w:rPr>
          <w:color w:val="0E0E0E"/>
          <w:spacing w:val="-4"/>
          <w:w w:val="100"/>
        </w:rPr>
        <w:t>务院办公厅发布了《国家“十三五”时期文化发展改革规划纲要》，在互联网</w:t>
      </w:r>
      <w:r>
        <w:rPr>
          <w:rFonts w:ascii="宋体" w:hAnsi="宋体" w:cs="宋体" w:eastAsia="宋体" w:hint="default"/>
          <w:color w:val="0E0E0E"/>
          <w:spacing w:val="-4"/>
          <w:w w:val="100"/>
        </w:rPr>
        <w:t>+</w:t>
      </w:r>
      <w:r>
        <w:rPr>
          <w:color w:val="0E0E0E"/>
          <w:spacing w:val="-4"/>
          <w:w w:val="100"/>
        </w:rPr>
        <w:t>行动中提出创新网络文化产</w:t>
      </w:r>
      <w:r>
        <w:rPr>
          <w:color w:val="0E0E0E"/>
          <w:spacing w:val="-96"/>
          <w:w w:val="100"/>
        </w:rPr>
        <w:t> </w:t>
      </w:r>
      <w:r>
        <w:rPr>
          <w:color w:val="0E0E0E"/>
          <w:spacing w:val="-96"/>
          <w:w w:val="100"/>
        </w:rPr>
      </w:r>
      <w:r>
        <w:rPr>
          <w:color w:val="0E0E0E"/>
          <w:spacing w:val="-2"/>
          <w:w w:val="100"/>
        </w:rPr>
        <w:t>品和服务，引导支持网络文化产业基地建设，建设中国文化（出版广电）大数据产业平台（</w:t>
      </w:r>
      <w:r>
        <w:rPr>
          <w:rFonts w:ascii="宋体" w:hAnsi="宋体" w:cs="宋体" w:eastAsia="宋体" w:hint="default"/>
          <w:color w:val="0E0E0E"/>
          <w:spacing w:val="-2"/>
          <w:w w:val="100"/>
        </w:rPr>
        <w:t>CCDI</w:t>
      </w:r>
      <w:r>
        <w:rPr>
          <w:color w:val="0E0E0E"/>
          <w:spacing w:val="-2"/>
          <w:w w:val="100"/>
        </w:rPr>
        <w:t>），在国</w:t>
      </w:r>
      <w:r>
        <w:rPr>
          <w:color w:val="0E0E0E"/>
          <w:spacing w:val="-92"/>
          <w:w w:val="100"/>
        </w:rPr>
        <w:t> </w:t>
      </w:r>
      <w:r>
        <w:rPr>
          <w:color w:val="0E0E0E"/>
          <w:spacing w:val="-92"/>
          <w:w w:val="100"/>
        </w:rPr>
      </w:r>
      <w:r>
        <w:rPr>
          <w:color w:val="0E0E0E"/>
        </w:rPr>
        <w:t>家战略高度上明确了版权云项目的定位。</w:t>
      </w:r>
      <w:r>
        <w:rPr/>
      </w:r>
    </w:p>
    <w:p>
      <w:pPr>
        <w:pStyle w:val="BodyText"/>
        <w:spacing w:line="408" w:lineRule="auto" w:before="48"/>
        <w:ind w:right="1126" w:firstLine="422"/>
        <w:jc w:val="both"/>
      </w:pPr>
      <w:r>
        <w:rPr/>
        <w:t>光一科技是</w:t>
      </w:r>
      <w:r>
        <w:rPr>
          <w:rFonts w:ascii="宋体" w:hAnsi="宋体" w:cs="宋体" w:eastAsia="宋体" w:hint="default"/>
        </w:rPr>
        <w:t>CCDI</w:t>
      </w:r>
      <w:r>
        <w:rPr/>
        <w:t>版权云项目的主要发起方和基石推动者。</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25</w:t>
      </w:r>
      <w:r>
        <w:rPr/>
        <w:t>日，公司与贵州省人民政府驻</w:t>
      </w:r>
      <w:r>
        <w:rPr>
          <w:w w:val="100"/>
        </w:rPr>
        <w:t> </w:t>
      </w:r>
      <w:r>
        <w:rPr>
          <w:spacing w:val="-2"/>
        </w:rPr>
        <w:t>北京办事处、贵州省新闻出版局、贵州广电传媒集团、贵州文化产业投资管理有限公司、中国音像与数字</w:t>
      </w:r>
      <w:r>
        <w:rPr>
          <w:spacing w:val="-33"/>
        </w:rPr>
        <w:t> </w:t>
      </w:r>
      <w:r>
        <w:rPr>
          <w:spacing w:val="-33"/>
        </w:rPr>
      </w:r>
      <w:r>
        <w:rPr>
          <w:spacing w:val="-2"/>
        </w:rPr>
        <w:t>出版协会数字音像工作委员会、天擎华媒（北京）科技有限公司等部门和单位共同签署了《建设国家级数</w:t>
      </w:r>
      <w:r>
        <w:rPr>
          <w:spacing w:val="-33"/>
        </w:rPr>
        <w:t> </w:t>
      </w:r>
      <w:r>
        <w:rPr>
          <w:spacing w:val="-33"/>
        </w:rPr>
      </w:r>
      <w:r>
        <w:rPr>
          <w:spacing w:val="-2"/>
          <w:w w:val="100"/>
        </w:rPr>
        <w:t>字音像出版等系列项目战略合作协议》，共同实施建设以版权管理大数据为核心的“国家级数字音像传播</w:t>
      </w:r>
      <w:r>
        <w:rPr>
          <w:spacing w:val="-97"/>
          <w:w w:val="100"/>
        </w:rPr>
        <w:t> </w:t>
      </w:r>
      <w:r>
        <w:rPr>
          <w:spacing w:val="-97"/>
          <w:w w:val="100"/>
        </w:rPr>
      </w:r>
      <w:r>
        <w:rPr>
          <w:spacing w:val="-2"/>
          <w:w w:val="100"/>
        </w:rPr>
        <w:t>服务监管平台”及“国家级数字音像出版及版权备案库”。</w:t>
      </w:r>
      <w:r>
        <w:rPr>
          <w:rFonts w:ascii="宋体" w:hAnsi="宋体" w:cs="宋体" w:eastAsia="宋体" w:hint="default"/>
          <w:spacing w:val="-2"/>
          <w:w w:val="100"/>
        </w:rPr>
        <w:t>2015</w:t>
      </w:r>
      <w:r>
        <w:rPr>
          <w:spacing w:val="-2"/>
          <w:w w:val="100"/>
        </w:rPr>
        <w:t>年</w:t>
      </w:r>
      <w:r>
        <w:rPr>
          <w:rFonts w:ascii="宋体" w:hAnsi="宋体" w:cs="宋体" w:eastAsia="宋体" w:hint="default"/>
          <w:spacing w:val="-2"/>
          <w:w w:val="100"/>
        </w:rPr>
        <w:t>10</w:t>
      </w:r>
      <w:r>
        <w:rPr>
          <w:spacing w:val="-2"/>
          <w:w w:val="100"/>
        </w:rPr>
        <w:t>月</w:t>
      </w:r>
      <w:r>
        <w:rPr>
          <w:rFonts w:ascii="宋体" w:hAnsi="宋体" w:cs="宋体" w:eastAsia="宋体" w:hint="default"/>
          <w:spacing w:val="-2"/>
          <w:w w:val="100"/>
        </w:rPr>
        <w:t>16</w:t>
      </w:r>
      <w:r>
        <w:rPr>
          <w:spacing w:val="-2"/>
          <w:w w:val="100"/>
        </w:rPr>
        <w:t>日，国家新闻出版广电总局和贵</w:t>
      </w:r>
      <w:r>
        <w:rPr>
          <w:spacing w:val="-89"/>
          <w:w w:val="100"/>
        </w:rPr>
        <w:t> </w:t>
      </w:r>
      <w:r>
        <w:rPr>
          <w:spacing w:val="-89"/>
          <w:w w:val="100"/>
        </w:rPr>
      </w:r>
      <w:r>
        <w:rPr>
          <w:spacing w:val="-2"/>
          <w:w w:val="100"/>
        </w:rPr>
        <w:t>州省人民政府签署《关于合作推动中国文化（出版广电）大数据产业项目开发的协议》，将“国家数字音</w:t>
      </w:r>
      <w:r>
        <w:rPr>
          <w:spacing w:val="-99"/>
          <w:w w:val="100"/>
        </w:rPr>
        <w:t> </w:t>
      </w:r>
      <w:r>
        <w:rPr>
          <w:spacing w:val="-99"/>
          <w:w w:val="100"/>
        </w:rPr>
      </w:r>
      <w:r>
        <w:rPr/>
        <w:t>像传播服务平台”项目（即版权云项目）纳入</w:t>
      </w:r>
      <w:r>
        <w:rPr>
          <w:rFonts w:ascii="宋体" w:hAnsi="宋体" w:cs="宋体" w:eastAsia="宋体" w:hint="default"/>
        </w:rPr>
        <w:t>CCDI</w:t>
      </w:r>
      <w:r>
        <w:rPr/>
        <w:t>总体项目统一规划。</w:t>
      </w:r>
    </w:p>
    <w:p>
      <w:pPr>
        <w:spacing w:after="0" w:line="408" w:lineRule="auto"/>
        <w:jc w:val="both"/>
        <w:sectPr>
          <w:pgSz w:w="11910" w:h="16840"/>
          <w:pgMar w:header="871" w:footer="1037" w:top="1100" w:bottom="1220" w:left="980" w:right="0"/>
        </w:sectPr>
      </w:pPr>
    </w:p>
    <w:p>
      <w:pPr>
        <w:spacing w:line="240" w:lineRule="auto" w:before="10"/>
        <w:rPr>
          <w:rFonts w:ascii="宋体" w:hAnsi="宋体" w:cs="宋体" w:eastAsia="宋体" w:hint="default"/>
          <w:sz w:val="25"/>
          <w:szCs w:val="25"/>
        </w:rPr>
      </w:pPr>
    </w:p>
    <w:p>
      <w:pPr>
        <w:pStyle w:val="Heading2"/>
        <w:spacing w:line="240" w:lineRule="auto" w:before="26"/>
        <w:ind w:right="1024"/>
        <w:jc w:val="left"/>
        <w:rPr>
          <w:b w:val="0"/>
          <w:bCs w:val="0"/>
        </w:rPr>
      </w:pPr>
      <w:bookmarkStart w:name="二、主要资产重大变化情况" w:id="18"/>
      <w:bookmarkEnd w:id="18"/>
      <w:r>
        <w:rPr>
          <w:b w:val="0"/>
          <w:bCs w:val="0"/>
        </w:rPr>
      </w:r>
      <w:r>
        <w:rPr/>
        <w:t>二、主要资产重大变化情况</w:t>
      </w:r>
      <w:r>
        <w:rPr>
          <w:b w:val="0"/>
          <w:bCs w:val="0"/>
        </w:rPr>
      </w:r>
    </w:p>
    <w:p>
      <w:pPr>
        <w:pStyle w:val="Heading4"/>
        <w:spacing w:line="240" w:lineRule="auto" w:before="177"/>
        <w:ind w:right="1024"/>
        <w:jc w:val="left"/>
        <w:rPr>
          <w:b w:val="0"/>
          <w:bCs w:val="0"/>
        </w:rPr>
      </w:pPr>
      <w:bookmarkStart w:name="1、主要资产重大变化情况" w:id="19"/>
      <w:bookmarkEnd w:id="19"/>
      <w:r>
        <w:rPr>
          <w:b w:val="0"/>
          <w:bCs w:val="0"/>
        </w:rPr>
      </w:r>
      <w:r>
        <w:rPr>
          <w:rFonts w:ascii="宋体" w:hAnsi="宋体" w:cs="宋体" w:eastAsia="宋体" w:hint="default"/>
        </w:rPr>
        <w:t>1</w:t>
      </w:r>
      <w:r>
        <w:rPr/>
        <w:t>、主要资产重大变化情况</w:t>
      </w:r>
      <w:r>
        <w:rPr>
          <w:b w:val="0"/>
          <w:bCs w:val="0"/>
        </w:rPr>
      </w:r>
    </w:p>
    <w:p>
      <w:pPr>
        <w:spacing w:line="240" w:lineRule="auto" w:before="11"/>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3054"/>
        <w:gridCol w:w="6516"/>
      </w:tblGrid>
      <w:tr>
        <w:trPr>
          <w:trHeight w:val="773" w:hRule="exact"/>
        </w:trPr>
        <w:tc>
          <w:tcPr>
            <w:tcW w:w="305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3" w:hRule="exact"/>
        </w:trPr>
        <w:tc>
          <w:tcPr>
            <w:tcW w:w="305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6" w:hRule="exact"/>
        </w:trPr>
        <w:tc>
          <w:tcPr>
            <w:tcW w:w="305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3"/>
              <w:ind w:left="100" w:right="133"/>
              <w:jc w:val="left"/>
              <w:rPr>
                <w:rFonts w:ascii="宋体" w:hAnsi="宋体" w:cs="宋体" w:eastAsia="宋体" w:hint="default"/>
                <w:sz w:val="18"/>
                <w:szCs w:val="18"/>
              </w:rPr>
            </w:pPr>
            <w:r>
              <w:rPr>
                <w:rFonts w:ascii="宋体" w:hAnsi="宋体" w:cs="宋体" w:eastAsia="宋体" w:hint="default"/>
                <w:sz w:val="18"/>
                <w:szCs w:val="18"/>
              </w:rPr>
              <w:t>固定资产较期初减少 </w:t>
            </w:r>
            <w:r>
              <w:rPr>
                <w:rFonts w:ascii="宋体" w:hAnsi="宋体" w:cs="宋体" w:eastAsia="宋体" w:hint="default"/>
                <w:spacing w:val="-3"/>
                <w:sz w:val="18"/>
                <w:szCs w:val="18"/>
              </w:rPr>
              <w:t>18.6%</w:t>
            </w:r>
            <w:r>
              <w:rPr>
                <w:rFonts w:ascii="宋体" w:hAnsi="宋体" w:cs="宋体" w:eastAsia="宋体" w:hint="default"/>
                <w:spacing w:val="-3"/>
                <w:sz w:val="18"/>
                <w:szCs w:val="18"/>
              </w:rPr>
              <w:t>，主要为报告期内公司房产对外出租增加，转入投资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性房地产</w:t>
            </w:r>
          </w:p>
        </w:tc>
      </w:tr>
      <w:tr>
        <w:trPr>
          <w:trHeight w:val="403" w:hRule="exact"/>
        </w:trPr>
        <w:tc>
          <w:tcPr>
            <w:tcW w:w="305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0" w:hRule="exact"/>
        </w:trPr>
        <w:tc>
          <w:tcPr>
            <w:tcW w:w="305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3"/>
              <w:ind w:left="100" w:right="85"/>
              <w:jc w:val="left"/>
              <w:rPr>
                <w:rFonts w:ascii="宋体" w:hAnsi="宋体" w:cs="宋体" w:eastAsia="宋体" w:hint="default"/>
                <w:sz w:val="18"/>
                <w:szCs w:val="18"/>
              </w:rPr>
            </w:pPr>
            <w:r>
              <w:rPr>
                <w:rFonts w:ascii="宋体" w:hAnsi="宋体" w:cs="宋体" w:eastAsia="宋体" w:hint="default"/>
                <w:sz w:val="18"/>
                <w:szCs w:val="18"/>
              </w:rPr>
              <w:t>在建工程较期初增长 </w:t>
            </w:r>
            <w:r>
              <w:rPr>
                <w:rFonts w:ascii="宋体" w:hAnsi="宋体" w:cs="宋体" w:eastAsia="宋体" w:hint="default"/>
                <w:spacing w:val="-4"/>
                <w:sz w:val="18"/>
                <w:szCs w:val="18"/>
              </w:rPr>
              <w:t>13.31%</w:t>
            </w:r>
            <w:r>
              <w:rPr>
                <w:rFonts w:ascii="宋体" w:hAnsi="宋体" w:cs="宋体" w:eastAsia="宋体" w:hint="default"/>
                <w:spacing w:val="-4"/>
                <w:sz w:val="18"/>
                <w:szCs w:val="18"/>
              </w:rPr>
              <w:t>，主要为报告期内公司生产厂房（三）等在建工程增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加投入</w:t>
            </w:r>
          </w:p>
        </w:tc>
      </w:tr>
      <w:tr>
        <w:trPr>
          <w:trHeight w:val="716" w:hRule="exact"/>
        </w:trPr>
        <w:tc>
          <w:tcPr>
            <w:tcW w:w="30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6" w:type="dxa"/>
            <w:tcBorders>
              <w:top w:val="single" w:sz="4" w:space="0" w:color="000000"/>
              <w:left w:val="single" w:sz="4" w:space="0" w:color="000000"/>
              <w:bottom w:val="single" w:sz="4" w:space="0" w:color="000000"/>
              <w:right w:val="single" w:sz="12" w:space="0" w:color="000000"/>
            </w:tcBorders>
          </w:tcPr>
          <w:p>
            <w:pPr>
              <w:pStyle w:val="TableParagraph"/>
              <w:spacing w:line="324" w:lineRule="auto" w:before="53"/>
              <w:ind w:left="100" w:right="132"/>
              <w:jc w:val="left"/>
              <w:rPr>
                <w:rFonts w:ascii="宋体" w:hAnsi="宋体" w:cs="宋体" w:eastAsia="宋体" w:hint="default"/>
                <w:sz w:val="18"/>
                <w:szCs w:val="18"/>
              </w:rPr>
            </w:pPr>
            <w:r>
              <w:rPr>
                <w:rFonts w:ascii="宋体" w:hAnsi="宋体" w:cs="宋体" w:eastAsia="宋体" w:hint="default"/>
                <w:sz w:val="18"/>
                <w:szCs w:val="18"/>
              </w:rPr>
              <w:t>投资性房地产较期初增长 </w:t>
            </w:r>
            <w:r>
              <w:rPr>
                <w:rFonts w:ascii="宋体" w:hAnsi="宋体" w:cs="宋体" w:eastAsia="宋体" w:hint="default"/>
                <w:spacing w:val="-3"/>
                <w:sz w:val="18"/>
                <w:szCs w:val="18"/>
              </w:rPr>
              <w:t>256.11%</w:t>
            </w:r>
            <w:r>
              <w:rPr>
                <w:rFonts w:ascii="宋体" w:hAnsi="宋体" w:cs="宋体" w:eastAsia="宋体" w:hint="default"/>
                <w:spacing w:val="-3"/>
                <w:sz w:val="18"/>
                <w:szCs w:val="18"/>
              </w:rPr>
              <w:t>，主要为报告期内公司房产对外出租增加，由</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固定资产转入</w:t>
            </w:r>
          </w:p>
        </w:tc>
      </w:tr>
      <w:tr>
        <w:trPr>
          <w:trHeight w:val="1037" w:hRule="exact"/>
        </w:trPr>
        <w:tc>
          <w:tcPr>
            <w:tcW w:w="305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6" w:type="dxa"/>
            <w:tcBorders>
              <w:top w:val="single" w:sz="4" w:space="0" w:color="000000"/>
              <w:left w:val="single" w:sz="4" w:space="0" w:color="000000"/>
              <w:bottom w:val="single" w:sz="12" w:space="0" w:color="000000"/>
              <w:right w:val="single" w:sz="12" w:space="0" w:color="000000"/>
            </w:tcBorders>
          </w:tcPr>
          <w:p>
            <w:pPr>
              <w:pStyle w:val="TableParagraph"/>
              <w:spacing w:line="316" w:lineRule="auto" w:before="53"/>
              <w:ind w:left="100" w:right="90"/>
              <w:jc w:val="both"/>
              <w:rPr>
                <w:rFonts w:ascii="宋体" w:hAnsi="宋体" w:cs="宋体" w:eastAsia="宋体" w:hint="default"/>
                <w:sz w:val="18"/>
                <w:szCs w:val="18"/>
              </w:rPr>
            </w:pPr>
            <w:r>
              <w:rPr>
                <w:rFonts w:ascii="宋体" w:hAnsi="宋体" w:cs="宋体" w:eastAsia="宋体" w:hint="default"/>
                <w:sz w:val="18"/>
                <w:szCs w:val="18"/>
              </w:rPr>
              <w:t>货币资金较期初增长 </w:t>
            </w:r>
            <w:r>
              <w:rPr>
                <w:rFonts w:ascii="宋体" w:hAnsi="宋体" w:cs="宋体" w:eastAsia="宋体" w:hint="default"/>
                <w:spacing w:val="-3"/>
                <w:sz w:val="18"/>
                <w:szCs w:val="18"/>
              </w:rPr>
              <w:t>89.7%</w:t>
            </w:r>
            <w:r>
              <w:rPr>
                <w:rFonts w:ascii="宋体" w:hAnsi="宋体" w:cs="宋体" w:eastAsia="宋体" w:hint="default"/>
                <w:spacing w:val="-3"/>
                <w:sz w:val="18"/>
                <w:szCs w:val="18"/>
              </w:rPr>
              <w:t>，主要为报告期内加强应收账款催收和回流，回款状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况较好；同时公司加强智能终端产品的研发推广力度，在新疆和西藏几个市场获</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得销售增长</w:t>
            </w:r>
          </w:p>
        </w:tc>
      </w:tr>
    </w:tbl>
    <w:p>
      <w:pPr>
        <w:pStyle w:val="Heading4"/>
        <w:spacing w:line="240" w:lineRule="auto" w:before="66"/>
        <w:ind w:right="0"/>
        <w:jc w:val="both"/>
        <w:rPr>
          <w:b w:val="0"/>
          <w:bCs w:val="0"/>
        </w:rPr>
      </w:pPr>
      <w:bookmarkStart w:name="2、主要境外资产情况" w:id="20"/>
      <w:bookmarkEnd w:id="20"/>
      <w:r>
        <w:rPr>
          <w:b w:val="0"/>
          <w:bCs w:val="0"/>
        </w:rPr>
      </w:r>
      <w:r>
        <w:rPr>
          <w:rFonts w:ascii="宋体" w:hAnsi="宋体" w:cs="宋体" w:eastAsia="宋体" w:hint="default"/>
        </w:rPr>
        <w:t>2</w:t>
      </w:r>
      <w:r>
        <w:rPr/>
        <w:t>、主要境外资产情况</w:t>
      </w:r>
      <w:r>
        <w:rPr>
          <w:b w:val="0"/>
          <w:bCs w:val="0"/>
        </w:rPr>
      </w:r>
    </w:p>
    <w:p>
      <w:pPr>
        <w:spacing w:line="240" w:lineRule="auto" w:before="13"/>
        <w:rPr>
          <w:rFonts w:ascii="宋体" w:hAnsi="宋体" w:cs="宋体" w:eastAsia="宋体" w:hint="default"/>
          <w:b/>
          <w:bCs/>
          <w:sz w:val="14"/>
          <w:szCs w:val="14"/>
        </w:rPr>
      </w:pPr>
    </w:p>
    <w:p>
      <w:pPr>
        <w:pStyle w:val="BodyText"/>
        <w:spacing w:line="240" w:lineRule="auto"/>
        <w:ind w:right="0"/>
        <w:jc w:val="both"/>
      </w:pPr>
      <w:r>
        <w:rPr/>
        <w:t>□ 适用 √</w:t>
      </w:r>
      <w:r>
        <w:rPr>
          <w:spacing w:val="4"/>
        </w:rPr>
        <w:t> </w:t>
      </w:r>
      <w:r>
        <w:rPr/>
        <w:t>不适用</w:t>
      </w:r>
    </w:p>
    <w:p>
      <w:pPr>
        <w:pStyle w:val="Heading2"/>
        <w:spacing w:line="240" w:lineRule="auto" w:before="165"/>
        <w:ind w:right="0"/>
        <w:jc w:val="both"/>
        <w:rPr>
          <w:b w:val="0"/>
          <w:bCs w:val="0"/>
        </w:rPr>
      </w:pPr>
      <w:bookmarkStart w:name="核心竞争力分析" w:id="21"/>
      <w:bookmarkEnd w:id="21"/>
      <w:r>
        <w:rPr>
          <w:b w:val="0"/>
          <w:bCs w:val="0"/>
        </w:rPr>
      </w:r>
      <w:r>
        <w:rPr/>
        <w:t>核心竞争力分析</w:t>
      </w:r>
      <w:r>
        <w:rPr>
          <w:b w:val="0"/>
          <w:bCs w:val="0"/>
        </w:rPr>
      </w:r>
    </w:p>
    <w:p>
      <w:pPr>
        <w:pStyle w:val="BodyText"/>
        <w:spacing w:line="408" w:lineRule="auto" w:before="181"/>
        <w:ind w:left="575" w:right="1024"/>
        <w:jc w:val="left"/>
      </w:pPr>
      <w:bookmarkStart w:name="1、电力业务" w:id="22"/>
      <w:bookmarkEnd w:id="22"/>
      <w:r>
        <w:rPr/>
      </w:r>
      <w:r>
        <w:rPr>
          <w:rFonts w:ascii="宋体" w:hAnsi="宋体" w:cs="宋体" w:eastAsia="宋体" w:hint="default"/>
          <w:b/>
          <w:bCs/>
        </w:rPr>
        <w:t>1</w:t>
      </w:r>
      <w:r>
        <w:rPr>
          <w:rFonts w:ascii="宋体" w:hAnsi="宋体" w:cs="宋体" w:eastAsia="宋体" w:hint="default"/>
          <w:b/>
          <w:bCs/>
        </w:rPr>
        <w:t>、电力业务</w:t>
      </w:r>
      <w:r>
        <w:rPr>
          <w:rFonts w:ascii="宋体" w:hAnsi="宋体" w:cs="宋体" w:eastAsia="宋体" w:hint="default"/>
          <w:b/>
          <w:bCs/>
          <w:w w:val="100"/>
        </w:rPr>
        <w:t> </w:t>
      </w:r>
      <w:r>
        <w:rPr>
          <w:spacing w:val="-2"/>
        </w:rPr>
        <w:t>公司是国内用电信息采集系统最早的发起者和领导者，是目前为数不多的能够从主站系统、通信组网</w:t>
      </w:r>
    </w:p>
    <w:p>
      <w:pPr>
        <w:pStyle w:val="BodyText"/>
        <w:spacing w:line="408" w:lineRule="auto" w:before="48"/>
        <w:ind w:right="1123"/>
        <w:jc w:val="both"/>
      </w:pPr>
      <w:r>
        <w:rPr>
          <w:spacing w:val="-2"/>
        </w:rPr>
        <w:t>到终端采集设备整体解决方案的供应商。参与了多项国家和行业标准的制定，拥有相关产品的全部知识产</w:t>
      </w:r>
      <w:r>
        <w:rPr>
          <w:spacing w:val="-33"/>
        </w:rPr>
        <w:t> </w:t>
      </w:r>
      <w:r>
        <w:rPr>
          <w:spacing w:val="-33"/>
        </w:rPr>
      </w:r>
      <w:r>
        <w:rPr>
          <w:spacing w:val="-2"/>
        </w:rPr>
        <w:t>权。公司在电力业务领域积累了深厚的技术基础、良好的产品口碑和品牌效应，公司提升技术力量开发新</w:t>
      </w:r>
      <w:r>
        <w:rPr>
          <w:spacing w:val="-33"/>
        </w:rPr>
        <w:t> </w:t>
      </w:r>
      <w:r>
        <w:rPr>
          <w:spacing w:val="-33"/>
        </w:rPr>
      </w:r>
      <w:r>
        <w:rPr>
          <w:spacing w:val="-2"/>
        </w:rPr>
        <w:t>产品的同时，为新一轮业务发展提前做技术储备和业务布局，在配电网的综合信息及状态采集与应用、新</w:t>
      </w:r>
      <w:r>
        <w:rPr>
          <w:spacing w:val="-33"/>
        </w:rPr>
        <w:t> </w:t>
      </w:r>
      <w:r>
        <w:rPr>
          <w:spacing w:val="-33"/>
        </w:rPr>
      </w:r>
      <w:r>
        <w:rPr>
          <w:spacing w:val="-2"/>
        </w:rPr>
        <w:t>的通讯技术在信息采集方面的应用、配电网的能源区域管理与互动等方面持续加强投入。目前，公司具备</w:t>
      </w:r>
      <w:r>
        <w:rPr>
          <w:spacing w:val="-33"/>
        </w:rPr>
        <w:t> </w:t>
      </w:r>
      <w:r>
        <w:rPr>
          <w:spacing w:val="-33"/>
        </w:rPr>
      </w:r>
      <w:r>
        <w:rPr>
          <w:spacing w:val="-2"/>
        </w:rPr>
        <w:t>终端制造、工程服务等多维度市场，可以为客户提供多元化电力业务服务，公司将充分利用电力产业链优</w:t>
      </w:r>
      <w:r>
        <w:rPr>
          <w:spacing w:val="-31"/>
        </w:rPr>
        <w:t> </w:t>
      </w:r>
      <w:r>
        <w:rPr>
          <w:spacing w:val="-31"/>
        </w:rPr>
      </w:r>
      <w:r>
        <w:rPr/>
        <w:t>势，以数据采集与处理为核心、综合能源管理为价值形成自己核心竞争力。</w:t>
      </w:r>
    </w:p>
    <w:p>
      <w:pPr>
        <w:pStyle w:val="BodyText"/>
        <w:spacing w:line="240" w:lineRule="auto" w:before="49"/>
        <w:ind w:left="575" w:right="1024"/>
        <w:jc w:val="left"/>
      </w:pPr>
      <w:r>
        <w:rPr>
          <w:rFonts w:ascii="宋体" w:hAnsi="宋体" w:cs="宋体" w:eastAsia="宋体" w:hint="default"/>
        </w:rPr>
        <w:t>2</w:t>
      </w:r>
      <w:r>
        <w:rPr/>
        <w:t>、版权云业务</w:t>
      </w:r>
    </w:p>
    <w:p>
      <w:pPr>
        <w:spacing w:line="240" w:lineRule="auto" w:before="8"/>
        <w:rPr>
          <w:rFonts w:ascii="宋体" w:hAnsi="宋体" w:cs="宋体" w:eastAsia="宋体" w:hint="default"/>
          <w:sz w:val="14"/>
          <w:szCs w:val="14"/>
        </w:rPr>
      </w:pPr>
    </w:p>
    <w:p>
      <w:pPr>
        <w:pStyle w:val="BodyText"/>
        <w:spacing w:line="408" w:lineRule="auto"/>
        <w:ind w:right="1124" w:firstLine="422"/>
        <w:jc w:val="both"/>
      </w:pPr>
      <w:r>
        <w:rPr/>
        <w:t>《国家“十三五”时期文化发展改革规划纲要》在互联网</w:t>
      </w:r>
      <w:r>
        <w:rPr>
          <w:rFonts w:ascii="宋体" w:hAnsi="宋体" w:cs="宋体" w:eastAsia="宋体" w:hint="default"/>
        </w:rPr>
        <w:t>+</w:t>
      </w:r>
      <w:r>
        <w:rPr/>
        <w:t>行动中提出创新网络文化产品和服务，引</w:t>
      </w:r>
      <w:r>
        <w:rPr>
          <w:w w:val="100"/>
        </w:rPr>
        <w:t> </w:t>
      </w:r>
      <w:r>
        <w:rPr>
          <w:spacing w:val="-2"/>
          <w:w w:val="100"/>
        </w:rPr>
        <w:t>导支持网络文化产业基地建设，建设中国文化（出版广电）大数据产业平台（</w:t>
      </w:r>
      <w:r>
        <w:rPr>
          <w:rFonts w:ascii="宋体" w:hAnsi="宋体" w:cs="宋体" w:eastAsia="宋体" w:hint="default"/>
          <w:spacing w:val="-2"/>
          <w:w w:val="100"/>
        </w:rPr>
        <w:t>CCDI</w:t>
      </w:r>
      <w:r>
        <w:rPr>
          <w:spacing w:val="-2"/>
          <w:w w:val="100"/>
        </w:rPr>
        <w:t>），在国家战略高度上</w:t>
      </w:r>
      <w:r>
        <w:rPr>
          <w:spacing w:val="-92"/>
          <w:w w:val="100"/>
        </w:rPr>
        <w:t> </w:t>
      </w:r>
      <w:r>
        <w:rPr>
          <w:spacing w:val="-92"/>
          <w:w w:val="100"/>
        </w:rPr>
      </w:r>
      <w:r>
        <w:rPr>
          <w:spacing w:val="-2"/>
        </w:rPr>
        <w:t>明确了版权云项目的定位。同时，版权云项目也是国家新闻出版广电总局和贵州省人民政府联合推动的项</w:t>
      </w:r>
      <w:r>
        <w:rPr>
          <w:spacing w:val="-33"/>
        </w:rPr>
        <w:t> </w:t>
      </w:r>
      <w:r>
        <w:rPr>
          <w:spacing w:val="-33"/>
        </w:rPr>
      </w:r>
      <w:r>
        <w:rPr>
          <w:spacing w:val="-7"/>
        </w:rPr>
        <w:t>目，在政策、资源、行业规则制定等方面具有天然优势。公司作为版权云项目的主要发起方和基石推动者， </w:t>
      </w:r>
      <w:r>
        <w:rPr>
          <w:spacing w:val="-7"/>
        </w:rPr>
      </w:r>
      <w:r>
        <w:rPr>
          <w:spacing w:val="-2"/>
        </w:rPr>
        <w:t>可以依靠贵州文交所的牌照优势、国家千人计划区块链团队的技术优势、国内领先文化交易团队的运营优</w:t>
      </w:r>
    </w:p>
    <w:p>
      <w:pPr>
        <w:spacing w:after="0" w:line="408" w:lineRule="auto"/>
        <w:jc w:val="both"/>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5" w:lineRule="auto" w:before="36"/>
        <w:ind w:right="1024"/>
        <w:jc w:val="left"/>
      </w:pPr>
      <w:bookmarkStart w:name="_bookmark3" w:id="23"/>
      <w:bookmarkEnd w:id="23"/>
      <w:r>
        <w:rPr/>
      </w:r>
      <w:r>
        <w:rPr>
          <w:spacing w:val="-2"/>
        </w:rPr>
        <w:t>势以及国内最领先编目团队的内容分拆技术优势，通过资源整合形成光一科技在数字版权内容风控、交易</w:t>
      </w:r>
      <w:r>
        <w:rPr>
          <w:spacing w:val="-33"/>
        </w:rPr>
        <w:t> </w:t>
      </w:r>
      <w:r>
        <w:rPr>
          <w:spacing w:val="-33"/>
        </w:rPr>
      </w:r>
      <w:r>
        <w:rPr/>
        <w:t>分发环节先行先试的市场优势。</w:t>
      </w:r>
    </w:p>
    <w:p>
      <w:pPr>
        <w:pStyle w:val="BodyText"/>
        <w:spacing w:line="405" w:lineRule="auto" w:before="51"/>
        <w:ind w:left="575" w:right="1024"/>
        <w:jc w:val="left"/>
      </w:pPr>
      <w:r>
        <w:rPr>
          <w:rFonts w:ascii="宋体" w:hAnsi="宋体" w:cs="宋体" w:eastAsia="宋体" w:hint="default"/>
        </w:rPr>
        <w:t>3</w:t>
      </w:r>
      <w:r>
        <w:rPr/>
        <w:t>、健康信息服务业务</w:t>
      </w:r>
      <w:r>
        <w:rPr>
          <w:spacing w:val="-99"/>
        </w:rPr>
        <w:t> </w:t>
      </w:r>
      <w:r>
        <w:rPr>
          <w:spacing w:val="-99"/>
        </w:rPr>
      </w:r>
      <w:r>
        <w:rPr>
          <w:spacing w:val="-2"/>
        </w:rPr>
        <w:t>云商天下与南京医科大学独家合作，是南京医科大学转化医学研究院（江苏省转化医学研究院）医工</w:t>
      </w:r>
    </w:p>
    <w:p>
      <w:pPr>
        <w:pStyle w:val="BodyText"/>
        <w:spacing w:line="405" w:lineRule="auto" w:before="50"/>
        <w:ind w:right="0"/>
        <w:jc w:val="left"/>
      </w:pPr>
      <w:r>
        <w:rPr/>
        <w:t>融合平台单位，在构建新诊疗服务模式中逐步建立起较强的连接能力，在技术沉淀和经验积累方面具有优</w:t>
      </w:r>
      <w:r>
        <w:rPr>
          <w:w w:val="100"/>
        </w:rPr>
        <w:t> </w:t>
      </w:r>
      <w:r>
        <w:rPr>
          <w:spacing w:val="-2"/>
        </w:rPr>
        <w:t>势，协助南京医科大学的附属医院互联网化的同时衍生出多种区域性互联网医疗服务及专科化互联网服务。</w:t>
      </w:r>
    </w:p>
    <w:p>
      <w:pPr>
        <w:spacing w:after="0" w:line="405" w:lineRule="auto"/>
        <w:jc w:val="left"/>
        <w:sectPr>
          <w:pgSz w:w="11910" w:h="16840"/>
          <w:pgMar w:header="871" w:footer="1037" w:top="110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1"/>
        <w:spacing w:line="240" w:lineRule="auto"/>
        <w:ind w:right="1024"/>
        <w:jc w:val="left"/>
        <w:rPr>
          <w:b w:val="0"/>
          <w:bCs w:val="0"/>
        </w:rPr>
      </w:pPr>
      <w:bookmarkStart w:name="第四节 经营情况讨论与分析" w:id="24"/>
      <w:bookmarkEnd w:id="24"/>
      <w:r>
        <w:rPr>
          <w:b w:val="0"/>
          <w:bCs w:val="0"/>
        </w:rPr>
      </w:r>
      <w:r>
        <w:rPr/>
        <w:t>第四节</w:t>
      </w:r>
      <w:r>
        <w:rPr>
          <w:spacing w:val="1"/>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pStyle w:val="Heading2"/>
        <w:spacing w:line="240" w:lineRule="auto" w:before="26"/>
        <w:ind w:right="1024"/>
        <w:jc w:val="left"/>
        <w:rPr>
          <w:b w:val="0"/>
          <w:bCs w:val="0"/>
        </w:rPr>
      </w:pPr>
      <w:bookmarkStart w:name="一、概述" w:id="25"/>
      <w:bookmarkEnd w:id="25"/>
      <w:r>
        <w:rPr>
          <w:b w:val="0"/>
          <w:bCs w:val="0"/>
        </w:rPr>
      </w:r>
      <w:r>
        <w:rPr/>
        <w:t>一、概述</w:t>
      </w:r>
      <w:r>
        <w:rPr>
          <w:b w:val="0"/>
          <w:bCs w:val="0"/>
        </w:rPr>
      </w:r>
    </w:p>
    <w:p>
      <w:pPr>
        <w:pStyle w:val="BodyText"/>
        <w:spacing w:line="408" w:lineRule="auto" w:before="181"/>
        <w:ind w:right="1125" w:firstLine="422"/>
        <w:jc w:val="both"/>
      </w:pPr>
      <w:r>
        <w:rPr>
          <w:rFonts w:ascii="宋体" w:hAnsi="宋体" w:cs="宋体" w:eastAsia="宋体" w:hint="default"/>
          <w:spacing w:val="-2"/>
        </w:rPr>
        <w:t>2019</w:t>
      </w:r>
      <w:r>
        <w:rPr>
          <w:spacing w:val="-2"/>
        </w:rPr>
        <w:t>年，公司克服电力细分行业低潮、互联网红利消失的不利影响，围绕产业方向、经济效益、经营</w:t>
      </w:r>
      <w:r>
        <w:rPr>
          <w:w w:val="100"/>
        </w:rPr>
        <w:t> </w:t>
      </w:r>
      <w:r>
        <w:rPr>
          <w:spacing w:val="-2"/>
        </w:rPr>
        <w:t>发展等方面开展工作，以“目标管理求效益、产业链求规模、创新求发展”经营方针为统领，深化结构调</w:t>
      </w:r>
      <w:r>
        <w:rPr>
          <w:spacing w:val="-33"/>
        </w:rPr>
        <w:t> </w:t>
      </w:r>
      <w:r>
        <w:rPr>
          <w:spacing w:val="-33"/>
        </w:rPr>
      </w:r>
      <w:r>
        <w:rPr/>
        <w:t>整，保持业绩总体平稳，统筹推进各项业务可持续发展，实现销售收入</w:t>
      </w:r>
      <w:r>
        <w:rPr>
          <w:rFonts w:ascii="宋体" w:hAnsi="宋体" w:cs="宋体" w:eastAsia="宋体" w:hint="default"/>
        </w:rPr>
        <w:t>40,909.87</w:t>
      </w:r>
      <w:r>
        <w:rPr/>
        <w:t>万元，同比略有下滑；</w:t>
      </w:r>
      <w:r>
        <w:rPr>
          <w:spacing w:val="-29"/>
        </w:rPr>
        <w:t> </w:t>
      </w:r>
      <w:r>
        <w:rPr>
          <w:spacing w:val="-29"/>
        </w:rPr>
      </w:r>
      <w:r>
        <w:rPr/>
        <w:t>净利润</w:t>
      </w:r>
      <w:r>
        <w:rPr>
          <w:rFonts w:ascii="宋体" w:hAnsi="宋体" w:cs="宋体" w:eastAsia="宋体" w:hint="default"/>
        </w:rPr>
        <w:t>2,519.42</w:t>
      </w:r>
      <w:r>
        <w:rPr/>
        <w:t>万元，同比增长</w:t>
      </w:r>
      <w:r>
        <w:rPr>
          <w:rFonts w:ascii="宋体" w:hAnsi="宋体" w:cs="宋体" w:eastAsia="宋体" w:hint="default"/>
        </w:rPr>
        <w:t>7.65%</w:t>
      </w:r>
      <w:r>
        <w:rPr/>
        <w:t>，保持业绩总体平稳。</w:t>
      </w:r>
      <w:r>
        <w:rPr>
          <w:rFonts w:ascii="宋体" w:hAnsi="宋体" w:cs="宋体" w:eastAsia="宋体" w:hint="default"/>
        </w:rPr>
        <w:t>2019</w:t>
      </w:r>
      <w:r>
        <w:rPr/>
        <w:t>年主要完成以下重点工作：</w:t>
      </w:r>
    </w:p>
    <w:p>
      <w:pPr>
        <w:spacing w:line="408" w:lineRule="auto" w:before="48"/>
        <w:ind w:left="575" w:right="7271" w:firstLine="0"/>
        <w:jc w:val="left"/>
        <w:rPr>
          <w:rFonts w:ascii="宋体" w:hAnsi="宋体" w:cs="宋体" w:eastAsia="宋体" w:hint="default"/>
          <w:sz w:val="21"/>
          <w:szCs w:val="21"/>
        </w:rPr>
      </w:pPr>
      <w:r>
        <w:rPr>
          <w:rFonts w:ascii="宋体" w:hAnsi="宋体" w:cs="宋体" w:eastAsia="宋体" w:hint="default"/>
          <w:sz w:val="21"/>
          <w:szCs w:val="21"/>
        </w:rPr>
        <w:t>（一）电力业务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、强化规划引领，完善产业布局</w:t>
      </w:r>
      <w:r>
        <w:rPr>
          <w:rFonts w:ascii="宋体" w:hAnsi="宋体" w:cs="宋体" w:eastAsia="宋体" w:hint="default"/>
          <w:sz w:val="21"/>
          <w:szCs w:val="21"/>
        </w:rPr>
      </w:r>
    </w:p>
    <w:p>
      <w:pPr>
        <w:pStyle w:val="BodyText"/>
        <w:spacing w:line="405" w:lineRule="auto" w:before="48"/>
        <w:ind w:right="1125" w:firstLine="422"/>
        <w:jc w:val="both"/>
      </w:pPr>
      <w:r>
        <w:rPr>
          <w:rFonts w:ascii="宋体" w:hAnsi="宋体" w:cs="宋体" w:eastAsia="宋体" w:hint="default"/>
          <w:spacing w:val="-2"/>
        </w:rPr>
        <w:t>2019</w:t>
      </w:r>
      <w:r>
        <w:rPr>
          <w:spacing w:val="-2"/>
        </w:rPr>
        <w:t>年国家电网公司确立泛在电力物联网的建设方案，年内主要进行探索性研究和产品研发，同时在</w:t>
      </w:r>
      <w:r>
        <w:rPr>
          <w:w w:val="100"/>
        </w:rPr>
        <w:t> </w:t>
      </w:r>
      <w:r>
        <w:rPr/>
        <w:t>各网省公司差异化进行项目试点。</w:t>
      </w:r>
    </w:p>
    <w:p>
      <w:pPr>
        <w:pStyle w:val="BodyText"/>
        <w:spacing w:line="408" w:lineRule="auto" w:before="50"/>
        <w:ind w:right="1130" w:firstLine="422"/>
        <w:jc w:val="both"/>
      </w:pPr>
      <w:r>
        <w:rPr/>
        <w:t>新一代智能电表成为终端层的核心环节，将作为“能源路由器”取代“电表</w:t>
      </w:r>
      <w:r>
        <w:rPr>
          <w:rFonts w:ascii="宋体" w:hAnsi="宋体" w:cs="宋体" w:eastAsia="宋体" w:hint="default"/>
        </w:rPr>
        <w:t>+</w:t>
      </w:r>
      <w:r>
        <w:rPr/>
        <w:t>采集”模式，并成为电</w:t>
      </w:r>
      <w:r>
        <w:rPr>
          <w:w w:val="100"/>
        </w:rPr>
        <w:t> </w:t>
      </w:r>
      <w:r>
        <w:rPr>
          <w:spacing w:val="-2"/>
        </w:rPr>
        <w:t>力物联网的数据采集、计算、传输的汇集点。公司以泛在电力物联网建设为契机，推进电表业务整合，研</w:t>
      </w:r>
      <w:r>
        <w:rPr>
          <w:spacing w:val="-38"/>
        </w:rPr>
        <w:t> </w:t>
      </w:r>
      <w:r>
        <w:rPr>
          <w:spacing w:val="-38"/>
        </w:rPr>
      </w:r>
      <w:r>
        <w:rPr/>
        <w:t>发以配电端融合终端和用电端模组化终端为代表的两个序列产品，努力构建电力板块产业布局。</w:t>
      </w:r>
    </w:p>
    <w:p>
      <w:pPr>
        <w:pStyle w:val="Heading4"/>
        <w:spacing w:line="240" w:lineRule="auto" w:before="43"/>
        <w:ind w:left="575" w:right="1024"/>
        <w:jc w:val="left"/>
        <w:rPr>
          <w:b w:val="0"/>
          <w:bCs w:val="0"/>
        </w:rPr>
      </w:pPr>
      <w:r>
        <w:rPr>
          <w:rFonts w:ascii="宋体" w:hAnsi="宋体" w:cs="宋体" w:eastAsia="宋体" w:hint="default"/>
        </w:rPr>
        <w:t>2</w:t>
      </w:r>
      <w:r>
        <w:rPr/>
        <w:t>、电力物联网建设的新产品研发</w:t>
      </w:r>
      <w:r>
        <w:rPr>
          <w:b w:val="0"/>
          <w:bCs w:val="0"/>
        </w:rPr>
      </w:r>
    </w:p>
    <w:p>
      <w:pPr>
        <w:spacing w:line="240" w:lineRule="auto" w:before="13"/>
        <w:rPr>
          <w:rFonts w:ascii="宋体" w:hAnsi="宋体" w:cs="宋体" w:eastAsia="宋体" w:hint="default"/>
          <w:b/>
          <w:bCs/>
          <w:sz w:val="14"/>
          <w:szCs w:val="14"/>
        </w:rPr>
      </w:pPr>
    </w:p>
    <w:p>
      <w:pPr>
        <w:pStyle w:val="BodyText"/>
        <w:spacing w:line="408" w:lineRule="auto"/>
        <w:ind w:right="1125" w:firstLine="422"/>
        <w:jc w:val="both"/>
      </w:pPr>
      <w:r>
        <w:rPr>
          <w:rFonts w:ascii="宋体" w:hAnsi="宋体" w:cs="宋体" w:eastAsia="宋体" w:hint="default"/>
          <w:spacing w:val="-2"/>
        </w:rPr>
        <w:t>2019</w:t>
      </w:r>
      <w:r>
        <w:rPr>
          <w:spacing w:val="-2"/>
        </w:rPr>
        <w:t>年电力本体结合江苏省泛在电力物联网的建设需求，与江苏方天公司合作进行客户侧电力物联网</w:t>
      </w:r>
      <w:r>
        <w:rPr>
          <w:w w:val="100"/>
        </w:rPr>
        <w:t> </w:t>
      </w:r>
      <w:r>
        <w:rPr>
          <w:spacing w:val="-2"/>
        </w:rPr>
        <w:t>现场设备的研发和试运行。该产品开发主要涉及设备侧（融合终端等）电力物联网解决方案和客户侧（模</w:t>
      </w:r>
      <w:r>
        <w:rPr>
          <w:spacing w:val="-33"/>
        </w:rPr>
        <w:t> </w:t>
      </w:r>
      <w:r>
        <w:rPr>
          <w:spacing w:val="-33"/>
        </w:rPr>
      </w:r>
      <w:r>
        <w:rPr/>
        <w:t>组化终端等）电力物联网解决方案。</w:t>
      </w:r>
    </w:p>
    <w:p>
      <w:pPr>
        <w:pStyle w:val="BodyText"/>
        <w:spacing w:line="408" w:lineRule="auto" w:before="43"/>
        <w:ind w:right="1024" w:firstLine="422"/>
        <w:jc w:val="left"/>
      </w:pPr>
      <w:r>
        <w:rPr/>
        <w:t>目前，国网模组化终端标准在不断地修改完善，公司已加入智能量测产业技术创新战略联盟工作组，</w:t>
      </w:r>
      <w:r>
        <w:rPr>
          <w:w w:val="100"/>
        </w:rPr>
        <w:t> </w:t>
      </w:r>
      <w:r>
        <w:rPr>
          <w:spacing w:val="-2"/>
        </w:rPr>
        <w:t>参与了江苏省客户侧泛在电力物联网产品技术规范的起草，高度关注国网模组化终端的技术标准制定、统</w:t>
      </w:r>
      <w:r>
        <w:rPr>
          <w:spacing w:val="-33"/>
        </w:rPr>
        <w:t> </w:t>
      </w:r>
      <w:r>
        <w:rPr>
          <w:spacing w:val="-33"/>
        </w:rPr>
      </w:r>
      <w:r>
        <w:rPr/>
        <w:t>一操作系统、</w:t>
      </w:r>
      <w:r>
        <w:rPr>
          <w:rFonts w:ascii="宋体" w:hAnsi="宋体" w:cs="宋体" w:eastAsia="宋体" w:hint="default"/>
        </w:rPr>
        <w:t>APP</w:t>
      </w:r>
      <w:r>
        <w:rPr/>
        <w:t>功能规范等技术要求，开展新产品、新技术的预研和储备工作。进行了台区物联网关、</w:t>
      </w:r>
      <w:r>
        <w:rPr>
          <w:spacing w:val="-31"/>
        </w:rPr>
        <w:t> </w:t>
      </w:r>
      <w:r>
        <w:rPr>
          <w:spacing w:val="-31"/>
        </w:rPr>
      </w:r>
      <w:r>
        <w:rPr>
          <w:spacing w:val="-2"/>
        </w:rPr>
        <w:t>节点通信单元、分路计量单元等产品结构及硬件样机的设计制造，软件开发基本完成。针对江苏省公司项</w:t>
      </w:r>
      <w:r>
        <w:rPr>
          <w:spacing w:val="-33"/>
        </w:rPr>
        <w:t> </w:t>
      </w:r>
      <w:r>
        <w:rPr>
          <w:spacing w:val="-33"/>
        </w:rPr>
      </w:r>
      <w:r>
        <w:rPr/>
        <w:t>目试点、项目验收要求，开展试点、准备项目验收资料，配合江苏省电力公司完成项目验收。</w:t>
      </w:r>
    </w:p>
    <w:p>
      <w:pPr>
        <w:pStyle w:val="BodyText"/>
        <w:spacing w:line="408" w:lineRule="auto" w:before="49"/>
        <w:ind w:right="1118" w:firstLine="422"/>
        <w:jc w:val="both"/>
      </w:pPr>
      <w:r>
        <w:rPr>
          <w:spacing w:val="-2"/>
        </w:rPr>
        <w:t>与此同时，全资子公司湖北索瑞电气研制了泛在电力物联网智能表箱，符合《江苏省电力公司低压计</w:t>
      </w:r>
      <w:r>
        <w:rPr>
          <w:w w:val="100"/>
        </w:rPr>
        <w:t> </w:t>
      </w:r>
      <w:r>
        <w:rPr/>
        <w:t>量箱技术规范》</w:t>
      </w:r>
      <w:r>
        <w:rPr>
          <w:rFonts w:ascii="宋体" w:hAnsi="宋体" w:cs="宋体" w:eastAsia="宋体" w:hint="default"/>
        </w:rPr>
        <w:t>,</w:t>
      </w:r>
      <w:r>
        <w:rPr/>
        <w:t>满足“不停电、不接线”更换电能表的要求，具备电气插接端子温度监测、剩余电流监</w:t>
      </w:r>
      <w:r>
        <w:rPr>
          <w:spacing w:val="-31"/>
        </w:rPr>
        <w:t> </w:t>
      </w:r>
      <w:r>
        <w:rPr>
          <w:spacing w:val="-31"/>
        </w:rPr>
      </w:r>
      <w:r>
        <w:rPr>
          <w:spacing w:val="-2"/>
        </w:rPr>
        <w:t>测、表后电压电流监测、非介入式负荷分解和数据通讯等功能。智能表箱</w:t>
      </w:r>
      <w:r>
        <w:rPr>
          <w:rFonts w:ascii="宋体" w:hAnsi="宋体" w:cs="宋体" w:eastAsia="宋体" w:hint="default"/>
          <w:spacing w:val="-2"/>
        </w:rPr>
        <w:t>10</w:t>
      </w:r>
      <w:r>
        <w:rPr>
          <w:spacing w:val="-2"/>
        </w:rPr>
        <w:t>月中旬在江苏淮安进行项目试</w:t>
      </w:r>
      <w:r>
        <w:rPr>
          <w:spacing w:val="-29"/>
        </w:rPr>
        <w:t> </w:t>
      </w:r>
      <w:r>
        <w:rPr>
          <w:spacing w:val="-29"/>
        </w:rPr>
      </w:r>
      <w:r>
        <w:rPr/>
        <w:t>点，现场运行效果良好。</w:t>
      </w:r>
    </w:p>
    <w:p>
      <w:pPr>
        <w:pStyle w:val="Heading4"/>
        <w:spacing w:line="240" w:lineRule="auto" w:before="48"/>
        <w:ind w:left="575" w:right="1024"/>
        <w:jc w:val="left"/>
        <w:rPr>
          <w:b w:val="0"/>
          <w:bCs w:val="0"/>
        </w:rPr>
      </w:pPr>
      <w:r>
        <w:rPr>
          <w:rFonts w:ascii="宋体" w:hAnsi="宋体" w:cs="宋体" w:eastAsia="宋体" w:hint="default"/>
        </w:rPr>
        <w:t>3</w:t>
      </w:r>
      <w:r>
        <w:rPr/>
        <w:t>、综合能源服务</w:t>
      </w:r>
      <w:r>
        <w:rPr>
          <w:b w:val="0"/>
          <w:bCs w:val="0"/>
        </w:rPr>
      </w:r>
    </w:p>
    <w:p>
      <w:pPr>
        <w:spacing w:after="0" w:line="240" w:lineRule="auto"/>
        <w:jc w:val="left"/>
        <w:sectPr>
          <w:pgSz w:w="11910" w:h="16840"/>
          <w:pgMar w:header="871" w:footer="1037" w:top="1100" w:bottom="1220" w:left="980" w:right="0"/>
        </w:sectPr>
      </w:pPr>
    </w:p>
    <w:p>
      <w:pPr>
        <w:spacing w:line="240" w:lineRule="auto" w:before="12"/>
        <w:rPr>
          <w:rFonts w:ascii="宋体" w:hAnsi="宋体" w:cs="宋体" w:eastAsia="宋体" w:hint="default"/>
          <w:b/>
          <w:bCs/>
          <w:sz w:val="26"/>
          <w:szCs w:val="26"/>
        </w:rPr>
      </w:pPr>
    </w:p>
    <w:p>
      <w:pPr>
        <w:pStyle w:val="BodyText"/>
        <w:spacing w:line="408" w:lineRule="auto" w:before="36"/>
        <w:ind w:right="1024" w:firstLine="422"/>
        <w:jc w:val="left"/>
      </w:pPr>
      <w:r>
        <w:rPr/>
        <w:t>综合能源服务已经成为国网公司全力拓展的主营业务。据统计，</w:t>
      </w:r>
      <w:r>
        <w:rPr>
          <w:rFonts w:ascii="宋体" w:hAnsi="宋体" w:cs="宋体" w:eastAsia="宋体" w:hint="default"/>
        </w:rPr>
        <w:t>2019</w:t>
      </w:r>
      <w:r>
        <w:rPr/>
        <w:t>年国网的综合能源服务实现业务</w:t>
      </w:r>
      <w:r>
        <w:rPr>
          <w:w w:val="100"/>
        </w:rPr>
        <w:t> </w:t>
      </w:r>
      <w:r>
        <w:rPr>
          <w:spacing w:val="-8"/>
          <w:w w:val="100"/>
        </w:rPr>
        <w:t>收入</w:t>
      </w:r>
      <w:r>
        <w:rPr>
          <w:rFonts w:ascii="宋体" w:hAnsi="宋体" w:cs="宋体" w:eastAsia="宋体" w:hint="default"/>
          <w:spacing w:val="-8"/>
          <w:w w:val="100"/>
        </w:rPr>
        <w:t>110</w:t>
      </w:r>
      <w:r>
        <w:rPr>
          <w:spacing w:val="-8"/>
          <w:w w:val="100"/>
        </w:rPr>
        <w:t>亿元，同比增长</w:t>
      </w:r>
      <w:r>
        <w:rPr>
          <w:rFonts w:ascii="宋体" w:hAnsi="宋体" w:cs="宋体" w:eastAsia="宋体" w:hint="default"/>
          <w:spacing w:val="-8"/>
          <w:w w:val="100"/>
        </w:rPr>
        <w:t>125%</w:t>
      </w:r>
      <w:r>
        <w:rPr>
          <w:spacing w:val="-8"/>
          <w:w w:val="100"/>
        </w:rPr>
        <w:t>。根据已印发的《国家电网有限公司关于全面深化改革奋力攻坚突破的意见》，</w:t>
      </w:r>
      <w:r>
        <w:rPr>
          <w:spacing w:val="-94"/>
          <w:w w:val="100"/>
        </w:rPr>
        <w:t> </w:t>
      </w:r>
      <w:r>
        <w:rPr>
          <w:spacing w:val="-94"/>
          <w:w w:val="100"/>
        </w:rPr>
      </w:r>
      <w:r>
        <w:rPr/>
        <w:t>国网综合能源服务业务</w:t>
      </w:r>
      <w:r>
        <w:rPr>
          <w:rFonts w:ascii="宋体" w:hAnsi="宋体" w:cs="宋体" w:eastAsia="宋体" w:hint="default"/>
        </w:rPr>
        <w:t>2020</w:t>
      </w:r>
      <w:r>
        <w:rPr/>
        <w:t>年将实现营收</w:t>
      </w:r>
      <w:r>
        <w:rPr>
          <w:rFonts w:ascii="宋体" w:hAnsi="宋体" w:cs="宋体" w:eastAsia="宋体" w:hint="default"/>
        </w:rPr>
        <w:t>200</w:t>
      </w:r>
      <w:r>
        <w:rPr/>
        <w:t>亿元。未来国网综合能源服务集团与其他省级综合能源服务</w:t>
      </w:r>
      <w:r>
        <w:rPr>
          <w:spacing w:val="-31"/>
        </w:rPr>
        <w:t> </w:t>
      </w:r>
      <w:r>
        <w:rPr>
          <w:spacing w:val="-31"/>
        </w:rPr>
      </w:r>
      <w:r>
        <w:rPr>
          <w:spacing w:val="-4"/>
        </w:rPr>
        <w:t>公司建立资本纽带关系，将统一采用江苏模式。能源服务的四大重点业务领域进一步明确为综合能效服务、</w:t>
      </w:r>
      <w:r>
        <w:rPr>
          <w:spacing w:val="-47"/>
        </w:rPr>
        <w:t> </w:t>
      </w:r>
      <w:r>
        <w:rPr>
          <w:spacing w:val="-47"/>
        </w:rPr>
      </w:r>
      <w:r>
        <w:rPr/>
        <w:t>多能供应服务、清洁能源服务以及新兴用能服务。</w:t>
      </w:r>
    </w:p>
    <w:p>
      <w:pPr>
        <w:pStyle w:val="BodyText"/>
        <w:spacing w:line="408" w:lineRule="auto" w:before="43"/>
        <w:ind w:right="1125" w:firstLine="422"/>
        <w:jc w:val="both"/>
      </w:pPr>
      <w:r>
        <w:rPr>
          <w:rFonts w:ascii="宋体" w:hAnsi="宋体" w:cs="宋体" w:eastAsia="宋体" w:hint="default"/>
          <w:spacing w:val="-2"/>
        </w:rPr>
        <w:t>2019</w:t>
      </w:r>
      <w:r>
        <w:rPr>
          <w:spacing w:val="-2"/>
        </w:rPr>
        <w:t>年公司重点实施了苏宁云商集团股份有限公司能耗化管理平台项目，根据苏宁需求完成能源管理</w:t>
      </w:r>
      <w:r>
        <w:rPr>
          <w:w w:val="100"/>
        </w:rPr>
        <w:t> </w:t>
      </w:r>
      <w:r>
        <w:rPr>
          <w:spacing w:val="-2"/>
        </w:rPr>
        <w:t>的在线监测、收费管理、系统管理，实现多元化能源信息的采集分析处理。确定空气能热泵能效改造方案</w:t>
      </w:r>
      <w:r>
        <w:rPr>
          <w:spacing w:val="-32"/>
        </w:rPr>
        <w:t> </w:t>
      </w:r>
      <w:r>
        <w:rPr>
          <w:spacing w:val="-32"/>
        </w:rPr>
      </w:r>
      <w:r>
        <w:rPr/>
        <w:t>为综合能源业务主推方向，完成山东邹城项目包实施，实现突破。</w:t>
      </w:r>
    </w:p>
    <w:p>
      <w:pPr>
        <w:pStyle w:val="BodyText"/>
        <w:spacing w:line="408" w:lineRule="auto" w:before="48"/>
        <w:ind w:right="1117" w:firstLine="422"/>
        <w:jc w:val="both"/>
      </w:pPr>
      <w:r>
        <w:rPr>
          <w:spacing w:val="-2"/>
        </w:rPr>
        <w:t>知识产权方面，</w:t>
      </w:r>
      <w:r>
        <w:rPr>
          <w:rFonts w:ascii="宋体" w:hAnsi="宋体" w:cs="宋体" w:eastAsia="宋体" w:hint="default"/>
          <w:spacing w:val="-2"/>
        </w:rPr>
        <w:t>2019</w:t>
      </w:r>
      <w:r>
        <w:rPr>
          <w:spacing w:val="-2"/>
        </w:rPr>
        <w:t>年公司申报与产品相关的发明专利申请</w:t>
      </w:r>
      <w:r>
        <w:rPr>
          <w:rFonts w:ascii="宋体" w:hAnsi="宋体" w:cs="宋体" w:eastAsia="宋体" w:hint="default"/>
          <w:spacing w:val="-2"/>
        </w:rPr>
        <w:t>4</w:t>
      </w:r>
      <w:r>
        <w:rPr>
          <w:spacing w:val="-2"/>
        </w:rPr>
        <w:t>项，外观设计专利申请</w:t>
      </w:r>
      <w:r>
        <w:rPr>
          <w:rFonts w:ascii="宋体" w:hAnsi="宋体" w:cs="宋体" w:eastAsia="宋体" w:hint="default"/>
          <w:spacing w:val="-2"/>
        </w:rPr>
        <w:t>5</w:t>
      </w:r>
      <w:r>
        <w:rPr>
          <w:spacing w:val="-2"/>
        </w:rPr>
        <w:t>项，实用新型专</w:t>
      </w:r>
      <w:r>
        <w:rPr>
          <w:w w:val="100"/>
        </w:rPr>
        <w:t> </w:t>
      </w:r>
      <w:r>
        <w:rPr>
          <w:spacing w:val="-2"/>
        </w:rPr>
        <w:t>利</w:t>
      </w:r>
      <w:r>
        <w:rPr>
          <w:rFonts w:ascii="宋体" w:hAnsi="宋体" w:cs="宋体" w:eastAsia="宋体" w:hint="default"/>
          <w:spacing w:val="-2"/>
        </w:rPr>
        <w:t>1</w:t>
      </w:r>
      <w:r>
        <w:rPr>
          <w:spacing w:val="-2"/>
        </w:rPr>
        <w:t>项，软件著作权登记</w:t>
      </w:r>
      <w:r>
        <w:rPr>
          <w:rFonts w:ascii="宋体" w:hAnsi="宋体" w:cs="宋体" w:eastAsia="宋体" w:hint="default"/>
          <w:spacing w:val="-2"/>
        </w:rPr>
        <w:t>6</w:t>
      </w:r>
      <w:r>
        <w:rPr>
          <w:spacing w:val="-2"/>
        </w:rPr>
        <w:t>项，核心期刊发表论文</w:t>
      </w:r>
      <w:r>
        <w:rPr>
          <w:rFonts w:ascii="宋体" w:hAnsi="宋体" w:cs="宋体" w:eastAsia="宋体" w:hint="default"/>
          <w:spacing w:val="-2"/>
        </w:rPr>
        <w:t>7</w:t>
      </w:r>
      <w:r>
        <w:rPr>
          <w:spacing w:val="-2"/>
        </w:rPr>
        <w:t>篇。索瑞电气</w:t>
      </w:r>
      <w:r>
        <w:rPr>
          <w:rFonts w:ascii="宋体" w:hAnsi="宋体" w:cs="宋体" w:eastAsia="宋体" w:hint="default"/>
          <w:spacing w:val="-2"/>
        </w:rPr>
        <w:t>4</w:t>
      </w:r>
      <w:r>
        <w:rPr>
          <w:spacing w:val="-2"/>
        </w:rPr>
        <w:t>个产品通过相关权威机构的检测认定，取</w:t>
      </w:r>
      <w:r>
        <w:rPr>
          <w:spacing w:val="-33"/>
        </w:rPr>
        <w:t> </w:t>
      </w:r>
      <w:r>
        <w:rPr>
          <w:spacing w:val="-33"/>
        </w:rPr>
      </w:r>
      <w:r>
        <w:rPr/>
        <w:t>得产品检测报告。</w:t>
      </w:r>
    </w:p>
    <w:p>
      <w:pPr>
        <w:spacing w:line="410" w:lineRule="auto" w:before="43"/>
        <w:ind w:left="575" w:right="6848" w:firstLine="0"/>
        <w:jc w:val="left"/>
        <w:rPr>
          <w:rFonts w:ascii="宋体" w:hAnsi="宋体" w:cs="宋体" w:eastAsia="宋体" w:hint="default"/>
          <w:sz w:val="21"/>
          <w:szCs w:val="21"/>
        </w:rPr>
      </w:pPr>
      <w:r>
        <w:rPr>
          <w:rFonts w:ascii="宋体" w:hAnsi="宋体" w:cs="宋体" w:eastAsia="宋体" w:hint="default"/>
          <w:sz w:val="21"/>
          <w:szCs w:val="21"/>
        </w:rPr>
        <w:t>（二）版权云业务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、加快推进</w:t>
      </w:r>
      <w:r>
        <w:rPr>
          <w:rFonts w:ascii="宋体" w:hAnsi="宋体" w:cs="宋体" w:eastAsia="宋体" w:hint="default"/>
          <w:b/>
          <w:bCs/>
          <w:sz w:val="21"/>
          <w:szCs w:val="21"/>
        </w:rPr>
        <w:t>CCDI</w:t>
      </w:r>
      <w:r>
        <w:rPr>
          <w:rFonts w:ascii="宋体" w:hAnsi="宋体" w:cs="宋体" w:eastAsia="宋体" w:hint="default"/>
          <w:b/>
          <w:bCs/>
          <w:sz w:val="21"/>
          <w:szCs w:val="21"/>
        </w:rPr>
        <w:t>版权云数据中心建设</w:t>
      </w:r>
      <w:r>
        <w:rPr>
          <w:rFonts w:ascii="宋体" w:hAnsi="宋体" w:cs="宋体" w:eastAsia="宋体" w:hint="default"/>
          <w:sz w:val="21"/>
          <w:szCs w:val="21"/>
        </w:rPr>
      </w:r>
    </w:p>
    <w:p>
      <w:pPr>
        <w:pStyle w:val="BodyText"/>
        <w:spacing w:line="410" w:lineRule="auto" w:before="42"/>
        <w:ind w:right="1122" w:firstLine="422"/>
        <w:jc w:val="both"/>
      </w:pPr>
      <w:r>
        <w:rPr>
          <w:spacing w:val="-7"/>
        </w:rPr>
        <w:t>中云文化大数据进一步构建完善“版权大数据、版权金融服务和版权孵化聚焦区”三大主营业务。</w:t>
      </w:r>
      <w:r>
        <w:rPr>
          <w:rFonts w:ascii="宋体" w:hAnsi="宋体" w:cs="宋体" w:eastAsia="宋体" w:hint="default"/>
          <w:spacing w:val="-7"/>
        </w:rPr>
        <w:t>2019</w:t>
      </w:r>
      <w:r>
        <w:rPr>
          <w:rFonts w:ascii="宋体" w:hAnsi="宋体" w:cs="宋体" w:eastAsia="宋体" w:hint="default"/>
          <w:w w:val="100"/>
        </w:rPr>
        <w:t> </w:t>
      </w:r>
      <w:r>
        <w:rPr>
          <w:spacing w:val="-2"/>
        </w:rPr>
        <w:t>年，中云文化以数字内容制作云渲染业务为切入点，建设完成</w:t>
      </w:r>
      <w:r>
        <w:rPr>
          <w:rFonts w:ascii="宋体" w:hAnsi="宋体" w:cs="宋体" w:eastAsia="宋体" w:hint="default"/>
          <w:spacing w:val="-2"/>
        </w:rPr>
        <w:t>1500</w:t>
      </w:r>
      <w:r>
        <w:rPr>
          <w:spacing w:val="-2"/>
        </w:rPr>
        <w:t>个运算节点的</w:t>
      </w:r>
      <w:r>
        <w:rPr>
          <w:rFonts w:ascii="宋体" w:hAnsi="宋体" w:cs="宋体" w:eastAsia="宋体" w:hint="default"/>
          <w:spacing w:val="-2"/>
        </w:rPr>
        <w:t>CCDI</w:t>
      </w:r>
      <w:r>
        <w:rPr>
          <w:spacing w:val="-2"/>
        </w:rPr>
        <w:t>数据中心</w:t>
      </w:r>
      <w:r>
        <w:rPr>
          <w:rFonts w:ascii="宋体" w:hAnsi="宋体" w:cs="宋体" w:eastAsia="宋体" w:hint="default"/>
          <w:spacing w:val="-2"/>
        </w:rPr>
        <w:t>(</w:t>
      </w:r>
      <w:r>
        <w:rPr>
          <w:spacing w:val="-2"/>
        </w:rPr>
        <w:t>一期</w:t>
      </w:r>
      <w:r>
        <w:rPr>
          <w:rFonts w:ascii="宋体" w:hAnsi="宋体" w:cs="宋体" w:eastAsia="宋体" w:hint="default"/>
          <w:spacing w:val="-2"/>
        </w:rPr>
        <w:t>)</w:t>
      </w:r>
      <w:r>
        <w:rPr>
          <w:spacing w:val="-2"/>
        </w:rPr>
        <w:t>“数</w:t>
      </w:r>
      <w:r>
        <w:rPr>
          <w:spacing w:val="-22"/>
        </w:rPr>
        <w:t> </w:t>
      </w:r>
      <w:r>
        <w:rPr>
          <w:spacing w:val="-8"/>
          <w:w w:val="100"/>
        </w:rPr>
        <w:t>字内容制作超算中心”，并于</w:t>
      </w:r>
      <w:r>
        <w:rPr>
          <w:rFonts w:ascii="宋体" w:hAnsi="宋体" w:cs="宋体" w:eastAsia="宋体" w:hint="default"/>
          <w:spacing w:val="-8"/>
          <w:w w:val="100"/>
        </w:rPr>
        <w:t>8</w:t>
      </w:r>
      <w:r>
        <w:rPr>
          <w:spacing w:val="-8"/>
          <w:w w:val="100"/>
        </w:rPr>
        <w:t>月底正式投入运营，运算节点平均使用效率达到</w:t>
      </w:r>
      <w:r>
        <w:rPr>
          <w:rFonts w:ascii="宋体" w:hAnsi="宋体" w:cs="宋体" w:eastAsia="宋体" w:hint="default"/>
          <w:spacing w:val="-8"/>
          <w:w w:val="100"/>
        </w:rPr>
        <w:t>82%</w:t>
      </w:r>
      <w:r>
        <w:rPr>
          <w:spacing w:val="-8"/>
          <w:w w:val="100"/>
        </w:rPr>
        <w:t>，超出</w:t>
      </w:r>
      <w:r>
        <w:rPr>
          <w:rFonts w:ascii="宋体" w:hAnsi="宋体" w:cs="宋体" w:eastAsia="宋体" w:hint="default"/>
          <w:spacing w:val="-8"/>
          <w:w w:val="100"/>
        </w:rPr>
        <w:t>69%</w:t>
      </w:r>
      <w:r>
        <w:rPr>
          <w:spacing w:val="-8"/>
          <w:w w:val="100"/>
        </w:rPr>
        <w:t>的盈亏平衡点。</w:t>
      </w:r>
      <w:r>
        <w:rPr>
          <w:spacing w:val="-89"/>
          <w:w w:val="100"/>
        </w:rPr>
        <w:t> </w:t>
      </w:r>
      <w:r>
        <w:rPr>
          <w:spacing w:val="-89"/>
          <w:w w:val="100"/>
        </w:rPr>
      </w:r>
      <w:r>
        <w:rPr>
          <w:spacing w:val="-2"/>
        </w:rPr>
        <w:t>目前，中云文化正在抓紧</w:t>
      </w:r>
      <w:r>
        <w:rPr>
          <w:rFonts w:ascii="宋体" w:hAnsi="宋体" w:cs="宋体" w:eastAsia="宋体" w:hint="default"/>
          <w:spacing w:val="-2"/>
        </w:rPr>
        <w:t>CCDI</w:t>
      </w:r>
      <w:r>
        <w:rPr>
          <w:spacing w:val="-2"/>
        </w:rPr>
        <w:t>数据中心二期和三期项目的各项前期工作，初步完成了《国内图形渲染产业</w:t>
      </w:r>
      <w:r>
        <w:rPr>
          <w:spacing w:val="-29"/>
        </w:rPr>
        <w:t> </w:t>
      </w:r>
      <w:r>
        <w:rPr>
          <w:spacing w:val="-29"/>
        </w:rPr>
      </w:r>
      <w:r>
        <w:rPr>
          <w:spacing w:val="-7"/>
          <w:w w:val="100"/>
        </w:rPr>
        <w:t>概览》、《数字内容超算中心项目建议书》的编制，并与贵安大学城管委会、瑞云科技、宝德计算机等合作</w:t>
      </w:r>
      <w:r>
        <w:rPr>
          <w:spacing w:val="-69"/>
          <w:w w:val="100"/>
        </w:rPr>
        <w:t> </w:t>
      </w:r>
      <w:r>
        <w:rPr>
          <w:spacing w:val="-69"/>
          <w:w w:val="100"/>
        </w:rPr>
      </w:r>
      <w:r>
        <w:rPr/>
        <w:t>单位谋划贵安超算中心项目，推进数据中心二、三期项目。</w:t>
      </w:r>
    </w:p>
    <w:p>
      <w:pPr>
        <w:pStyle w:val="Heading4"/>
        <w:spacing w:line="240" w:lineRule="auto" w:before="41"/>
        <w:ind w:left="575" w:right="1024"/>
        <w:jc w:val="left"/>
        <w:rPr>
          <w:b w:val="0"/>
          <w:bCs w:val="0"/>
        </w:rPr>
      </w:pPr>
      <w:r>
        <w:rPr>
          <w:rFonts w:ascii="宋体" w:hAnsi="宋体" w:cs="宋体" w:eastAsia="宋体" w:hint="default"/>
        </w:rPr>
        <w:t>2</w:t>
      </w:r>
      <w:r>
        <w:rPr/>
        <w:t>、探索版权（知识产权）综合服务平台发展模式</w:t>
      </w:r>
      <w:r>
        <w:rPr>
          <w:b w:val="0"/>
          <w:bCs w:val="0"/>
        </w:rPr>
      </w:r>
    </w:p>
    <w:p>
      <w:pPr>
        <w:spacing w:line="240" w:lineRule="auto" w:before="13"/>
        <w:rPr>
          <w:rFonts w:ascii="宋体" w:hAnsi="宋体" w:cs="宋体" w:eastAsia="宋体" w:hint="default"/>
          <w:b/>
          <w:bCs/>
          <w:sz w:val="14"/>
          <w:szCs w:val="14"/>
        </w:rPr>
      </w:pPr>
    </w:p>
    <w:p>
      <w:pPr>
        <w:pStyle w:val="BodyText"/>
        <w:spacing w:line="408" w:lineRule="auto"/>
        <w:ind w:right="1123" w:firstLine="422"/>
        <w:jc w:val="both"/>
      </w:pPr>
      <w:r>
        <w:rPr>
          <w:rFonts w:ascii="宋体" w:hAnsi="宋体" w:cs="宋体" w:eastAsia="宋体" w:hint="default"/>
          <w:spacing w:val="-2"/>
        </w:rPr>
        <w:t>2019</w:t>
      </w:r>
      <w:r>
        <w:rPr>
          <w:spacing w:val="-2"/>
        </w:rPr>
        <w:t>年，中云文化在充分发挥贵州省版权登记中心公共服务平台社会化职能和优势的基础上，通过打</w:t>
      </w:r>
      <w:r>
        <w:rPr>
          <w:w w:val="100"/>
        </w:rPr>
        <w:t> </w:t>
      </w:r>
      <w:r>
        <w:rPr>
          <w:spacing w:val="-2"/>
        </w:rPr>
        <w:t>造版权（知识产权）综合服务拳头产品、线上线下专题活动策划、合作运营推广等各种方式，持续探索公</w:t>
      </w:r>
      <w:r>
        <w:rPr>
          <w:spacing w:val="-38"/>
        </w:rPr>
        <w:t> </w:t>
      </w:r>
      <w:r>
        <w:rPr>
          <w:spacing w:val="-38"/>
        </w:rPr>
      </w:r>
      <w:r>
        <w:rPr>
          <w:spacing w:val="-2"/>
        </w:rPr>
        <w:t>共服务平台全链条发展模式，努力实现社会效益和经济效益相统一。在版权综合服务商业化探索方面，通</w:t>
      </w:r>
      <w:r>
        <w:rPr>
          <w:spacing w:val="-33"/>
        </w:rPr>
        <w:t> </w:t>
      </w:r>
      <w:r>
        <w:rPr>
          <w:spacing w:val="-33"/>
        </w:rPr>
      </w:r>
      <w:r>
        <w:rPr/>
        <w:t>过升级迭代平台功能、扩大监测内容范围、拓展互联网</w:t>
      </w:r>
      <w:r>
        <w:rPr>
          <w:rFonts w:ascii="宋体" w:hAnsi="宋体" w:cs="宋体" w:eastAsia="宋体" w:hint="default"/>
        </w:rPr>
        <w:t>B</w:t>
      </w:r>
      <w:r>
        <w:rPr/>
        <w:t>端合作客户、线上线下专题活动策划等方式，新</w:t>
      </w:r>
      <w:r>
        <w:rPr>
          <w:spacing w:val="-29"/>
        </w:rPr>
        <w:t> </w:t>
      </w:r>
      <w:r>
        <w:rPr>
          <w:spacing w:val="-29"/>
        </w:rPr>
      </w:r>
      <w:r>
        <w:rPr/>
        <w:t>拓展版权授权、版权维权、内容加工与分发、软著（商标、专利）代理等知识产权综合服务业务。</w:t>
      </w:r>
    </w:p>
    <w:p>
      <w:pPr>
        <w:spacing w:line="410" w:lineRule="auto" w:before="43"/>
        <w:ind w:left="575" w:right="1024"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、版权内容监测及版权确权保护</w:t>
      </w:r>
      <w:r>
        <w:rPr>
          <w:rFonts w:ascii="宋体" w:hAnsi="宋体" w:cs="宋体" w:eastAsia="宋体" w:hint="default"/>
          <w:b/>
          <w:bCs/>
          <w:spacing w:val="-101"/>
          <w:sz w:val="21"/>
          <w:szCs w:val="21"/>
        </w:rPr>
        <w:t> </w:t>
      </w:r>
      <w:r>
        <w:rPr>
          <w:rFonts w:ascii="宋体" w:hAnsi="宋体" w:cs="宋体" w:eastAsia="宋体" w:hint="default"/>
          <w:spacing w:val="-4"/>
          <w:sz w:val="21"/>
          <w:szCs w:val="21"/>
        </w:rPr>
        <w:t>在版权内容监测及版权确权保护方面，运营主体天擎华媒、海誉动想成立中国国际版权监测维权平台，</w:t>
      </w:r>
    </w:p>
    <w:p>
      <w:pPr>
        <w:pStyle w:val="BodyText"/>
        <w:spacing w:line="408" w:lineRule="auto" w:before="42"/>
        <w:ind w:right="1125"/>
        <w:jc w:val="both"/>
      </w:pPr>
      <w:r>
        <w:rPr>
          <w:spacing w:val="-2"/>
        </w:rPr>
        <w:t>平台主要提供从版权登记认领、监测取证到诉讼维权一站式检测维权服务。目前平台已形成对于院线硬盘</w:t>
      </w:r>
      <w:r>
        <w:rPr>
          <w:spacing w:val="-33"/>
        </w:rPr>
        <w:t> </w:t>
      </w:r>
      <w:r>
        <w:rPr>
          <w:spacing w:val="-33"/>
        </w:rPr>
      </w:r>
      <w:r>
        <w:rPr>
          <w:spacing w:val="-2"/>
        </w:rPr>
        <w:t>网络防盗的解决方案，为版权人提供包括作品传播监测、盗版预警、盗版源头追踪、侵权证据固定、损失</w:t>
      </w:r>
      <w:r>
        <w:rPr>
          <w:spacing w:val="-38"/>
        </w:rPr>
        <w:t> </w:t>
      </w:r>
      <w:r>
        <w:rPr>
          <w:spacing w:val="-38"/>
        </w:rPr>
      </w:r>
      <w:r>
        <w:rPr/>
        <w:t>评估、举报清除、诉讼维权一体化的监测维权服务，保证票房收益最大化。</w:t>
      </w:r>
    </w:p>
    <w:p>
      <w:pPr>
        <w:spacing w:after="0" w:line="408" w:lineRule="auto"/>
        <w:jc w:val="both"/>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5" w:lineRule="auto" w:before="36"/>
        <w:ind w:right="1024" w:firstLine="422"/>
        <w:jc w:val="left"/>
      </w:pPr>
      <w:r>
        <w:rPr/>
        <w:t>在内容监测</w:t>
      </w:r>
      <w:r>
        <w:rPr>
          <w:rFonts w:ascii="宋体" w:hAnsi="宋体" w:cs="宋体" w:eastAsia="宋体" w:hint="default"/>
        </w:rPr>
        <w:t>ToB</w:t>
      </w:r>
      <w:r>
        <w:rPr/>
        <w:t>业务拓展上，跟浙报合作锁定浙江省内</w:t>
      </w:r>
      <w:r>
        <w:rPr>
          <w:rFonts w:ascii="宋体" w:hAnsi="宋体" w:cs="宋体" w:eastAsia="宋体" w:hint="default"/>
        </w:rPr>
        <w:t>40</w:t>
      </w:r>
      <w:r>
        <w:rPr/>
        <w:t>家直播平台作为目标客户，天擎负责服务的</w:t>
      </w:r>
      <w:r>
        <w:rPr>
          <w:w w:val="100"/>
        </w:rPr>
        <w:t> </w:t>
      </w:r>
      <w:r>
        <w:rPr/>
        <w:t>前期准备、产品设计、技术研发工作，浙报负责市场调研、政府沟通和发布销售。</w:t>
      </w:r>
    </w:p>
    <w:p>
      <w:pPr>
        <w:spacing w:line="240" w:lineRule="auto" w:before="6"/>
        <w:rPr>
          <w:rFonts w:ascii="宋体" w:hAnsi="宋体" w:cs="宋体" w:eastAsia="宋体" w:hint="default"/>
          <w:sz w:val="18"/>
          <w:szCs w:val="18"/>
        </w:rPr>
      </w:pPr>
    </w:p>
    <w:p>
      <w:pPr>
        <w:pStyle w:val="Heading2"/>
        <w:spacing w:line="240" w:lineRule="auto"/>
        <w:ind w:right="1024"/>
        <w:jc w:val="left"/>
        <w:rPr>
          <w:b w:val="0"/>
          <w:bCs w:val="0"/>
        </w:rPr>
      </w:pPr>
      <w:bookmarkStart w:name="二、主营业务分析" w:id="26"/>
      <w:bookmarkEnd w:id="26"/>
      <w:r>
        <w:rPr>
          <w:b w:val="0"/>
          <w:bCs w:val="0"/>
        </w:rPr>
      </w:r>
      <w:r>
        <w:rPr/>
        <w:t>二、主营业务分析</w:t>
      </w:r>
      <w:r>
        <w:rPr>
          <w:b w:val="0"/>
          <w:bCs w:val="0"/>
        </w:rPr>
      </w:r>
    </w:p>
    <w:p>
      <w:pPr>
        <w:spacing w:line="240" w:lineRule="auto" w:before="2"/>
        <w:rPr>
          <w:rFonts w:ascii="宋体" w:hAnsi="宋体" w:cs="宋体" w:eastAsia="宋体" w:hint="default"/>
          <w:b/>
          <w:bCs/>
          <w:sz w:val="31"/>
          <w:szCs w:val="31"/>
        </w:rPr>
      </w:pPr>
    </w:p>
    <w:p>
      <w:pPr>
        <w:pStyle w:val="BodyText"/>
        <w:spacing w:line="410" w:lineRule="auto"/>
        <w:ind w:right="4644"/>
        <w:jc w:val="left"/>
      </w:pPr>
      <w:bookmarkStart w:name="1、概述" w:id="27"/>
      <w:bookmarkEnd w:id="27"/>
      <w:r>
        <w:rPr/>
      </w:r>
      <w:r>
        <w:rPr>
          <w:rFonts w:ascii="宋体" w:hAnsi="宋体" w:cs="宋体" w:eastAsia="宋体" w:hint="default"/>
          <w:b/>
          <w:bCs/>
        </w:rPr>
        <w:t>1</w:t>
      </w:r>
      <w:r>
        <w:rPr>
          <w:rFonts w:ascii="宋体" w:hAnsi="宋体" w:cs="宋体" w:eastAsia="宋体" w:hint="default"/>
          <w:b/>
          <w:bCs/>
        </w:rPr>
        <w:t>、概述</w:t>
      </w:r>
      <w:r>
        <w:rPr>
          <w:rFonts w:ascii="宋体" w:hAnsi="宋体" w:cs="宋体" w:eastAsia="宋体" w:hint="default"/>
          <w:b/>
          <w:bCs/>
          <w:w w:val="100"/>
        </w:rPr>
        <w:t> </w:t>
      </w:r>
      <w:r>
        <w:rPr>
          <w:spacing w:val="-2"/>
        </w:rPr>
        <w:t>参见“经营情况讨论与分析”中的“一、概述”相关内容。</w:t>
      </w:r>
    </w:p>
    <w:p>
      <w:pPr>
        <w:spacing w:line="240" w:lineRule="auto" w:before="1"/>
        <w:rPr>
          <w:rFonts w:ascii="宋体" w:hAnsi="宋体" w:cs="宋体" w:eastAsia="宋体" w:hint="default"/>
          <w:sz w:val="20"/>
          <w:szCs w:val="20"/>
        </w:rPr>
      </w:pPr>
    </w:p>
    <w:p>
      <w:pPr>
        <w:pStyle w:val="Heading4"/>
        <w:spacing w:line="240" w:lineRule="auto" w:before="0"/>
        <w:ind w:right="1024"/>
        <w:jc w:val="left"/>
        <w:rPr>
          <w:b w:val="0"/>
          <w:bCs w:val="0"/>
        </w:rPr>
      </w:pPr>
      <w:bookmarkStart w:name="2、收入与成本" w:id="28"/>
      <w:bookmarkEnd w:id="28"/>
      <w:r>
        <w:rPr>
          <w:b w:val="0"/>
          <w:bCs w:val="0"/>
        </w:rPr>
      </w:r>
      <w:r>
        <w:rPr>
          <w:rFonts w:ascii="宋体" w:hAnsi="宋体" w:cs="宋体" w:eastAsia="宋体" w:hint="default"/>
        </w:rPr>
        <w:t>2</w:t>
      </w:r>
      <w:r>
        <w:rPr/>
        <w:t>、收入与成本</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before="0"/>
        <w:ind w:right="1024"/>
        <w:jc w:val="left"/>
        <w:rPr>
          <w:b w:val="0"/>
          <w:bCs w:val="0"/>
        </w:rPr>
      </w:pPr>
      <w:bookmarkStart w:name="（1）营业收入构成" w:id="29"/>
      <w:bookmarkEnd w:id="29"/>
      <w:r>
        <w:rPr>
          <w:b w:val="0"/>
          <w:bCs w:val="0"/>
        </w:rPr>
      </w:r>
      <w:r>
        <w:rPr/>
        <w:t>（</w:t>
      </w:r>
      <w:r>
        <w:rPr>
          <w:rFonts w:ascii="宋体" w:hAnsi="宋体" w:cs="宋体" w:eastAsia="宋体" w:hint="default"/>
        </w:rPr>
        <w:t>1</w:t>
      </w:r>
      <w:r>
        <w:rPr/>
        <w:t>）营业收入构成</w:t>
      </w:r>
      <w:r>
        <w:rPr>
          <w:b w:val="0"/>
          <w:bCs w:val="0"/>
        </w:rPr>
      </w:r>
    </w:p>
    <w:p>
      <w:pPr>
        <w:spacing w:line="240" w:lineRule="auto" w:before="5"/>
        <w:rPr>
          <w:rFonts w:ascii="宋体" w:hAnsi="宋体" w:cs="宋体" w:eastAsia="宋体" w:hint="default"/>
          <w:b/>
          <w:bCs/>
          <w:sz w:val="24"/>
          <w:szCs w:val="24"/>
        </w:rPr>
      </w:pPr>
    </w:p>
    <w:p>
      <w:pPr>
        <w:spacing w:before="46"/>
        <w:ind w:left="153" w:right="1024"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13" w:hRule="exact"/>
        </w:trPr>
        <w:tc>
          <w:tcPr>
            <w:tcW w:w="1599" w:type="dxa"/>
            <w:vMerge w:val="restart"/>
            <w:tcBorders>
              <w:top w:val="single" w:sz="12" w:space="0" w:color="000000"/>
              <w:left w:val="single" w:sz="12" w:space="0" w:color="000000"/>
              <w:right w:val="single" w:sz="4" w:space="0" w:color="000000"/>
            </w:tcBorders>
            <w:shd w:val="clear" w:color="auto" w:fill="D2D2D2"/>
          </w:tcPr>
          <w:p>
            <w:pPr/>
          </w:p>
        </w:tc>
        <w:tc>
          <w:tcPr>
            <w:tcW w:w="3189"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3188"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594"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9" w:type="dxa"/>
            <w:vMerge/>
            <w:tcBorders>
              <w:left w:val="single" w:sz="12"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4" w:type="dxa"/>
            <w:vMerge/>
            <w:tcBorders>
              <w:left w:val="single" w:sz="4" w:space="0" w:color="000000"/>
              <w:bottom w:val="single" w:sz="4" w:space="0" w:color="000000"/>
              <w:right w:val="single" w:sz="12" w:space="0" w:color="000000"/>
            </w:tcBorders>
            <w:shd w:val="clear" w:color="auto" w:fill="D2D2D2"/>
          </w:tcPr>
          <w:p>
            <w:pPr/>
          </w:p>
        </w:tc>
      </w:tr>
      <w:tr>
        <w:trPr>
          <w:trHeight w:val="404" w:hRule="exact"/>
        </w:trPr>
        <w:tc>
          <w:tcPr>
            <w:tcW w:w="159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409,098,683.66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9"/>
              <w:jc w:val="right"/>
              <w:rPr>
                <w:rFonts w:ascii="宋体" w:hAnsi="宋体" w:cs="宋体" w:eastAsia="宋体" w:hint="default"/>
                <w:sz w:val="18"/>
                <w:szCs w:val="18"/>
              </w:rPr>
            </w:pPr>
            <w:r>
              <w:rPr>
                <w:rFonts w:ascii="宋体"/>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435,931,413.33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8"/>
              <w:jc w:val="right"/>
              <w:rPr>
                <w:rFonts w:ascii="宋体" w:hAnsi="宋体" w:cs="宋体" w:eastAsia="宋体" w:hint="default"/>
                <w:sz w:val="18"/>
                <w:szCs w:val="18"/>
              </w:rPr>
            </w:pPr>
            <w:r>
              <w:rPr>
                <w:rFonts w:ascii="宋体"/>
                <w:sz w:val="18"/>
              </w:rPr>
              <w:t>100%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-6.16%</w:t>
            </w:r>
          </w:p>
        </w:tc>
      </w:tr>
      <w:tr>
        <w:trPr>
          <w:trHeight w:val="398" w:hRule="exact"/>
        </w:trPr>
        <w:tc>
          <w:tcPr>
            <w:tcW w:w="9570" w:type="dxa"/>
            <w:gridSpan w:val="6"/>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电力设备行业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399,487,881.11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97.65%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428,207,473.66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98.23%</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-6.71%</w:t>
            </w:r>
          </w:p>
        </w:tc>
      </w:tr>
      <w:tr>
        <w:trPr>
          <w:trHeight w:val="403" w:hRule="exact"/>
        </w:trPr>
        <w:tc>
          <w:tcPr>
            <w:tcW w:w="159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健康云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2,010,244.26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1,938,151.71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0.44%</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3.72%</w:t>
            </w:r>
          </w:p>
        </w:tc>
      </w:tr>
      <w:tr>
        <w:trPr>
          <w:trHeight w:val="399" w:hRule="exact"/>
        </w:trPr>
        <w:tc>
          <w:tcPr>
            <w:tcW w:w="159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7,600,558.29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5,785,787.96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1.33%</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31.37%</w:t>
            </w:r>
          </w:p>
        </w:tc>
      </w:tr>
      <w:tr>
        <w:trPr>
          <w:trHeight w:val="403" w:hRule="exact"/>
        </w:trPr>
        <w:tc>
          <w:tcPr>
            <w:tcW w:w="9570" w:type="dxa"/>
            <w:gridSpan w:val="6"/>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低压集抄系统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149,624,580.36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191,443,497.63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43.92%</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-21.84%</w:t>
            </w:r>
          </w:p>
        </w:tc>
      </w:tr>
      <w:tr>
        <w:trPr>
          <w:trHeight w:val="403" w:hRule="exact"/>
        </w:trPr>
        <w:tc>
          <w:tcPr>
            <w:tcW w:w="159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配电终端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17,542,252.23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4.29%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13,110,882.96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3.01%</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33.80%</w:t>
            </w:r>
          </w:p>
        </w:tc>
      </w:tr>
      <w:tr>
        <w:trPr>
          <w:trHeight w:val="398" w:hRule="exact"/>
        </w:trPr>
        <w:tc>
          <w:tcPr>
            <w:tcW w:w="159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专变采集终端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64,456,388.12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20,791,031.33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4.77%</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210.02%</w:t>
            </w:r>
          </w:p>
        </w:tc>
      </w:tr>
      <w:tr>
        <w:trPr>
          <w:trHeight w:val="404" w:hRule="exact"/>
        </w:trPr>
        <w:tc>
          <w:tcPr>
            <w:tcW w:w="159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电能计量表箱</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80,200,628.08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113,473,761.44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宋体" w:hAnsi="宋体" w:cs="宋体" w:eastAsia="宋体" w:hint="default"/>
                <w:sz w:val="18"/>
                <w:szCs w:val="18"/>
              </w:rPr>
            </w:pPr>
            <w:r>
              <w:rPr>
                <w:rFonts w:ascii="宋体"/>
                <w:spacing w:val="-1"/>
                <w:sz w:val="18"/>
              </w:rPr>
              <w:t>26.03%</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-29.32%</w:t>
            </w:r>
          </w:p>
        </w:tc>
      </w:tr>
      <w:tr>
        <w:trPr>
          <w:trHeight w:val="403" w:hRule="exact"/>
        </w:trPr>
        <w:tc>
          <w:tcPr>
            <w:tcW w:w="159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高低压成套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26,763,466.09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47,988,240.41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11.01%</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-44.23%</w:t>
            </w:r>
          </w:p>
        </w:tc>
      </w:tr>
      <w:tr>
        <w:trPr>
          <w:trHeight w:val="403" w:hRule="exact"/>
        </w:trPr>
        <w:tc>
          <w:tcPr>
            <w:tcW w:w="159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改性材料</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13,577.58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0.00%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-100.00%</w:t>
            </w:r>
          </w:p>
        </w:tc>
      </w:tr>
      <w:tr>
        <w:trPr>
          <w:trHeight w:val="398" w:hRule="exact"/>
        </w:trPr>
        <w:tc>
          <w:tcPr>
            <w:tcW w:w="159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电力工程设计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16,326,664.06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20,128,455.37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4.62%</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-18.89%</w:t>
            </w:r>
          </w:p>
        </w:tc>
      </w:tr>
      <w:tr>
        <w:trPr>
          <w:trHeight w:val="404" w:hRule="exact"/>
        </w:trPr>
        <w:tc>
          <w:tcPr>
            <w:tcW w:w="159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46,584,146.43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11.39%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23,196,178.65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5.31%</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100.83%</w:t>
            </w:r>
          </w:p>
        </w:tc>
      </w:tr>
      <w:tr>
        <w:trPr>
          <w:trHeight w:val="403" w:hRule="exact"/>
        </w:trPr>
        <w:tc>
          <w:tcPr>
            <w:tcW w:w="159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7,600,558.29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5,785,787.96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1.33%</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31.37%</w:t>
            </w:r>
          </w:p>
        </w:tc>
      </w:tr>
      <w:tr>
        <w:trPr>
          <w:trHeight w:val="403" w:hRule="exact"/>
        </w:trPr>
        <w:tc>
          <w:tcPr>
            <w:tcW w:w="9570" w:type="dxa"/>
            <w:gridSpan w:val="6"/>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8" w:hRule="exact"/>
        </w:trPr>
        <w:tc>
          <w:tcPr>
            <w:tcW w:w="159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23,491,264.93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40,658,732.76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9.33%</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-42.22%</w:t>
            </w:r>
          </w:p>
        </w:tc>
      </w:tr>
      <w:tr>
        <w:trPr>
          <w:trHeight w:val="404" w:hRule="exact"/>
        </w:trPr>
        <w:tc>
          <w:tcPr>
            <w:tcW w:w="159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221,118,741.33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54.05%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234,087,162.36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宋体" w:hAnsi="宋体" w:cs="宋体" w:eastAsia="宋体" w:hint="default"/>
                <w:sz w:val="18"/>
                <w:szCs w:val="18"/>
              </w:rPr>
            </w:pPr>
            <w:r>
              <w:rPr>
                <w:rFonts w:ascii="宋体"/>
                <w:spacing w:val="-1"/>
                <w:sz w:val="18"/>
              </w:rPr>
              <w:t>53.70%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-5.54%</w:t>
            </w:r>
          </w:p>
        </w:tc>
      </w:tr>
      <w:tr>
        <w:trPr>
          <w:trHeight w:val="403" w:hRule="exact"/>
        </w:trPr>
        <w:tc>
          <w:tcPr>
            <w:tcW w:w="159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13,574,169.61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32,031,462.31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7.35%</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-57.62%</w:t>
            </w:r>
          </w:p>
        </w:tc>
      </w:tr>
      <w:tr>
        <w:trPr>
          <w:trHeight w:val="413" w:hRule="exact"/>
        </w:trPr>
        <w:tc>
          <w:tcPr>
            <w:tcW w:w="159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46,486,745.45</w:t>
            </w:r>
          </w:p>
        </w:tc>
        <w:tc>
          <w:tcPr>
            <w:tcW w:w="15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11.36%</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95,388,918.26</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21.88%</w:t>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-51.27%</w:t>
            </w:r>
          </w:p>
        </w:tc>
      </w:tr>
    </w:tbl>
    <w:p>
      <w:pPr>
        <w:spacing w:after="0" w:line="240" w:lineRule="auto"/>
        <w:jc w:val="right"/>
        <w:rPr>
          <w:rFonts w:ascii="宋体" w:hAnsi="宋体" w:cs="宋体" w:eastAsia="宋体" w:hint="default"/>
          <w:sz w:val="18"/>
          <w:szCs w:val="18"/>
        </w:rPr>
        <w:sectPr>
          <w:pgSz w:w="11910" w:h="16840"/>
          <w:pgMar w:header="871" w:footer="1037" w:top="1100" w:bottom="1220" w:left="980" w:right="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13" w:hRule="exact"/>
        </w:trPr>
        <w:tc>
          <w:tcPr>
            <w:tcW w:w="1599" w:type="dxa"/>
            <w:vMerge w:val="restart"/>
            <w:tcBorders>
              <w:top w:val="single" w:sz="12" w:space="0" w:color="000000"/>
              <w:left w:val="single" w:sz="12" w:space="0" w:color="000000"/>
              <w:right w:val="single" w:sz="4" w:space="0" w:color="000000"/>
            </w:tcBorders>
            <w:shd w:val="clear" w:color="auto" w:fill="D2D2D2"/>
          </w:tcPr>
          <w:p>
            <w:pPr/>
          </w:p>
        </w:tc>
        <w:tc>
          <w:tcPr>
            <w:tcW w:w="3189"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3188"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594"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9" w:type="dxa"/>
            <w:vMerge/>
            <w:tcBorders>
              <w:left w:val="single" w:sz="12"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4" w:type="dxa"/>
            <w:vMerge/>
            <w:tcBorders>
              <w:left w:val="single" w:sz="4" w:space="0" w:color="000000"/>
              <w:bottom w:val="single" w:sz="4" w:space="0" w:color="000000"/>
              <w:right w:val="single" w:sz="12" w:space="0" w:color="000000"/>
            </w:tcBorders>
            <w:shd w:val="clear" w:color="auto" w:fill="D2D2D2"/>
          </w:tcPr>
          <w:p>
            <w:pPr/>
          </w:p>
        </w:tc>
      </w:tr>
      <w:tr>
        <w:trPr>
          <w:trHeight w:val="399" w:hRule="exact"/>
        </w:trPr>
        <w:tc>
          <w:tcPr>
            <w:tcW w:w="159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80,625,338.79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25,039,963.78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5.74%</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221.99%</w:t>
            </w:r>
          </w:p>
        </w:tc>
      </w:tr>
      <w:tr>
        <w:trPr>
          <w:trHeight w:val="403" w:hRule="exact"/>
        </w:trPr>
        <w:tc>
          <w:tcPr>
            <w:tcW w:w="159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20,587,918.40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8,725,173.86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2.00%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135.96%</w:t>
            </w:r>
          </w:p>
        </w:tc>
      </w:tr>
      <w:tr>
        <w:trPr>
          <w:trHeight w:val="413" w:hRule="exact"/>
        </w:trPr>
        <w:tc>
          <w:tcPr>
            <w:tcW w:w="159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3,214,505.15</w:t>
            </w:r>
          </w:p>
        </w:tc>
        <w:tc>
          <w:tcPr>
            <w:tcW w:w="15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0.79%</w:t>
            </w:r>
          </w:p>
        </w:tc>
        <w:tc>
          <w:tcPr>
            <w:tcW w:w="1594"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100.00%</w:t>
            </w:r>
          </w:p>
        </w:tc>
      </w:tr>
    </w:tbl>
    <w:p>
      <w:pPr>
        <w:pStyle w:val="Heading4"/>
        <w:spacing w:line="240" w:lineRule="auto" w:before="66"/>
        <w:ind w:right="1024"/>
        <w:jc w:val="left"/>
        <w:rPr>
          <w:b w:val="0"/>
          <w:bCs w:val="0"/>
        </w:rPr>
      </w:pPr>
      <w:bookmarkStart w:name="（2）占公司营业收入或营业利润10%以上的行业、产品或地区情况" w:id="30"/>
      <w:bookmarkEnd w:id="30"/>
      <w:r>
        <w:rPr>
          <w:b w:val="0"/>
          <w:bCs w:val="0"/>
        </w:rPr>
      </w:r>
      <w:r>
        <w:rPr/>
        <w:t>（</w:t>
      </w:r>
      <w:r>
        <w:rPr>
          <w:rFonts w:ascii="宋体" w:hAnsi="宋体" w:cs="宋体" w:eastAsia="宋体" w:hint="default"/>
        </w:rPr>
        <w:t>2</w:t>
      </w:r>
      <w:r>
        <w:rPr/>
        <w:t>）占公司营业收入或营业利润</w:t>
      </w:r>
      <w:r>
        <w:rPr>
          <w:spacing w:val="-54"/>
        </w:rPr>
        <w:t> </w:t>
      </w:r>
      <w:r>
        <w:rPr>
          <w:rFonts w:ascii="宋体" w:hAnsi="宋体" w:cs="宋体" w:eastAsia="宋体" w:hint="default"/>
        </w:rPr>
        <w:t>10%</w:t>
      </w:r>
      <w:r>
        <w:rPr/>
        <w:t>以上的行业、产品或地区情况</w:t>
      </w:r>
      <w:r>
        <w:rPr>
          <w:b w:val="0"/>
          <w:bCs w:val="0"/>
        </w:rPr>
      </w:r>
    </w:p>
    <w:p>
      <w:pPr>
        <w:spacing w:line="240" w:lineRule="auto" w:before="13"/>
        <w:rPr>
          <w:rFonts w:ascii="宋体" w:hAnsi="宋体" w:cs="宋体" w:eastAsia="宋体" w:hint="default"/>
          <w:b/>
          <w:bCs/>
          <w:sz w:val="14"/>
          <w:szCs w:val="14"/>
        </w:rPr>
      </w:pPr>
    </w:p>
    <w:p>
      <w:pPr>
        <w:pStyle w:val="BodyText"/>
        <w:spacing w:line="240" w:lineRule="auto"/>
        <w:ind w:right="1024"/>
        <w:jc w:val="left"/>
      </w:pPr>
      <w:r>
        <w:rPr/>
        <w:t>√ 适用 □</w:t>
      </w:r>
      <w:r>
        <w:rPr>
          <w:spacing w:val="4"/>
        </w:rPr>
        <w:t> </w:t>
      </w:r>
      <w:r>
        <w:rPr/>
        <w:t>不适用</w:t>
      </w:r>
    </w:p>
    <w:p>
      <w:pPr>
        <w:spacing w:line="240" w:lineRule="auto" w:before="0"/>
        <w:rPr>
          <w:rFonts w:ascii="宋体" w:hAnsi="宋体" w:cs="宋体" w:eastAsia="宋体" w:hint="default"/>
          <w:sz w:val="10"/>
          <w:szCs w:val="10"/>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369"/>
        <w:gridCol w:w="1570"/>
        <w:gridCol w:w="1498"/>
        <w:gridCol w:w="1032"/>
        <w:gridCol w:w="1368"/>
        <w:gridCol w:w="1364"/>
        <w:gridCol w:w="1373"/>
      </w:tblGrid>
      <w:tr>
        <w:trPr>
          <w:trHeight w:val="725" w:hRule="exact"/>
        </w:trPr>
        <w:tc>
          <w:tcPr>
            <w:tcW w:w="1369"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57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9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3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5" w:right="137" w:hanging="92"/>
              <w:jc w:val="left"/>
              <w:rPr>
                <w:rFonts w:ascii="宋体" w:hAnsi="宋体" w:cs="宋体" w:eastAsia="宋体" w:hint="default"/>
                <w:sz w:val="18"/>
                <w:szCs w:val="18"/>
              </w:rPr>
            </w:pPr>
            <w:r>
              <w:rPr>
                <w:rFonts w:ascii="宋体" w:hAnsi="宋体" w:cs="宋体" w:eastAsia="宋体" w:hint="default"/>
                <w:spacing w:val="-2"/>
                <w:sz w:val="18"/>
                <w:szCs w:val="18"/>
              </w:rPr>
              <w:t>营业收入比上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年同期增减</w:t>
            </w:r>
          </w:p>
        </w:tc>
        <w:tc>
          <w:tcPr>
            <w:tcW w:w="136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6" w:right="132" w:hanging="92"/>
              <w:jc w:val="left"/>
              <w:rPr>
                <w:rFonts w:ascii="宋体" w:hAnsi="宋体" w:cs="宋体" w:eastAsia="宋体" w:hint="default"/>
                <w:sz w:val="18"/>
                <w:szCs w:val="18"/>
              </w:rPr>
            </w:pPr>
            <w:r>
              <w:rPr>
                <w:rFonts w:ascii="宋体" w:hAnsi="宋体" w:cs="宋体" w:eastAsia="宋体" w:hint="default"/>
                <w:spacing w:val="-2"/>
                <w:sz w:val="18"/>
                <w:szCs w:val="18"/>
              </w:rPr>
              <w:t>营业成本比上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年同期增减</w:t>
            </w:r>
          </w:p>
        </w:tc>
        <w:tc>
          <w:tcPr>
            <w:tcW w:w="137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53"/>
              <w:ind w:left="321" w:right="122" w:hanging="178"/>
              <w:jc w:val="left"/>
              <w:rPr>
                <w:rFonts w:ascii="宋体" w:hAnsi="宋体" w:cs="宋体" w:eastAsia="宋体" w:hint="default"/>
                <w:sz w:val="18"/>
                <w:szCs w:val="18"/>
              </w:rPr>
            </w:pPr>
            <w:r>
              <w:rPr>
                <w:rFonts w:ascii="宋体" w:hAnsi="宋体" w:cs="宋体" w:eastAsia="宋体" w:hint="default"/>
                <w:sz w:val="18"/>
                <w:szCs w:val="18"/>
              </w:rPr>
              <w:t>毛利率比上年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同期增减</w:t>
            </w:r>
          </w:p>
        </w:tc>
      </w:tr>
      <w:tr>
        <w:trPr>
          <w:trHeight w:val="399" w:hRule="exact"/>
        </w:trPr>
        <w:tc>
          <w:tcPr>
            <w:tcW w:w="9575" w:type="dxa"/>
            <w:gridSpan w:val="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电力设备行业</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2"/>
                <w:sz w:val="18"/>
              </w:rPr>
              <w:t>399,487,881.11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2"/>
                <w:sz w:val="18"/>
              </w:rPr>
              <w:t>260,410,306.30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宋体" w:hAnsi="宋体" w:cs="宋体" w:eastAsia="宋体" w:hint="default"/>
                <w:sz w:val="18"/>
                <w:szCs w:val="18"/>
              </w:rPr>
            </w:pPr>
            <w:r>
              <w:rPr>
                <w:rFonts w:ascii="宋体"/>
                <w:spacing w:val="-1"/>
                <w:sz w:val="18"/>
              </w:rPr>
              <w:t>34.81%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宋体" w:hAnsi="宋体" w:cs="宋体" w:eastAsia="宋体" w:hint="default"/>
                <w:sz w:val="18"/>
                <w:szCs w:val="18"/>
              </w:rPr>
            </w:pPr>
            <w:r>
              <w:rPr>
                <w:rFonts w:ascii="宋体"/>
                <w:spacing w:val="-1"/>
                <w:sz w:val="18"/>
              </w:rPr>
              <w:t>-6.71%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3"/>
              <w:jc w:val="right"/>
              <w:rPr>
                <w:rFonts w:ascii="宋体" w:hAnsi="宋体" w:cs="宋体" w:eastAsia="宋体" w:hint="default"/>
                <w:sz w:val="18"/>
                <w:szCs w:val="18"/>
              </w:rPr>
            </w:pPr>
            <w:r>
              <w:rPr>
                <w:rFonts w:ascii="宋体"/>
                <w:spacing w:val="-1"/>
                <w:sz w:val="18"/>
              </w:rPr>
              <w:t>-7.40%</w:t>
            </w:r>
          </w:p>
        </w:tc>
        <w:tc>
          <w:tcPr>
            <w:tcW w:w="13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z w:val="18"/>
              </w:rPr>
              <w:t>0.49%</w:t>
            </w:r>
          </w:p>
        </w:tc>
      </w:tr>
      <w:tr>
        <w:trPr>
          <w:trHeight w:val="403" w:hRule="exact"/>
        </w:trPr>
        <w:tc>
          <w:tcPr>
            <w:tcW w:w="9575" w:type="dxa"/>
            <w:gridSpan w:val="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低压集抄系统</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149,624,580.36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93,146,186.38</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37.75%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-21.84%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-20.62%</w:t>
            </w:r>
          </w:p>
        </w:tc>
        <w:tc>
          <w:tcPr>
            <w:tcW w:w="13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-0.96%</w:t>
            </w:r>
          </w:p>
        </w:tc>
      </w:tr>
      <w:tr>
        <w:trPr>
          <w:trHeight w:val="399"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电能计量表箱</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80,200,628.08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65,231,461.97</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18.66%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-29.32%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-22.06%</w:t>
            </w:r>
          </w:p>
        </w:tc>
        <w:tc>
          <w:tcPr>
            <w:tcW w:w="13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-7.58%</w:t>
            </w:r>
          </w:p>
        </w:tc>
      </w:tr>
      <w:tr>
        <w:trPr>
          <w:trHeight w:val="403"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专变采集终端</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64,456,388.12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41,627,009.06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宋体" w:hAnsi="宋体" w:cs="宋体" w:eastAsia="宋体" w:hint="default"/>
                <w:sz w:val="18"/>
                <w:szCs w:val="18"/>
              </w:rPr>
            </w:pPr>
            <w:r>
              <w:rPr>
                <w:rFonts w:ascii="宋体"/>
                <w:spacing w:val="-1"/>
                <w:sz w:val="18"/>
              </w:rPr>
              <w:t>35.42%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宋体" w:hAnsi="宋体" w:cs="宋体" w:eastAsia="宋体" w:hint="default"/>
                <w:sz w:val="18"/>
                <w:szCs w:val="18"/>
              </w:rPr>
            </w:pPr>
            <w:r>
              <w:rPr>
                <w:rFonts w:ascii="宋体"/>
                <w:spacing w:val="-1"/>
                <w:sz w:val="18"/>
              </w:rPr>
              <w:t>210.02%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3"/>
              <w:jc w:val="right"/>
              <w:rPr>
                <w:rFonts w:ascii="宋体" w:hAnsi="宋体" w:cs="宋体" w:eastAsia="宋体" w:hint="default"/>
                <w:sz w:val="18"/>
                <w:szCs w:val="18"/>
              </w:rPr>
            </w:pPr>
            <w:r>
              <w:rPr>
                <w:rFonts w:ascii="宋体"/>
                <w:spacing w:val="-1"/>
                <w:sz w:val="18"/>
              </w:rPr>
              <w:t>166.64%</w:t>
            </w:r>
          </w:p>
        </w:tc>
        <w:tc>
          <w:tcPr>
            <w:tcW w:w="13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10.51%</w:t>
            </w:r>
          </w:p>
        </w:tc>
      </w:tr>
      <w:tr>
        <w:trPr>
          <w:trHeight w:val="403"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46,584,146.43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22,964,106.16</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50.70%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100.83%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54.22%</w:t>
            </w:r>
          </w:p>
        </w:tc>
        <w:tc>
          <w:tcPr>
            <w:tcW w:w="13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14.90%</w:t>
            </w:r>
          </w:p>
        </w:tc>
      </w:tr>
      <w:tr>
        <w:trPr>
          <w:trHeight w:val="403" w:hRule="exact"/>
        </w:trPr>
        <w:tc>
          <w:tcPr>
            <w:tcW w:w="9575" w:type="dxa"/>
            <w:gridSpan w:val="7"/>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8"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221,118,741.33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123,359,012.50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44.21%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-5.54%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-8.69%</w:t>
            </w:r>
          </w:p>
        </w:tc>
        <w:tc>
          <w:tcPr>
            <w:tcW w:w="13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1.92%</w:t>
            </w:r>
          </w:p>
        </w:tc>
      </w:tr>
      <w:tr>
        <w:trPr>
          <w:trHeight w:val="404"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left="95"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4"/>
              <w:jc w:val="right"/>
              <w:rPr>
                <w:rFonts w:ascii="宋体" w:hAnsi="宋体" w:cs="宋体" w:eastAsia="宋体" w:hint="default"/>
                <w:sz w:val="18"/>
                <w:szCs w:val="18"/>
              </w:rPr>
            </w:pPr>
            <w:r>
              <w:rPr>
                <w:rFonts w:ascii="宋体"/>
                <w:spacing w:val="-1"/>
                <w:sz w:val="18"/>
              </w:rPr>
              <w:t>46,486,745.45</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4"/>
              <w:jc w:val="right"/>
              <w:rPr>
                <w:rFonts w:ascii="宋体" w:hAnsi="宋体" w:cs="宋体" w:eastAsia="宋体" w:hint="default"/>
                <w:sz w:val="18"/>
                <w:szCs w:val="18"/>
              </w:rPr>
            </w:pPr>
            <w:r>
              <w:rPr>
                <w:rFonts w:ascii="宋体"/>
                <w:spacing w:val="-1"/>
                <w:sz w:val="18"/>
              </w:rPr>
              <w:t>38,587,447.89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18"/>
                <w:szCs w:val="18"/>
              </w:rPr>
            </w:pPr>
            <w:r>
              <w:rPr>
                <w:rFonts w:ascii="宋体"/>
                <w:spacing w:val="-1"/>
                <w:sz w:val="18"/>
              </w:rPr>
              <w:t>16.99%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8"/>
              <w:jc w:val="right"/>
              <w:rPr>
                <w:rFonts w:ascii="宋体" w:hAnsi="宋体" w:cs="宋体" w:eastAsia="宋体" w:hint="default"/>
                <w:sz w:val="18"/>
                <w:szCs w:val="18"/>
              </w:rPr>
            </w:pPr>
            <w:r>
              <w:rPr>
                <w:rFonts w:ascii="宋体"/>
                <w:spacing w:val="-1"/>
                <w:sz w:val="18"/>
              </w:rPr>
              <w:t>-51.27%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3"/>
              <w:jc w:val="right"/>
              <w:rPr>
                <w:rFonts w:ascii="宋体" w:hAnsi="宋体" w:cs="宋体" w:eastAsia="宋体" w:hint="default"/>
                <w:sz w:val="18"/>
                <w:szCs w:val="18"/>
              </w:rPr>
            </w:pPr>
            <w:r>
              <w:rPr>
                <w:rFonts w:ascii="宋体"/>
                <w:spacing w:val="-1"/>
                <w:sz w:val="18"/>
              </w:rPr>
              <w:t>-41.63%</w:t>
            </w:r>
          </w:p>
        </w:tc>
        <w:tc>
          <w:tcPr>
            <w:tcW w:w="137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9"/>
              <w:ind w:right="84"/>
              <w:jc w:val="right"/>
              <w:rPr>
                <w:rFonts w:ascii="宋体" w:hAnsi="宋体" w:cs="宋体" w:eastAsia="宋体" w:hint="default"/>
                <w:sz w:val="18"/>
                <w:szCs w:val="18"/>
              </w:rPr>
            </w:pPr>
            <w:r>
              <w:rPr>
                <w:rFonts w:ascii="宋体"/>
                <w:spacing w:val="-1"/>
                <w:sz w:val="18"/>
              </w:rPr>
              <w:t>-13.70%</w:t>
            </w:r>
          </w:p>
        </w:tc>
      </w:tr>
      <w:tr>
        <w:trPr>
          <w:trHeight w:val="413" w:hRule="exact"/>
        </w:trPr>
        <w:tc>
          <w:tcPr>
            <w:tcW w:w="136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80,625,338.79</w:t>
            </w:r>
          </w:p>
        </w:tc>
        <w:tc>
          <w:tcPr>
            <w:tcW w:w="14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61,673,270.55</w:t>
            </w:r>
          </w:p>
        </w:tc>
        <w:tc>
          <w:tcPr>
            <w:tcW w:w="10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23.51%</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221.99%</w:t>
            </w: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246.07%</w:t>
            </w:r>
          </w:p>
        </w:tc>
        <w:tc>
          <w:tcPr>
            <w:tcW w:w="137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-5.32%</w:t>
            </w:r>
          </w:p>
        </w:tc>
      </w:tr>
    </w:tbl>
    <w:p>
      <w:pPr>
        <w:pStyle w:val="BodyText"/>
        <w:spacing w:line="410" w:lineRule="auto" w:before="66"/>
        <w:ind w:right="1108"/>
        <w:jc w:val="left"/>
      </w:pPr>
      <w:r>
        <w:rPr/>
        <w:t>公司主营业务数据统计口径在报告期发生调整的情况下，公司最近</w:t>
      </w:r>
      <w:r>
        <w:rPr>
          <w:spacing w:val="-58"/>
        </w:rPr>
        <w:t> </w:t>
      </w:r>
      <w:r>
        <w:rPr>
          <w:rFonts w:ascii="宋体" w:hAnsi="宋体" w:cs="宋体" w:eastAsia="宋体" w:hint="default"/>
        </w:rPr>
        <w:t>1</w:t>
      </w:r>
      <w:r>
        <w:rPr>
          <w:rFonts w:ascii="宋体" w:hAnsi="宋体" w:cs="宋体" w:eastAsia="宋体" w:hint="default"/>
          <w:spacing w:val="-64"/>
        </w:rPr>
        <w:t> </w:t>
      </w:r>
      <w:r>
        <w:rPr/>
        <w:t>年按报告期末口径调整后的主营业务</w:t>
      </w:r>
      <w:r>
        <w:rPr>
          <w:w w:val="100"/>
        </w:rPr>
        <w:t> </w:t>
      </w:r>
      <w:r>
        <w:rPr/>
        <w:t>数据</w:t>
      </w:r>
    </w:p>
    <w:p>
      <w:pPr>
        <w:pStyle w:val="BodyText"/>
        <w:spacing w:line="240" w:lineRule="auto" w:before="42"/>
        <w:ind w:right="1024"/>
        <w:jc w:val="left"/>
      </w:pPr>
      <w:r>
        <w:rPr/>
        <w:t>□ 适用 √</w:t>
      </w:r>
      <w:r>
        <w:rPr>
          <w:spacing w:val="4"/>
        </w:rPr>
        <w:t> </w:t>
      </w:r>
      <w:r>
        <w:rPr/>
        <w:t>不适用</w:t>
      </w:r>
    </w:p>
    <w:p>
      <w:pPr>
        <w:spacing w:line="240" w:lineRule="auto" w:before="12"/>
        <w:rPr>
          <w:rFonts w:ascii="宋体" w:hAnsi="宋体" w:cs="宋体" w:eastAsia="宋体" w:hint="default"/>
          <w:sz w:val="14"/>
          <w:szCs w:val="14"/>
        </w:rPr>
      </w:pPr>
    </w:p>
    <w:p>
      <w:pPr>
        <w:pStyle w:val="Heading4"/>
        <w:spacing w:line="240" w:lineRule="auto" w:before="0"/>
        <w:ind w:right="1024"/>
        <w:jc w:val="left"/>
        <w:rPr>
          <w:b w:val="0"/>
          <w:bCs w:val="0"/>
        </w:rPr>
      </w:pPr>
      <w:bookmarkStart w:name="（3）公司实物销售收入是否大于劳务收入" w:id="31"/>
      <w:bookmarkEnd w:id="31"/>
      <w:r>
        <w:rPr>
          <w:b w:val="0"/>
          <w:bCs w:val="0"/>
        </w:rPr>
      </w:r>
      <w:r>
        <w:rPr/>
        <w:t>（</w:t>
      </w:r>
      <w:r>
        <w:rPr>
          <w:rFonts w:ascii="宋体" w:hAnsi="宋体" w:cs="宋体" w:eastAsia="宋体" w:hint="default"/>
        </w:rPr>
        <w:t>3</w:t>
      </w:r>
      <w:r>
        <w:rPr/>
        <w:t>）公司实物销售收入是否大于劳务收入</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right="1024"/>
        <w:jc w:val="left"/>
      </w:pPr>
      <w:r>
        <w:rPr/>
        <w:t>√ 是 □</w:t>
      </w:r>
      <w:r>
        <w:rPr>
          <w:spacing w:val="5"/>
        </w:rPr>
        <w:t> </w:t>
      </w:r>
      <w:r>
        <w:rPr/>
        <w:t>否</w:t>
      </w:r>
    </w:p>
    <w:p>
      <w:pPr>
        <w:spacing w:line="240" w:lineRule="auto" w:before="11"/>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13" w:hRule="exact"/>
        </w:trPr>
        <w:tc>
          <w:tcPr>
            <w:tcW w:w="159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2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59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1599"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电能计量箱</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套</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465,737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457,065</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1.90%</w:t>
            </w:r>
          </w:p>
        </w:tc>
      </w:tr>
      <w:tr>
        <w:trPr>
          <w:trHeight w:val="403" w:hRule="exact"/>
        </w:trPr>
        <w:tc>
          <w:tcPr>
            <w:tcW w:w="1599"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套</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476,061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468,305</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1.66%</w:t>
            </w:r>
          </w:p>
        </w:tc>
      </w:tr>
      <w:tr>
        <w:trPr>
          <w:trHeight w:val="403" w:hRule="exact"/>
        </w:trPr>
        <w:tc>
          <w:tcPr>
            <w:tcW w:w="1599" w:type="dxa"/>
            <w:vMerge/>
            <w:tcBorders>
              <w:left w:val="single" w:sz="12"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套</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29,269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18,945</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54.49%</w:t>
            </w:r>
          </w:p>
        </w:tc>
      </w:tr>
      <w:tr>
        <w:trPr>
          <w:trHeight w:val="404" w:hRule="exact"/>
        </w:trPr>
        <w:tc>
          <w:tcPr>
            <w:tcW w:w="1599"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高低压成套</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套</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1,158</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-30.92%</w:t>
            </w:r>
          </w:p>
        </w:tc>
      </w:tr>
      <w:tr>
        <w:trPr>
          <w:trHeight w:val="398" w:hRule="exact"/>
        </w:trPr>
        <w:tc>
          <w:tcPr>
            <w:tcW w:w="1599"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套</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1,224</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-30.07%</w:t>
            </w:r>
          </w:p>
        </w:tc>
      </w:tr>
      <w:tr>
        <w:trPr>
          <w:trHeight w:val="413" w:hRule="exact"/>
        </w:trPr>
        <w:tc>
          <w:tcPr>
            <w:tcW w:w="1599" w:type="dxa"/>
            <w:vMerge/>
            <w:tcBorders>
              <w:left w:val="single" w:sz="12"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套</w:t>
            </w:r>
            <w:r>
              <w:rPr>
                <w:rFonts w:ascii="宋体" w:hAnsi="宋体" w:cs="宋体" w:eastAsia="宋体" w:hint="default"/>
                <w:sz w:val="18"/>
                <w:szCs w:val="18"/>
              </w:rPr>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313</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257</w:t>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21.79%</w:t>
            </w:r>
          </w:p>
        </w:tc>
      </w:tr>
    </w:tbl>
    <w:p>
      <w:pPr>
        <w:spacing w:after="0" w:line="240" w:lineRule="auto"/>
        <w:jc w:val="right"/>
        <w:rPr>
          <w:rFonts w:ascii="宋体" w:hAnsi="宋体" w:cs="宋体" w:eastAsia="宋体" w:hint="default"/>
          <w:sz w:val="18"/>
          <w:szCs w:val="18"/>
        </w:rPr>
        <w:sectPr>
          <w:pgSz w:w="11910" w:h="16840"/>
          <w:pgMar w:header="871" w:footer="1037" w:top="1100" w:bottom="1220" w:left="980" w:right="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13" w:hRule="exact"/>
        </w:trPr>
        <w:tc>
          <w:tcPr>
            <w:tcW w:w="1599"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改性材料</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千克</w:t>
            </w:r>
          </w:p>
        </w:tc>
        <w:tc>
          <w:tcPr>
            <w:tcW w:w="1594" w:type="dxa"/>
            <w:tcBorders>
              <w:top w:val="single" w:sz="12" w:space="0" w:color="000000"/>
              <w:left w:val="single" w:sz="4" w:space="0" w:color="000000"/>
              <w:bottom w:val="single" w:sz="4" w:space="0" w:color="000000"/>
              <w:right w:val="single" w:sz="4" w:space="0" w:color="000000"/>
            </w:tcBorders>
          </w:tcPr>
          <w:p>
            <w:pPr/>
          </w:p>
        </w:tc>
        <w:tc>
          <w:tcPr>
            <w:tcW w:w="15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1,500</w:t>
            </w:r>
          </w:p>
        </w:tc>
        <w:tc>
          <w:tcPr>
            <w:tcW w:w="159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-100.00%</w:t>
            </w:r>
          </w:p>
        </w:tc>
      </w:tr>
      <w:tr>
        <w:trPr>
          <w:trHeight w:val="403" w:hRule="exact"/>
        </w:trPr>
        <w:tc>
          <w:tcPr>
            <w:tcW w:w="1599"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千克</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1,500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-100.00%</w:t>
            </w:r>
          </w:p>
        </w:tc>
      </w:tr>
      <w:tr>
        <w:trPr>
          <w:trHeight w:val="399" w:hRule="exact"/>
        </w:trPr>
        <w:tc>
          <w:tcPr>
            <w:tcW w:w="1599" w:type="dxa"/>
            <w:vMerge/>
            <w:tcBorders>
              <w:left w:val="single" w:sz="12"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599"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低压集抄终端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795,689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767,027</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3.74%</w:t>
            </w:r>
          </w:p>
        </w:tc>
      </w:tr>
      <w:tr>
        <w:trPr>
          <w:trHeight w:val="403" w:hRule="exact"/>
        </w:trPr>
        <w:tc>
          <w:tcPr>
            <w:tcW w:w="1599"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798,474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773,436</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3.24%</w:t>
            </w:r>
          </w:p>
        </w:tc>
      </w:tr>
      <w:tr>
        <w:trPr>
          <w:trHeight w:val="403" w:hRule="exact"/>
        </w:trPr>
        <w:tc>
          <w:tcPr>
            <w:tcW w:w="1599" w:type="dxa"/>
            <w:vMerge/>
            <w:tcBorders>
              <w:left w:val="single" w:sz="12"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26,293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23,508</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11.85%</w:t>
            </w:r>
          </w:p>
        </w:tc>
      </w:tr>
      <w:tr>
        <w:trPr>
          <w:trHeight w:val="399" w:hRule="exact"/>
        </w:trPr>
        <w:tc>
          <w:tcPr>
            <w:tcW w:w="1599"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专变采集终端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66,040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30,799</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114.42%</w:t>
            </w:r>
          </w:p>
        </w:tc>
      </w:tr>
      <w:tr>
        <w:trPr>
          <w:trHeight w:val="403" w:hRule="exact"/>
        </w:trPr>
        <w:tc>
          <w:tcPr>
            <w:tcW w:w="1599"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66,015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30,850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113.99%</w:t>
            </w:r>
          </w:p>
        </w:tc>
      </w:tr>
      <w:tr>
        <w:trPr>
          <w:trHeight w:val="403" w:hRule="exact"/>
        </w:trPr>
        <w:tc>
          <w:tcPr>
            <w:tcW w:w="1599" w:type="dxa"/>
            <w:vMerge/>
            <w:tcBorders>
              <w:left w:val="single" w:sz="12"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1,210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-2.07%</w:t>
            </w:r>
          </w:p>
        </w:tc>
      </w:tr>
      <w:tr>
        <w:trPr>
          <w:trHeight w:val="403" w:hRule="exact"/>
        </w:trPr>
        <w:tc>
          <w:tcPr>
            <w:tcW w:w="1599"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手持抄表终端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w w:val="101"/>
                <w:sz w:val="18"/>
              </w:rPr>
              <w:t>2</w:t>
            </w:r>
            <w:r>
              <w:rPr>
                <w:rFonts w:ascii="宋体"/>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w w:val="101"/>
                <w:sz w:val="18"/>
              </w:rPr>
              <w:t>8</w:t>
            </w:r>
            <w:r>
              <w:rPr>
                <w:rFonts w:ascii="宋体"/>
                <w:sz w:val="18"/>
              </w:rPr>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-75.00%</w:t>
            </w:r>
          </w:p>
        </w:tc>
      </w:tr>
      <w:tr>
        <w:trPr>
          <w:trHeight w:val="398" w:hRule="exact"/>
        </w:trPr>
        <w:tc>
          <w:tcPr>
            <w:tcW w:w="1599"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599" w:type="dxa"/>
            <w:vMerge/>
            <w:tcBorders>
              <w:left w:val="single" w:sz="12"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711</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-0.28%</w:t>
            </w:r>
          </w:p>
        </w:tc>
      </w:tr>
      <w:tr>
        <w:trPr>
          <w:trHeight w:val="403" w:hRule="exact"/>
        </w:trPr>
        <w:tc>
          <w:tcPr>
            <w:tcW w:w="1599" w:type="dxa"/>
            <w:vMerge w:val="restart"/>
            <w:tcBorders>
              <w:top w:val="single" w:sz="4"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配电终端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79,304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20,214</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292.32%</w:t>
            </w:r>
          </w:p>
        </w:tc>
      </w:tr>
      <w:tr>
        <w:trPr>
          <w:trHeight w:val="403" w:hRule="exact"/>
        </w:trPr>
        <w:tc>
          <w:tcPr>
            <w:tcW w:w="1599" w:type="dxa"/>
            <w:vMerge/>
            <w:tcBorders>
              <w:left w:val="single" w:sz="12"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79,313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19,857</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299.42%</w:t>
            </w:r>
          </w:p>
        </w:tc>
      </w:tr>
      <w:tr>
        <w:trPr>
          <w:trHeight w:val="413" w:hRule="exact"/>
        </w:trPr>
        <w:tc>
          <w:tcPr>
            <w:tcW w:w="1599" w:type="dxa"/>
            <w:vMerge/>
            <w:tcBorders>
              <w:left w:val="single" w:sz="12"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175</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166</w:t>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5.42%</w:t>
            </w:r>
          </w:p>
        </w:tc>
      </w:tr>
    </w:tbl>
    <w:p>
      <w:pPr>
        <w:pStyle w:val="BodyText"/>
        <w:spacing w:line="240" w:lineRule="auto" w:before="67"/>
        <w:ind w:right="1024"/>
        <w:jc w:val="left"/>
      </w:pPr>
      <w:r>
        <w:rPr/>
        <w:t>相关数据同比发生变动</w:t>
      </w:r>
      <w:r>
        <w:rPr>
          <w:spacing w:val="-50"/>
        </w:rPr>
        <w:t> </w:t>
      </w:r>
      <w:r>
        <w:rPr>
          <w:rFonts w:ascii="宋体" w:hAnsi="宋体" w:cs="宋体" w:eastAsia="宋体" w:hint="default"/>
        </w:rPr>
        <w:t>30%</w:t>
      </w:r>
      <w:r>
        <w:rPr/>
        <w:t>以上的原因说明</w:t>
      </w:r>
    </w:p>
    <w:p>
      <w:pPr>
        <w:spacing w:line="240" w:lineRule="auto" w:before="8"/>
        <w:rPr>
          <w:rFonts w:ascii="宋体" w:hAnsi="宋体" w:cs="宋体" w:eastAsia="宋体" w:hint="default"/>
          <w:sz w:val="14"/>
          <w:szCs w:val="14"/>
        </w:rPr>
      </w:pPr>
    </w:p>
    <w:p>
      <w:pPr>
        <w:pStyle w:val="BodyText"/>
        <w:spacing w:line="240" w:lineRule="auto"/>
        <w:ind w:right="1024"/>
        <w:jc w:val="left"/>
      </w:pPr>
      <w:r>
        <w:rPr/>
        <w:t>√ 适用 □</w:t>
      </w:r>
      <w:r>
        <w:rPr>
          <w:spacing w:val="4"/>
        </w:rPr>
        <w:t> </w:t>
      </w:r>
      <w:r>
        <w:rPr/>
        <w:t>不适用</w:t>
      </w:r>
    </w:p>
    <w:p>
      <w:pPr>
        <w:spacing w:line="240" w:lineRule="auto" w:before="12"/>
        <w:rPr>
          <w:rFonts w:ascii="宋体" w:hAnsi="宋体" w:cs="宋体" w:eastAsia="宋体" w:hint="default"/>
          <w:sz w:val="14"/>
          <w:szCs w:val="14"/>
        </w:rPr>
      </w:pPr>
    </w:p>
    <w:p>
      <w:pPr>
        <w:pStyle w:val="BodyText"/>
        <w:spacing w:line="405" w:lineRule="auto"/>
        <w:ind w:right="1024"/>
        <w:jc w:val="left"/>
      </w:pPr>
      <w:r>
        <w:rPr>
          <w:spacing w:val="-2"/>
          <w:sz w:val="18"/>
          <w:szCs w:val="18"/>
        </w:rPr>
        <w:t>①</w:t>
      </w:r>
      <w:r>
        <w:rPr>
          <w:spacing w:val="-2"/>
        </w:rPr>
        <w:t>高低压成套、手持抄表终端的产销均下降，主要是国网省网公司招标减少，手持抄表用电数据变更为通</w:t>
      </w:r>
      <w:r>
        <w:rPr>
          <w:spacing w:val="-12"/>
        </w:rPr>
        <w:t> </w:t>
      </w:r>
      <w:r>
        <w:rPr>
          <w:spacing w:val="-12"/>
        </w:rPr>
      </w:r>
      <w:r>
        <w:rPr/>
        <w:t>过远程网络方式传输数据，导致需求量的减少。</w:t>
      </w:r>
    </w:p>
    <w:p>
      <w:pPr>
        <w:pStyle w:val="BodyText"/>
        <w:spacing w:line="240" w:lineRule="auto" w:before="51"/>
        <w:ind w:right="1024"/>
        <w:jc w:val="left"/>
      </w:pPr>
      <w:r>
        <w:rPr>
          <w:sz w:val="18"/>
          <w:szCs w:val="18"/>
        </w:rPr>
        <w:t>②</w:t>
      </w:r>
      <w:r>
        <w:rPr/>
        <w:t>改性材料产销下降，是因为本报告期内已无库存，本期未发生销售。</w:t>
      </w:r>
    </w:p>
    <w:p>
      <w:pPr>
        <w:spacing w:line="240" w:lineRule="auto" w:before="8"/>
        <w:rPr>
          <w:rFonts w:ascii="宋体" w:hAnsi="宋体" w:cs="宋体" w:eastAsia="宋体" w:hint="default"/>
          <w:sz w:val="14"/>
          <w:szCs w:val="14"/>
        </w:rPr>
      </w:pPr>
    </w:p>
    <w:p>
      <w:pPr>
        <w:pStyle w:val="BodyText"/>
        <w:spacing w:line="410" w:lineRule="auto"/>
        <w:ind w:right="1024"/>
        <w:jc w:val="left"/>
      </w:pPr>
      <w:r>
        <w:rPr>
          <w:spacing w:val="-2"/>
          <w:sz w:val="18"/>
          <w:szCs w:val="18"/>
        </w:rPr>
        <w:t>③</w:t>
      </w:r>
      <w:r>
        <w:rPr>
          <w:spacing w:val="-2"/>
        </w:rPr>
        <w:t>专变采集终端、配电终端产销均有所上涨，主要是报告期内新增中标合同且在</w:t>
      </w:r>
      <w:r>
        <w:rPr>
          <w:rFonts w:ascii="宋体" w:hAnsi="宋体" w:cs="宋体" w:eastAsia="宋体" w:hint="default"/>
          <w:spacing w:val="-2"/>
        </w:rPr>
        <w:t>2019</w:t>
      </w:r>
      <w:r>
        <w:rPr>
          <w:spacing w:val="-2"/>
        </w:rPr>
        <w:t>年执行，对比</w:t>
      </w:r>
      <w:r>
        <w:rPr>
          <w:rFonts w:ascii="宋体" w:hAnsi="宋体" w:cs="宋体" w:eastAsia="宋体" w:hint="default"/>
          <w:spacing w:val="-2"/>
        </w:rPr>
        <w:t>18</w:t>
      </w:r>
      <w:r>
        <w:rPr>
          <w:spacing w:val="-2"/>
        </w:rPr>
        <w:t>年同</w:t>
      </w:r>
      <w:r>
        <w:rPr>
          <w:spacing w:val="-3"/>
        </w:rPr>
        <w:t> </w:t>
      </w:r>
      <w:r>
        <w:rPr/>
        <w:t>比增加所致。</w:t>
      </w:r>
    </w:p>
    <w:p>
      <w:pPr>
        <w:pStyle w:val="Heading4"/>
        <w:spacing w:line="240" w:lineRule="auto" w:before="42"/>
        <w:ind w:right="1024"/>
        <w:jc w:val="left"/>
        <w:rPr>
          <w:b w:val="0"/>
          <w:bCs w:val="0"/>
        </w:rPr>
      </w:pPr>
      <w:bookmarkStart w:name="（4）公司已签订的重大销售合同截至本报告期的履行情况" w:id="32"/>
      <w:bookmarkEnd w:id="32"/>
      <w:r>
        <w:rPr>
          <w:b w:val="0"/>
          <w:bCs w:val="0"/>
        </w:rPr>
      </w:r>
      <w:r>
        <w:rPr/>
        <w:t>（</w:t>
      </w:r>
      <w:r>
        <w:rPr>
          <w:rFonts w:ascii="宋体" w:hAnsi="宋体" w:cs="宋体" w:eastAsia="宋体" w:hint="default"/>
        </w:rPr>
        <w:t>4</w:t>
      </w:r>
      <w:r>
        <w:rPr/>
        <w:t>）公司已签订的重大销售合同截至本报告期的履行情况</w:t>
      </w:r>
      <w:r>
        <w:rPr>
          <w:b w:val="0"/>
          <w:bCs w:val="0"/>
        </w:rPr>
      </w:r>
    </w:p>
    <w:p>
      <w:pPr>
        <w:spacing w:line="240" w:lineRule="auto" w:before="12"/>
        <w:rPr>
          <w:rFonts w:ascii="宋体" w:hAnsi="宋体" w:cs="宋体" w:eastAsia="宋体" w:hint="default"/>
          <w:b/>
          <w:bCs/>
          <w:sz w:val="14"/>
          <w:szCs w:val="14"/>
        </w:rPr>
      </w:pPr>
    </w:p>
    <w:p>
      <w:pPr>
        <w:pStyle w:val="BodyText"/>
        <w:spacing w:line="405" w:lineRule="auto"/>
        <w:ind w:left="575" w:right="1124" w:hanging="423"/>
        <w:jc w:val="left"/>
      </w:pPr>
      <w:r>
        <w:rPr/>
        <w:t>√            适用            □            </w:t>
      </w:r>
      <w:r>
        <w:rPr>
          <w:spacing w:val="16"/>
        </w:rPr>
        <w:t> </w:t>
      </w:r>
      <w:r>
        <w:rPr/>
        <w:t>不适用</w:t>
      </w:r>
      <w:r>
        <w:rPr>
          <w:w w:val="100"/>
        </w:rPr>
        <w:t> </w:t>
      </w:r>
      <w:r>
        <w:rPr>
          <w:w w:val="100"/>
        </w:rPr>
        <w:t>                                 </w:t>
      </w:r>
      <w:r>
        <w:rPr>
          <w:rFonts w:ascii="宋体" w:hAnsi="宋体" w:cs="宋体" w:eastAsia="宋体" w:hint="default"/>
          <w:spacing w:val="8"/>
        </w:rPr>
        <w:t>2019</w:t>
      </w:r>
      <w:r>
        <w:rPr>
          <w:spacing w:val="8"/>
        </w:rPr>
        <w:t>年</w:t>
      </w:r>
      <w:r>
        <w:rPr>
          <w:rFonts w:ascii="宋体" w:hAnsi="宋体" w:cs="宋体" w:eastAsia="宋体" w:hint="default"/>
          <w:spacing w:val="8"/>
        </w:rPr>
        <w:t>1</w:t>
      </w:r>
      <w:r>
        <w:rPr>
          <w:spacing w:val="8"/>
        </w:rPr>
        <w:t>月</w:t>
      </w:r>
      <w:r>
        <w:rPr>
          <w:rFonts w:ascii="宋体" w:hAnsi="宋体" w:cs="宋体" w:eastAsia="宋体" w:hint="default"/>
          <w:spacing w:val="8"/>
        </w:rPr>
        <w:t>24</w:t>
      </w:r>
      <w:r>
        <w:rPr>
          <w:spacing w:val="8"/>
        </w:rPr>
        <w:t>日，在国网江苏省电力有限公司</w:t>
      </w:r>
      <w:r>
        <w:rPr>
          <w:spacing w:val="9"/>
        </w:rPr>
        <w:t> </w:t>
      </w:r>
      <w:r>
        <w:rPr>
          <w:rFonts w:ascii="宋体" w:hAnsi="宋体" w:cs="宋体" w:eastAsia="宋体" w:hint="default"/>
          <w:spacing w:val="8"/>
        </w:rPr>
        <w:t>2019</w:t>
      </w:r>
      <w:r>
        <w:rPr>
          <w:spacing w:val="8"/>
        </w:rPr>
        <w:t>年第一批省招协议库存招标采购（招标编号：</w:t>
      </w:r>
    </w:p>
    <w:p>
      <w:pPr>
        <w:pStyle w:val="BodyText"/>
        <w:spacing w:line="408" w:lineRule="auto" w:before="50"/>
        <w:ind w:right="1024"/>
        <w:jc w:val="left"/>
      </w:pPr>
      <w:r>
        <w:rPr>
          <w:rFonts w:ascii="宋体" w:hAnsi="宋体" w:cs="宋体" w:eastAsia="宋体" w:hint="default"/>
        </w:rPr>
        <w:t>JSXYKC1901</w:t>
      </w:r>
      <w:r>
        <w:rPr/>
        <w:t>）中，公司中标金额为</w:t>
      </w:r>
      <w:r>
        <w:rPr>
          <w:rFonts w:ascii="宋体" w:hAnsi="宋体" w:cs="宋体" w:eastAsia="宋体" w:hint="default"/>
        </w:rPr>
        <w:t>691.4</w:t>
      </w:r>
      <w:r>
        <w:rPr/>
        <w:t>万元。截至报告期末，中标形成的订单正在执行中，尚未执行完</w:t>
      </w:r>
      <w:r>
        <w:rPr>
          <w:spacing w:val="-31"/>
        </w:rPr>
        <w:t> </w:t>
      </w:r>
      <w:r>
        <w:rPr>
          <w:spacing w:val="-31"/>
        </w:rPr>
      </w:r>
      <w:r>
        <w:rPr/>
        <w:t>毕。</w:t>
      </w:r>
    </w:p>
    <w:p>
      <w:pPr>
        <w:pStyle w:val="BodyText"/>
        <w:spacing w:line="408" w:lineRule="auto" w:before="48"/>
        <w:ind w:right="1129" w:firstLine="422"/>
        <w:jc w:val="both"/>
      </w:pPr>
      <w:r>
        <w:rPr>
          <w:rFonts w:ascii="宋体" w:hAnsi="宋体" w:cs="宋体" w:eastAsia="宋体" w:hint="default"/>
          <w:spacing w:val="8"/>
        </w:rPr>
        <w:t>2019</w:t>
      </w:r>
      <w:r>
        <w:rPr>
          <w:spacing w:val="8"/>
        </w:rPr>
        <w:t>年</w:t>
      </w:r>
      <w:r>
        <w:rPr>
          <w:rFonts w:ascii="宋体" w:hAnsi="宋体" w:cs="宋体" w:eastAsia="宋体" w:hint="default"/>
          <w:spacing w:val="8"/>
        </w:rPr>
        <w:t>1</w:t>
      </w:r>
      <w:r>
        <w:rPr>
          <w:spacing w:val="8"/>
        </w:rPr>
        <w:t>月</w:t>
      </w:r>
      <w:r>
        <w:rPr>
          <w:rFonts w:ascii="宋体" w:hAnsi="宋体" w:cs="宋体" w:eastAsia="宋体" w:hint="default"/>
          <w:spacing w:val="8"/>
        </w:rPr>
        <w:t>25</w:t>
      </w:r>
      <w:r>
        <w:rPr>
          <w:spacing w:val="8"/>
        </w:rPr>
        <w:t>日，在国网甘肃省电力公司</w:t>
      </w:r>
      <w:r>
        <w:rPr>
          <w:rFonts w:ascii="宋体" w:hAnsi="宋体" w:cs="宋体" w:eastAsia="宋体" w:hint="default"/>
          <w:spacing w:val="8"/>
        </w:rPr>
        <w:t>2019</w:t>
      </w:r>
      <w:r>
        <w:rPr>
          <w:spacing w:val="8"/>
        </w:rPr>
        <w:t>年第一次配网物资协议库存招标采购（招标编号：</w:t>
      </w:r>
      <w:r>
        <w:rPr>
          <w:w w:val="100"/>
        </w:rPr>
        <w:t> </w:t>
      </w:r>
      <w:r>
        <w:rPr>
          <w:rFonts w:ascii="宋体" w:hAnsi="宋体" w:cs="宋体" w:eastAsia="宋体" w:hint="default"/>
        </w:rPr>
        <w:t>GWXY-GS-1901</w:t>
      </w:r>
      <w:r>
        <w:rPr/>
        <w:t>）中，公司中标金额为</w:t>
      </w:r>
      <w:r>
        <w:rPr>
          <w:rFonts w:ascii="宋体" w:hAnsi="宋体" w:cs="宋体" w:eastAsia="宋体" w:hint="default"/>
        </w:rPr>
        <w:t>868.1</w:t>
      </w:r>
      <w:r>
        <w:rPr/>
        <w:t>万元。截至报告期末，中标形成的订单正在执行中，尚未执行</w:t>
      </w:r>
      <w:r>
        <w:rPr>
          <w:spacing w:val="-30"/>
        </w:rPr>
        <w:t> </w:t>
      </w:r>
      <w:r>
        <w:rPr>
          <w:spacing w:val="-30"/>
        </w:rPr>
      </w:r>
      <w:r>
        <w:rPr/>
        <w:t>完毕。</w:t>
      </w:r>
    </w:p>
    <w:p>
      <w:pPr>
        <w:pStyle w:val="BodyText"/>
        <w:spacing w:line="240" w:lineRule="auto" w:before="43"/>
        <w:ind w:left="575" w:right="1024"/>
        <w:jc w:val="left"/>
      </w:pPr>
      <w:r>
        <w:rPr>
          <w:rFonts w:ascii="宋体" w:hAnsi="宋体" w:cs="宋体" w:eastAsia="宋体" w:hint="default"/>
        </w:rPr>
        <w:t>2019</w:t>
      </w:r>
      <w:r>
        <w:rPr>
          <w:rFonts w:ascii="宋体" w:hAnsi="宋体" w:cs="宋体" w:eastAsia="宋体" w:hint="default"/>
          <w:spacing w:val="-17"/>
        </w:rPr>
        <w:t> </w:t>
      </w:r>
      <w:r>
        <w:rPr/>
        <w:t>年</w:t>
      </w:r>
      <w:r>
        <w:rPr>
          <w:spacing w:val="-17"/>
        </w:rPr>
        <w:t> </w:t>
      </w:r>
      <w:r>
        <w:rPr>
          <w:rFonts w:ascii="宋体" w:hAnsi="宋体" w:cs="宋体" w:eastAsia="宋体" w:hint="default"/>
        </w:rPr>
        <w:t>3</w:t>
      </w:r>
      <w:r>
        <w:rPr>
          <w:rFonts w:ascii="宋体" w:hAnsi="宋体" w:cs="宋体" w:eastAsia="宋体" w:hint="default"/>
          <w:spacing w:val="-17"/>
        </w:rPr>
        <w:t> </w:t>
      </w:r>
      <w:r>
        <w:rPr/>
        <w:t>月</w:t>
      </w:r>
      <w:r>
        <w:rPr>
          <w:spacing w:val="-17"/>
        </w:rPr>
        <w:t> </w:t>
      </w:r>
      <w:r>
        <w:rPr>
          <w:rFonts w:ascii="宋体" w:hAnsi="宋体" w:cs="宋体" w:eastAsia="宋体" w:hint="default"/>
        </w:rPr>
        <w:t>1</w:t>
      </w:r>
      <w:r>
        <w:rPr>
          <w:rFonts w:ascii="宋体" w:hAnsi="宋体" w:cs="宋体" w:eastAsia="宋体" w:hint="default"/>
          <w:spacing w:val="-17"/>
        </w:rPr>
        <w:t> </w:t>
      </w:r>
      <w:r>
        <w:rPr/>
        <w:t>日，在国网江苏省电力有限公司</w:t>
      </w:r>
      <w:r>
        <w:rPr>
          <w:spacing w:val="-16"/>
        </w:rPr>
        <w:t> </w:t>
      </w:r>
      <w:r>
        <w:rPr>
          <w:rFonts w:ascii="宋体" w:hAnsi="宋体" w:cs="宋体" w:eastAsia="宋体" w:hint="default"/>
          <w:spacing w:val="-3"/>
        </w:rPr>
        <w:t>2019</w:t>
      </w:r>
      <w:r>
        <w:rPr>
          <w:rFonts w:ascii="宋体" w:hAnsi="宋体" w:cs="宋体" w:eastAsia="宋体" w:hint="default"/>
          <w:spacing w:val="-17"/>
        </w:rPr>
        <w:t> </w:t>
      </w:r>
      <w:r>
        <w:rPr/>
        <w:t>年第一次配网物资协议库存招标（招标编号：</w:t>
      </w:r>
    </w:p>
    <w:p>
      <w:pPr>
        <w:spacing w:line="240" w:lineRule="auto" w:before="12"/>
        <w:rPr>
          <w:rFonts w:ascii="宋体" w:hAnsi="宋体" w:cs="宋体" w:eastAsia="宋体" w:hint="default"/>
          <w:sz w:val="14"/>
          <w:szCs w:val="14"/>
        </w:rPr>
      </w:pPr>
    </w:p>
    <w:p>
      <w:pPr>
        <w:pStyle w:val="BodyText"/>
        <w:spacing w:line="240" w:lineRule="auto"/>
        <w:ind w:right="1024"/>
        <w:jc w:val="left"/>
      </w:pPr>
      <w:r>
        <w:rPr>
          <w:rFonts w:ascii="宋体" w:hAnsi="宋体" w:cs="宋体" w:eastAsia="宋体" w:hint="default"/>
          <w:spacing w:val="-2"/>
        </w:rPr>
        <w:t>GWXY-JS-1901</w:t>
      </w:r>
      <w:r>
        <w:rPr>
          <w:spacing w:val="-2"/>
        </w:rPr>
        <w:t>）中，公司中标金额为</w:t>
      </w:r>
      <w:r>
        <w:rPr/>
        <w:t> </w:t>
      </w:r>
      <w:r>
        <w:rPr>
          <w:rFonts w:ascii="宋体" w:hAnsi="宋体" w:cs="宋体" w:eastAsia="宋体" w:hint="default"/>
          <w:spacing w:val="-1"/>
        </w:rPr>
        <w:t>482.1</w:t>
      </w:r>
      <w:r>
        <w:rPr>
          <w:rFonts w:ascii="宋体" w:hAnsi="宋体" w:cs="宋体" w:eastAsia="宋体" w:hint="default"/>
          <w:spacing w:val="-27"/>
        </w:rPr>
        <w:t> </w:t>
      </w:r>
      <w:r>
        <w:rPr>
          <w:spacing w:val="-2"/>
        </w:rPr>
        <w:t>万元。截至报告期末，中标形成的订单正在执行中，尚未执行</w:t>
      </w:r>
    </w:p>
    <w:p>
      <w:pPr>
        <w:spacing w:after="0" w:line="240" w:lineRule="auto"/>
        <w:jc w:val="left"/>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240" w:lineRule="auto" w:before="36"/>
        <w:ind w:right="1024"/>
        <w:jc w:val="left"/>
      </w:pPr>
      <w:r>
        <w:rPr/>
        <w:t>完毕。</w:t>
      </w:r>
    </w:p>
    <w:p>
      <w:pPr>
        <w:spacing w:line="240" w:lineRule="auto" w:before="8"/>
        <w:rPr>
          <w:rFonts w:ascii="宋体" w:hAnsi="宋体" w:cs="宋体" w:eastAsia="宋体" w:hint="default"/>
          <w:sz w:val="14"/>
          <w:szCs w:val="14"/>
        </w:rPr>
      </w:pPr>
    </w:p>
    <w:p>
      <w:pPr>
        <w:pStyle w:val="BodyText"/>
        <w:spacing w:line="408" w:lineRule="auto"/>
        <w:ind w:right="1128" w:firstLine="422"/>
        <w:jc w:val="both"/>
      </w:pP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13</w:t>
      </w:r>
      <w:r>
        <w:rPr/>
        <w:t>日，在内蒙古电力（集团）有限责任公司</w:t>
      </w:r>
      <w:r>
        <w:rPr>
          <w:rFonts w:ascii="宋体" w:hAnsi="宋体" w:cs="宋体" w:eastAsia="宋体" w:hint="default"/>
        </w:rPr>
        <w:t>2019</w:t>
      </w:r>
      <w:r>
        <w:rPr/>
        <w:t>年生产性固定资产零购、应急救援装备设</w:t>
      </w:r>
      <w:r>
        <w:rPr>
          <w:w w:val="100"/>
        </w:rPr>
        <w:t> </w:t>
      </w:r>
      <w:r>
        <w:rPr>
          <w:spacing w:val="-2"/>
          <w:w w:val="100"/>
        </w:rPr>
        <w:t>备材料采购（后审）（招标编号：</w:t>
      </w:r>
      <w:r>
        <w:rPr>
          <w:rFonts w:ascii="宋体" w:hAnsi="宋体" w:cs="宋体" w:eastAsia="宋体" w:hint="default"/>
          <w:spacing w:val="-2"/>
          <w:w w:val="100"/>
        </w:rPr>
        <w:t>MNZB2019-SC08</w:t>
      </w:r>
      <w:r>
        <w:rPr>
          <w:spacing w:val="-2"/>
          <w:w w:val="100"/>
        </w:rPr>
        <w:t>）中，公司中标金额为</w:t>
      </w:r>
      <w:r>
        <w:rPr>
          <w:rFonts w:ascii="宋体" w:hAnsi="宋体" w:cs="宋体" w:eastAsia="宋体" w:hint="default"/>
          <w:spacing w:val="-2"/>
          <w:w w:val="100"/>
        </w:rPr>
        <w:t>459.8</w:t>
      </w:r>
      <w:r>
        <w:rPr>
          <w:spacing w:val="-2"/>
          <w:w w:val="100"/>
        </w:rPr>
        <w:t>万元。截至报告期末，中标</w:t>
      </w:r>
      <w:r>
        <w:rPr>
          <w:spacing w:val="-80"/>
          <w:w w:val="100"/>
        </w:rPr>
        <w:t> </w:t>
      </w:r>
      <w:r>
        <w:rPr>
          <w:spacing w:val="-80"/>
          <w:w w:val="100"/>
        </w:rPr>
      </w:r>
      <w:r>
        <w:rPr/>
        <w:t>形成的订单正在执行中，尚未执行完毕。</w:t>
      </w:r>
    </w:p>
    <w:p>
      <w:pPr>
        <w:pStyle w:val="BodyText"/>
        <w:spacing w:line="240" w:lineRule="auto" w:before="48"/>
        <w:ind w:left="575" w:right="1024"/>
        <w:jc w:val="left"/>
      </w:pPr>
      <w:r>
        <w:rPr>
          <w:rFonts w:ascii="宋体" w:hAnsi="宋体" w:cs="宋体" w:eastAsia="宋体" w:hint="default"/>
          <w:spacing w:val="-4"/>
        </w:rPr>
        <w:t>2019</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28</w:t>
      </w:r>
      <w:r>
        <w:rPr>
          <w:spacing w:val="-4"/>
        </w:rPr>
        <w:t>日，在国家电网有限公司</w:t>
      </w:r>
      <w:r>
        <w:rPr>
          <w:rFonts w:ascii="宋体" w:hAnsi="宋体" w:cs="宋体" w:eastAsia="宋体" w:hint="default"/>
          <w:spacing w:val="-4"/>
        </w:rPr>
        <w:t>2019</w:t>
      </w:r>
      <w:r>
        <w:rPr>
          <w:spacing w:val="-4"/>
        </w:rPr>
        <w:t>年第一次电能表及用电信息采集设备招标采购（招标编号：</w:t>
      </w:r>
    </w:p>
    <w:p>
      <w:pPr>
        <w:spacing w:line="240" w:lineRule="auto" w:before="8"/>
        <w:rPr>
          <w:rFonts w:ascii="宋体" w:hAnsi="宋体" w:cs="宋体" w:eastAsia="宋体" w:hint="default"/>
          <w:sz w:val="14"/>
          <w:szCs w:val="14"/>
        </w:rPr>
      </w:pPr>
    </w:p>
    <w:p>
      <w:pPr>
        <w:pStyle w:val="BodyText"/>
        <w:spacing w:line="410" w:lineRule="auto"/>
        <w:ind w:right="1024"/>
        <w:jc w:val="left"/>
      </w:pPr>
      <w:r>
        <w:rPr>
          <w:rFonts w:ascii="宋体" w:hAnsi="宋体" w:cs="宋体" w:eastAsia="宋体" w:hint="default"/>
        </w:rPr>
        <w:t>0711-19OTL08222000</w:t>
      </w:r>
      <w:r>
        <w:rPr/>
        <w:t>）中，公司中标金额为</w:t>
      </w:r>
      <w:r>
        <w:rPr>
          <w:rFonts w:ascii="宋体" w:hAnsi="宋体" w:cs="宋体" w:eastAsia="宋体" w:hint="default"/>
        </w:rPr>
        <w:t>7,185.1</w:t>
      </w:r>
      <w:r>
        <w:rPr/>
        <w:t>万元。截至报告期末，中标形成的订单正在执行中，</w:t>
      </w:r>
      <w:r>
        <w:rPr>
          <w:spacing w:val="-29"/>
        </w:rPr>
        <w:t> </w:t>
      </w:r>
      <w:r>
        <w:rPr>
          <w:spacing w:val="-29"/>
        </w:rPr>
      </w:r>
      <w:r>
        <w:rPr/>
        <w:t>尚未执行完毕。</w:t>
      </w:r>
    </w:p>
    <w:p>
      <w:pPr>
        <w:pStyle w:val="BodyText"/>
        <w:spacing w:line="410" w:lineRule="auto" w:before="41"/>
        <w:ind w:right="1122" w:firstLine="422"/>
        <w:jc w:val="both"/>
      </w:pPr>
      <w:r>
        <w:rPr>
          <w:rFonts w:ascii="宋体" w:hAnsi="宋体" w:cs="宋体" w:eastAsia="宋体" w:hint="default"/>
          <w:spacing w:val="-6"/>
        </w:rPr>
        <w:t>2019</w:t>
      </w:r>
      <w:r>
        <w:rPr>
          <w:spacing w:val="-6"/>
        </w:rPr>
        <w:t>年</w:t>
      </w:r>
      <w:r>
        <w:rPr>
          <w:rFonts w:ascii="宋体" w:hAnsi="宋体" w:cs="宋体" w:eastAsia="宋体" w:hint="default"/>
          <w:spacing w:val="-6"/>
        </w:rPr>
        <w:t>6</w:t>
      </w:r>
      <w:r>
        <w:rPr>
          <w:spacing w:val="-6"/>
        </w:rPr>
        <w:t>月</w:t>
      </w:r>
      <w:r>
        <w:rPr>
          <w:rFonts w:ascii="宋体" w:hAnsi="宋体" w:cs="宋体" w:eastAsia="宋体" w:hint="default"/>
          <w:spacing w:val="-6"/>
        </w:rPr>
        <w:t>6</w:t>
      </w:r>
      <w:r>
        <w:rPr>
          <w:spacing w:val="-6"/>
        </w:rPr>
        <w:t>日，在国网江苏省电力有限公司</w:t>
      </w:r>
      <w:r>
        <w:rPr>
          <w:rFonts w:ascii="宋体" w:hAnsi="宋体" w:cs="宋体" w:eastAsia="宋体" w:hint="default"/>
          <w:spacing w:val="-6"/>
        </w:rPr>
        <w:t>2019</w:t>
      </w:r>
      <w:r>
        <w:rPr>
          <w:spacing w:val="-6"/>
        </w:rPr>
        <w:t>年第三批物资公开招标采购（招标编号：</w:t>
      </w:r>
      <w:r>
        <w:rPr>
          <w:rFonts w:ascii="宋体" w:hAnsi="宋体" w:cs="宋体" w:eastAsia="宋体" w:hint="default"/>
          <w:spacing w:val="-6"/>
        </w:rPr>
        <w:t>GWJSZB1903</w:t>
      </w:r>
      <w:r>
        <w:rPr>
          <w:spacing w:val="-6"/>
        </w:rPr>
        <w:t>）</w:t>
      </w:r>
      <w:r>
        <w:rPr>
          <w:w w:val="100"/>
        </w:rPr>
        <w:t> </w:t>
      </w:r>
      <w:r>
        <w:rPr/>
        <w:t>中，公司中标金额为</w:t>
      </w:r>
      <w:r>
        <w:rPr>
          <w:rFonts w:ascii="宋体" w:hAnsi="宋体" w:cs="宋体" w:eastAsia="宋体" w:hint="default"/>
        </w:rPr>
        <w:t>820.8</w:t>
      </w:r>
      <w:r>
        <w:rPr/>
        <w:t>万元。截至报告期末，中标形成的订单已经执行完毕。</w:t>
      </w:r>
    </w:p>
    <w:p>
      <w:pPr>
        <w:pStyle w:val="BodyText"/>
        <w:spacing w:line="240" w:lineRule="auto" w:before="42"/>
        <w:ind w:left="575" w:right="1024"/>
        <w:jc w:val="left"/>
      </w:pPr>
      <w:r>
        <w:rPr>
          <w:rFonts w:ascii="宋体" w:hAnsi="宋体" w:cs="宋体" w:eastAsia="宋体" w:hint="default"/>
          <w:spacing w:val="-4"/>
        </w:rPr>
        <w:t>2019</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24</w:t>
      </w:r>
      <w:r>
        <w:rPr>
          <w:spacing w:val="-4"/>
        </w:rPr>
        <w:t>日，在国家电网有限公司</w:t>
      </w:r>
      <w:r>
        <w:rPr>
          <w:rFonts w:ascii="宋体" w:hAnsi="宋体" w:cs="宋体" w:eastAsia="宋体" w:hint="default"/>
          <w:spacing w:val="-4"/>
        </w:rPr>
        <w:t>2019</w:t>
      </w:r>
      <w:r>
        <w:rPr>
          <w:spacing w:val="-4"/>
        </w:rPr>
        <w:t>年第二次电能表（含用电信息采集）招标采购（招标编号：</w:t>
      </w:r>
    </w:p>
    <w:p>
      <w:pPr>
        <w:spacing w:line="240" w:lineRule="auto" w:before="12"/>
        <w:rPr>
          <w:rFonts w:ascii="宋体" w:hAnsi="宋体" w:cs="宋体" w:eastAsia="宋体" w:hint="default"/>
          <w:sz w:val="14"/>
          <w:szCs w:val="14"/>
        </w:rPr>
      </w:pPr>
    </w:p>
    <w:p>
      <w:pPr>
        <w:pStyle w:val="BodyText"/>
        <w:spacing w:line="405" w:lineRule="auto"/>
        <w:ind w:right="1024"/>
        <w:jc w:val="left"/>
      </w:pPr>
      <w:r>
        <w:rPr>
          <w:rFonts w:ascii="宋体" w:hAnsi="宋体" w:cs="宋体" w:eastAsia="宋体" w:hint="default"/>
        </w:rPr>
        <w:t>0711-19OTL14022000</w:t>
      </w:r>
      <w:r>
        <w:rPr/>
        <w:t>）中，公司中标金额为</w:t>
      </w:r>
      <w:r>
        <w:rPr>
          <w:rFonts w:ascii="宋体" w:hAnsi="宋体" w:cs="宋体" w:eastAsia="宋体" w:hint="default"/>
        </w:rPr>
        <w:t>4,939.9</w:t>
      </w:r>
      <w:r>
        <w:rPr/>
        <w:t>万元。截至报告期末，中标形成的订单正在执行中，</w:t>
      </w:r>
      <w:r>
        <w:rPr>
          <w:spacing w:val="-29"/>
        </w:rPr>
        <w:t> </w:t>
      </w:r>
      <w:r>
        <w:rPr>
          <w:spacing w:val="-29"/>
        </w:rPr>
      </w:r>
      <w:r>
        <w:rPr/>
        <w:t>尚未执行完毕。</w:t>
      </w:r>
    </w:p>
    <w:p>
      <w:pPr>
        <w:spacing w:line="384" w:lineRule="auto" w:before="50"/>
        <w:ind w:left="153" w:right="8959" w:firstLine="0"/>
        <w:jc w:val="left"/>
        <w:rPr>
          <w:rFonts w:ascii="宋体" w:hAnsi="宋体" w:cs="宋体" w:eastAsia="宋体" w:hint="default"/>
          <w:sz w:val="21"/>
          <w:szCs w:val="21"/>
        </w:rPr>
      </w:pPr>
      <w:bookmarkStart w:name="（5）营业成本构成"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b/>
          <w:bCs/>
          <w:spacing w:val="-104"/>
          <w:sz w:val="21"/>
          <w:szCs w:val="21"/>
        </w:rPr>
        <w:t> </w:t>
      </w:r>
      <w:r>
        <w:rPr>
          <w:rFonts w:ascii="宋体" w:hAnsi="宋体" w:cs="宋体" w:eastAsia="宋体" w:hint="default"/>
          <w:sz w:val="21"/>
          <w:szCs w:val="21"/>
        </w:rPr>
        <w:t>行业分类</w:t>
      </w:r>
    </w:p>
    <w:p>
      <w:pPr>
        <w:spacing w:before="5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369"/>
        <w:gridCol w:w="1824"/>
        <w:gridCol w:w="1623"/>
        <w:gridCol w:w="1018"/>
        <w:gridCol w:w="1532"/>
        <w:gridCol w:w="1004"/>
        <w:gridCol w:w="1205"/>
      </w:tblGrid>
      <w:tr>
        <w:trPr>
          <w:trHeight w:val="413" w:hRule="exact"/>
        </w:trPr>
        <w:tc>
          <w:tcPr>
            <w:tcW w:w="1369"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24"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41"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535"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205"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1" w:hRule="exact"/>
        </w:trPr>
        <w:tc>
          <w:tcPr>
            <w:tcW w:w="1369" w:type="dxa"/>
            <w:vMerge/>
            <w:tcBorders>
              <w:left w:val="single" w:sz="12" w:space="0" w:color="000000"/>
              <w:bottom w:val="single" w:sz="4" w:space="0" w:color="000000"/>
              <w:right w:val="single" w:sz="4" w:space="0" w:color="000000"/>
            </w:tcBorders>
            <w:shd w:val="clear" w:color="auto" w:fill="D2D2D2"/>
          </w:tcPr>
          <w:p>
            <w:pPr/>
          </w:p>
        </w:tc>
        <w:tc>
          <w:tcPr>
            <w:tcW w:w="1824" w:type="dxa"/>
            <w:vMerge/>
            <w:tcBorders>
              <w:left w:val="single" w:sz="4" w:space="0" w:color="000000"/>
              <w:bottom w:val="single" w:sz="4" w:space="0" w:color="000000"/>
              <w:right w:val="single" w:sz="4" w:space="0" w:color="000000"/>
            </w:tcBorders>
            <w:shd w:val="clear" w:color="auto" w:fill="D2D2D2"/>
          </w:tcPr>
          <w:p>
            <w:pP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0" w:right="142" w:hanging="92"/>
              <w:jc w:val="left"/>
              <w:rPr>
                <w:rFonts w:ascii="宋体" w:hAnsi="宋体" w:cs="宋体" w:eastAsia="宋体" w:hint="default"/>
                <w:sz w:val="18"/>
                <w:szCs w:val="18"/>
              </w:rPr>
            </w:pPr>
            <w:r>
              <w:rPr>
                <w:rFonts w:ascii="宋体" w:hAnsi="宋体" w:cs="宋体" w:eastAsia="宋体" w:hint="default"/>
                <w:sz w:val="18"/>
                <w:szCs w:val="18"/>
              </w:rPr>
              <w:t>占营业成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本比重</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25" w:right="132" w:hanging="92"/>
              <w:jc w:val="left"/>
              <w:rPr>
                <w:rFonts w:ascii="宋体" w:hAnsi="宋体" w:cs="宋体" w:eastAsia="宋体" w:hint="default"/>
                <w:sz w:val="18"/>
                <w:szCs w:val="18"/>
              </w:rPr>
            </w:pPr>
            <w:r>
              <w:rPr>
                <w:rFonts w:ascii="宋体" w:hAnsi="宋体" w:cs="宋体" w:eastAsia="宋体" w:hint="default"/>
                <w:sz w:val="18"/>
                <w:szCs w:val="18"/>
              </w:rPr>
              <w:t>占营业成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本比重</w:t>
            </w:r>
          </w:p>
        </w:tc>
        <w:tc>
          <w:tcPr>
            <w:tcW w:w="1205" w:type="dxa"/>
            <w:vMerge/>
            <w:tcBorders>
              <w:left w:val="single" w:sz="4" w:space="0" w:color="000000"/>
              <w:bottom w:val="single" w:sz="4" w:space="0" w:color="000000"/>
              <w:right w:val="single" w:sz="12" w:space="0" w:color="000000"/>
            </w:tcBorders>
            <w:shd w:val="clear" w:color="auto" w:fill="D2D2D2"/>
          </w:tcPr>
          <w:p>
            <w:pPr/>
          </w:p>
        </w:tc>
      </w:tr>
      <w:tr>
        <w:trPr>
          <w:trHeight w:val="403"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70"/>
              <w:jc w:val="center"/>
              <w:rPr>
                <w:rFonts w:ascii="宋体" w:hAnsi="宋体" w:cs="宋体" w:eastAsia="宋体" w:hint="default"/>
                <w:sz w:val="18"/>
                <w:szCs w:val="18"/>
              </w:rPr>
            </w:pPr>
            <w:r>
              <w:rPr>
                <w:rFonts w:ascii="宋体" w:hAnsi="宋体" w:cs="宋体" w:eastAsia="宋体" w:hint="default"/>
                <w:sz w:val="18"/>
                <w:szCs w:val="18"/>
              </w:rPr>
              <w:t>电力设备行业</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202,960,577.22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77.94%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175,423,883.92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61.43%</w:t>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26.87%</w:t>
            </w:r>
          </w:p>
        </w:tc>
      </w:tr>
      <w:tr>
        <w:trPr>
          <w:trHeight w:val="403"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70"/>
              <w:jc w:val="center"/>
              <w:rPr>
                <w:rFonts w:ascii="宋体" w:hAnsi="宋体" w:cs="宋体" w:eastAsia="宋体" w:hint="default"/>
                <w:sz w:val="18"/>
                <w:szCs w:val="18"/>
              </w:rPr>
            </w:pPr>
            <w:r>
              <w:rPr>
                <w:rFonts w:ascii="宋体" w:hAnsi="宋体" w:cs="宋体" w:eastAsia="宋体" w:hint="default"/>
                <w:sz w:val="18"/>
                <w:szCs w:val="18"/>
              </w:rPr>
              <w:t>电力设备行业</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11,054,919.29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4.25%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17,040,110.59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5.97%</w:t>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-28.89%</w:t>
            </w:r>
          </w:p>
        </w:tc>
      </w:tr>
      <w:tr>
        <w:trPr>
          <w:trHeight w:val="403"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70"/>
              <w:jc w:val="center"/>
              <w:rPr>
                <w:rFonts w:ascii="宋体" w:hAnsi="宋体" w:cs="宋体" w:eastAsia="宋体" w:hint="default"/>
                <w:sz w:val="18"/>
                <w:szCs w:val="18"/>
              </w:rPr>
            </w:pPr>
            <w:r>
              <w:rPr>
                <w:rFonts w:ascii="宋体" w:hAnsi="宋体" w:cs="宋体" w:eastAsia="宋体" w:hint="default"/>
                <w:sz w:val="18"/>
                <w:szCs w:val="18"/>
              </w:rPr>
              <w:t>电力设备行业</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14,176,587.84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5.44%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17,605,715.64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6.17%</w:t>
            </w:r>
          </w:p>
        </w:tc>
        <w:tc>
          <w:tcPr>
            <w:tcW w:w="12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-11.77%</w:t>
            </w:r>
          </w:p>
        </w:tc>
      </w:tr>
      <w:tr>
        <w:trPr>
          <w:trHeight w:val="413" w:hRule="exact"/>
        </w:trPr>
        <w:tc>
          <w:tcPr>
            <w:tcW w:w="136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4"/>
              <w:ind w:right="70"/>
              <w:jc w:val="center"/>
              <w:rPr>
                <w:rFonts w:ascii="宋体" w:hAnsi="宋体" w:cs="宋体" w:eastAsia="宋体" w:hint="default"/>
                <w:sz w:val="18"/>
                <w:szCs w:val="18"/>
              </w:rPr>
            </w:pPr>
            <w:r>
              <w:rPr>
                <w:rFonts w:ascii="宋体" w:hAnsi="宋体" w:cs="宋体" w:eastAsia="宋体" w:hint="default"/>
                <w:sz w:val="18"/>
                <w:szCs w:val="18"/>
              </w:rPr>
              <w:t>电力设备行业</w:t>
            </w:r>
          </w:p>
        </w:tc>
        <w:tc>
          <w:tcPr>
            <w:tcW w:w="18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自制商品成本合计</w:t>
            </w:r>
          </w:p>
        </w:tc>
        <w:tc>
          <w:tcPr>
            <w:tcW w:w="16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228,192,084.35</w:t>
            </w:r>
          </w:p>
        </w:tc>
        <w:tc>
          <w:tcPr>
            <w:tcW w:w="10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87.63%</w:t>
            </w:r>
          </w:p>
        </w:tc>
        <w:tc>
          <w:tcPr>
            <w:tcW w:w="15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2"/>
                <w:sz w:val="18"/>
              </w:rPr>
              <w:t>210,069,710.15</w:t>
            </w:r>
          </w:p>
        </w:tc>
        <w:tc>
          <w:tcPr>
            <w:tcW w:w="10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73.57%</w:t>
            </w:r>
          </w:p>
        </w:tc>
        <w:tc>
          <w:tcPr>
            <w:tcW w:w="120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19.11%</w:t>
            </w:r>
          </w:p>
        </w:tc>
      </w:tr>
    </w:tbl>
    <w:p>
      <w:pPr>
        <w:pStyle w:val="Heading4"/>
        <w:spacing w:line="240" w:lineRule="auto" w:before="66"/>
        <w:ind w:right="1024"/>
        <w:jc w:val="left"/>
        <w:rPr>
          <w:b w:val="0"/>
          <w:bCs w:val="0"/>
        </w:rPr>
      </w:pPr>
      <w:bookmarkStart w:name="（6）报告期内合并范围是否发生变动" w:id="34"/>
      <w:bookmarkEnd w:id="34"/>
      <w:r>
        <w:rPr>
          <w:b w:val="0"/>
          <w:bCs w:val="0"/>
        </w:rPr>
      </w:r>
      <w:r>
        <w:rPr/>
        <w:t>（</w:t>
      </w:r>
      <w:r>
        <w:rPr>
          <w:rFonts w:ascii="宋体" w:hAnsi="宋体" w:cs="宋体" w:eastAsia="宋体" w:hint="default"/>
        </w:rPr>
        <w:t>6</w:t>
      </w:r>
      <w:r>
        <w:rPr/>
        <w:t>）报告期内合并范围是否发生变动</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right="1024"/>
        <w:jc w:val="left"/>
      </w:pPr>
      <w:r>
        <w:rPr/>
        <w:t>√ 是 □</w:t>
      </w:r>
      <w:r>
        <w:rPr>
          <w:spacing w:val="5"/>
        </w:rPr>
        <w:t> </w:t>
      </w:r>
      <w:r>
        <w:rPr/>
        <w:t>否</w:t>
      </w:r>
    </w:p>
    <w:p>
      <w:pPr>
        <w:spacing w:line="240" w:lineRule="auto" w:before="12"/>
        <w:rPr>
          <w:rFonts w:ascii="宋体" w:hAnsi="宋体" w:cs="宋体" w:eastAsia="宋体" w:hint="default"/>
          <w:sz w:val="14"/>
          <w:szCs w:val="14"/>
        </w:rPr>
      </w:pPr>
    </w:p>
    <w:p>
      <w:pPr>
        <w:pStyle w:val="BodyText"/>
        <w:spacing w:line="408" w:lineRule="auto"/>
        <w:ind w:right="1024" w:firstLine="422"/>
        <w:jc w:val="left"/>
      </w:pPr>
      <w:r>
        <w:rPr/>
        <w:t>报告期内，控股子公司光一数道（北京）科技有限公司清算注销，自注销后不再纳入公司合并范围；</w:t>
      </w:r>
      <w:r>
        <w:rPr>
          <w:w w:val="100"/>
        </w:rPr>
        <w:t> </w:t>
      </w:r>
      <w:r>
        <w:rPr/>
        <w:t>控股子公司江苏德能电力设计咨询有限公司对外转让，自转让后不再纳入公司合并范围。</w:t>
      </w:r>
    </w:p>
    <w:p>
      <w:pPr>
        <w:pStyle w:val="Heading4"/>
        <w:spacing w:line="240" w:lineRule="auto" w:before="48"/>
        <w:ind w:right="1024"/>
        <w:jc w:val="left"/>
        <w:rPr>
          <w:b w:val="0"/>
          <w:bCs w:val="0"/>
        </w:rPr>
      </w:pPr>
      <w:bookmarkStart w:name="（7）公司报告期内业务、产品或服务发生重大变化或调整有关情况" w:id="35"/>
      <w:bookmarkEnd w:id="35"/>
      <w:r>
        <w:rPr>
          <w:b w:val="0"/>
          <w:bCs w:val="0"/>
        </w:rPr>
      </w:r>
      <w:r>
        <w:rPr/>
        <w:t>（</w:t>
      </w:r>
      <w:r>
        <w:rPr>
          <w:rFonts w:ascii="宋体" w:hAnsi="宋体" w:cs="宋体" w:eastAsia="宋体"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right="1024"/>
        <w:jc w:val="left"/>
      </w:pPr>
      <w:r>
        <w:rPr/>
        <w:t>□ 适用 √</w:t>
      </w:r>
      <w:r>
        <w:rPr>
          <w:spacing w:val="4"/>
        </w:rPr>
        <w:t> </w:t>
      </w:r>
      <w:r>
        <w:rPr/>
        <w:t>不适用</w:t>
      </w:r>
    </w:p>
    <w:p>
      <w:pPr>
        <w:spacing w:line="240" w:lineRule="auto" w:before="12"/>
        <w:rPr>
          <w:rFonts w:ascii="宋体" w:hAnsi="宋体" w:cs="宋体" w:eastAsia="宋体" w:hint="default"/>
          <w:sz w:val="14"/>
          <w:szCs w:val="14"/>
        </w:rPr>
      </w:pPr>
    </w:p>
    <w:p>
      <w:pPr>
        <w:pStyle w:val="Heading4"/>
        <w:spacing w:line="240" w:lineRule="auto" w:before="0"/>
        <w:ind w:right="1024"/>
        <w:jc w:val="left"/>
        <w:rPr>
          <w:b w:val="0"/>
          <w:bCs w:val="0"/>
        </w:rPr>
      </w:pPr>
      <w:bookmarkStart w:name="（8）主要销售客户和主要供应商情况" w:id="36"/>
      <w:bookmarkEnd w:id="36"/>
      <w:r>
        <w:rPr>
          <w:b w:val="0"/>
          <w:bCs w:val="0"/>
        </w:rPr>
      </w:r>
      <w:r>
        <w:rPr/>
        <w:t>（</w:t>
      </w:r>
      <w:r>
        <w:rPr>
          <w:rFonts w:ascii="宋体" w:hAnsi="宋体" w:cs="宋体" w:eastAsia="宋体" w:hint="default"/>
        </w:rPr>
        <w:t>8</w:t>
      </w:r>
      <w:r>
        <w:rPr/>
        <w:t>）主要销售客户和主要供应商情况</w:t>
      </w:r>
      <w:r>
        <w:rPr>
          <w:b w:val="0"/>
          <w:bCs w:val="0"/>
        </w:rPr>
      </w:r>
    </w:p>
    <w:p>
      <w:pPr>
        <w:spacing w:line="240" w:lineRule="auto" w:before="12"/>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pgSz w:w="11910" w:h="16840"/>
          <w:pgMar w:header="871" w:footer="1037" w:top="1100" w:bottom="1220" w:left="980" w:right="0"/>
        </w:sectPr>
      </w:pPr>
    </w:p>
    <w:p>
      <w:pPr>
        <w:pStyle w:val="BodyText"/>
        <w:spacing w:line="240" w:lineRule="auto" w:before="36"/>
        <w:ind w:right="-8"/>
        <w:jc w:val="left"/>
      </w:pPr>
      <w:r>
        <w:rPr>
          <w:spacing w:val="-1"/>
        </w:rPr>
        <w:t>公司主要销售客户情况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1220" w:left="980" w:right="0"/>
          <w:cols w:num="2" w:equalWidth="0">
            <w:col w:w="2256" w:space="6666"/>
            <w:col w:w="2008"/>
          </w:cols>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4259"/>
        <w:gridCol w:w="5311"/>
      </w:tblGrid>
      <w:tr>
        <w:trPr>
          <w:trHeight w:val="413" w:hRule="exact"/>
        </w:trPr>
        <w:tc>
          <w:tcPr>
            <w:tcW w:w="425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1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122,742,538.80</w:t>
            </w:r>
          </w:p>
        </w:tc>
      </w:tr>
      <w:tr>
        <w:trPr>
          <w:trHeight w:val="403" w:hRule="exact"/>
        </w:trPr>
        <w:tc>
          <w:tcPr>
            <w:tcW w:w="42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29.94%</w:t>
            </w:r>
          </w:p>
        </w:tc>
      </w:tr>
      <w:tr>
        <w:trPr>
          <w:trHeight w:val="725" w:hRule="exact"/>
        </w:trPr>
        <w:tc>
          <w:tcPr>
            <w:tcW w:w="425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4"/>
              <w:ind w:left="95" w:right="176"/>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比例</w:t>
            </w:r>
          </w:p>
        </w:tc>
        <w:tc>
          <w:tcPr>
            <w:tcW w:w="531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871" w:footer="1037" w:top="1100" w:bottom="1220" w:left="980" w:right="0"/>
        </w:sectPr>
      </w:pPr>
    </w:p>
    <w:p>
      <w:pPr>
        <w:pStyle w:val="BodyText"/>
        <w:spacing w:line="240" w:lineRule="auto" w:before="28"/>
        <w:ind w:right="-18"/>
        <w:jc w:val="left"/>
      </w:pPr>
      <w:r>
        <w:rPr/>
        <w:t>公司前</w:t>
      </w:r>
      <w:r>
        <w:rPr>
          <w:spacing w:val="-51"/>
        </w:rPr>
        <w:t> </w:t>
      </w:r>
      <w:r>
        <w:rPr>
          <w:rFonts w:ascii="宋体" w:hAnsi="宋体" w:cs="宋体" w:eastAsia="宋体" w:hint="default"/>
        </w:rPr>
        <w:t>5</w:t>
      </w:r>
      <w:r>
        <w:rPr>
          <w:rFonts w:ascii="宋体" w:hAnsi="宋体" w:cs="宋体" w:eastAsia="宋体" w:hint="default"/>
          <w:spacing w:val="-50"/>
        </w:rPr>
        <w:t> </w:t>
      </w:r>
      <w:r>
        <w:rPr/>
        <w:t>大客户资料</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1220" w:left="980" w:right="0"/>
          <w:cols w:num="2" w:equalWidth="0">
            <w:col w:w="2050" w:space="6872"/>
            <w:col w:w="2008"/>
          </w:cols>
        </w:sectPr>
      </w:pP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802"/>
        <w:gridCol w:w="3303"/>
        <w:gridCol w:w="2324"/>
        <w:gridCol w:w="3140"/>
      </w:tblGrid>
      <w:tr>
        <w:trPr>
          <w:trHeight w:val="413" w:hRule="exact"/>
        </w:trPr>
        <w:tc>
          <w:tcPr>
            <w:tcW w:w="80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399" w:hRule="exact"/>
        </w:trPr>
        <w:tc>
          <w:tcPr>
            <w:tcW w:w="80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8"/>
              <w:jc w:val="center"/>
              <w:rPr>
                <w:rFonts w:ascii="宋体" w:hAnsi="宋体" w:cs="宋体" w:eastAsia="宋体" w:hint="default"/>
                <w:sz w:val="18"/>
                <w:szCs w:val="18"/>
              </w:rPr>
            </w:pPr>
            <w:r>
              <w:rPr>
                <w:rFonts w:ascii="宋体"/>
                <w:w w:val="101"/>
                <w:sz w:val="18"/>
              </w:rPr>
              <w:t>1</w:t>
            </w:r>
            <w:r>
              <w:rPr>
                <w:rFonts w:ascii="宋体"/>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客户一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56,426,031.16</w:t>
            </w:r>
          </w:p>
        </w:tc>
        <w:tc>
          <w:tcPr>
            <w:tcW w:w="31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13.76%</w:t>
            </w:r>
          </w:p>
        </w:tc>
      </w:tr>
      <w:tr>
        <w:trPr>
          <w:trHeight w:val="403" w:hRule="exact"/>
        </w:trPr>
        <w:tc>
          <w:tcPr>
            <w:tcW w:w="80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w w:val="101"/>
                <w:sz w:val="18"/>
              </w:rPr>
              <w:t>2</w:t>
            </w:r>
            <w:r>
              <w:rPr>
                <w:rFonts w:ascii="宋体"/>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24,155,988.00</w:t>
            </w:r>
          </w:p>
        </w:tc>
        <w:tc>
          <w:tcPr>
            <w:tcW w:w="31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5.89%</w:t>
            </w:r>
          </w:p>
        </w:tc>
      </w:tr>
      <w:tr>
        <w:trPr>
          <w:trHeight w:val="403" w:hRule="exact"/>
        </w:trPr>
        <w:tc>
          <w:tcPr>
            <w:tcW w:w="80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w w:val="101"/>
                <w:sz w:val="18"/>
              </w:rPr>
              <w:t>3</w:t>
            </w:r>
            <w:r>
              <w:rPr>
                <w:rFonts w:ascii="宋体"/>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14,576,700.14</w:t>
            </w:r>
          </w:p>
        </w:tc>
        <w:tc>
          <w:tcPr>
            <w:tcW w:w="31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3.56%</w:t>
            </w:r>
          </w:p>
        </w:tc>
      </w:tr>
      <w:tr>
        <w:trPr>
          <w:trHeight w:val="403" w:hRule="exact"/>
        </w:trPr>
        <w:tc>
          <w:tcPr>
            <w:tcW w:w="80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w w:val="101"/>
                <w:sz w:val="18"/>
              </w:rPr>
              <w:t>4</w:t>
            </w:r>
            <w:r>
              <w:rPr>
                <w:rFonts w:ascii="宋体"/>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13,861,214.56</w:t>
            </w:r>
          </w:p>
        </w:tc>
        <w:tc>
          <w:tcPr>
            <w:tcW w:w="31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3.38%</w:t>
            </w:r>
          </w:p>
        </w:tc>
      </w:tr>
      <w:tr>
        <w:trPr>
          <w:trHeight w:val="399" w:hRule="exact"/>
        </w:trPr>
        <w:tc>
          <w:tcPr>
            <w:tcW w:w="80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8"/>
              <w:jc w:val="center"/>
              <w:rPr>
                <w:rFonts w:ascii="宋体" w:hAnsi="宋体" w:cs="宋体" w:eastAsia="宋体" w:hint="default"/>
                <w:sz w:val="18"/>
                <w:szCs w:val="18"/>
              </w:rPr>
            </w:pPr>
            <w:r>
              <w:rPr>
                <w:rFonts w:ascii="宋体"/>
                <w:w w:val="101"/>
                <w:sz w:val="18"/>
              </w:rPr>
              <w:t>5</w:t>
            </w:r>
            <w:r>
              <w:rPr>
                <w:rFonts w:ascii="宋体"/>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客户五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13,722,604.94</w:t>
            </w:r>
          </w:p>
        </w:tc>
        <w:tc>
          <w:tcPr>
            <w:tcW w:w="31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z w:val="18"/>
              </w:rPr>
              <w:t>3.35%</w:t>
            </w:r>
          </w:p>
        </w:tc>
      </w:tr>
      <w:tr>
        <w:trPr>
          <w:trHeight w:val="413" w:hRule="exact"/>
        </w:trPr>
        <w:tc>
          <w:tcPr>
            <w:tcW w:w="80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sz w:val="18"/>
              </w:rPr>
              <w:t>--</w:t>
            </w:r>
          </w:p>
        </w:tc>
        <w:tc>
          <w:tcPr>
            <w:tcW w:w="23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122,742,538.80</w:t>
            </w:r>
          </w:p>
        </w:tc>
        <w:tc>
          <w:tcPr>
            <w:tcW w:w="314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29.94%</w:t>
            </w:r>
          </w:p>
        </w:tc>
      </w:tr>
    </w:tbl>
    <w:p>
      <w:pPr>
        <w:pStyle w:val="BodyText"/>
        <w:spacing w:line="240" w:lineRule="auto" w:before="66"/>
        <w:ind w:right="1024"/>
        <w:jc w:val="left"/>
      </w:pPr>
      <w:r>
        <w:rPr/>
        <w:t>主要客户其他情况说明</w:t>
      </w:r>
    </w:p>
    <w:p>
      <w:pPr>
        <w:spacing w:line="240" w:lineRule="auto" w:before="12"/>
        <w:rPr>
          <w:rFonts w:ascii="宋体" w:hAnsi="宋体" w:cs="宋体" w:eastAsia="宋体" w:hint="default"/>
          <w:sz w:val="14"/>
          <w:szCs w:val="14"/>
        </w:rPr>
      </w:pPr>
    </w:p>
    <w:p>
      <w:pPr>
        <w:pStyle w:val="BodyText"/>
        <w:spacing w:line="240" w:lineRule="auto"/>
        <w:ind w:right="1024"/>
        <w:jc w:val="left"/>
      </w:pPr>
      <w:r>
        <w:rPr/>
        <w:t>□ 适用 √</w:t>
      </w:r>
      <w:r>
        <w:rPr>
          <w:spacing w:val="4"/>
        </w:rPr>
        <w:t> </w:t>
      </w:r>
      <w:r>
        <w:rPr/>
        <w:t>不适用</w:t>
      </w: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1910" w:h="16840"/>
          <w:pgMar w:top="1580" w:bottom="1220" w:left="980" w:right="0"/>
        </w:sectPr>
      </w:pPr>
    </w:p>
    <w:p>
      <w:pPr>
        <w:pStyle w:val="BodyText"/>
        <w:spacing w:line="240" w:lineRule="auto" w:before="36"/>
        <w:ind w:right="-5"/>
        <w:jc w:val="left"/>
      </w:pPr>
      <w:r>
        <w:rPr>
          <w:spacing w:val="-1"/>
        </w:rPr>
        <w:t>公司主要供应商情况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1220" w:left="980" w:right="0"/>
          <w:cols w:num="2" w:equalWidth="0">
            <w:col w:w="2050" w:space="6872"/>
            <w:col w:w="2008"/>
          </w:cols>
        </w:sectPr>
      </w:pP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259"/>
        <w:gridCol w:w="5311"/>
      </w:tblGrid>
      <w:tr>
        <w:trPr>
          <w:trHeight w:val="413" w:hRule="exact"/>
        </w:trPr>
        <w:tc>
          <w:tcPr>
            <w:tcW w:w="425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w:t>
            </w:r>
          </w:p>
        </w:tc>
        <w:tc>
          <w:tcPr>
            <w:tcW w:w="531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50,567,367.34</w:t>
            </w:r>
          </w:p>
        </w:tc>
      </w:tr>
      <w:tr>
        <w:trPr>
          <w:trHeight w:val="403" w:hRule="exact"/>
        </w:trPr>
        <w:tc>
          <w:tcPr>
            <w:tcW w:w="425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25.04%</w:t>
            </w:r>
          </w:p>
        </w:tc>
      </w:tr>
      <w:tr>
        <w:trPr>
          <w:trHeight w:val="725" w:hRule="exact"/>
        </w:trPr>
        <w:tc>
          <w:tcPr>
            <w:tcW w:w="425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4"/>
              <w:ind w:left="95" w:right="176"/>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额比例</w:t>
            </w:r>
          </w:p>
        </w:tc>
        <w:tc>
          <w:tcPr>
            <w:tcW w:w="531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type w:val="continuous"/>
          <w:pgSz w:w="11910" w:h="16840"/>
          <w:pgMar w:top="1580" w:bottom="1220" w:left="980" w:right="0"/>
        </w:sectPr>
      </w:pPr>
    </w:p>
    <w:p>
      <w:pPr>
        <w:pStyle w:val="BodyText"/>
        <w:spacing w:line="240" w:lineRule="auto" w:before="28"/>
        <w:ind w:right="-17"/>
        <w:jc w:val="left"/>
      </w:pPr>
      <w:r>
        <w:rPr/>
        <w:t>公司前</w:t>
      </w:r>
      <w:r>
        <w:rPr>
          <w:spacing w:val="-53"/>
        </w:rPr>
        <w:t> </w:t>
      </w:r>
      <w:r>
        <w:rPr>
          <w:rFonts w:ascii="宋体" w:hAnsi="宋体" w:cs="宋体" w:eastAsia="宋体" w:hint="default"/>
        </w:rPr>
        <w:t>5</w:t>
      </w:r>
      <w:r>
        <w:rPr>
          <w:rFonts w:ascii="宋体" w:hAnsi="宋体" w:cs="宋体" w:eastAsia="宋体" w:hint="default"/>
          <w:spacing w:val="-52"/>
        </w:rPr>
        <w:t> </w:t>
      </w:r>
      <w:r>
        <w:rPr/>
        <w:t>名供应商资料</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1220" w:left="980" w:right="0"/>
          <w:cols w:num="2" w:equalWidth="0">
            <w:col w:w="2257" w:space="6665"/>
            <w:col w:w="2008"/>
          </w:cols>
        </w:sectPr>
      </w:pP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937"/>
        <w:gridCol w:w="3169"/>
        <w:gridCol w:w="2324"/>
        <w:gridCol w:w="3140"/>
      </w:tblGrid>
      <w:tr>
        <w:trPr>
          <w:trHeight w:val="413" w:hRule="exact"/>
        </w:trPr>
        <w:tc>
          <w:tcPr>
            <w:tcW w:w="93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采购额</w:t>
            </w:r>
          </w:p>
        </w:tc>
        <w:tc>
          <w:tcPr>
            <w:tcW w:w="314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3" w:hRule="exact"/>
        </w:trPr>
        <w:tc>
          <w:tcPr>
            <w:tcW w:w="9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w w:val="101"/>
                <w:sz w:val="18"/>
              </w:rPr>
              <w:t>1</w:t>
            </w:r>
            <w:r>
              <w:rPr>
                <w:rFonts w:ascii="宋体"/>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供应商一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17,560,485.72</w:t>
            </w:r>
          </w:p>
        </w:tc>
        <w:tc>
          <w:tcPr>
            <w:tcW w:w="31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8.70%</w:t>
            </w:r>
          </w:p>
        </w:tc>
      </w:tr>
      <w:tr>
        <w:trPr>
          <w:trHeight w:val="398" w:hRule="exact"/>
        </w:trPr>
        <w:tc>
          <w:tcPr>
            <w:tcW w:w="9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w w:val="101"/>
                <w:sz w:val="18"/>
              </w:rPr>
              <w:t>2</w:t>
            </w:r>
            <w:r>
              <w:rPr>
                <w:rFonts w:ascii="宋体"/>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供应商二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10,665,227.00</w:t>
            </w:r>
          </w:p>
        </w:tc>
        <w:tc>
          <w:tcPr>
            <w:tcW w:w="31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5.28%</w:t>
            </w:r>
          </w:p>
        </w:tc>
      </w:tr>
      <w:tr>
        <w:trPr>
          <w:trHeight w:val="403" w:hRule="exact"/>
        </w:trPr>
        <w:tc>
          <w:tcPr>
            <w:tcW w:w="9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w w:val="101"/>
                <w:sz w:val="18"/>
              </w:rPr>
              <w:t>3</w:t>
            </w:r>
            <w:r>
              <w:rPr>
                <w:rFonts w:ascii="宋体"/>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供应商三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8,832,574.19</w:t>
            </w:r>
          </w:p>
        </w:tc>
        <w:tc>
          <w:tcPr>
            <w:tcW w:w="31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4.37%</w:t>
            </w:r>
          </w:p>
        </w:tc>
      </w:tr>
      <w:tr>
        <w:trPr>
          <w:trHeight w:val="404" w:hRule="exact"/>
        </w:trPr>
        <w:tc>
          <w:tcPr>
            <w:tcW w:w="9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w w:val="101"/>
                <w:sz w:val="18"/>
              </w:rPr>
              <w:t>4</w:t>
            </w:r>
            <w:r>
              <w:rPr>
                <w:rFonts w:ascii="宋体"/>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供应商四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7,401,917.07</w:t>
            </w:r>
          </w:p>
        </w:tc>
        <w:tc>
          <w:tcPr>
            <w:tcW w:w="31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3.67%</w:t>
            </w:r>
          </w:p>
        </w:tc>
      </w:tr>
      <w:tr>
        <w:trPr>
          <w:trHeight w:val="403" w:hRule="exact"/>
        </w:trPr>
        <w:tc>
          <w:tcPr>
            <w:tcW w:w="9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w w:val="101"/>
                <w:sz w:val="18"/>
              </w:rPr>
              <w:t>5</w:t>
            </w:r>
            <w:r>
              <w:rPr>
                <w:rFonts w:ascii="宋体"/>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供应商五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6,107,163.36</w:t>
            </w:r>
          </w:p>
        </w:tc>
        <w:tc>
          <w:tcPr>
            <w:tcW w:w="314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3.02%</w:t>
            </w:r>
          </w:p>
        </w:tc>
      </w:tr>
      <w:tr>
        <w:trPr>
          <w:trHeight w:val="413" w:hRule="exact"/>
        </w:trPr>
        <w:tc>
          <w:tcPr>
            <w:tcW w:w="93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sz w:val="18"/>
              </w:rPr>
              <w:t>--</w:t>
            </w:r>
          </w:p>
        </w:tc>
        <w:tc>
          <w:tcPr>
            <w:tcW w:w="23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50,567,367.34</w:t>
            </w:r>
          </w:p>
        </w:tc>
        <w:tc>
          <w:tcPr>
            <w:tcW w:w="314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25.04%</w:t>
            </w:r>
          </w:p>
        </w:tc>
      </w:tr>
    </w:tbl>
    <w:p>
      <w:pPr>
        <w:pStyle w:val="BodyText"/>
        <w:spacing w:line="240" w:lineRule="auto" w:before="66"/>
        <w:ind w:right="1024"/>
        <w:jc w:val="left"/>
      </w:pPr>
      <w:r>
        <w:rPr/>
        <w:t>主要供应商其他情况说明</w:t>
      </w:r>
    </w:p>
    <w:p>
      <w:pPr>
        <w:spacing w:line="240" w:lineRule="auto" w:before="8"/>
        <w:rPr>
          <w:rFonts w:ascii="宋体" w:hAnsi="宋体" w:cs="宋体" w:eastAsia="宋体" w:hint="default"/>
          <w:sz w:val="14"/>
          <w:szCs w:val="14"/>
        </w:rPr>
      </w:pPr>
    </w:p>
    <w:p>
      <w:pPr>
        <w:spacing w:line="410" w:lineRule="auto" w:before="0"/>
        <w:ind w:left="15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3、费用" w:id="37"/>
      <w:bookmarkEnd w:id="37"/>
      <w:r>
        <w:rPr>
          <w:rFonts w:ascii="宋体" w:hAnsi="宋体" w:cs="宋体" w:eastAsia="宋体" w:hint="default"/>
          <w:w w:val="100"/>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before="28"/>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jc w:val="right"/>
        <w:rPr>
          <w:rFonts w:ascii="宋体" w:hAnsi="宋体" w:cs="宋体" w:eastAsia="宋体" w:hint="default"/>
          <w:sz w:val="18"/>
          <w:szCs w:val="18"/>
        </w:rPr>
        <w:sectPr>
          <w:type w:val="continuous"/>
          <w:pgSz w:w="11910" w:h="16840"/>
          <w:pgMar w:top="1580" w:bottom="1220" w:left="980" w:right="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916"/>
        <w:gridCol w:w="1638"/>
        <w:gridCol w:w="1637"/>
        <w:gridCol w:w="1460"/>
        <w:gridCol w:w="2920"/>
      </w:tblGrid>
      <w:tr>
        <w:trPr>
          <w:trHeight w:val="413" w:hRule="exact"/>
        </w:trPr>
        <w:tc>
          <w:tcPr>
            <w:tcW w:w="1916"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6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63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14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2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1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584"/>
              <w:jc w:val="right"/>
              <w:rPr>
                <w:rFonts w:ascii="宋体" w:hAnsi="宋体" w:cs="宋体" w:eastAsia="宋体" w:hint="default"/>
                <w:sz w:val="18"/>
                <w:szCs w:val="18"/>
              </w:rPr>
            </w:pPr>
            <w:r>
              <w:rPr>
                <w:rFonts w:ascii="宋体" w:hAnsi="宋体" w:cs="宋体" w:eastAsia="宋体" w:hint="default"/>
                <w:spacing w:val="-2"/>
                <w:sz w:val="18"/>
                <w:szCs w:val="18"/>
              </w:rPr>
              <w:t>销售费用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43,049,390.92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41,049,254.28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4.87%</w:t>
            </w: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584"/>
              <w:jc w:val="right"/>
              <w:rPr>
                <w:rFonts w:ascii="宋体" w:hAnsi="宋体" w:cs="宋体" w:eastAsia="宋体" w:hint="default"/>
                <w:sz w:val="18"/>
                <w:szCs w:val="18"/>
              </w:rPr>
            </w:pPr>
            <w:r>
              <w:rPr>
                <w:rFonts w:ascii="宋体" w:hAnsi="宋体" w:cs="宋体" w:eastAsia="宋体" w:hint="default"/>
                <w:spacing w:val="-2"/>
                <w:sz w:val="18"/>
                <w:szCs w:val="18"/>
              </w:rPr>
              <w:t>管理费用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51,329,654.74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50,953,860.35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5"/>
              <w:jc w:val="right"/>
              <w:rPr>
                <w:rFonts w:ascii="宋体" w:hAnsi="宋体" w:cs="宋体" w:eastAsia="宋体" w:hint="default"/>
                <w:sz w:val="18"/>
                <w:szCs w:val="18"/>
              </w:rPr>
            </w:pPr>
            <w:r>
              <w:rPr>
                <w:rFonts w:ascii="宋体"/>
                <w:sz w:val="18"/>
              </w:rPr>
              <w:t>0.74%</w:t>
            </w: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584"/>
              <w:jc w:val="right"/>
              <w:rPr>
                <w:rFonts w:ascii="宋体" w:hAnsi="宋体" w:cs="宋体" w:eastAsia="宋体" w:hint="default"/>
                <w:sz w:val="18"/>
                <w:szCs w:val="18"/>
              </w:rPr>
            </w:pPr>
            <w:r>
              <w:rPr>
                <w:rFonts w:ascii="宋体" w:hAnsi="宋体" w:cs="宋体" w:eastAsia="宋体" w:hint="default"/>
                <w:spacing w:val="-2"/>
                <w:sz w:val="18"/>
                <w:szCs w:val="18"/>
              </w:rPr>
              <w:t>财务费用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31,792,139.73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30,162,007.87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5.40%</w:t>
            </w: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725" w:hRule="exact"/>
        </w:trPr>
        <w:tc>
          <w:tcPr>
            <w:tcW w:w="191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584"/>
              <w:jc w:val="right"/>
              <w:rPr>
                <w:rFonts w:ascii="宋体" w:hAnsi="宋体" w:cs="宋体" w:eastAsia="宋体" w:hint="default"/>
                <w:sz w:val="18"/>
                <w:szCs w:val="18"/>
              </w:rPr>
            </w:pPr>
            <w:r>
              <w:rPr>
                <w:rFonts w:ascii="宋体" w:hAnsi="宋体" w:cs="宋体" w:eastAsia="宋体" w:hint="default"/>
                <w:spacing w:val="-2"/>
                <w:sz w:val="18"/>
                <w:szCs w:val="18"/>
              </w:rPr>
              <w:t>研发费用</w:t>
            </w:r>
          </w:p>
        </w:tc>
        <w:tc>
          <w:tcPr>
            <w:tcW w:w="1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32,887,136.00</w:t>
            </w:r>
          </w:p>
        </w:tc>
        <w:tc>
          <w:tcPr>
            <w:tcW w:w="16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39,969,498.19</w:t>
            </w:r>
          </w:p>
        </w:tc>
        <w:tc>
          <w:tcPr>
            <w:tcW w:w="14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-17.72%</w:t>
            </w:r>
          </w:p>
        </w:tc>
        <w:tc>
          <w:tcPr>
            <w:tcW w:w="2920" w:type="dxa"/>
            <w:tcBorders>
              <w:top w:val="single" w:sz="4" w:space="0" w:color="000000"/>
              <w:left w:val="single" w:sz="4" w:space="0" w:color="000000"/>
              <w:bottom w:val="single" w:sz="12" w:space="0" w:color="000000"/>
              <w:right w:val="single" w:sz="12" w:space="0" w:color="000000"/>
            </w:tcBorders>
          </w:tcPr>
          <w:p>
            <w:pPr>
              <w:pStyle w:val="TableParagraph"/>
              <w:spacing w:line="321" w:lineRule="auto" w:before="53"/>
              <w:ind w:left="105" w:right="89"/>
              <w:jc w:val="left"/>
              <w:rPr>
                <w:rFonts w:ascii="宋体" w:hAnsi="宋体" w:cs="宋体" w:eastAsia="宋体" w:hint="default"/>
                <w:sz w:val="18"/>
                <w:szCs w:val="18"/>
              </w:rPr>
            </w:pPr>
            <w:r>
              <w:rPr>
                <w:rFonts w:ascii="宋体" w:hAnsi="宋体" w:cs="宋体" w:eastAsia="宋体" w:hint="default"/>
                <w:spacing w:val="-3"/>
                <w:sz w:val="18"/>
                <w:szCs w:val="18"/>
              </w:rPr>
              <w:t>由于公司组织架构调整，部分研发</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项目进行研发团队的梳理和整合。</w:t>
            </w:r>
          </w:p>
        </w:tc>
      </w:tr>
    </w:tbl>
    <w:p>
      <w:pPr>
        <w:pStyle w:val="Heading4"/>
        <w:spacing w:line="240" w:lineRule="auto" w:before="66"/>
        <w:ind w:left="575" w:right="1024"/>
        <w:jc w:val="left"/>
        <w:rPr>
          <w:b w:val="0"/>
          <w:bCs w:val="0"/>
        </w:rPr>
      </w:pPr>
      <w:bookmarkStart w:name="4、研发投入" w:id="38"/>
      <w:bookmarkEnd w:id="38"/>
      <w:r>
        <w:rPr>
          <w:b w:val="0"/>
          <w:bCs w:val="0"/>
        </w:rPr>
      </w:r>
      <w:r>
        <w:rPr>
          <w:rFonts w:ascii="宋体" w:hAnsi="宋体" w:cs="宋体" w:eastAsia="宋体" w:hint="default"/>
        </w:rPr>
        <w:t>4</w:t>
      </w:r>
      <w:r>
        <w:rPr/>
        <w:t>、研发投入</w:t>
      </w:r>
      <w:r>
        <w:rPr>
          <w:b w:val="0"/>
          <w:bCs w:val="0"/>
        </w:rPr>
      </w:r>
    </w:p>
    <w:p>
      <w:pPr>
        <w:spacing w:line="240" w:lineRule="auto" w:before="13"/>
        <w:rPr>
          <w:rFonts w:ascii="宋体" w:hAnsi="宋体" w:cs="宋体" w:eastAsia="宋体" w:hint="default"/>
          <w:b/>
          <w:bCs/>
          <w:sz w:val="14"/>
          <w:szCs w:val="14"/>
        </w:rPr>
      </w:pPr>
    </w:p>
    <w:p>
      <w:pPr>
        <w:pStyle w:val="BodyText"/>
        <w:spacing w:line="405" w:lineRule="auto"/>
        <w:ind w:left="575" w:right="1024"/>
        <w:jc w:val="left"/>
      </w:pPr>
      <w:r>
        <w:rPr/>
        <w:t>√ 适用 □ 不适用</w:t>
      </w:r>
      <w:r>
        <w:rPr>
          <w:spacing w:val="-101"/>
        </w:rPr>
        <w:t> </w:t>
      </w:r>
      <w:r>
        <w:rPr>
          <w:spacing w:val="-101"/>
        </w:rPr>
      </w:r>
      <w:r>
        <w:rPr>
          <w:spacing w:val="-2"/>
        </w:rPr>
        <w:t>报告期内，公司紧跟我国的智能电网发展趋势，持续对已有产品进行改进优化设计，同时对新技术及</w:t>
      </w:r>
    </w:p>
    <w:p>
      <w:pPr>
        <w:pStyle w:val="BodyText"/>
        <w:spacing w:line="408" w:lineRule="auto" w:before="50"/>
        <w:ind w:left="575" w:right="1024" w:hanging="423"/>
        <w:jc w:val="left"/>
      </w:pPr>
      <w:r>
        <w:rPr/>
        <w:t>新产品进行研发投入。报告期内，研发投入</w:t>
      </w:r>
      <w:r>
        <w:rPr>
          <w:rFonts w:ascii="宋体" w:hAnsi="宋体" w:cs="宋体" w:eastAsia="宋体" w:hint="default"/>
        </w:rPr>
        <w:t>3,288.84</w:t>
      </w:r>
      <w:r>
        <w:rPr/>
        <w:t>万元，较上年同期</w:t>
      </w:r>
      <w:r>
        <w:rPr>
          <w:rFonts w:ascii="宋体" w:hAnsi="宋体" w:cs="宋体" w:eastAsia="宋体" w:hint="default"/>
        </w:rPr>
        <w:t>3,996.95</w:t>
      </w:r>
      <w:r>
        <w:rPr/>
        <w:t>万元减少</w:t>
      </w:r>
      <w:r>
        <w:rPr>
          <w:rFonts w:ascii="宋体" w:hAnsi="宋体" w:cs="宋体" w:eastAsia="宋体" w:hint="default"/>
        </w:rPr>
        <w:t>708.11</w:t>
      </w:r>
      <w:r>
        <w:rPr/>
        <w:t>万元。</w:t>
      </w:r>
      <w:r>
        <w:rPr>
          <w:w w:val="100"/>
        </w:rPr>
        <w:t> </w:t>
      </w:r>
      <w:r>
        <w:rPr>
          <w:spacing w:val="-2"/>
        </w:rPr>
        <w:t>用电信息采集产品方面：公司基于“国网芯”开发的模组化终端，技术上采用“硬件模块化、软件平</w:t>
      </w:r>
    </w:p>
    <w:p>
      <w:pPr>
        <w:pStyle w:val="BodyText"/>
        <w:spacing w:line="408" w:lineRule="auto" w:before="48"/>
        <w:ind w:right="1125"/>
        <w:jc w:val="both"/>
      </w:pPr>
      <w:r>
        <w:rPr>
          <w:spacing w:val="-2"/>
        </w:rPr>
        <w:t>台化”的设计思路；功能上实现低压电网状态的全息感知、营配业务就地集成；通信上运用多模多制式通</w:t>
      </w:r>
      <w:r>
        <w:rPr>
          <w:spacing w:val="-33"/>
        </w:rPr>
        <w:t> </w:t>
      </w:r>
      <w:r>
        <w:rPr>
          <w:spacing w:val="-33"/>
        </w:rPr>
      </w:r>
      <w:r>
        <w:rPr/>
        <w:t>信，实现全网一体化信息采集、多平台接入；性能上提升</w:t>
      </w:r>
      <w:r>
        <w:rPr>
          <w:rFonts w:ascii="宋体" w:hAnsi="宋体" w:cs="宋体" w:eastAsia="宋体" w:hint="default"/>
        </w:rPr>
        <w:t>CPU</w:t>
      </w:r>
      <w:r>
        <w:rPr/>
        <w:t>算力和存储空间，实现边缘计算功能。目前</w:t>
      </w:r>
      <w:r>
        <w:rPr>
          <w:spacing w:val="-29"/>
        </w:rPr>
        <w:t> </w:t>
      </w:r>
      <w:r>
        <w:rPr>
          <w:spacing w:val="-29"/>
        </w:rPr>
      </w:r>
      <w:r>
        <w:rPr>
          <w:spacing w:val="-2"/>
        </w:rPr>
        <w:t>该产品已完成样机的研发试制和现场试点运行，正开展小批量试生产准备工作。该产品是“新一代采集系</w:t>
      </w:r>
      <w:r>
        <w:rPr>
          <w:spacing w:val="-33"/>
        </w:rPr>
        <w:t> </w:t>
      </w:r>
      <w:r>
        <w:rPr>
          <w:spacing w:val="-33"/>
        </w:rPr>
      </w:r>
      <w:r>
        <w:rPr/>
        <w:t>统”的核心产品，具备良好的市场前景。</w:t>
      </w:r>
    </w:p>
    <w:p>
      <w:pPr>
        <w:pStyle w:val="BodyText"/>
        <w:spacing w:line="408" w:lineRule="auto" w:before="48"/>
        <w:ind w:right="1024" w:firstLine="422"/>
        <w:jc w:val="left"/>
      </w:pPr>
      <w:r>
        <w:rPr>
          <w:spacing w:val="-5"/>
        </w:rPr>
        <w:t>客户侧电力物联网方面：公司基于江苏省电力公司的创新需求，开发了全系列客户侧电力物联网产品，</w:t>
      </w:r>
      <w:r>
        <w:rPr>
          <w:w w:val="100"/>
        </w:rPr>
        <w:t> </w:t>
      </w:r>
      <w:r>
        <w:rPr/>
        <w:t>如：能源控制器、表箱监测单元、分支监测单元、光伏储能控制器等，配合江苏省电力物联管理平台，实</w:t>
      </w:r>
      <w:r>
        <w:rPr>
          <w:w w:val="100"/>
        </w:rPr>
        <w:t> </w:t>
      </w:r>
      <w:r>
        <w:rPr/>
        <w:t>现分钟级电力数据主动上报，全面提升低压电网的末端实时感知能力，实现居民用能与电网友好互动，推</w:t>
      </w:r>
      <w:r>
        <w:rPr>
          <w:w w:val="100"/>
        </w:rPr>
        <w:t> </w:t>
      </w:r>
      <w:r>
        <w:rPr/>
        <w:t>动台区源网荷储高效协同。通过对家庭“电器级”负荷的精准采集和控制，将状态感知、远程调节延伸至</w:t>
      </w:r>
      <w:r>
        <w:rPr>
          <w:w w:val="100"/>
        </w:rPr>
        <w:t> </w:t>
      </w:r>
      <w:r>
        <w:rPr/>
        <w:t>客户内部，为居民用户提供用能优化和需求响应服务，为电网公司提供需求侧管理和平抑峰谷差的手段，</w:t>
      </w:r>
      <w:r>
        <w:rPr>
          <w:spacing w:val="-30"/>
        </w:rPr>
        <w:t> </w:t>
      </w:r>
      <w:r>
        <w:rPr>
          <w:spacing w:val="-30"/>
        </w:rPr>
      </w:r>
      <w:r>
        <w:rPr/>
        <w:t>提高电网经济运行水平和客户优质服务水平。目前该产品已在江苏部分地区进行批量试点使用，取得较好</w:t>
      </w:r>
      <w:r>
        <w:rPr>
          <w:w w:val="100"/>
        </w:rPr>
        <w:t> </w:t>
      </w:r>
      <w:r>
        <w:rPr/>
        <w:t>效果。</w:t>
      </w:r>
    </w:p>
    <w:p>
      <w:pPr>
        <w:pStyle w:val="BodyText"/>
        <w:spacing w:line="410" w:lineRule="auto" w:before="43"/>
        <w:ind w:right="1030" w:firstLine="422"/>
        <w:jc w:val="left"/>
      </w:pPr>
      <w:r>
        <w:rPr>
          <w:spacing w:val="-2"/>
        </w:rPr>
        <w:t>配电物联网方面：公司基于“国网芯”开发的智能融合终端产品，技术上遵循智慧物联体系“云</w:t>
      </w:r>
      <w:r>
        <w:rPr>
          <w:rFonts w:ascii="宋体" w:hAnsi="宋体" w:cs="宋体" w:eastAsia="宋体" w:hint="default"/>
          <w:spacing w:val="-2"/>
        </w:rPr>
        <w:t>-</w:t>
      </w:r>
      <w:r>
        <w:rPr>
          <w:spacing w:val="-2"/>
        </w:rPr>
        <w:t>管</w:t>
      </w:r>
      <w:r>
        <w:rPr>
          <w:rFonts w:ascii="宋体" w:hAnsi="宋体" w:cs="宋体" w:eastAsia="宋体" w:hint="default"/>
          <w:spacing w:val="-2"/>
        </w:rPr>
        <w:t>-</w:t>
      </w:r>
      <w:r>
        <w:rPr>
          <w:rFonts w:ascii="宋体" w:hAnsi="宋体" w:cs="宋体" w:eastAsia="宋体" w:hint="default"/>
          <w:w w:val="100"/>
        </w:rPr>
        <w:t> </w:t>
      </w:r>
      <w:r>
        <w:rPr>
          <w:spacing w:val="-4"/>
          <w:w w:val="100"/>
        </w:rPr>
        <w:t>边</w:t>
      </w:r>
      <w:r>
        <w:rPr>
          <w:rFonts w:ascii="宋体" w:hAnsi="宋体" w:cs="宋体" w:eastAsia="宋体" w:hint="default"/>
          <w:spacing w:val="-4"/>
          <w:w w:val="100"/>
        </w:rPr>
        <w:t>-</w:t>
      </w:r>
      <w:r>
        <w:rPr>
          <w:spacing w:val="-4"/>
          <w:w w:val="100"/>
        </w:rPr>
        <w:t>端”建设框架，满足营销、配电业务需求的边缘物联代理（智能终端），支持配电、用采系统和统一物</w:t>
      </w:r>
      <w:r>
        <w:rPr>
          <w:spacing w:val="-104"/>
          <w:w w:val="100"/>
        </w:rPr>
        <w:t> </w:t>
      </w:r>
      <w:r>
        <w:rPr>
          <w:spacing w:val="-104"/>
          <w:w w:val="100"/>
        </w:rPr>
      </w:r>
      <w:r>
        <w:rPr>
          <w:spacing w:val="-7"/>
        </w:rPr>
        <w:t>联管理中心通信协议，采用容器技术实现多个容器同时运行，支持容器间的数据通信，实现数据交互共享。</w:t>
      </w:r>
      <w:r>
        <w:rPr>
          <w:spacing w:val="-6"/>
        </w:rPr>
        <w:t> </w:t>
      </w:r>
      <w:r>
        <w:rPr>
          <w:spacing w:val="-6"/>
        </w:rPr>
      </w:r>
      <w:r>
        <w:rPr/>
        <w:t>智能融合终端是设备侧电力（配电）物联网“边”端重要组成节点。终端基于开放式硬件平台架构设计，</w:t>
      </w:r>
      <w:r>
        <w:rPr>
          <w:spacing w:val="-30"/>
        </w:rPr>
        <w:t> </w:t>
      </w:r>
      <w:r>
        <w:rPr>
          <w:spacing w:val="-30"/>
        </w:rPr>
      </w:r>
      <w:r>
        <w:rPr>
          <w:spacing w:val="-2"/>
        </w:rPr>
        <w:t>以轻量级、高性能操作系统为支撑，智能融合终端具有广阔的应用场景和巨大的市场需求。目前公司正在</w:t>
      </w:r>
      <w:r>
        <w:rPr>
          <w:spacing w:val="-33"/>
        </w:rPr>
        <w:t> </w:t>
      </w:r>
      <w:r>
        <w:rPr>
          <w:spacing w:val="-33"/>
        </w:rPr>
      </w:r>
      <w:r>
        <w:rPr>
          <w:spacing w:val="-6"/>
        </w:rPr>
        <w:t>抓紧开展样机研发和产品资质办理，预计</w:t>
      </w:r>
      <w:r>
        <w:rPr>
          <w:rFonts w:ascii="宋体" w:hAnsi="宋体" w:cs="宋体" w:eastAsia="宋体" w:hint="default"/>
          <w:spacing w:val="-6"/>
        </w:rPr>
        <w:t>2020</w:t>
      </w:r>
      <w:r>
        <w:rPr>
          <w:spacing w:val="-6"/>
        </w:rPr>
        <w:t>年将完成样机研发、资质送检、小批量试生产和招投标工作。</w:t>
      </w:r>
    </w:p>
    <w:p>
      <w:pPr>
        <w:pStyle w:val="BodyText"/>
        <w:spacing w:line="410" w:lineRule="auto" w:before="42"/>
        <w:ind w:right="1024" w:firstLine="422"/>
        <w:jc w:val="left"/>
      </w:pPr>
      <w:r>
        <w:rPr>
          <w:spacing w:val="-2"/>
        </w:rPr>
        <w:t>用户用电异常智能预警及线损治理系统：公司自主研发的该产品，包括用户用电异常智能预警分析平</w:t>
      </w:r>
      <w:r>
        <w:rPr>
          <w:w w:val="100"/>
        </w:rPr>
        <w:t> </w:t>
      </w:r>
      <w:r>
        <w:rPr>
          <w:spacing w:val="-2"/>
        </w:rPr>
        <w:t>台和线路负荷监测装置。该系统主要是针对高损耗电力线路而设计的一套线路负荷监测比对系统，系统通</w:t>
      </w:r>
    </w:p>
    <w:p>
      <w:pPr>
        <w:spacing w:after="0" w:line="410" w:lineRule="auto"/>
        <w:jc w:val="left"/>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1123"/>
        <w:jc w:val="both"/>
      </w:pPr>
      <w:r>
        <w:rPr>
          <w:spacing w:val="-2"/>
        </w:rPr>
        <w:t>过对中低压分线线损指标信息进行综合研判，利用人工智能技术（</w:t>
      </w:r>
      <w:r>
        <w:rPr>
          <w:rFonts w:ascii="宋体" w:hAnsi="宋体" w:cs="宋体" w:eastAsia="宋体" w:hint="default"/>
          <w:spacing w:val="-2"/>
        </w:rPr>
        <w:t>AI</w:t>
      </w:r>
      <w:r>
        <w:rPr>
          <w:spacing w:val="-2"/>
        </w:rPr>
        <w:t>）自动分析定位高损耗线路的线损范</w:t>
      </w:r>
      <w:r>
        <w:rPr>
          <w:spacing w:val="-29"/>
        </w:rPr>
        <w:t> </w:t>
      </w:r>
      <w:r>
        <w:rPr>
          <w:spacing w:val="-29"/>
        </w:rPr>
      </w:r>
      <w:r>
        <w:rPr>
          <w:spacing w:val="-2"/>
        </w:rPr>
        <w:t>围或重点线损用户，实现全天候</w:t>
      </w:r>
      <w:r>
        <w:rPr>
          <w:rFonts w:ascii="宋体" w:hAnsi="宋体" w:cs="宋体" w:eastAsia="宋体" w:hint="default"/>
          <w:spacing w:val="-2"/>
        </w:rPr>
        <w:t>24</w:t>
      </w:r>
      <w:r>
        <w:rPr>
          <w:spacing w:val="-2"/>
        </w:rPr>
        <w:t>小时不间断监控，针对异常用电情况进行主动查违防窃，进一步提高供</w:t>
      </w:r>
      <w:r>
        <w:rPr>
          <w:spacing w:val="-31"/>
        </w:rPr>
        <w:t> </w:t>
      </w:r>
      <w:r>
        <w:rPr>
          <w:spacing w:val="-31"/>
        </w:rPr>
      </w:r>
      <w:r>
        <w:rPr>
          <w:spacing w:val="-2"/>
        </w:rPr>
        <w:t>电公司分线线损及高损耗线路管理水平，目前该产品已在江苏部分地区广泛应用，取得较好的经济和社会</w:t>
      </w:r>
      <w:r>
        <w:rPr>
          <w:spacing w:val="-33"/>
        </w:rPr>
        <w:t> </w:t>
      </w:r>
      <w:r>
        <w:rPr>
          <w:spacing w:val="-33"/>
        </w:rPr>
      </w:r>
      <w:r>
        <w:rPr/>
        <w:t>效益，后续将在全国进行市场推广。</w:t>
      </w:r>
    </w:p>
    <w:p>
      <w:pPr>
        <w:spacing w:after="0" w:line="408" w:lineRule="auto"/>
        <w:jc w:val="both"/>
        <w:sectPr>
          <w:pgSz w:w="11910" w:h="16840"/>
          <w:pgMar w:header="871" w:footer="1037" w:top="1100" w:bottom="1220" w:left="980" w:right="0"/>
        </w:sectPr>
      </w:pPr>
    </w:p>
    <w:p>
      <w:pPr>
        <w:pStyle w:val="BodyText"/>
        <w:spacing w:line="240" w:lineRule="auto" w:before="10"/>
        <w:ind w:right="0"/>
        <w:jc w:val="left"/>
      </w:pPr>
      <w:r>
        <w:rPr>
          <w:spacing w:val="-1"/>
        </w:rPr>
        <w:t>近三年公司研发投入金额及占营业收入的比例</w:t>
      </w:r>
    </w:p>
    <w:p>
      <w:pPr>
        <w:spacing w:line="240" w:lineRule="auto" w:before="0"/>
        <w:rPr>
          <w:rFonts w:ascii="宋体" w:hAnsi="宋体" w:cs="宋体" w:eastAsia="宋体" w:hint="default"/>
          <w:sz w:val="18"/>
          <w:szCs w:val="18"/>
        </w:rPr>
      </w:pPr>
      <w:r>
        <w:rPr/>
        <w:br w:type="column"/>
      </w:r>
      <w:r>
        <w:rPr>
          <w:rFonts w:ascii="宋体"/>
          <w:sz w:val="18"/>
        </w:rPr>
      </w:r>
    </w:p>
    <w:p>
      <w:pPr>
        <w:spacing w:before="155"/>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1220" w:left="980" w:right="0"/>
          <w:cols w:num="2" w:equalWidth="0">
            <w:col w:w="4359" w:space="4562"/>
            <w:col w:w="2009"/>
          </w:cols>
        </w:sectPr>
      </w:pP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50"/>
        <w:gridCol w:w="1638"/>
        <w:gridCol w:w="2391"/>
        <w:gridCol w:w="2391"/>
      </w:tblGrid>
      <w:tr>
        <w:trPr>
          <w:trHeight w:val="413" w:hRule="exact"/>
        </w:trPr>
        <w:tc>
          <w:tcPr>
            <w:tcW w:w="3150"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6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19"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0"/>
                <w:sz w:val="18"/>
                <w:szCs w:val="18"/>
              </w:rPr>
              <w:t> </w:t>
            </w:r>
            <w:r>
              <w:rPr>
                <w:rFonts w:ascii="宋体" w:hAnsi="宋体" w:cs="宋体" w:eastAsia="宋体" w:hint="default"/>
                <w:sz w:val="18"/>
                <w:szCs w:val="18"/>
              </w:rPr>
              <w:t>年</w:t>
            </w:r>
          </w:p>
        </w:tc>
      </w:tr>
      <w:tr>
        <w:trPr>
          <w:trHeight w:val="403" w:hRule="exact"/>
        </w:trPr>
        <w:tc>
          <w:tcPr>
            <w:tcW w:w="3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153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194</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234</w:t>
            </w:r>
          </w:p>
        </w:tc>
      </w:tr>
      <w:tr>
        <w:trPr>
          <w:trHeight w:val="398" w:hRule="exact"/>
        </w:trPr>
        <w:tc>
          <w:tcPr>
            <w:tcW w:w="3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20.13%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20.97%</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24.76%</w:t>
            </w:r>
          </w:p>
        </w:tc>
      </w:tr>
      <w:tr>
        <w:trPr>
          <w:trHeight w:val="403" w:hRule="exact"/>
        </w:trPr>
        <w:tc>
          <w:tcPr>
            <w:tcW w:w="3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研发投入金额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32,888,421.99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39,969,498.19</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47,206,919.08</w:t>
            </w:r>
          </w:p>
        </w:tc>
      </w:tr>
      <w:tr>
        <w:trPr>
          <w:trHeight w:val="404" w:hRule="exact"/>
        </w:trPr>
        <w:tc>
          <w:tcPr>
            <w:tcW w:w="3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z w:val="18"/>
              </w:rPr>
              <w:t>8.04%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z w:val="18"/>
              </w:rPr>
              <w:t>9.17%</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z w:val="18"/>
              </w:rPr>
              <w:t>8.74%</w:t>
            </w:r>
          </w:p>
        </w:tc>
      </w:tr>
      <w:tr>
        <w:trPr>
          <w:trHeight w:val="403" w:hRule="exact"/>
        </w:trPr>
        <w:tc>
          <w:tcPr>
            <w:tcW w:w="3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研发支出资本化的金额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0.00</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0.00</w:t>
            </w:r>
          </w:p>
        </w:tc>
      </w:tr>
      <w:tr>
        <w:trPr>
          <w:trHeight w:val="398" w:hRule="exact"/>
        </w:trPr>
        <w:tc>
          <w:tcPr>
            <w:tcW w:w="3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资本化研发支出占研发投入的比例</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0.00%</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0.00%</w:t>
            </w:r>
          </w:p>
        </w:tc>
      </w:tr>
      <w:tr>
        <w:trPr>
          <w:trHeight w:val="413" w:hRule="exact"/>
        </w:trPr>
        <w:tc>
          <w:tcPr>
            <w:tcW w:w="315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资本化研发支出占当期净利润的比重</w:t>
            </w:r>
          </w:p>
        </w:tc>
        <w:tc>
          <w:tcPr>
            <w:tcW w:w="16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0.00%</w:t>
            </w:r>
          </w:p>
        </w:tc>
        <w:tc>
          <w:tcPr>
            <w:tcW w:w="2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0.00%</w:t>
            </w:r>
          </w:p>
        </w:tc>
        <w:tc>
          <w:tcPr>
            <w:tcW w:w="23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0.00%</w:t>
            </w:r>
          </w:p>
        </w:tc>
      </w:tr>
    </w:tbl>
    <w:p>
      <w:pPr>
        <w:pStyle w:val="BodyText"/>
        <w:spacing w:line="240" w:lineRule="auto" w:before="67"/>
        <w:ind w:right="1024"/>
        <w:jc w:val="left"/>
      </w:pPr>
      <w:r>
        <w:rPr/>
        <w:t>研发投入总额占营业收入的比重较上年发生显著变化的原因</w:t>
      </w:r>
    </w:p>
    <w:p>
      <w:pPr>
        <w:spacing w:line="240" w:lineRule="auto" w:before="12"/>
        <w:rPr>
          <w:rFonts w:ascii="宋体" w:hAnsi="宋体" w:cs="宋体" w:eastAsia="宋体" w:hint="default"/>
          <w:sz w:val="14"/>
          <w:szCs w:val="14"/>
        </w:rPr>
      </w:pPr>
    </w:p>
    <w:p>
      <w:pPr>
        <w:pStyle w:val="BodyText"/>
        <w:spacing w:line="405" w:lineRule="auto"/>
        <w:ind w:right="5885"/>
        <w:jc w:val="left"/>
      </w:pPr>
      <w:r>
        <w:rPr/>
        <w:t>□ 适用 √ 不适用</w:t>
      </w:r>
      <w:r>
        <w:rPr>
          <w:spacing w:val="-101"/>
        </w:rPr>
        <w:t> </w:t>
      </w:r>
      <w:r>
        <w:rPr>
          <w:spacing w:val="-101"/>
        </w:rPr>
      </w:r>
      <w:r>
        <w:rPr>
          <w:spacing w:val="-2"/>
        </w:rPr>
        <w:t>研发投入资本化率大幅变动的原因及其合理性说明</w:t>
      </w:r>
    </w:p>
    <w:p>
      <w:pPr>
        <w:spacing w:line="408" w:lineRule="auto" w:before="50"/>
        <w:ind w:left="15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5、现金流" w:id="39"/>
      <w:bookmarkEnd w:id="39"/>
      <w:r>
        <w:rPr>
          <w:rFonts w:ascii="宋体" w:hAnsi="宋体" w:cs="宋体" w:eastAsia="宋体" w:hint="default"/>
          <w:w w:val="100"/>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before="3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622"/>
        <w:gridCol w:w="2166"/>
        <w:gridCol w:w="2391"/>
        <w:gridCol w:w="2391"/>
      </w:tblGrid>
      <w:tr>
        <w:trPr>
          <w:trHeight w:val="408" w:hRule="exact"/>
        </w:trPr>
        <w:tc>
          <w:tcPr>
            <w:tcW w:w="262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6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18"/>
                <w:szCs w:val="18"/>
              </w:rPr>
            </w:pPr>
            <w:r>
              <w:rPr>
                <w:rFonts w:ascii="宋体"/>
                <w:spacing w:val="-2"/>
                <w:sz w:val="18"/>
              </w:rPr>
              <w:t>701,481,099.84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18"/>
                <w:szCs w:val="18"/>
              </w:rPr>
            </w:pPr>
            <w:r>
              <w:rPr>
                <w:rFonts w:ascii="宋体"/>
                <w:spacing w:val="-2"/>
                <w:sz w:val="18"/>
              </w:rPr>
              <w:t>584,047,363.99</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20.11%</w:t>
            </w:r>
          </w:p>
        </w:tc>
      </w:tr>
      <w:tr>
        <w:trPr>
          <w:trHeight w:val="404"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485,202,863.91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541,206,116.25</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-10.35%</w:t>
            </w:r>
          </w:p>
        </w:tc>
      </w:tr>
      <w:tr>
        <w:trPr>
          <w:trHeight w:val="403"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216,278,235.93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42,841,247.74</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404.84%</w:t>
            </w:r>
          </w:p>
        </w:tc>
      </w:tr>
      <w:tr>
        <w:trPr>
          <w:trHeight w:val="398"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33,642,782.91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10,601,020.00</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217.35%</w:t>
            </w:r>
          </w:p>
        </w:tc>
      </w:tr>
      <w:tr>
        <w:trPr>
          <w:trHeight w:val="403"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18"/>
                <w:szCs w:val="18"/>
              </w:rPr>
            </w:pPr>
            <w:r>
              <w:rPr>
                <w:rFonts w:ascii="宋体"/>
                <w:spacing w:val="-1"/>
                <w:sz w:val="18"/>
              </w:rPr>
              <w:t>46,061,043.93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18"/>
                <w:szCs w:val="18"/>
              </w:rPr>
            </w:pPr>
            <w:r>
              <w:rPr>
                <w:rFonts w:ascii="宋体"/>
                <w:spacing w:val="-2"/>
                <w:sz w:val="18"/>
              </w:rPr>
              <w:t>255,639,325.03</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-81.98%</w:t>
            </w:r>
          </w:p>
        </w:tc>
      </w:tr>
      <w:tr>
        <w:trPr>
          <w:trHeight w:val="404"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-12,418,261.02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-245,038,305.03</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94.93%</w:t>
            </w:r>
          </w:p>
        </w:tc>
      </w:tr>
      <w:tr>
        <w:trPr>
          <w:trHeight w:val="403"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299,551,000.00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391,632,875.00</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-23.51%</w:t>
            </w:r>
          </w:p>
        </w:tc>
      </w:tr>
      <w:tr>
        <w:trPr>
          <w:trHeight w:val="398"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433,860,402.83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294,634,730.66</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47.25%</w:t>
            </w:r>
          </w:p>
        </w:tc>
      </w:tr>
      <w:tr>
        <w:trPr>
          <w:trHeight w:val="403" w:hRule="exact"/>
        </w:trPr>
        <w:tc>
          <w:tcPr>
            <w:tcW w:w="26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18"/>
                <w:szCs w:val="18"/>
              </w:rPr>
            </w:pPr>
            <w:r>
              <w:rPr>
                <w:rFonts w:ascii="宋体"/>
                <w:spacing w:val="-1"/>
                <w:sz w:val="18"/>
              </w:rPr>
              <w:t>-134,309,402.83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18"/>
                <w:szCs w:val="18"/>
              </w:rPr>
            </w:pPr>
            <w:r>
              <w:rPr>
                <w:rFonts w:ascii="宋体"/>
                <w:spacing w:val="-1"/>
                <w:sz w:val="18"/>
              </w:rPr>
              <w:t>96,998,144.34</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-238.47%</w:t>
            </w:r>
          </w:p>
        </w:tc>
      </w:tr>
      <w:tr>
        <w:trPr>
          <w:trHeight w:val="413" w:hRule="exact"/>
        </w:trPr>
        <w:tc>
          <w:tcPr>
            <w:tcW w:w="262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1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69,550,572.08</w:t>
            </w:r>
          </w:p>
        </w:tc>
        <w:tc>
          <w:tcPr>
            <w:tcW w:w="2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-105,198,912.95</w:t>
            </w:r>
          </w:p>
        </w:tc>
        <w:tc>
          <w:tcPr>
            <w:tcW w:w="2391" w:type="dxa"/>
            <w:tcBorders>
              <w:top w:val="single" w:sz="4" w:space="0" w:color="000000"/>
              <w:left w:val="single" w:sz="4" w:space="0" w:color="000000"/>
              <w:bottom w:val="single" w:sz="12" w:space="0" w:color="000000"/>
              <w:right w:val="single" w:sz="12" w:space="0" w:color="000000"/>
            </w:tcBorders>
          </w:tcPr>
          <w:p>
            <w:pPr/>
          </w:p>
        </w:tc>
      </w:tr>
    </w:tbl>
    <w:p>
      <w:pPr>
        <w:pStyle w:val="BodyText"/>
        <w:spacing w:line="240" w:lineRule="auto" w:before="66"/>
        <w:ind w:right="1024"/>
        <w:jc w:val="left"/>
      </w:pPr>
      <w:r>
        <w:rPr/>
        <w:t>相关数据同比发生重大变动的主要影响因素说明</w:t>
      </w:r>
    </w:p>
    <w:p>
      <w:pPr>
        <w:spacing w:line="240" w:lineRule="auto" w:before="12"/>
        <w:rPr>
          <w:rFonts w:ascii="宋体" w:hAnsi="宋体" w:cs="宋体" w:eastAsia="宋体" w:hint="default"/>
          <w:sz w:val="14"/>
          <w:szCs w:val="14"/>
        </w:rPr>
      </w:pPr>
    </w:p>
    <w:p>
      <w:pPr>
        <w:pStyle w:val="BodyText"/>
        <w:spacing w:line="240" w:lineRule="auto"/>
        <w:ind w:right="1024"/>
        <w:jc w:val="left"/>
      </w:pPr>
      <w:r>
        <w:rPr/>
        <w:t>√ 适用 □</w:t>
      </w:r>
      <w:r>
        <w:rPr>
          <w:spacing w:val="4"/>
        </w:rPr>
        <w:t> </w:t>
      </w:r>
      <w:r>
        <w:rPr/>
        <w:t>不适用</w:t>
      </w:r>
    </w:p>
    <w:p>
      <w:pPr>
        <w:spacing w:after="0" w:line="240" w:lineRule="auto"/>
        <w:jc w:val="left"/>
        <w:sectPr>
          <w:type w:val="continuous"/>
          <w:pgSz w:w="11910" w:h="16840"/>
          <w:pgMar w:top="1580" w:bottom="1220" w:left="980" w:right="0"/>
        </w:sectPr>
      </w:pPr>
    </w:p>
    <w:p>
      <w:pPr>
        <w:spacing w:line="240" w:lineRule="auto" w:before="12"/>
        <w:rPr>
          <w:rFonts w:ascii="宋体" w:hAnsi="宋体" w:cs="宋体" w:eastAsia="宋体" w:hint="default"/>
          <w:sz w:val="26"/>
          <w:szCs w:val="26"/>
        </w:rPr>
      </w:pPr>
    </w:p>
    <w:p>
      <w:pPr>
        <w:pStyle w:val="BodyText"/>
        <w:spacing w:line="405" w:lineRule="auto" w:before="36"/>
        <w:ind w:left="553" w:right="1152" w:firstLine="422"/>
        <w:jc w:val="both"/>
      </w:pPr>
      <w:r>
        <w:rPr>
          <w:spacing w:val="-2"/>
        </w:rPr>
        <w:t>报告期经营活动现金净流量较上年同期增加</w:t>
      </w:r>
      <w:r>
        <w:rPr>
          <w:spacing w:val="27"/>
        </w:rPr>
        <w:t> </w:t>
      </w:r>
      <w:r>
        <w:rPr>
          <w:rFonts w:ascii="宋体" w:hAnsi="宋体" w:cs="宋体" w:eastAsia="宋体" w:hint="default"/>
          <w:spacing w:val="-2"/>
        </w:rPr>
        <w:t>404.84%</w:t>
      </w:r>
      <w:r>
        <w:rPr>
          <w:spacing w:val="-2"/>
        </w:rPr>
        <w:t>，主要是今年加大应收款的回款力度增加收款，</w:t>
      </w:r>
      <w:r>
        <w:rPr>
          <w:w w:val="100"/>
        </w:rPr>
        <w:t> </w:t>
      </w:r>
      <w:r>
        <w:rPr/>
        <w:t>另一方面控制采购支出和费用的发生共同所致。</w:t>
      </w:r>
    </w:p>
    <w:p>
      <w:pPr>
        <w:pStyle w:val="BodyText"/>
        <w:spacing w:line="408" w:lineRule="auto" w:before="51"/>
        <w:ind w:left="553" w:right="1119" w:firstLine="422"/>
        <w:jc w:val="both"/>
      </w:pPr>
      <w:r>
        <w:rPr/>
        <w:t>报告期投资活动现金净流量较上年同期增加</w:t>
      </w:r>
      <w:r>
        <w:rPr>
          <w:spacing w:val="-16"/>
        </w:rPr>
        <w:t> </w:t>
      </w:r>
      <w:r>
        <w:rPr>
          <w:rFonts w:ascii="宋体" w:hAnsi="宋体" w:cs="宋体" w:eastAsia="宋体" w:hint="default"/>
          <w:spacing w:val="-4"/>
        </w:rPr>
        <w:t>94.93%</w:t>
      </w:r>
      <w:r>
        <w:rPr>
          <w:spacing w:val="-4"/>
        </w:rPr>
        <w:t>，主要是报告期内收到联营公司广东今程光一电力</w:t>
      </w:r>
      <w:r>
        <w:rPr>
          <w:w w:val="100"/>
        </w:rPr>
        <w:t> </w:t>
      </w:r>
      <w:r>
        <w:rPr>
          <w:spacing w:val="-2"/>
        </w:rPr>
        <w:t>科技有限责任公司及广州九联科技股份有限公司股权转让款，且去年增加投资领航光一的产业投资项目共</w:t>
      </w:r>
      <w:r>
        <w:rPr>
          <w:spacing w:val="-33"/>
        </w:rPr>
        <w:t> </w:t>
      </w:r>
      <w:r>
        <w:rPr>
          <w:spacing w:val="-33"/>
        </w:rPr>
      </w:r>
      <w:r>
        <w:rPr/>
        <w:t>同影响所致。</w:t>
      </w:r>
    </w:p>
    <w:p>
      <w:pPr>
        <w:pStyle w:val="BodyText"/>
        <w:spacing w:line="410" w:lineRule="auto" w:before="43"/>
        <w:ind w:left="553" w:right="1152" w:firstLine="422"/>
        <w:jc w:val="both"/>
      </w:pPr>
      <w:r>
        <w:rPr>
          <w:spacing w:val="-2"/>
        </w:rPr>
        <w:t>报告期筹资活动现金净流量较上年同期减少</w:t>
      </w:r>
      <w:r>
        <w:rPr>
          <w:spacing w:val="27"/>
        </w:rPr>
        <w:t> </w:t>
      </w:r>
      <w:r>
        <w:rPr>
          <w:rFonts w:ascii="宋体" w:hAnsi="宋体" w:cs="宋体" w:eastAsia="宋体" w:hint="default"/>
          <w:spacing w:val="-2"/>
        </w:rPr>
        <w:t>238.47%</w:t>
      </w:r>
      <w:r>
        <w:rPr>
          <w:spacing w:val="-2"/>
        </w:rPr>
        <w:t>，主要是报告期内贷款规模紧缩、且偿还债务所</w:t>
      </w:r>
      <w:r>
        <w:rPr>
          <w:w w:val="100"/>
        </w:rPr>
        <w:t> </w:t>
      </w:r>
      <w:r>
        <w:rPr/>
        <w:t>致。</w:t>
      </w:r>
    </w:p>
    <w:p>
      <w:pPr>
        <w:pStyle w:val="BodyText"/>
        <w:spacing w:line="240" w:lineRule="auto" w:before="41"/>
        <w:ind w:left="553" w:right="1198"/>
        <w:jc w:val="left"/>
      </w:pPr>
      <w:r>
        <w:rPr/>
        <w:t>报告期内公司经营活动产生的现金净流量与本年度净利润存在重大差异的原因说明</w:t>
      </w:r>
    </w:p>
    <w:p>
      <w:pPr>
        <w:spacing w:line="240" w:lineRule="auto" w:before="12"/>
        <w:rPr>
          <w:rFonts w:ascii="宋体" w:hAnsi="宋体" w:cs="宋体" w:eastAsia="宋体" w:hint="default"/>
          <w:sz w:val="14"/>
          <w:szCs w:val="14"/>
        </w:rPr>
      </w:pPr>
    </w:p>
    <w:p>
      <w:pPr>
        <w:pStyle w:val="BodyText"/>
        <w:spacing w:line="240" w:lineRule="auto"/>
        <w:ind w:left="553" w:right="1198"/>
        <w:jc w:val="left"/>
      </w:pPr>
      <w:r>
        <w:rPr/>
        <w:t>□ 适用 √</w:t>
      </w:r>
      <w:r>
        <w:rPr>
          <w:spacing w:val="4"/>
        </w:rPr>
        <w:t> </w:t>
      </w:r>
      <w:r>
        <w:rPr/>
        <w:t>不适用</w:t>
      </w:r>
    </w:p>
    <w:p>
      <w:pPr>
        <w:pStyle w:val="Heading2"/>
        <w:spacing w:line="240" w:lineRule="auto" w:before="166"/>
        <w:ind w:left="553" w:right="1198"/>
        <w:jc w:val="left"/>
        <w:rPr>
          <w:b w:val="0"/>
          <w:bCs w:val="0"/>
        </w:rPr>
      </w:pPr>
      <w:bookmarkStart w:name="三、非主营业务情况" w:id="40"/>
      <w:bookmarkEnd w:id="40"/>
      <w:r>
        <w:rPr>
          <w:b w:val="0"/>
          <w:bCs w:val="0"/>
        </w:rPr>
      </w:r>
      <w:r>
        <w:rPr/>
        <w:t>三、非主营业务情况</w:t>
      </w:r>
      <w:r>
        <w:rPr>
          <w:b w:val="0"/>
          <w:bCs w:val="0"/>
        </w:rPr>
      </w:r>
    </w:p>
    <w:p>
      <w:pPr>
        <w:pStyle w:val="BodyText"/>
        <w:spacing w:line="240" w:lineRule="auto" w:before="181"/>
        <w:ind w:left="553" w:right="1198"/>
        <w:jc w:val="left"/>
      </w:pPr>
      <w:r>
        <w:rPr/>
        <w:t>√ 适用 □</w:t>
      </w:r>
      <w:r>
        <w:rPr>
          <w:spacing w:val="4"/>
        </w:rPr>
        <w:t> </w:t>
      </w:r>
      <w:r>
        <w:rPr/>
        <w:t>不适用</w:t>
      </w:r>
    </w:p>
    <w:p>
      <w:pPr>
        <w:spacing w:before="178"/>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538" w:type="dxa"/>
        <w:tblLayout w:type="fixed"/>
        <w:tblCellMar>
          <w:top w:w="0" w:type="dxa"/>
          <w:left w:w="0" w:type="dxa"/>
          <w:bottom w:w="0" w:type="dxa"/>
          <w:right w:w="0" w:type="dxa"/>
        </w:tblCellMar>
        <w:tblLook w:val="01E0"/>
      </w:tblPr>
      <w:tblGrid>
        <w:gridCol w:w="1522"/>
        <w:gridCol w:w="1916"/>
        <w:gridCol w:w="1628"/>
        <w:gridCol w:w="2166"/>
        <w:gridCol w:w="2338"/>
      </w:tblGrid>
      <w:tr>
        <w:trPr>
          <w:trHeight w:val="413" w:hRule="exact"/>
        </w:trPr>
        <w:tc>
          <w:tcPr>
            <w:tcW w:w="1522"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216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3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61" w:hRule="exact"/>
        </w:trPr>
        <w:tc>
          <w:tcPr>
            <w:tcW w:w="152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4" w:right="0"/>
              <w:jc w:val="left"/>
              <w:rPr>
                <w:rFonts w:ascii="宋体" w:hAnsi="宋体" w:cs="宋体" w:eastAsia="宋体" w:hint="default"/>
                <w:sz w:val="18"/>
                <w:szCs w:val="18"/>
              </w:rPr>
            </w:pPr>
            <w:r>
              <w:rPr>
                <w:rFonts w:ascii="宋体"/>
                <w:sz w:val="18"/>
              </w:rPr>
              <w:t>32,911,500.78</w:t>
            </w:r>
          </w:p>
        </w:tc>
        <w:tc>
          <w:tcPr>
            <w:tcW w:w="16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3" w:right="0"/>
              <w:jc w:val="left"/>
              <w:rPr>
                <w:rFonts w:ascii="宋体" w:hAnsi="宋体" w:cs="宋体" w:eastAsia="宋体" w:hint="default"/>
                <w:sz w:val="18"/>
                <w:szCs w:val="18"/>
              </w:rPr>
            </w:pPr>
            <w:r>
              <w:rPr>
                <w:rFonts w:ascii="宋体"/>
                <w:sz w:val="18"/>
              </w:rPr>
              <w:t>109.76%</w:t>
            </w:r>
          </w:p>
        </w:tc>
        <w:tc>
          <w:tcPr>
            <w:tcW w:w="2166"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4"/>
              <w:ind w:left="100" w:right="99"/>
              <w:jc w:val="left"/>
              <w:rPr>
                <w:rFonts w:ascii="宋体" w:hAnsi="宋体" w:cs="宋体" w:eastAsia="宋体" w:hint="default"/>
                <w:sz w:val="18"/>
                <w:szCs w:val="18"/>
              </w:rPr>
            </w:pPr>
            <w:r>
              <w:rPr>
                <w:rFonts w:ascii="宋体" w:hAnsi="宋体" w:cs="宋体" w:eastAsia="宋体" w:hint="default"/>
                <w:sz w:val="18"/>
                <w:szCs w:val="18"/>
              </w:rPr>
              <w:t>主要是权益法核算长期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股权投资、以及处置控股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子公司江苏德能电力设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计咨询有限公司</w:t>
            </w:r>
            <w:r>
              <w:rPr>
                <w:rFonts w:ascii="宋体" w:hAnsi="宋体" w:cs="宋体" w:eastAsia="宋体" w:hint="default"/>
                <w:spacing w:val="-37"/>
                <w:sz w:val="18"/>
                <w:szCs w:val="18"/>
              </w:rPr>
              <w:t> </w:t>
            </w:r>
            <w:r>
              <w:rPr>
                <w:rFonts w:ascii="宋体" w:hAnsi="宋体" w:cs="宋体" w:eastAsia="宋体" w:hint="default"/>
                <w:spacing w:val="-4"/>
                <w:sz w:val="18"/>
                <w:szCs w:val="18"/>
              </w:rPr>
              <w:t>60%</w:t>
            </w:r>
            <w:r>
              <w:rPr>
                <w:rFonts w:ascii="宋体" w:hAnsi="宋体" w:cs="宋体" w:eastAsia="宋体" w:hint="default"/>
                <w:spacing w:val="-4"/>
                <w:sz w:val="18"/>
                <w:szCs w:val="18"/>
              </w:rPr>
              <w:t>股权</w:t>
            </w:r>
            <w:r>
              <w:rPr>
                <w:rFonts w:ascii="宋体" w:hAnsi="宋体" w:cs="宋体" w:eastAsia="宋体" w:hint="default"/>
                <w:spacing w:val="-82"/>
                <w:sz w:val="18"/>
                <w:szCs w:val="18"/>
              </w:rPr>
              <w:t> </w:t>
            </w:r>
            <w:r>
              <w:rPr>
                <w:rFonts w:ascii="宋体" w:hAnsi="宋体" w:cs="宋体" w:eastAsia="宋体" w:hint="default"/>
                <w:sz w:val="18"/>
                <w:szCs w:val="18"/>
              </w:rPr>
              <w:t>所取得的收益</w:t>
            </w:r>
          </w:p>
        </w:tc>
        <w:tc>
          <w:tcPr>
            <w:tcW w:w="233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pStyle w:val="Heading2"/>
        <w:spacing w:line="240" w:lineRule="auto" w:before="41"/>
        <w:ind w:left="553" w:right="1198"/>
        <w:jc w:val="left"/>
        <w:rPr>
          <w:b w:val="0"/>
          <w:bCs w:val="0"/>
        </w:rPr>
      </w:pPr>
      <w:bookmarkStart w:name="四、资产及负债状况" w:id="41"/>
      <w:bookmarkEnd w:id="41"/>
      <w:r>
        <w:rPr>
          <w:b w:val="0"/>
          <w:bCs w:val="0"/>
        </w:rPr>
      </w:r>
      <w:r>
        <w:rPr/>
        <w:t>四、资产及负债状况</w:t>
      </w:r>
      <w:r>
        <w:rPr>
          <w:b w:val="0"/>
          <w:bCs w:val="0"/>
        </w:rPr>
      </w:r>
    </w:p>
    <w:p>
      <w:pPr>
        <w:pStyle w:val="Heading4"/>
        <w:spacing w:line="240" w:lineRule="auto" w:before="181"/>
        <w:ind w:left="553" w:right="1198"/>
        <w:jc w:val="left"/>
        <w:rPr>
          <w:b w:val="0"/>
          <w:bCs w:val="0"/>
        </w:rPr>
      </w:pPr>
      <w:bookmarkStart w:name="1、资产构成重大变动情况" w:id="42"/>
      <w:bookmarkEnd w:id="42"/>
      <w:r>
        <w:rPr>
          <w:b w:val="0"/>
          <w:bCs w:val="0"/>
        </w:rPr>
      </w:r>
      <w:r>
        <w:rPr>
          <w:rFonts w:ascii="宋体" w:hAnsi="宋体" w:cs="宋体" w:eastAsia="宋体" w:hint="default"/>
        </w:rPr>
        <w:t>1</w:t>
      </w:r>
      <w:r>
        <w:rPr/>
        <w:t>、资产构成重大变动情况</w:t>
      </w:r>
      <w:r>
        <w:rPr>
          <w:b w:val="0"/>
          <w:bCs w:val="0"/>
        </w:rPr>
      </w:r>
    </w:p>
    <w:p>
      <w:pPr>
        <w:spacing w:line="240" w:lineRule="auto" w:before="8"/>
        <w:rPr>
          <w:rFonts w:ascii="宋体" w:hAnsi="宋体" w:cs="宋体" w:eastAsia="宋体" w:hint="default"/>
          <w:b/>
          <w:bCs/>
          <w:sz w:val="14"/>
          <w:szCs w:val="14"/>
        </w:rPr>
      </w:pPr>
    </w:p>
    <w:p>
      <w:pPr>
        <w:pStyle w:val="BodyText"/>
        <w:spacing w:line="410" w:lineRule="auto"/>
        <w:ind w:left="553" w:right="1198"/>
        <w:jc w:val="left"/>
      </w:pPr>
      <w:r>
        <w:rPr/>
        <w:t>公司</w:t>
      </w:r>
      <w:r>
        <w:rPr>
          <w:spacing w:val="-54"/>
        </w:rPr>
        <w:t> </w:t>
      </w:r>
      <w:r>
        <w:rPr>
          <w:rFonts w:ascii="宋体" w:hAnsi="宋体" w:cs="宋体" w:eastAsia="宋体" w:hint="default"/>
        </w:rPr>
        <w:t>2019</w:t>
      </w:r>
      <w:r>
        <w:rPr>
          <w:rFonts w:ascii="宋体" w:hAnsi="宋体" w:cs="宋体" w:eastAsia="宋体" w:hint="default"/>
          <w:spacing w:val="-53"/>
        </w:rPr>
        <w:t> </w:t>
      </w:r>
      <w:r>
        <w:rPr/>
        <w:t>年起首次执行新金融工具准则、新收入准则或新租赁准则且调整执行当年年初财务报表相关项</w:t>
      </w:r>
      <w:r>
        <w:rPr>
          <w:w w:val="100"/>
        </w:rPr>
        <w:t> </w:t>
      </w:r>
      <w:r>
        <w:rPr/>
        <w:t>目</w:t>
      </w:r>
    </w:p>
    <w:p>
      <w:pPr>
        <w:pStyle w:val="BodyText"/>
        <w:spacing w:line="240" w:lineRule="auto" w:before="42"/>
        <w:ind w:left="553" w:right="1198"/>
        <w:jc w:val="left"/>
      </w:pPr>
      <w:r>
        <w:rPr/>
        <w:t>√ 适用 □</w:t>
      </w:r>
      <w:r>
        <w:rPr>
          <w:spacing w:val="4"/>
        </w:rPr>
        <w:t> </w:t>
      </w:r>
      <w:r>
        <w:rPr/>
        <w:t>不适用</w:t>
      </w:r>
    </w:p>
    <w:p>
      <w:pPr>
        <w:spacing w:line="240" w:lineRule="auto" w:before="13"/>
        <w:rPr>
          <w:rFonts w:ascii="宋体" w:hAnsi="宋体" w:cs="宋体" w:eastAsia="宋体" w:hint="default"/>
          <w:sz w:val="13"/>
          <w:szCs w:val="13"/>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306"/>
        <w:gridCol w:w="1724"/>
        <w:gridCol w:w="841"/>
        <w:gridCol w:w="1546"/>
        <w:gridCol w:w="1037"/>
        <w:gridCol w:w="1003"/>
        <w:gridCol w:w="3002"/>
      </w:tblGrid>
      <w:tr>
        <w:trPr>
          <w:trHeight w:val="413" w:hRule="exact"/>
        </w:trPr>
        <w:tc>
          <w:tcPr>
            <w:tcW w:w="1306" w:type="dxa"/>
            <w:vMerge w:val="restart"/>
            <w:tcBorders>
              <w:top w:val="single" w:sz="12" w:space="0" w:color="000000"/>
              <w:left w:val="single" w:sz="12" w:space="0" w:color="000000"/>
              <w:right w:val="single" w:sz="4" w:space="0" w:color="000000"/>
            </w:tcBorders>
            <w:shd w:val="clear" w:color="auto" w:fill="D2D2D2"/>
          </w:tcPr>
          <w:p>
            <w:pPr/>
          </w:p>
        </w:tc>
        <w:tc>
          <w:tcPr>
            <w:tcW w:w="2564"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583"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1003"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002"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5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6" w:hRule="exact"/>
        </w:trPr>
        <w:tc>
          <w:tcPr>
            <w:tcW w:w="1306" w:type="dxa"/>
            <w:vMerge/>
            <w:tcBorders>
              <w:left w:val="single" w:sz="12" w:space="0" w:color="000000"/>
              <w:bottom w:val="single" w:sz="4" w:space="0" w:color="000000"/>
              <w:right w:val="single" w:sz="4" w:space="0" w:color="000000"/>
            </w:tcBorders>
            <w:shd w:val="clear" w:color="auto" w:fill="D2D2D2"/>
          </w:tcPr>
          <w:p>
            <w:pP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48" w:right="137"/>
              <w:jc w:val="left"/>
              <w:rPr>
                <w:rFonts w:ascii="宋体" w:hAnsi="宋体" w:cs="宋体" w:eastAsia="宋体" w:hint="default"/>
                <w:sz w:val="18"/>
                <w:szCs w:val="18"/>
              </w:rPr>
            </w:pPr>
            <w:r>
              <w:rPr>
                <w:rFonts w:ascii="宋体" w:hAnsi="宋体" w:cs="宋体" w:eastAsia="宋体" w:hint="default"/>
                <w:sz w:val="18"/>
                <w:szCs w:val="18"/>
              </w:rPr>
              <w:t>占总资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产比例</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335" w:right="147" w:hanging="183"/>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1003" w:type="dxa"/>
            <w:vMerge/>
            <w:tcBorders>
              <w:left w:val="single" w:sz="4" w:space="0" w:color="000000"/>
              <w:bottom w:val="single" w:sz="4" w:space="0" w:color="000000"/>
              <w:right w:val="single" w:sz="4" w:space="0" w:color="000000"/>
            </w:tcBorders>
            <w:shd w:val="clear" w:color="auto" w:fill="D2D2D2"/>
          </w:tcPr>
          <w:p>
            <w:pPr/>
          </w:p>
        </w:tc>
        <w:tc>
          <w:tcPr>
            <w:tcW w:w="3002" w:type="dxa"/>
            <w:vMerge/>
            <w:tcBorders>
              <w:left w:val="single" w:sz="4" w:space="0" w:color="000000"/>
              <w:bottom w:val="single" w:sz="4" w:space="0" w:color="000000"/>
              <w:right w:val="single" w:sz="12" w:space="0" w:color="000000"/>
            </w:tcBorders>
            <w:shd w:val="clear" w:color="auto" w:fill="D2D2D2"/>
          </w:tcPr>
          <w:p>
            <w:pPr/>
          </w:p>
        </w:tc>
      </w:tr>
      <w:tr>
        <w:trPr>
          <w:trHeight w:val="1339" w:hRule="exact"/>
        </w:trPr>
        <w:tc>
          <w:tcPr>
            <w:tcW w:w="130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18"/>
                <w:szCs w:val="18"/>
              </w:rPr>
            </w:pPr>
            <w:r>
              <w:rPr>
                <w:rFonts w:ascii="宋体"/>
                <w:spacing w:val="-2"/>
                <w:sz w:val="18"/>
              </w:rPr>
              <w:t>176,060,509.07</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10.03%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92,805,590.08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4"/>
              <w:jc w:val="right"/>
              <w:rPr>
                <w:rFonts w:ascii="宋体" w:hAnsi="宋体" w:cs="宋体" w:eastAsia="宋体" w:hint="default"/>
                <w:sz w:val="18"/>
                <w:szCs w:val="18"/>
              </w:rPr>
            </w:pPr>
            <w:r>
              <w:rPr>
                <w:rFonts w:ascii="宋体"/>
                <w:sz w:val="18"/>
              </w:rPr>
              <w:t>5.09%</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18"/>
                <w:szCs w:val="18"/>
              </w:rPr>
            </w:pPr>
            <w:r>
              <w:rPr>
                <w:rFonts w:ascii="宋体"/>
                <w:sz w:val="18"/>
              </w:rPr>
              <w:t>4.93%</w:t>
            </w:r>
          </w:p>
        </w:tc>
        <w:tc>
          <w:tcPr>
            <w:tcW w:w="3002"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3"/>
              <w:ind w:left="106" w:right="88"/>
              <w:jc w:val="both"/>
              <w:rPr>
                <w:rFonts w:ascii="宋体" w:hAnsi="宋体" w:cs="宋体" w:eastAsia="宋体" w:hint="default"/>
                <w:sz w:val="18"/>
                <w:szCs w:val="18"/>
              </w:rPr>
            </w:pPr>
            <w:r>
              <w:rPr>
                <w:rFonts w:ascii="宋体" w:hAnsi="宋体" w:cs="宋体" w:eastAsia="宋体" w:hint="default"/>
                <w:spacing w:val="14"/>
                <w:sz w:val="18"/>
                <w:szCs w:val="18"/>
              </w:rPr>
              <w:t>报告期内加强应收账款催收和回</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2"/>
                <w:sz w:val="18"/>
                <w:szCs w:val="18"/>
              </w:rPr>
              <w:t>流，回款状况较好；同时公司加强</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2"/>
                <w:sz w:val="18"/>
                <w:szCs w:val="18"/>
              </w:rPr>
              <w:t>智能终端产品的研发推广力度，在</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新疆和西藏几个市场获得销售增长</w:t>
            </w:r>
          </w:p>
        </w:tc>
      </w:tr>
      <w:tr>
        <w:trPr>
          <w:trHeight w:val="725" w:hRule="exact"/>
        </w:trPr>
        <w:tc>
          <w:tcPr>
            <w:tcW w:w="130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2"/>
                <w:sz w:val="18"/>
              </w:rPr>
              <w:t>358,507,339.78</w:t>
            </w:r>
          </w:p>
        </w:tc>
        <w:tc>
          <w:tcPr>
            <w:tcW w:w="8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20.42%</w:t>
            </w:r>
          </w:p>
        </w:tc>
        <w:tc>
          <w:tcPr>
            <w:tcW w:w="15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515,144,895.26</w:t>
            </w:r>
          </w:p>
        </w:tc>
        <w:tc>
          <w:tcPr>
            <w:tcW w:w="10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28.25%</w:t>
            </w:r>
          </w:p>
        </w:tc>
        <w:tc>
          <w:tcPr>
            <w:tcW w:w="10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-7.83%</w:t>
            </w:r>
          </w:p>
        </w:tc>
        <w:tc>
          <w:tcPr>
            <w:tcW w:w="3002" w:type="dxa"/>
            <w:tcBorders>
              <w:top w:val="single" w:sz="4" w:space="0" w:color="000000"/>
              <w:left w:val="single" w:sz="4" w:space="0" w:color="000000"/>
              <w:bottom w:val="single" w:sz="12" w:space="0" w:color="000000"/>
              <w:right w:val="single" w:sz="12" w:space="0" w:color="000000"/>
            </w:tcBorders>
          </w:tcPr>
          <w:p>
            <w:pPr>
              <w:pStyle w:val="TableParagraph"/>
              <w:spacing w:line="316" w:lineRule="auto" w:before="54"/>
              <w:ind w:left="106" w:right="171"/>
              <w:jc w:val="left"/>
              <w:rPr>
                <w:rFonts w:ascii="宋体" w:hAnsi="宋体" w:cs="宋体" w:eastAsia="宋体" w:hint="default"/>
                <w:sz w:val="18"/>
                <w:szCs w:val="18"/>
              </w:rPr>
            </w:pPr>
            <w:r>
              <w:rPr>
                <w:rFonts w:ascii="宋体" w:hAnsi="宋体" w:cs="宋体" w:eastAsia="宋体" w:hint="default"/>
                <w:spacing w:val="-3"/>
                <w:sz w:val="18"/>
                <w:szCs w:val="18"/>
              </w:rPr>
              <w:t>加强应收账款催收和回流，回款状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况较好</w:t>
            </w:r>
          </w:p>
        </w:tc>
      </w:tr>
    </w:tbl>
    <w:p>
      <w:pPr>
        <w:spacing w:after="0" w:line="316" w:lineRule="auto"/>
        <w:jc w:val="left"/>
        <w:rPr>
          <w:rFonts w:ascii="宋体" w:hAnsi="宋体" w:cs="宋体" w:eastAsia="宋体" w:hint="default"/>
          <w:sz w:val="18"/>
          <w:szCs w:val="18"/>
        </w:rPr>
        <w:sectPr>
          <w:pgSz w:w="11910" w:h="16840"/>
          <w:pgMar w:header="871" w:footer="1037" w:top="1100" w:bottom="1220" w:left="580" w:right="0"/>
        </w:sectPr>
      </w:pPr>
    </w:p>
    <w:p>
      <w:pPr>
        <w:spacing w:line="240" w:lineRule="auto" w:before="8"/>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1306"/>
        <w:gridCol w:w="1724"/>
        <w:gridCol w:w="841"/>
        <w:gridCol w:w="1546"/>
        <w:gridCol w:w="1037"/>
        <w:gridCol w:w="1003"/>
        <w:gridCol w:w="3002"/>
      </w:tblGrid>
      <w:tr>
        <w:trPr>
          <w:trHeight w:val="413" w:hRule="exact"/>
        </w:trPr>
        <w:tc>
          <w:tcPr>
            <w:tcW w:w="130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109,930,389.64</w:t>
            </w:r>
          </w:p>
        </w:tc>
        <w:tc>
          <w:tcPr>
            <w:tcW w:w="8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z w:val="18"/>
              </w:rPr>
              <w:t>6.26%</w:t>
            </w:r>
          </w:p>
        </w:tc>
        <w:tc>
          <w:tcPr>
            <w:tcW w:w="15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113,873,231.28</w:t>
            </w:r>
          </w:p>
        </w:tc>
        <w:tc>
          <w:tcPr>
            <w:tcW w:w="10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z w:val="18"/>
              </w:rPr>
              <w:t>6.24%</w:t>
            </w:r>
          </w:p>
        </w:tc>
        <w:tc>
          <w:tcPr>
            <w:tcW w:w="10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0.02%</w:t>
            </w:r>
          </w:p>
        </w:tc>
        <w:tc>
          <w:tcPr>
            <w:tcW w:w="3002" w:type="dxa"/>
            <w:tcBorders>
              <w:top w:val="single" w:sz="12" w:space="0" w:color="000000"/>
              <w:left w:val="single" w:sz="4" w:space="0" w:color="000000"/>
              <w:bottom w:val="single" w:sz="4" w:space="0" w:color="000000"/>
              <w:right w:val="single" w:sz="12" w:space="0" w:color="000000"/>
            </w:tcBorders>
          </w:tcPr>
          <w:p>
            <w:pPr/>
          </w:p>
        </w:tc>
      </w:tr>
      <w:tr>
        <w:trPr>
          <w:trHeight w:val="716" w:hRule="exact"/>
        </w:trPr>
        <w:tc>
          <w:tcPr>
            <w:tcW w:w="130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81,339,758.29</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z w:val="18"/>
              </w:rPr>
              <w:t>4.63%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22,841,423.85</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z w:val="18"/>
              </w:rPr>
              <w:t>1.25%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3.38%</w:t>
            </w:r>
          </w:p>
        </w:tc>
        <w:tc>
          <w:tcPr>
            <w:tcW w:w="3002"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3"/>
              <w:ind w:left="106" w:right="171"/>
              <w:jc w:val="left"/>
              <w:rPr>
                <w:rFonts w:ascii="宋体" w:hAnsi="宋体" w:cs="宋体" w:eastAsia="宋体" w:hint="default"/>
                <w:sz w:val="18"/>
                <w:szCs w:val="18"/>
              </w:rPr>
            </w:pPr>
            <w:r>
              <w:rPr>
                <w:rFonts w:ascii="宋体" w:hAnsi="宋体" w:cs="宋体" w:eastAsia="宋体" w:hint="default"/>
                <w:spacing w:val="-3"/>
                <w:sz w:val="18"/>
                <w:szCs w:val="18"/>
              </w:rPr>
              <w:t>主要为报告期内公司房产对外出租</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增加，转入投资性房地产</w:t>
            </w:r>
          </w:p>
        </w:tc>
      </w:tr>
      <w:tr>
        <w:trPr>
          <w:trHeight w:val="398" w:hRule="exact"/>
        </w:trPr>
        <w:tc>
          <w:tcPr>
            <w:tcW w:w="130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370,577,354.20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21.10%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357,176,593.26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19.58%</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1.52%</w:t>
            </w:r>
          </w:p>
        </w:tc>
        <w:tc>
          <w:tcPr>
            <w:tcW w:w="3002"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30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spacing w:val="-2"/>
                <w:sz w:val="18"/>
              </w:rPr>
              <w:t>293,515,266.83</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4"/>
              <w:jc w:val="right"/>
              <w:rPr>
                <w:rFonts w:ascii="宋体" w:hAnsi="宋体" w:cs="宋体" w:eastAsia="宋体" w:hint="default"/>
                <w:sz w:val="18"/>
                <w:szCs w:val="18"/>
              </w:rPr>
            </w:pPr>
            <w:r>
              <w:rPr>
                <w:rFonts w:ascii="宋体"/>
                <w:spacing w:val="-1"/>
                <w:sz w:val="18"/>
              </w:rPr>
              <w:t>16.71%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4"/>
              <w:jc w:val="right"/>
              <w:rPr>
                <w:rFonts w:ascii="宋体" w:hAnsi="宋体" w:cs="宋体" w:eastAsia="宋体" w:hint="default"/>
                <w:sz w:val="18"/>
                <w:szCs w:val="18"/>
              </w:rPr>
            </w:pPr>
            <w:r>
              <w:rPr>
                <w:rFonts w:ascii="宋体"/>
                <w:spacing w:val="-2"/>
                <w:sz w:val="18"/>
              </w:rPr>
              <w:t>360,590,903.02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4"/>
              <w:jc w:val="right"/>
              <w:rPr>
                <w:rFonts w:ascii="宋体" w:hAnsi="宋体" w:cs="宋体" w:eastAsia="宋体" w:hint="default"/>
                <w:sz w:val="18"/>
                <w:szCs w:val="18"/>
              </w:rPr>
            </w:pPr>
            <w:r>
              <w:rPr>
                <w:rFonts w:ascii="宋体"/>
                <w:spacing w:val="-1"/>
                <w:sz w:val="18"/>
              </w:rPr>
              <w:t>19.77%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-3.06%</w:t>
            </w:r>
          </w:p>
        </w:tc>
        <w:tc>
          <w:tcPr>
            <w:tcW w:w="3002" w:type="dxa"/>
            <w:tcBorders>
              <w:top w:val="single" w:sz="4" w:space="0" w:color="000000"/>
              <w:left w:val="single" w:sz="4" w:space="0" w:color="000000"/>
              <w:bottom w:val="single" w:sz="4" w:space="0" w:color="000000"/>
              <w:right w:val="single" w:sz="12" w:space="0" w:color="000000"/>
            </w:tcBorders>
          </w:tcPr>
          <w:p>
            <w:pPr>
              <w:pStyle w:val="TableParagraph"/>
              <w:spacing w:line="319" w:lineRule="auto" w:before="53"/>
              <w:ind w:left="106" w:right="171"/>
              <w:jc w:val="both"/>
              <w:rPr>
                <w:rFonts w:ascii="宋体" w:hAnsi="宋体" w:cs="宋体" w:eastAsia="宋体" w:hint="default"/>
                <w:sz w:val="18"/>
                <w:szCs w:val="18"/>
              </w:rPr>
            </w:pPr>
            <w:r>
              <w:rPr>
                <w:rFonts w:ascii="宋体" w:hAnsi="宋体" w:cs="宋体" w:eastAsia="宋体" w:hint="default"/>
                <w:spacing w:val="-3"/>
                <w:sz w:val="18"/>
                <w:szCs w:val="18"/>
              </w:rPr>
              <w:t>主要为报告期内公司房产对外出租</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增加，转入投资性房地产，固定资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产减少</w:t>
            </w:r>
          </w:p>
        </w:tc>
      </w:tr>
      <w:tr>
        <w:trPr>
          <w:trHeight w:val="404" w:hRule="exact"/>
        </w:trPr>
        <w:tc>
          <w:tcPr>
            <w:tcW w:w="130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117,076,729.85</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z w:val="18"/>
              </w:rPr>
              <w:t>6.67%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2"/>
                <w:sz w:val="18"/>
              </w:rPr>
              <w:t>103,327,810.58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z w:val="18"/>
              </w:rPr>
              <w:t>5.67%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1.00%</w:t>
            </w:r>
          </w:p>
        </w:tc>
        <w:tc>
          <w:tcPr>
            <w:tcW w:w="3002"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30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124,783,757.23</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z w:val="18"/>
              </w:rPr>
              <w:t>7.11%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144,875,000.00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z w:val="18"/>
              </w:rPr>
              <w:t>7.94%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-0.83%</w:t>
            </w:r>
          </w:p>
        </w:tc>
        <w:tc>
          <w:tcPr>
            <w:tcW w:w="3002"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130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85,600,000.00</w:t>
            </w:r>
          </w:p>
        </w:tc>
        <w:tc>
          <w:tcPr>
            <w:tcW w:w="8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z w:val="18"/>
              </w:rPr>
              <w:t>4.87%</w:t>
            </w:r>
          </w:p>
        </w:tc>
        <w:tc>
          <w:tcPr>
            <w:tcW w:w="15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78,860,000.00</w:t>
            </w:r>
          </w:p>
        </w:tc>
        <w:tc>
          <w:tcPr>
            <w:tcW w:w="10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z w:val="18"/>
              </w:rPr>
              <w:t>4.32%</w:t>
            </w:r>
          </w:p>
        </w:tc>
        <w:tc>
          <w:tcPr>
            <w:tcW w:w="10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0.55%</w:t>
            </w:r>
          </w:p>
        </w:tc>
        <w:tc>
          <w:tcPr>
            <w:tcW w:w="3002" w:type="dxa"/>
            <w:tcBorders>
              <w:top w:val="single" w:sz="4" w:space="0" w:color="000000"/>
              <w:left w:val="single" w:sz="4" w:space="0" w:color="000000"/>
              <w:bottom w:val="single" w:sz="12" w:space="0" w:color="000000"/>
              <w:right w:val="single" w:sz="12" w:space="0" w:color="000000"/>
            </w:tcBorders>
          </w:tcPr>
          <w:p>
            <w:pPr/>
          </w:p>
        </w:tc>
      </w:tr>
    </w:tbl>
    <w:p>
      <w:pPr>
        <w:pStyle w:val="Heading4"/>
        <w:spacing w:line="240" w:lineRule="auto" w:before="66"/>
        <w:ind w:left="553" w:right="1198"/>
        <w:jc w:val="left"/>
        <w:rPr>
          <w:b w:val="0"/>
          <w:bCs w:val="0"/>
        </w:rPr>
      </w:pPr>
      <w:bookmarkStart w:name="2、以公允价值计量的资产和负债" w:id="43"/>
      <w:bookmarkEnd w:id="43"/>
      <w:r>
        <w:rPr>
          <w:b w:val="0"/>
          <w:bCs w:val="0"/>
        </w:rPr>
      </w:r>
      <w:r>
        <w:rPr>
          <w:rFonts w:ascii="宋体" w:hAnsi="宋体" w:cs="宋体" w:eastAsia="宋体" w:hint="default"/>
        </w:rPr>
        <w:t>2</w:t>
      </w:r>
      <w:r>
        <w:rPr/>
        <w:t>、以公允价值计量的资产和负债</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left="553" w:right="1198"/>
        <w:jc w:val="left"/>
      </w:pPr>
      <w:r>
        <w:rPr/>
        <w:t>√ 适用 □</w:t>
      </w:r>
      <w:r>
        <w:rPr>
          <w:spacing w:val="4"/>
        </w:rPr>
        <w:t> </w:t>
      </w:r>
      <w:r>
        <w:rPr/>
        <w:t>不适用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207" w:type="dxa"/>
        <w:tblLayout w:type="fixed"/>
        <w:tblCellMar>
          <w:top w:w="0" w:type="dxa"/>
          <w:left w:w="0" w:type="dxa"/>
          <w:bottom w:w="0" w:type="dxa"/>
          <w:right w:w="0" w:type="dxa"/>
        </w:tblCellMar>
        <w:tblLook w:val="01E0"/>
      </w:tblPr>
      <w:tblGrid>
        <w:gridCol w:w="1311"/>
        <w:gridCol w:w="1570"/>
        <w:gridCol w:w="975"/>
        <w:gridCol w:w="1229"/>
        <w:gridCol w:w="883"/>
        <w:gridCol w:w="1623"/>
        <w:gridCol w:w="691"/>
        <w:gridCol w:w="884"/>
        <w:gridCol w:w="1484"/>
      </w:tblGrid>
      <w:tr>
        <w:trPr>
          <w:trHeight w:val="1037" w:hRule="exact"/>
        </w:trPr>
        <w:tc>
          <w:tcPr>
            <w:tcW w:w="131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57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7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0" w:right="118"/>
              <w:jc w:val="center"/>
              <w:rPr>
                <w:rFonts w:ascii="宋体" w:hAnsi="宋体" w:cs="宋体" w:eastAsia="宋体" w:hint="default"/>
                <w:sz w:val="18"/>
                <w:szCs w:val="18"/>
              </w:rPr>
            </w:pPr>
            <w:r>
              <w:rPr>
                <w:rFonts w:ascii="宋体" w:hAnsi="宋体" w:cs="宋体" w:eastAsia="宋体" w:hint="default"/>
                <w:spacing w:val="-2"/>
                <w:sz w:val="18"/>
                <w:szCs w:val="18"/>
              </w:rPr>
              <w:t>本期公允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价值变动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损益</w:t>
            </w:r>
          </w:p>
        </w:tc>
        <w:tc>
          <w:tcPr>
            <w:tcW w:w="122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58" w:right="156"/>
              <w:jc w:val="center"/>
              <w:rPr>
                <w:rFonts w:ascii="宋体" w:hAnsi="宋体" w:cs="宋体" w:eastAsia="宋体" w:hint="default"/>
                <w:sz w:val="18"/>
                <w:szCs w:val="18"/>
              </w:rPr>
            </w:pPr>
            <w:r>
              <w:rPr>
                <w:rFonts w:ascii="宋体" w:hAnsi="宋体" w:cs="宋体" w:eastAsia="宋体" w:hint="default"/>
                <w:spacing w:val="-2"/>
                <w:sz w:val="18"/>
                <w:szCs w:val="18"/>
              </w:rPr>
              <w:t>计入权益的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累计公允价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值变动</w:t>
            </w:r>
          </w:p>
        </w:tc>
        <w:tc>
          <w:tcPr>
            <w:tcW w:w="88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7" w:right="161"/>
              <w:jc w:val="center"/>
              <w:rPr>
                <w:rFonts w:ascii="宋体" w:hAnsi="宋体" w:cs="宋体" w:eastAsia="宋体" w:hint="default"/>
                <w:sz w:val="18"/>
                <w:szCs w:val="18"/>
              </w:rPr>
            </w:pPr>
            <w:r>
              <w:rPr>
                <w:rFonts w:ascii="宋体" w:hAnsi="宋体" w:cs="宋体" w:eastAsia="宋体" w:hint="default"/>
                <w:spacing w:val="-2"/>
                <w:sz w:val="18"/>
                <w:szCs w:val="18"/>
              </w:rPr>
              <w:t>本期计</w:t>
            </w:r>
            <w:r>
              <w:rPr>
                <w:rFonts w:ascii="宋体" w:hAnsi="宋体" w:cs="宋体" w:eastAsia="宋体" w:hint="default"/>
                <w:w w:val="101"/>
                <w:sz w:val="18"/>
                <w:szCs w:val="18"/>
              </w:rPr>
              <w:t> </w:t>
            </w:r>
            <w:r>
              <w:rPr>
                <w:rFonts w:ascii="宋体" w:hAnsi="宋体" w:cs="宋体" w:eastAsia="宋体" w:hint="default"/>
                <w:spacing w:val="-2"/>
                <w:sz w:val="18"/>
                <w:szCs w:val="18"/>
              </w:rPr>
              <w:t>提的减</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62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64"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6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3" w:right="151"/>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出售</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88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345" w:right="166" w:hanging="183"/>
              <w:jc w:val="left"/>
              <w:rPr>
                <w:rFonts w:ascii="宋体" w:hAnsi="宋体" w:cs="宋体" w:eastAsia="宋体" w:hint="default"/>
                <w:sz w:val="18"/>
                <w:szCs w:val="18"/>
              </w:rPr>
            </w:pPr>
            <w:r>
              <w:rPr>
                <w:rFonts w:ascii="宋体" w:hAnsi="宋体" w:cs="宋体" w:eastAsia="宋体" w:hint="default"/>
                <w:sz w:val="18"/>
                <w:szCs w:val="18"/>
              </w:rPr>
              <w:t>其他变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w:t>
            </w:r>
          </w:p>
        </w:tc>
        <w:tc>
          <w:tcPr>
            <w:tcW w:w="148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7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98" w:hRule="exact"/>
        </w:trPr>
        <w:tc>
          <w:tcPr>
            <w:tcW w:w="10650" w:type="dxa"/>
            <w:gridSpan w:val="9"/>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715" w:hRule="exact"/>
        </w:trPr>
        <w:tc>
          <w:tcPr>
            <w:tcW w:w="13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1" w:right="113"/>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其他权益工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具投资</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55,000,000.00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2,000,000.00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57,000,000.00</w:t>
            </w:r>
          </w:p>
        </w:tc>
      </w:tr>
      <w:tr>
        <w:trPr>
          <w:trHeight w:val="404" w:hRule="exact"/>
        </w:trPr>
        <w:tc>
          <w:tcPr>
            <w:tcW w:w="13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55,000,000.00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2,000,000.00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57,000,000.00</w:t>
            </w:r>
          </w:p>
        </w:tc>
      </w:tr>
      <w:tr>
        <w:trPr>
          <w:trHeight w:val="715" w:hRule="exact"/>
        </w:trPr>
        <w:tc>
          <w:tcPr>
            <w:tcW w:w="131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1" w:right="113"/>
              <w:jc w:val="left"/>
              <w:rPr>
                <w:rFonts w:ascii="宋体" w:hAnsi="宋体" w:cs="宋体" w:eastAsia="宋体" w:hint="default"/>
                <w:sz w:val="18"/>
                <w:szCs w:val="18"/>
              </w:rPr>
            </w:pPr>
            <w:r>
              <w:rPr>
                <w:rFonts w:ascii="宋体" w:hAnsi="宋体" w:cs="宋体" w:eastAsia="宋体" w:hint="default"/>
                <w:sz w:val="18"/>
                <w:szCs w:val="18"/>
              </w:rPr>
              <w:t>其他非流动金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融资产</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4,003,000.00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4,003,000.00</w:t>
            </w:r>
          </w:p>
        </w:tc>
      </w:tr>
      <w:tr>
        <w:trPr>
          <w:trHeight w:val="398" w:hRule="exact"/>
        </w:trPr>
        <w:tc>
          <w:tcPr>
            <w:tcW w:w="13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59,003,000.00</w:t>
            </w:r>
          </w:p>
        </w:tc>
        <w:tc>
          <w:tcPr>
            <w:tcW w:w="975"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2,000,000.00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61,003,000.00</w:t>
            </w:r>
          </w:p>
        </w:tc>
      </w:tr>
      <w:tr>
        <w:trPr>
          <w:trHeight w:val="413" w:hRule="exact"/>
        </w:trPr>
        <w:tc>
          <w:tcPr>
            <w:tcW w:w="131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7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0.00</w:t>
            </w:r>
          </w:p>
        </w:tc>
        <w:tc>
          <w:tcPr>
            <w:tcW w:w="975" w:type="dxa"/>
            <w:tcBorders>
              <w:top w:val="single" w:sz="4" w:space="0" w:color="000000"/>
              <w:left w:val="single" w:sz="4" w:space="0" w:color="000000"/>
              <w:bottom w:val="single" w:sz="12" w:space="0" w:color="000000"/>
              <w:right w:val="single" w:sz="4" w:space="0" w:color="000000"/>
            </w:tcBorders>
          </w:tcPr>
          <w:p>
            <w:pPr/>
          </w:p>
        </w:tc>
        <w:tc>
          <w:tcPr>
            <w:tcW w:w="1229" w:type="dxa"/>
            <w:tcBorders>
              <w:top w:val="single" w:sz="4" w:space="0" w:color="000000"/>
              <w:left w:val="single" w:sz="4" w:space="0" w:color="000000"/>
              <w:bottom w:val="single" w:sz="12" w:space="0" w:color="000000"/>
              <w:right w:val="single" w:sz="4" w:space="0" w:color="000000"/>
            </w:tcBorders>
          </w:tcPr>
          <w:p>
            <w:pPr/>
          </w:p>
        </w:tc>
        <w:tc>
          <w:tcPr>
            <w:tcW w:w="883" w:type="dxa"/>
            <w:tcBorders>
              <w:top w:val="single" w:sz="4" w:space="0" w:color="000000"/>
              <w:left w:val="single" w:sz="4" w:space="0" w:color="000000"/>
              <w:bottom w:val="single" w:sz="12" w:space="0" w:color="000000"/>
              <w:right w:val="single" w:sz="4" w:space="0" w:color="000000"/>
            </w:tcBorders>
          </w:tcPr>
          <w:p>
            <w:pPr/>
          </w:p>
        </w:tc>
        <w:tc>
          <w:tcPr>
            <w:tcW w:w="1623" w:type="dxa"/>
            <w:tcBorders>
              <w:top w:val="single" w:sz="4" w:space="0" w:color="000000"/>
              <w:left w:val="single" w:sz="4" w:space="0" w:color="000000"/>
              <w:bottom w:val="single" w:sz="12" w:space="0" w:color="000000"/>
              <w:right w:val="single" w:sz="4" w:space="0" w:color="000000"/>
            </w:tcBorders>
          </w:tcPr>
          <w:p>
            <w:pPr/>
          </w:p>
        </w:tc>
        <w:tc>
          <w:tcPr>
            <w:tcW w:w="691" w:type="dxa"/>
            <w:tcBorders>
              <w:top w:val="single" w:sz="4" w:space="0" w:color="000000"/>
              <w:left w:val="single" w:sz="4" w:space="0" w:color="000000"/>
              <w:bottom w:val="single" w:sz="12" w:space="0" w:color="000000"/>
              <w:right w:val="single" w:sz="4" w:space="0" w:color="000000"/>
            </w:tcBorders>
          </w:tcPr>
          <w:p>
            <w:pPr/>
          </w:p>
        </w:tc>
        <w:tc>
          <w:tcPr>
            <w:tcW w:w="884" w:type="dxa"/>
            <w:tcBorders>
              <w:top w:val="single" w:sz="4" w:space="0" w:color="000000"/>
              <w:left w:val="single" w:sz="4" w:space="0" w:color="000000"/>
              <w:bottom w:val="single" w:sz="12" w:space="0" w:color="000000"/>
              <w:right w:val="single" w:sz="4" w:space="0" w:color="000000"/>
            </w:tcBorders>
          </w:tcPr>
          <w:p>
            <w:pPr/>
          </w:p>
        </w:tc>
        <w:tc>
          <w:tcPr>
            <w:tcW w:w="148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0.00</w:t>
            </w:r>
          </w:p>
        </w:tc>
      </w:tr>
    </w:tbl>
    <w:p>
      <w:pPr>
        <w:pStyle w:val="BodyText"/>
        <w:spacing w:line="410" w:lineRule="auto" w:before="66"/>
        <w:ind w:left="975" w:right="176" w:hanging="423"/>
        <w:jc w:val="left"/>
      </w:pPr>
      <w:r>
        <w:rPr/>
        <w:t>其他变动的内容</w:t>
      </w:r>
      <w:r>
        <w:rPr>
          <w:spacing w:val="-102"/>
        </w:rPr>
        <w:t> </w:t>
      </w:r>
      <w:r>
        <w:rPr>
          <w:spacing w:val="-102"/>
        </w:rPr>
      </w:r>
      <w:r>
        <w:rPr>
          <w:spacing w:val="-2"/>
        </w:rPr>
        <w:t>根据新金融工具准则的要求，自</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日起执行，本公司将原列示在可供出售金融资产的权益性</w:t>
      </w:r>
    </w:p>
    <w:p>
      <w:pPr>
        <w:pStyle w:val="BodyText"/>
        <w:spacing w:line="410" w:lineRule="auto" w:before="41"/>
        <w:ind w:left="553" w:right="1198"/>
        <w:jc w:val="left"/>
      </w:pPr>
      <w:r>
        <w:rPr>
          <w:spacing w:val="-1"/>
        </w:rPr>
        <w:t>投资，重新分类为交易性金融资产以及其他权益工具投资，其他权益工具投资调增</w:t>
      </w:r>
      <w:r>
        <w:rPr>
          <w:rFonts w:ascii="宋体" w:hAnsi="宋体" w:cs="宋体" w:eastAsia="宋体" w:hint="default"/>
          <w:spacing w:val="-1"/>
        </w:rPr>
        <w:t>55,000,000.00</w:t>
      </w:r>
      <w:r>
        <w:rPr>
          <w:spacing w:val="-1"/>
        </w:rPr>
        <w:t>元，其</w:t>
      </w:r>
      <w:r>
        <w:rPr>
          <w:spacing w:val="-51"/>
        </w:rPr>
        <w:t> </w:t>
      </w:r>
      <w:r>
        <w:rPr>
          <w:spacing w:val="-51"/>
        </w:rPr>
      </w:r>
      <w:r>
        <w:rPr/>
        <w:t>他非流动金融资产调增</w:t>
      </w:r>
      <w:r>
        <w:rPr>
          <w:rFonts w:ascii="宋体" w:hAnsi="宋体" w:cs="宋体" w:eastAsia="宋体" w:hint="default"/>
        </w:rPr>
        <w:t>4,003,000.00</w:t>
      </w:r>
      <w:r>
        <w:rPr/>
        <w:t>元</w:t>
      </w:r>
    </w:p>
    <w:p>
      <w:pPr>
        <w:pStyle w:val="BodyText"/>
        <w:spacing w:line="240" w:lineRule="auto" w:before="41"/>
        <w:ind w:left="553" w:right="1198"/>
        <w:jc w:val="left"/>
      </w:pPr>
      <w:r>
        <w:rPr/>
        <w:t>报告期内公司主要资产计量属性是否发生重大变化</w:t>
      </w:r>
    </w:p>
    <w:p>
      <w:pPr>
        <w:spacing w:line="240" w:lineRule="auto" w:before="12"/>
        <w:rPr>
          <w:rFonts w:ascii="宋体" w:hAnsi="宋体" w:cs="宋体" w:eastAsia="宋体" w:hint="default"/>
          <w:sz w:val="14"/>
          <w:szCs w:val="14"/>
        </w:rPr>
      </w:pPr>
    </w:p>
    <w:p>
      <w:pPr>
        <w:spacing w:line="408" w:lineRule="auto" w:before="0"/>
        <w:ind w:left="553" w:right="1524" w:firstLine="0"/>
        <w:jc w:val="left"/>
        <w:rPr>
          <w:rFonts w:ascii="宋体" w:hAnsi="宋体" w:cs="宋体" w:eastAsia="宋体" w:hint="default"/>
          <w:sz w:val="21"/>
          <w:szCs w:val="21"/>
        </w:rPr>
      </w:pPr>
      <w:r>
        <w:rPr>
          <w:rFonts w:ascii="宋体" w:hAnsi="宋体" w:cs="宋体" w:eastAsia="宋体" w:hint="default"/>
          <w:sz w:val="21"/>
          <w:szCs w:val="21"/>
        </w:rPr>
        <w:t>□ 是 √ 否</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报告期内公司主要资产计量属性发生重大变化的原因说明及对其经营成果和财务状况影响</w:t>
      </w:r>
      <w:r>
        <w:rPr>
          <w:rFonts w:ascii="宋体" w:hAnsi="宋体" w:cs="宋体" w:eastAsia="宋体" w:hint="default"/>
          <w:spacing w:val="-26"/>
          <w:sz w:val="21"/>
          <w:szCs w:val="21"/>
        </w:rPr>
        <w:t> </w:t>
      </w:r>
      <w:r>
        <w:rPr>
          <w:rFonts w:ascii="宋体" w:hAnsi="宋体" w:cs="宋体" w:eastAsia="宋体" w:hint="default"/>
          <w:spacing w:val="-26"/>
          <w:sz w:val="21"/>
          <w:szCs w:val="21"/>
        </w:rPr>
      </w:r>
      <w:bookmarkStart w:name="3、截至报告期末的资产权利受限情况" w:id="44"/>
      <w:bookmarkEnd w:id="44"/>
      <w:r>
        <w:rPr>
          <w:rFonts w:ascii="宋体" w:hAnsi="宋体" w:cs="宋体" w:eastAsia="宋体" w:hint="default"/>
          <w:spacing w:val="-26"/>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pStyle w:val="BodyText"/>
        <w:spacing w:line="240" w:lineRule="auto" w:before="43"/>
        <w:ind w:left="975" w:right="176"/>
        <w:jc w:val="left"/>
      </w:pP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日，公司货币资金、应收账款、固定资产、无形资产、全资子公司索瑞电气股权存</w:t>
      </w:r>
    </w:p>
    <w:p>
      <w:pPr>
        <w:spacing w:after="0" w:line="240" w:lineRule="auto"/>
        <w:jc w:val="left"/>
        <w:sectPr>
          <w:pgSz w:w="11910" w:h="16840"/>
          <w:pgMar w:header="871" w:footer="1037" w:top="1100" w:bottom="1220" w:left="580" w:right="0"/>
        </w:sectPr>
      </w:pPr>
    </w:p>
    <w:p>
      <w:pPr>
        <w:spacing w:line="240" w:lineRule="auto" w:before="12"/>
        <w:rPr>
          <w:rFonts w:ascii="宋体" w:hAnsi="宋体" w:cs="宋体" w:eastAsia="宋体" w:hint="default"/>
          <w:sz w:val="26"/>
          <w:szCs w:val="26"/>
        </w:rPr>
      </w:pPr>
    </w:p>
    <w:p>
      <w:pPr>
        <w:pStyle w:val="BodyText"/>
        <w:spacing w:line="408" w:lineRule="auto" w:before="36"/>
        <w:ind w:left="653" w:right="1125"/>
        <w:jc w:val="both"/>
      </w:pPr>
      <w:r>
        <w:rPr>
          <w:spacing w:val="-2"/>
        </w:rPr>
        <w:t>在权利受限制的情况。其中，受限的货币资金为银行承兑汇票保证金和履约保函保证金，账户资金暂无法</w:t>
      </w:r>
      <w:r>
        <w:rPr>
          <w:spacing w:val="-33"/>
        </w:rPr>
        <w:t> </w:t>
      </w:r>
      <w:r>
        <w:rPr>
          <w:spacing w:val="-33"/>
        </w:rPr>
      </w:r>
      <w:r>
        <w:rPr>
          <w:spacing w:val="-2"/>
        </w:rPr>
        <w:t>使用；受限的固定资产、无形资产为光一科技以将军大道房产和土地使用权抵押给银行取得借款。索瑞电</w:t>
      </w:r>
      <w:r>
        <w:rPr>
          <w:spacing w:val="-33"/>
        </w:rPr>
        <w:t> </w:t>
      </w:r>
      <w:r>
        <w:rPr>
          <w:spacing w:val="-33"/>
        </w:rPr>
      </w:r>
      <w:r>
        <w:rPr>
          <w:spacing w:val="-2"/>
        </w:rPr>
        <w:t>气以荆州山源的土地使用权抵押给银行取得借款；受限的应收账款、索瑞电气股权为光一科技质押给民生</w:t>
      </w:r>
      <w:r>
        <w:rPr>
          <w:spacing w:val="-33"/>
        </w:rPr>
        <w:t> </w:t>
      </w:r>
      <w:r>
        <w:rPr>
          <w:spacing w:val="-33"/>
        </w:rPr>
      </w:r>
      <w:r>
        <w:rPr/>
        <w:t>银行以取得贷款。</w:t>
      </w:r>
    </w:p>
    <w:p>
      <w:pPr>
        <w:pStyle w:val="Heading2"/>
        <w:spacing w:line="240" w:lineRule="auto" w:before="23"/>
        <w:ind w:left="653" w:right="0"/>
        <w:jc w:val="both"/>
        <w:rPr>
          <w:b w:val="0"/>
          <w:bCs w:val="0"/>
        </w:rPr>
      </w:pPr>
      <w:bookmarkStart w:name="五、 投资状况分析" w:id="45"/>
      <w:bookmarkEnd w:id="45"/>
      <w:r>
        <w:rPr>
          <w:b w:val="0"/>
          <w:bCs w:val="0"/>
        </w:rPr>
      </w:r>
      <w:r>
        <w:rPr/>
        <w:t>五、投资状况分析</w:t>
      </w:r>
      <w:r>
        <w:rPr>
          <w:b w:val="0"/>
          <w:bCs w:val="0"/>
        </w:rPr>
      </w:r>
    </w:p>
    <w:p>
      <w:pPr>
        <w:pStyle w:val="Heading4"/>
        <w:spacing w:line="240" w:lineRule="auto" w:before="177"/>
        <w:ind w:left="653" w:right="0"/>
        <w:jc w:val="both"/>
        <w:rPr>
          <w:b w:val="0"/>
          <w:bCs w:val="0"/>
        </w:rPr>
      </w:pPr>
      <w:bookmarkStart w:name="1、总体情况" w:id="46"/>
      <w:bookmarkEnd w:id="46"/>
      <w:r>
        <w:rPr>
          <w:b w:val="0"/>
          <w:bCs w:val="0"/>
        </w:rPr>
      </w:r>
      <w:r>
        <w:rPr>
          <w:rFonts w:ascii="宋体" w:hAnsi="宋体" w:cs="宋体" w:eastAsia="宋体" w:hint="default"/>
        </w:rPr>
        <w:t>1</w:t>
      </w:r>
      <w:r>
        <w:rPr/>
        <w:t>、总体情况</w:t>
      </w:r>
      <w:r>
        <w:rPr>
          <w:b w:val="0"/>
          <w:bCs w:val="0"/>
        </w:rPr>
      </w:r>
    </w:p>
    <w:p>
      <w:pPr>
        <w:spacing w:line="240" w:lineRule="auto" w:before="13"/>
        <w:rPr>
          <w:rFonts w:ascii="宋体" w:hAnsi="宋体" w:cs="宋体" w:eastAsia="宋体" w:hint="default"/>
          <w:b/>
          <w:bCs/>
          <w:sz w:val="14"/>
          <w:szCs w:val="14"/>
        </w:rPr>
      </w:pPr>
    </w:p>
    <w:p>
      <w:pPr>
        <w:pStyle w:val="BodyText"/>
        <w:spacing w:line="240" w:lineRule="auto"/>
        <w:ind w:left="653" w:right="0"/>
        <w:jc w:val="both"/>
      </w:pPr>
      <w:r>
        <w:rPr/>
        <w:t>√ 适用 □</w:t>
      </w:r>
      <w:r>
        <w:rPr>
          <w:spacing w:val="4"/>
        </w:rPr>
        <w:t> </w:t>
      </w:r>
      <w:r>
        <w:rPr/>
        <w:t>不适用</w:t>
      </w:r>
    </w:p>
    <w:p>
      <w:pPr>
        <w:spacing w:line="240" w:lineRule="auto" w:before="8"/>
        <w:rPr>
          <w:rFonts w:ascii="宋体" w:hAnsi="宋体" w:cs="宋体" w:eastAsia="宋体" w:hint="default"/>
          <w:sz w:val="14"/>
          <w:szCs w:val="14"/>
        </w:rPr>
      </w:pPr>
    </w:p>
    <w:p>
      <w:pPr>
        <w:pStyle w:val="BodyText"/>
        <w:spacing w:line="240" w:lineRule="auto"/>
        <w:ind w:left="0" w:right="1122"/>
        <w:jc w:val="right"/>
      </w:pPr>
      <w:r>
        <w:rPr/>
        <w:t>单位：元</w:t>
      </w:r>
    </w:p>
    <w:p>
      <w:pPr>
        <w:spacing w:line="240" w:lineRule="auto" w:before="11"/>
        <w:rPr>
          <w:rFonts w:ascii="宋体" w:hAnsi="宋体" w:cs="宋体" w:eastAsia="宋体" w:hint="default"/>
          <w:sz w:val="9"/>
          <w:szCs w:val="9"/>
        </w:rPr>
      </w:pPr>
    </w:p>
    <w:tbl>
      <w:tblPr>
        <w:tblW w:w="0" w:type="auto"/>
        <w:jc w:val="left"/>
        <w:tblInd w:w="6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773"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left="1896" w:right="0"/>
              <w:jc w:val="left"/>
              <w:rPr>
                <w:rFonts w:ascii="宋体" w:hAnsi="宋体" w:cs="宋体" w:eastAsia="宋体" w:hint="default"/>
                <w:sz w:val="18"/>
                <w:szCs w:val="18"/>
              </w:rPr>
            </w:pPr>
            <w:r>
              <w:rPr>
                <w:rFonts w:ascii="宋体"/>
                <w:sz w:val="18"/>
              </w:rPr>
              <w:t>46,061,043.93</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825" w:right="0"/>
              <w:jc w:val="left"/>
              <w:rPr>
                <w:rFonts w:ascii="宋体" w:hAnsi="宋体" w:cs="宋体" w:eastAsia="宋体" w:hint="default"/>
                <w:sz w:val="18"/>
                <w:szCs w:val="18"/>
              </w:rPr>
            </w:pPr>
            <w:r>
              <w:rPr>
                <w:rFonts w:ascii="宋体"/>
                <w:sz w:val="18"/>
              </w:rPr>
              <w:t>255,639,325.03</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-81.98%</w:t>
            </w:r>
          </w:p>
        </w:tc>
      </w:tr>
    </w:tbl>
    <w:p>
      <w:pPr>
        <w:pStyle w:val="Heading4"/>
        <w:spacing w:line="240" w:lineRule="auto" w:before="66"/>
        <w:ind w:left="653" w:right="6428"/>
        <w:jc w:val="left"/>
        <w:rPr>
          <w:b w:val="0"/>
          <w:bCs w:val="0"/>
        </w:rPr>
      </w:pPr>
      <w:bookmarkStart w:name="2、报告期内获取的重大的股权投资情况" w:id="47"/>
      <w:bookmarkEnd w:id="47"/>
      <w:r>
        <w:rPr>
          <w:b w:val="0"/>
          <w:bCs w:val="0"/>
        </w:rPr>
      </w:r>
      <w:r>
        <w:rPr>
          <w:rFonts w:ascii="宋体" w:hAnsi="宋体" w:cs="宋体" w:eastAsia="宋体" w:hint="default"/>
        </w:rPr>
        <w:t>2</w:t>
      </w:r>
      <w:r>
        <w:rPr/>
        <w:t>、报告期内获取的重大的股权投资情况</w:t>
      </w:r>
      <w:r>
        <w:rPr>
          <w:b w:val="0"/>
          <w:bCs w:val="0"/>
        </w:rPr>
      </w:r>
    </w:p>
    <w:p>
      <w:pPr>
        <w:spacing w:line="240" w:lineRule="auto" w:before="8"/>
        <w:rPr>
          <w:rFonts w:ascii="宋体" w:hAnsi="宋体" w:cs="宋体" w:eastAsia="宋体" w:hint="default"/>
          <w:b/>
          <w:bCs/>
          <w:sz w:val="14"/>
          <w:szCs w:val="14"/>
        </w:rPr>
      </w:pPr>
    </w:p>
    <w:p>
      <w:pPr>
        <w:spacing w:line="410" w:lineRule="auto" w:before="0"/>
        <w:ind w:left="653" w:right="6428"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3、报告期内正在进行的重大的非股权投资情况" w:id="48"/>
      <w:bookmarkEnd w:id="48"/>
      <w:r>
        <w:rPr>
          <w:rFonts w:ascii="宋体" w:hAnsi="宋体" w:cs="宋体" w:eastAsia="宋体" w:hint="default"/>
          <w:spacing w:val="-101"/>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410" w:lineRule="auto" w:before="42"/>
        <w:ind w:left="653" w:right="7904"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4、以公允价值计量的金融资产" w:id="49"/>
      <w:bookmarkEnd w:id="49"/>
      <w:r>
        <w:rPr>
          <w:rFonts w:ascii="宋体" w:hAnsi="宋体" w:cs="宋体" w:eastAsia="宋体" w:hint="default"/>
          <w:spacing w:val="-101"/>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pStyle w:val="BodyText"/>
        <w:spacing w:line="240" w:lineRule="auto" w:before="41"/>
        <w:ind w:left="653" w:right="6428"/>
        <w:jc w:val="left"/>
      </w:pPr>
      <w:r>
        <w:rPr/>
        <w:t>√ 适用 □</w:t>
      </w:r>
      <w:r>
        <w:rPr>
          <w:spacing w:val="4"/>
        </w:rPr>
        <w:t> </w:t>
      </w:r>
      <w:r>
        <w:rPr/>
        <w:t>不适用</w:t>
      </w:r>
    </w:p>
    <w:p>
      <w:pPr>
        <w:spacing w:line="240" w:lineRule="auto" w:before="5"/>
        <w:rPr>
          <w:rFonts w:ascii="宋体" w:hAnsi="宋体" w:cs="宋体" w:eastAsia="宋体" w:hint="default"/>
          <w:sz w:val="10"/>
          <w:szCs w:val="10"/>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720"/>
        <w:gridCol w:w="1469"/>
        <w:gridCol w:w="1114"/>
        <w:gridCol w:w="1047"/>
        <w:gridCol w:w="1517"/>
        <w:gridCol w:w="1426"/>
        <w:gridCol w:w="1335"/>
        <w:gridCol w:w="1426"/>
        <w:gridCol w:w="629"/>
      </w:tblGrid>
      <w:tr>
        <w:trPr>
          <w:trHeight w:val="1344" w:hRule="exact"/>
        </w:trPr>
        <w:tc>
          <w:tcPr>
            <w:tcW w:w="72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68" w:right="167"/>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类别</w:t>
            </w:r>
          </w:p>
        </w:tc>
        <w:tc>
          <w:tcPr>
            <w:tcW w:w="146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1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91" w:right="185"/>
              <w:jc w:val="center"/>
              <w:rPr>
                <w:rFonts w:ascii="宋体" w:hAnsi="宋体" w:cs="宋体" w:eastAsia="宋体" w:hint="default"/>
                <w:sz w:val="18"/>
                <w:szCs w:val="18"/>
              </w:rPr>
            </w:pPr>
            <w:r>
              <w:rPr>
                <w:rFonts w:ascii="宋体" w:hAnsi="宋体" w:cs="宋体" w:eastAsia="宋体" w:hint="default"/>
                <w:spacing w:val="-2"/>
                <w:sz w:val="18"/>
                <w:szCs w:val="18"/>
              </w:rPr>
              <w:t>本期公允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价值变动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损益</w:t>
            </w:r>
          </w:p>
        </w:tc>
        <w:tc>
          <w:tcPr>
            <w:tcW w:w="104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58" w:right="152"/>
              <w:jc w:val="center"/>
              <w:rPr>
                <w:rFonts w:ascii="宋体" w:hAnsi="宋体" w:cs="宋体" w:eastAsia="宋体" w:hint="default"/>
                <w:sz w:val="18"/>
                <w:szCs w:val="18"/>
              </w:rPr>
            </w:pPr>
            <w:r>
              <w:rPr>
                <w:rFonts w:ascii="宋体" w:hAnsi="宋体" w:cs="宋体" w:eastAsia="宋体" w:hint="default"/>
                <w:spacing w:val="-2"/>
                <w:sz w:val="18"/>
                <w:szCs w:val="18"/>
              </w:rPr>
              <w:t>计入权益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的累计公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允价值变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动</w:t>
            </w:r>
          </w:p>
        </w:tc>
        <w:tc>
          <w:tcPr>
            <w:tcW w:w="151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667" w:right="118" w:hanging="543"/>
              <w:jc w:val="left"/>
              <w:rPr>
                <w:rFonts w:ascii="宋体" w:hAnsi="宋体" w:cs="宋体" w:eastAsia="宋体" w:hint="default"/>
                <w:sz w:val="18"/>
                <w:szCs w:val="18"/>
              </w:rPr>
            </w:pPr>
            <w:r>
              <w:rPr>
                <w:rFonts w:ascii="宋体" w:hAnsi="宋体" w:cs="宋体" w:eastAsia="宋体" w:hint="default"/>
                <w:spacing w:val="-3"/>
                <w:sz w:val="18"/>
                <w:szCs w:val="18"/>
              </w:rPr>
              <w:t>报告期内购入金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142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528" w:right="161" w:hanging="361"/>
              <w:jc w:val="left"/>
              <w:rPr>
                <w:rFonts w:ascii="宋体" w:hAnsi="宋体" w:cs="宋体" w:eastAsia="宋体" w:hint="default"/>
                <w:sz w:val="18"/>
                <w:szCs w:val="18"/>
              </w:rPr>
            </w:pPr>
            <w:r>
              <w:rPr>
                <w:rFonts w:ascii="宋体" w:hAnsi="宋体" w:cs="宋体" w:eastAsia="宋体" w:hint="default"/>
                <w:spacing w:val="-2"/>
                <w:sz w:val="18"/>
                <w:szCs w:val="18"/>
              </w:rPr>
              <w:t>报告期内售出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金额</w:t>
            </w:r>
          </w:p>
        </w:tc>
        <w:tc>
          <w:tcPr>
            <w:tcW w:w="133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累计投资收益</w:t>
            </w:r>
          </w:p>
        </w:tc>
        <w:tc>
          <w:tcPr>
            <w:tcW w:w="142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62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25" w:right="119"/>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r>
      <w:tr>
        <w:trPr>
          <w:trHeight w:val="716" w:hRule="exact"/>
        </w:trPr>
        <w:tc>
          <w:tcPr>
            <w:tcW w:w="7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87" w:right="0"/>
              <w:jc w:val="left"/>
              <w:rPr>
                <w:rFonts w:ascii="宋体" w:hAnsi="宋体" w:cs="宋体" w:eastAsia="宋体" w:hint="default"/>
                <w:sz w:val="18"/>
                <w:szCs w:val="18"/>
              </w:rPr>
            </w:pPr>
            <w:r>
              <w:rPr>
                <w:rFonts w:ascii="宋体"/>
                <w:sz w:val="18"/>
              </w:rPr>
              <w:t>81,303,000.00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5"/>
              <w:jc w:val="right"/>
              <w:rPr>
                <w:rFonts w:ascii="宋体" w:hAnsi="宋体" w:cs="宋体" w:eastAsia="宋体" w:hint="default"/>
                <w:sz w:val="18"/>
                <w:szCs w:val="18"/>
              </w:rPr>
            </w:pPr>
            <w:r>
              <w:rPr>
                <w:rFonts w:ascii="宋体"/>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2,000,000.00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 w:right="0"/>
              <w:jc w:val="center"/>
              <w:rPr>
                <w:rFonts w:ascii="宋体" w:hAnsi="宋体" w:cs="宋体" w:eastAsia="宋体" w:hint="default"/>
                <w:sz w:val="18"/>
                <w:szCs w:val="18"/>
              </w:rPr>
            </w:pPr>
            <w:r>
              <w:rPr>
                <w:rFonts w:ascii="宋体"/>
                <w:sz w:val="18"/>
              </w:rPr>
              <w:t>22,300,000.00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7" w:right="0"/>
              <w:jc w:val="center"/>
              <w:rPr>
                <w:rFonts w:ascii="宋体" w:hAnsi="宋体" w:cs="宋体" w:eastAsia="宋体" w:hint="default"/>
                <w:sz w:val="18"/>
                <w:szCs w:val="18"/>
              </w:rPr>
            </w:pPr>
            <w:r>
              <w:rPr>
                <w:rFonts w:ascii="宋体"/>
                <w:sz w:val="18"/>
              </w:rPr>
              <w:t>6,533,762.91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 w:right="0"/>
              <w:jc w:val="center"/>
              <w:rPr>
                <w:rFonts w:ascii="宋体" w:hAnsi="宋体" w:cs="宋体" w:eastAsia="宋体" w:hint="default"/>
                <w:sz w:val="18"/>
                <w:szCs w:val="18"/>
              </w:rPr>
            </w:pPr>
            <w:r>
              <w:rPr>
                <w:rFonts w:ascii="宋体"/>
                <w:sz w:val="18"/>
              </w:rPr>
              <w:t>61,003,000.00</w:t>
            </w:r>
          </w:p>
        </w:tc>
        <w:tc>
          <w:tcPr>
            <w:tcW w:w="629" w:type="dxa"/>
            <w:tcBorders>
              <w:top w:val="single" w:sz="4" w:space="0" w:color="000000"/>
              <w:left w:val="single" w:sz="4" w:space="0" w:color="000000"/>
              <w:bottom w:val="single" w:sz="4" w:space="0" w:color="000000"/>
              <w:right w:val="single" w:sz="12" w:space="0" w:color="000000"/>
            </w:tcBorders>
          </w:tcPr>
          <w:p>
            <w:pPr>
              <w:pStyle w:val="TableParagraph"/>
              <w:spacing w:line="319" w:lineRule="auto" w:before="58"/>
              <w:ind w:left="101" w:right="143"/>
              <w:jc w:val="left"/>
              <w:rPr>
                <w:rFonts w:ascii="宋体" w:hAnsi="宋体" w:cs="宋体" w:eastAsia="宋体" w:hint="default"/>
                <w:sz w:val="18"/>
                <w:szCs w:val="18"/>
              </w:rPr>
            </w:pPr>
            <w:r>
              <w:rPr>
                <w:rFonts w:ascii="宋体" w:hAnsi="宋体" w:cs="宋体" w:eastAsia="宋体" w:hint="default"/>
                <w:sz w:val="18"/>
                <w:szCs w:val="18"/>
              </w:rPr>
              <w:t>自有</w:t>
            </w:r>
            <w:r>
              <w:rPr>
                <w:rFonts w:ascii="宋体" w:hAnsi="宋体" w:cs="宋体" w:eastAsia="宋体" w:hint="default"/>
                <w:spacing w:val="-86"/>
                <w:sz w:val="18"/>
                <w:szCs w:val="18"/>
              </w:rPr>
              <w:t> </w:t>
            </w:r>
            <w:r>
              <w:rPr>
                <w:rFonts w:ascii="宋体" w:hAnsi="宋体" w:cs="宋体" w:eastAsia="宋体" w:hint="default"/>
                <w:sz w:val="18"/>
                <w:szCs w:val="18"/>
              </w:rPr>
              <w:t>资金</w:t>
            </w:r>
          </w:p>
        </w:tc>
      </w:tr>
      <w:tr>
        <w:trPr>
          <w:trHeight w:val="413" w:hRule="exact"/>
        </w:trPr>
        <w:tc>
          <w:tcPr>
            <w:tcW w:w="72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87" w:right="0"/>
              <w:jc w:val="left"/>
              <w:rPr>
                <w:rFonts w:ascii="宋体" w:hAnsi="宋体" w:cs="宋体" w:eastAsia="宋体" w:hint="default"/>
                <w:sz w:val="18"/>
                <w:szCs w:val="18"/>
              </w:rPr>
            </w:pPr>
            <w:r>
              <w:rPr>
                <w:rFonts w:ascii="宋体"/>
                <w:sz w:val="18"/>
              </w:rPr>
              <w:t>81,303,000.00</w:t>
            </w:r>
          </w:p>
        </w:tc>
        <w:tc>
          <w:tcPr>
            <w:tcW w:w="11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0.00</w:t>
            </w:r>
          </w:p>
        </w:tc>
        <w:tc>
          <w:tcPr>
            <w:tcW w:w="10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0.00</w:t>
            </w:r>
          </w:p>
        </w:tc>
        <w:tc>
          <w:tcPr>
            <w:tcW w:w="15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2,000,000.00</w:t>
            </w: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47" w:right="0"/>
              <w:jc w:val="center"/>
              <w:rPr>
                <w:rFonts w:ascii="宋体" w:hAnsi="宋体" w:cs="宋体" w:eastAsia="宋体" w:hint="default"/>
                <w:sz w:val="18"/>
                <w:szCs w:val="18"/>
              </w:rPr>
            </w:pPr>
            <w:r>
              <w:rPr>
                <w:rFonts w:ascii="宋体"/>
                <w:sz w:val="18"/>
              </w:rPr>
              <w:t>22,300,000.00</w:t>
            </w:r>
          </w:p>
        </w:tc>
        <w:tc>
          <w:tcPr>
            <w:tcW w:w="13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37" w:right="0"/>
              <w:jc w:val="center"/>
              <w:rPr>
                <w:rFonts w:ascii="宋体" w:hAnsi="宋体" w:cs="宋体" w:eastAsia="宋体" w:hint="default"/>
                <w:sz w:val="18"/>
                <w:szCs w:val="18"/>
              </w:rPr>
            </w:pPr>
            <w:r>
              <w:rPr>
                <w:rFonts w:ascii="宋体"/>
                <w:sz w:val="18"/>
              </w:rPr>
              <w:t>6,533,762.91</w:t>
            </w: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47" w:right="0"/>
              <w:jc w:val="center"/>
              <w:rPr>
                <w:rFonts w:ascii="宋体" w:hAnsi="宋体" w:cs="宋体" w:eastAsia="宋体" w:hint="default"/>
                <w:sz w:val="18"/>
                <w:szCs w:val="18"/>
              </w:rPr>
            </w:pPr>
            <w:r>
              <w:rPr>
                <w:rFonts w:ascii="宋体"/>
                <w:sz w:val="18"/>
              </w:rPr>
              <w:t>61,003,000.00</w:t>
            </w:r>
          </w:p>
        </w:tc>
        <w:tc>
          <w:tcPr>
            <w:tcW w:w="629"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sz w:val="18"/>
              </w:rPr>
              <w:t>--</w:t>
            </w:r>
          </w:p>
        </w:tc>
      </w:tr>
    </w:tbl>
    <w:p>
      <w:pPr>
        <w:pStyle w:val="Heading4"/>
        <w:spacing w:line="240" w:lineRule="auto" w:before="66"/>
        <w:ind w:left="653" w:right="6428"/>
        <w:jc w:val="left"/>
        <w:rPr>
          <w:b w:val="0"/>
          <w:bCs w:val="0"/>
        </w:rPr>
      </w:pPr>
      <w:bookmarkStart w:name="5、募集资金使用情况" w:id="50"/>
      <w:bookmarkEnd w:id="50"/>
      <w:r>
        <w:rPr>
          <w:b w:val="0"/>
          <w:bCs w:val="0"/>
        </w:rPr>
      </w:r>
      <w:r>
        <w:rPr>
          <w:rFonts w:ascii="宋体" w:hAnsi="宋体" w:cs="宋体" w:eastAsia="宋体" w:hint="default"/>
        </w:rPr>
        <w:t>5</w:t>
      </w:r>
      <w:r>
        <w:rPr/>
        <w:t>、募集资金使用情况</w:t>
      </w:r>
      <w:r>
        <w:rPr>
          <w:b w:val="0"/>
          <w:bCs w:val="0"/>
        </w:rPr>
      </w:r>
    </w:p>
    <w:p>
      <w:pPr>
        <w:spacing w:line="240" w:lineRule="auto" w:before="12"/>
        <w:rPr>
          <w:rFonts w:ascii="宋体" w:hAnsi="宋体" w:cs="宋体" w:eastAsia="宋体" w:hint="default"/>
          <w:b/>
          <w:bCs/>
          <w:sz w:val="14"/>
          <w:szCs w:val="14"/>
        </w:rPr>
      </w:pPr>
    </w:p>
    <w:p>
      <w:pPr>
        <w:pStyle w:val="BodyText"/>
        <w:spacing w:line="408" w:lineRule="auto"/>
        <w:ind w:left="653" w:right="6428"/>
        <w:jc w:val="left"/>
      </w:pPr>
      <w:r>
        <w:rPr/>
        <w:t>√ 适用 □ 不适用</w:t>
      </w:r>
      <w:r>
        <w:rPr>
          <w:spacing w:val="-101"/>
        </w:rPr>
        <w:t> </w:t>
      </w:r>
      <w:r>
        <w:rPr>
          <w:spacing w:val="-101"/>
        </w:rPr>
      </w:r>
      <w:r>
        <w:rPr>
          <w:spacing w:val="-1"/>
        </w:rPr>
        <w:t>公司报告期无募集资金使用情况。</w:t>
      </w:r>
    </w:p>
    <w:p>
      <w:pPr>
        <w:pStyle w:val="Heading4"/>
        <w:spacing w:line="240" w:lineRule="auto" w:before="48"/>
        <w:ind w:left="653" w:right="6428"/>
        <w:jc w:val="left"/>
        <w:rPr>
          <w:b w:val="0"/>
          <w:bCs w:val="0"/>
        </w:rPr>
      </w:pPr>
      <w:bookmarkStart w:name="（1）募集资金总体使用情况" w:id="51"/>
      <w:bookmarkEnd w:id="51"/>
      <w:r>
        <w:rPr>
          <w:b w:val="0"/>
          <w:bCs w:val="0"/>
        </w:rPr>
      </w:r>
      <w:r>
        <w:rPr/>
        <w:t>（</w:t>
      </w:r>
      <w:r>
        <w:rPr>
          <w:rFonts w:ascii="宋体" w:hAnsi="宋体" w:cs="宋体" w:eastAsia="宋体" w:hint="default"/>
        </w:rPr>
        <w:t>1</w:t>
      </w:r>
      <w:r>
        <w:rPr/>
        <w:t>）募集资金总体使用情况</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left="653" w:right="6428"/>
        <w:jc w:val="left"/>
      </w:pPr>
      <w:r>
        <w:rPr/>
        <w:t>√ 适用 □</w:t>
      </w:r>
      <w:r>
        <w:rPr>
          <w:spacing w:val="4"/>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spacing w:before="46"/>
        <w:ind w:left="0" w:right="1126"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after="0"/>
        <w:jc w:val="right"/>
        <w:rPr>
          <w:rFonts w:ascii="宋体" w:hAnsi="宋体" w:cs="宋体" w:eastAsia="宋体" w:hint="default"/>
          <w:sz w:val="18"/>
          <w:szCs w:val="18"/>
        </w:rPr>
        <w:sectPr>
          <w:pgSz w:w="11910" w:h="16840"/>
          <w:pgMar w:header="871" w:footer="1037" w:top="1100" w:bottom="1220" w:left="4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1023"/>
        <w:gridCol w:w="961"/>
        <w:gridCol w:w="1109"/>
        <w:gridCol w:w="961"/>
        <w:gridCol w:w="1263"/>
        <w:gridCol w:w="658"/>
        <w:gridCol w:w="812"/>
        <w:gridCol w:w="975"/>
        <w:gridCol w:w="854"/>
        <w:gridCol w:w="917"/>
        <w:gridCol w:w="898"/>
      </w:tblGrid>
      <w:tr>
        <w:trPr>
          <w:trHeight w:val="2598" w:hRule="exact"/>
        </w:trPr>
        <w:tc>
          <w:tcPr>
            <w:tcW w:w="102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96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110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9" w:right="180" w:hanging="178"/>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96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5" w:right="108"/>
              <w:jc w:val="both"/>
              <w:rPr>
                <w:rFonts w:ascii="宋体" w:hAnsi="宋体" w:cs="宋体" w:eastAsia="宋体" w:hint="default"/>
                <w:sz w:val="18"/>
                <w:szCs w:val="18"/>
              </w:rPr>
            </w:pPr>
            <w:r>
              <w:rPr>
                <w:rFonts w:ascii="宋体" w:hAnsi="宋体" w:cs="宋体" w:eastAsia="宋体" w:hint="default"/>
                <w:sz w:val="18"/>
                <w:szCs w:val="18"/>
              </w:rPr>
              <w:t>本期已使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126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77" w:right="171"/>
              <w:jc w:val="center"/>
              <w:rPr>
                <w:rFonts w:ascii="宋体" w:hAnsi="宋体" w:cs="宋体" w:eastAsia="宋体" w:hint="default"/>
                <w:sz w:val="18"/>
                <w:szCs w:val="18"/>
              </w:rPr>
            </w:pPr>
            <w:r>
              <w:rPr>
                <w:rFonts w:ascii="宋体" w:hAnsi="宋体" w:cs="宋体" w:eastAsia="宋体" w:hint="default"/>
                <w:spacing w:val="-2"/>
                <w:sz w:val="18"/>
                <w:szCs w:val="18"/>
              </w:rPr>
              <w:t>已累计使用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65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39" w:right="143"/>
              <w:jc w:val="both"/>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pacing w:val="-86"/>
                <w:sz w:val="18"/>
                <w:szCs w:val="18"/>
              </w:rPr>
              <w:t> </w:t>
            </w:r>
            <w:r>
              <w:rPr>
                <w:rFonts w:ascii="宋体" w:hAnsi="宋体" w:cs="宋体" w:eastAsia="宋体" w:hint="default"/>
                <w:sz w:val="18"/>
                <w:szCs w:val="18"/>
              </w:rPr>
              <w:t>期内</w:t>
            </w:r>
            <w:r>
              <w:rPr>
                <w:rFonts w:ascii="宋体" w:hAnsi="宋体" w:cs="宋体" w:eastAsia="宋体" w:hint="default"/>
                <w:spacing w:val="-86"/>
                <w:sz w:val="18"/>
                <w:szCs w:val="18"/>
              </w:rPr>
              <w:t> </w:t>
            </w:r>
            <w:r>
              <w:rPr>
                <w:rFonts w:ascii="宋体" w:hAnsi="宋体" w:cs="宋体" w:eastAsia="宋体" w:hint="default"/>
                <w:sz w:val="18"/>
                <w:szCs w:val="18"/>
              </w:rPr>
              <w:t>变更</w:t>
            </w:r>
            <w:r>
              <w:rPr>
                <w:rFonts w:ascii="宋体" w:hAnsi="宋体" w:cs="宋体" w:eastAsia="宋体" w:hint="default"/>
                <w:spacing w:val="-86"/>
                <w:sz w:val="18"/>
                <w:szCs w:val="18"/>
              </w:rPr>
              <w:t> </w:t>
            </w:r>
            <w:r>
              <w:rPr>
                <w:rFonts w:ascii="宋体" w:hAnsi="宋体" w:cs="宋体" w:eastAsia="宋体" w:hint="default"/>
                <w:sz w:val="18"/>
                <w:szCs w:val="18"/>
              </w:rPr>
              <w:t>用途</w:t>
            </w:r>
            <w:r>
              <w:rPr>
                <w:rFonts w:ascii="宋体" w:hAnsi="宋体" w:cs="宋体" w:eastAsia="宋体" w:hint="default"/>
                <w:spacing w:val="-86"/>
                <w:sz w:val="18"/>
                <w:szCs w:val="18"/>
              </w:rPr>
              <w:t> </w:t>
            </w:r>
            <w:r>
              <w:rPr>
                <w:rFonts w:ascii="宋体" w:hAnsi="宋体" w:cs="宋体" w:eastAsia="宋体" w:hint="default"/>
                <w:sz w:val="18"/>
                <w:szCs w:val="18"/>
              </w:rPr>
              <w:t>的募</w:t>
            </w:r>
            <w:r>
              <w:rPr>
                <w:rFonts w:ascii="宋体" w:hAnsi="宋体" w:cs="宋体" w:eastAsia="宋体" w:hint="default"/>
                <w:spacing w:val="-86"/>
                <w:sz w:val="18"/>
                <w:szCs w:val="18"/>
              </w:rPr>
              <w:t> </w:t>
            </w:r>
            <w:r>
              <w:rPr>
                <w:rFonts w:ascii="宋体" w:hAnsi="宋体" w:cs="宋体" w:eastAsia="宋体" w:hint="default"/>
                <w:sz w:val="18"/>
                <w:szCs w:val="18"/>
              </w:rPr>
              <w:t>集资</w:t>
            </w:r>
            <w:r>
              <w:rPr>
                <w:rFonts w:ascii="宋体" w:hAnsi="宋体" w:cs="宋体" w:eastAsia="宋体" w:hint="default"/>
                <w:spacing w:val="-86"/>
                <w:sz w:val="18"/>
                <w:szCs w:val="18"/>
              </w:rPr>
              <w:t> </w:t>
            </w:r>
            <w:r>
              <w:rPr>
                <w:rFonts w:ascii="宋体" w:hAnsi="宋体" w:cs="宋体" w:eastAsia="宋体" w:hint="default"/>
                <w:sz w:val="18"/>
                <w:szCs w:val="18"/>
              </w:rPr>
              <w:t>金总</w:t>
            </w:r>
            <w:r>
              <w:rPr>
                <w:rFonts w:ascii="宋体" w:hAnsi="宋体" w:cs="宋体" w:eastAsia="宋体" w:hint="default"/>
                <w:spacing w:val="-86"/>
                <w:sz w:val="18"/>
                <w:szCs w:val="18"/>
              </w:rPr>
              <w:t> </w:t>
            </w:r>
            <w:r>
              <w:rPr>
                <w:rFonts w:ascii="宋体" w:hAnsi="宋体" w:cs="宋体" w:eastAsia="宋体" w:hint="default"/>
                <w:sz w:val="18"/>
                <w:szCs w:val="18"/>
              </w:rPr>
              <w:t>额</w:t>
            </w:r>
          </w:p>
        </w:tc>
        <w:tc>
          <w:tcPr>
            <w:tcW w:w="81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34" w:right="123"/>
              <w:jc w:val="center"/>
              <w:rPr>
                <w:rFonts w:ascii="宋体" w:hAnsi="宋体" w:cs="宋体" w:eastAsia="宋体" w:hint="default"/>
                <w:sz w:val="18"/>
                <w:szCs w:val="18"/>
              </w:rPr>
            </w:pPr>
            <w:r>
              <w:rPr>
                <w:rFonts w:ascii="宋体" w:hAnsi="宋体" w:cs="宋体" w:eastAsia="宋体" w:hint="default"/>
                <w:spacing w:val="-2"/>
                <w:sz w:val="18"/>
                <w:szCs w:val="18"/>
              </w:rPr>
              <w:t>累计变</w:t>
            </w:r>
            <w:r>
              <w:rPr>
                <w:rFonts w:ascii="宋体" w:hAnsi="宋体" w:cs="宋体" w:eastAsia="宋体" w:hint="default"/>
                <w:w w:val="101"/>
                <w:sz w:val="18"/>
                <w:szCs w:val="18"/>
              </w:rPr>
              <w:t> </w:t>
            </w:r>
            <w:r>
              <w:rPr>
                <w:rFonts w:ascii="宋体" w:hAnsi="宋体" w:cs="宋体" w:eastAsia="宋体" w:hint="default"/>
                <w:spacing w:val="-2"/>
                <w:sz w:val="18"/>
                <w:szCs w:val="18"/>
              </w:rPr>
              <w:t>更用途</w:t>
            </w:r>
            <w:r>
              <w:rPr>
                <w:rFonts w:ascii="宋体" w:hAnsi="宋体" w:cs="宋体" w:eastAsia="宋体" w:hint="default"/>
                <w:w w:val="101"/>
                <w:sz w:val="18"/>
                <w:szCs w:val="18"/>
              </w:rPr>
              <w:t> </w:t>
            </w:r>
            <w:r>
              <w:rPr>
                <w:rFonts w:ascii="宋体" w:hAnsi="宋体" w:cs="宋体" w:eastAsia="宋体" w:hint="default"/>
                <w:spacing w:val="-2"/>
                <w:sz w:val="18"/>
                <w:szCs w:val="18"/>
              </w:rPr>
              <w:t>的募集</w:t>
            </w:r>
            <w:r>
              <w:rPr>
                <w:rFonts w:ascii="宋体" w:hAnsi="宋体" w:cs="宋体" w:eastAsia="宋体" w:hint="default"/>
                <w:w w:val="101"/>
                <w:sz w:val="18"/>
                <w:szCs w:val="18"/>
              </w:rPr>
              <w:t> </w:t>
            </w:r>
            <w:r>
              <w:rPr>
                <w:rFonts w:ascii="宋体" w:hAnsi="宋体" w:cs="宋体" w:eastAsia="宋体" w:hint="default"/>
                <w:spacing w:val="-2"/>
                <w:sz w:val="18"/>
                <w:szCs w:val="18"/>
              </w:rPr>
              <w:t>资金总</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97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4" w:right="113"/>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额比例</w:t>
            </w:r>
          </w:p>
        </w:tc>
        <w:tc>
          <w:tcPr>
            <w:tcW w:w="8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3" w:right="146"/>
              <w:jc w:val="center"/>
              <w:rPr>
                <w:rFonts w:ascii="宋体" w:hAnsi="宋体" w:cs="宋体" w:eastAsia="宋体" w:hint="default"/>
                <w:sz w:val="18"/>
                <w:szCs w:val="18"/>
              </w:rPr>
            </w:pPr>
            <w:r>
              <w:rPr>
                <w:rFonts w:ascii="宋体" w:hAnsi="宋体" w:cs="宋体" w:eastAsia="宋体" w:hint="default"/>
                <w:spacing w:val="-2"/>
                <w:sz w:val="18"/>
                <w:szCs w:val="18"/>
              </w:rPr>
              <w:t>尚未使</w:t>
            </w:r>
            <w:r>
              <w:rPr>
                <w:rFonts w:ascii="宋体" w:hAnsi="宋体" w:cs="宋体" w:eastAsia="宋体" w:hint="default"/>
                <w:w w:val="101"/>
                <w:sz w:val="18"/>
                <w:szCs w:val="18"/>
              </w:rPr>
              <w:t> </w:t>
            </w:r>
            <w:r>
              <w:rPr>
                <w:rFonts w:ascii="宋体" w:hAnsi="宋体" w:cs="宋体" w:eastAsia="宋体" w:hint="default"/>
                <w:spacing w:val="-2"/>
                <w:sz w:val="18"/>
                <w:szCs w:val="18"/>
              </w:rPr>
              <w:t>用募集</w:t>
            </w:r>
            <w:r>
              <w:rPr>
                <w:rFonts w:ascii="宋体" w:hAnsi="宋体" w:cs="宋体" w:eastAsia="宋体" w:hint="default"/>
                <w:w w:val="101"/>
                <w:sz w:val="18"/>
                <w:szCs w:val="18"/>
              </w:rPr>
              <w:t> </w:t>
            </w:r>
            <w:r>
              <w:rPr>
                <w:rFonts w:ascii="宋体" w:hAnsi="宋体" w:cs="宋体" w:eastAsia="宋体" w:hint="default"/>
                <w:spacing w:val="-2"/>
                <w:sz w:val="18"/>
                <w:szCs w:val="18"/>
              </w:rPr>
              <w:t>资金总</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91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87" w:right="175"/>
              <w:jc w:val="center"/>
              <w:rPr>
                <w:rFonts w:ascii="宋体" w:hAnsi="宋体" w:cs="宋体" w:eastAsia="宋体" w:hint="default"/>
                <w:sz w:val="18"/>
                <w:szCs w:val="18"/>
              </w:rPr>
            </w:pPr>
            <w:r>
              <w:rPr>
                <w:rFonts w:ascii="宋体" w:hAnsi="宋体" w:cs="宋体" w:eastAsia="宋体" w:hint="default"/>
                <w:spacing w:val="-2"/>
                <w:sz w:val="18"/>
                <w:szCs w:val="18"/>
              </w:rPr>
              <w:t>尚未使</w:t>
            </w:r>
            <w:r>
              <w:rPr>
                <w:rFonts w:ascii="宋体" w:hAnsi="宋体" w:cs="宋体" w:eastAsia="宋体" w:hint="default"/>
                <w:w w:val="101"/>
                <w:sz w:val="18"/>
                <w:szCs w:val="18"/>
              </w:rPr>
              <w:t> </w:t>
            </w:r>
            <w:r>
              <w:rPr>
                <w:rFonts w:ascii="宋体" w:hAnsi="宋体" w:cs="宋体" w:eastAsia="宋体" w:hint="default"/>
                <w:spacing w:val="-2"/>
                <w:sz w:val="18"/>
                <w:szCs w:val="18"/>
              </w:rPr>
              <w:t>用募集</w:t>
            </w:r>
            <w:r>
              <w:rPr>
                <w:rFonts w:ascii="宋体" w:hAnsi="宋体" w:cs="宋体" w:eastAsia="宋体" w:hint="default"/>
                <w:w w:val="101"/>
                <w:sz w:val="18"/>
                <w:szCs w:val="18"/>
              </w:rPr>
              <w:t> </w:t>
            </w:r>
            <w:r>
              <w:rPr>
                <w:rFonts w:ascii="宋体" w:hAnsi="宋体" w:cs="宋体" w:eastAsia="宋体" w:hint="default"/>
                <w:spacing w:val="-2"/>
                <w:sz w:val="18"/>
                <w:szCs w:val="18"/>
              </w:rPr>
              <w:t>资金用</w:t>
            </w:r>
            <w:r>
              <w:rPr>
                <w:rFonts w:ascii="宋体" w:hAnsi="宋体" w:cs="宋体" w:eastAsia="宋体" w:hint="default"/>
                <w:w w:val="101"/>
                <w:sz w:val="18"/>
                <w:szCs w:val="18"/>
              </w:rPr>
              <w:t> </w:t>
            </w:r>
            <w:r>
              <w:rPr>
                <w:rFonts w:ascii="宋体" w:hAnsi="宋体" w:cs="宋体" w:eastAsia="宋体" w:hint="default"/>
                <w:spacing w:val="-2"/>
                <w:sz w:val="18"/>
                <w:szCs w:val="18"/>
              </w:rPr>
              <w:t>途及去</w:t>
            </w:r>
            <w:r>
              <w:rPr>
                <w:rFonts w:ascii="宋体" w:hAnsi="宋体" w:cs="宋体" w:eastAsia="宋体" w:hint="default"/>
                <w:w w:val="101"/>
                <w:sz w:val="18"/>
                <w:szCs w:val="18"/>
              </w:rPr>
              <w:t> </w:t>
            </w:r>
            <w:r>
              <w:rPr>
                <w:rFonts w:ascii="宋体" w:hAnsi="宋体" w:cs="宋体" w:eastAsia="宋体" w:hint="default"/>
                <w:sz w:val="18"/>
                <w:szCs w:val="18"/>
              </w:rPr>
              <w:t>向</w:t>
            </w:r>
          </w:p>
        </w:tc>
        <w:tc>
          <w:tcPr>
            <w:tcW w:w="89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2" w:right="161"/>
              <w:jc w:val="both"/>
              <w:rPr>
                <w:rFonts w:ascii="宋体" w:hAnsi="宋体" w:cs="宋体" w:eastAsia="宋体" w:hint="default"/>
                <w:sz w:val="18"/>
                <w:szCs w:val="18"/>
              </w:rPr>
            </w:pPr>
            <w:r>
              <w:rPr>
                <w:rFonts w:ascii="宋体" w:hAnsi="宋体" w:cs="宋体" w:eastAsia="宋体" w:hint="default"/>
                <w:sz w:val="18"/>
                <w:szCs w:val="18"/>
              </w:rPr>
              <w:t>闲置两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年以上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金金额</w:t>
            </w:r>
          </w:p>
        </w:tc>
      </w:tr>
      <w:tr>
        <w:trPr>
          <w:trHeight w:val="1027" w:hRule="exact"/>
        </w:trPr>
        <w:tc>
          <w:tcPr>
            <w:tcW w:w="10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pacing w:val="-5"/>
                <w:sz w:val="18"/>
                <w:szCs w:val="18"/>
              </w:rPr>
              <w:t>10</w:t>
            </w:r>
            <w:r>
              <w:rPr>
                <w:rFonts w:ascii="宋体" w:hAnsi="宋体" w:cs="宋体" w:eastAsia="宋体" w:hint="default"/>
                <w:sz w:val="18"/>
                <w:szCs w:val="18"/>
              </w:rPr>
            </w:r>
          </w:p>
          <w:p>
            <w:pPr>
              <w:pStyle w:val="TableParagraph"/>
              <w:spacing w:line="240" w:lineRule="auto" w:before="81"/>
              <w:ind w:left="96" w:right="0"/>
              <w:jc w:val="left"/>
              <w:rPr>
                <w:rFonts w:ascii="宋体" w:hAnsi="宋体" w:cs="宋体" w:eastAsia="宋体" w:hint="default"/>
                <w:sz w:val="18"/>
                <w:szCs w:val="18"/>
              </w:rPr>
            </w:pPr>
            <w:r>
              <w:rPr>
                <w:rFonts w:ascii="宋体" w:hAnsi="宋体" w:cs="宋体" w:eastAsia="宋体" w:hint="default"/>
                <w:w w:val="101"/>
                <w:sz w:val="18"/>
                <w:szCs w:val="18"/>
              </w:rPr>
              <w:t>月</w:t>
            </w:r>
            <w:r>
              <w:rPr>
                <w:rFonts w:ascii="宋体" w:hAnsi="宋体" w:cs="宋体" w:eastAsia="宋体" w:hint="default"/>
                <w:sz w:val="18"/>
                <w:szCs w:val="18"/>
              </w:rPr>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05" w:right="118"/>
              <w:jc w:val="left"/>
              <w:rPr>
                <w:rFonts w:ascii="宋体" w:hAnsi="宋体" w:cs="宋体" w:eastAsia="宋体" w:hint="default"/>
                <w:sz w:val="18"/>
                <w:szCs w:val="18"/>
              </w:rPr>
            </w:pPr>
            <w:r>
              <w:rPr>
                <w:rFonts w:ascii="宋体" w:hAnsi="宋体" w:cs="宋体" w:eastAsia="宋体" w:hint="default"/>
                <w:sz w:val="18"/>
                <w:szCs w:val="18"/>
              </w:rPr>
              <w:t>首次公开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发行股票</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4"/>
              <w:jc w:val="right"/>
              <w:rPr>
                <w:rFonts w:ascii="宋体" w:hAnsi="宋体" w:cs="宋体" w:eastAsia="宋体" w:hint="default"/>
                <w:sz w:val="18"/>
                <w:szCs w:val="18"/>
              </w:rPr>
            </w:pPr>
            <w:r>
              <w:rPr>
                <w:rFonts w:ascii="宋体"/>
                <w:spacing w:val="-1"/>
                <w:sz w:val="18"/>
              </w:rPr>
              <w:t>35,429.12</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w w:val="101"/>
                <w:sz w:val="18"/>
              </w:rPr>
              <w:t>0</w:t>
            </w:r>
            <w:r>
              <w:rPr>
                <w:rFonts w:ascii="宋体"/>
                <w:sz w:val="18"/>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35,404.62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3"/>
              <w:jc w:val="right"/>
              <w:rPr>
                <w:rFonts w:ascii="宋体" w:hAnsi="宋体" w:cs="宋体" w:eastAsia="宋体" w:hint="default"/>
                <w:sz w:val="18"/>
                <w:szCs w:val="18"/>
              </w:rPr>
            </w:pPr>
            <w:r>
              <w:rPr>
                <w:rFonts w:ascii="宋体"/>
                <w:w w:val="101"/>
                <w:sz w:val="18"/>
              </w:rPr>
              <w:t>0</w:t>
            </w:r>
            <w:r>
              <w:rPr>
                <w:rFonts w:ascii="宋体"/>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8"/>
              <w:jc w:val="right"/>
              <w:rPr>
                <w:rFonts w:ascii="宋体" w:hAnsi="宋体" w:cs="宋体" w:eastAsia="宋体" w:hint="default"/>
                <w:sz w:val="18"/>
                <w:szCs w:val="18"/>
              </w:rPr>
            </w:pPr>
            <w:r>
              <w:rPr>
                <w:rFonts w:ascii="宋体"/>
                <w:w w:val="101"/>
                <w:sz w:val="18"/>
              </w:rPr>
              <w:t>0</w:t>
            </w:r>
            <w:r>
              <w:rPr>
                <w:rFonts w:ascii="宋体"/>
                <w:sz w:val="18"/>
              </w:rPr>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4"/>
              <w:jc w:val="right"/>
              <w:rPr>
                <w:rFonts w:ascii="宋体" w:hAnsi="宋体" w:cs="宋体" w:eastAsia="宋体" w:hint="default"/>
                <w:sz w:val="18"/>
                <w:szCs w:val="18"/>
              </w:rPr>
            </w:pPr>
            <w:r>
              <w:rPr>
                <w:rFonts w:ascii="宋体"/>
                <w:sz w:val="18"/>
              </w:rPr>
              <w:t>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5"/>
              <w:jc w:val="right"/>
              <w:rPr>
                <w:rFonts w:ascii="宋体" w:hAnsi="宋体" w:cs="宋体" w:eastAsia="宋体" w:hint="default"/>
                <w:sz w:val="18"/>
                <w:szCs w:val="18"/>
              </w:rPr>
            </w:pPr>
            <w:r>
              <w:rPr>
                <w:rFonts w:ascii="宋体"/>
                <w:sz w:val="18"/>
              </w:rPr>
              <w:t>24.5</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57"/>
              <w:jc w:val="both"/>
              <w:rPr>
                <w:rFonts w:ascii="宋体" w:hAnsi="宋体" w:cs="宋体" w:eastAsia="宋体" w:hint="default"/>
                <w:sz w:val="18"/>
                <w:szCs w:val="18"/>
              </w:rPr>
            </w:pPr>
            <w:r>
              <w:rPr>
                <w:rFonts w:ascii="宋体" w:hAnsi="宋体" w:cs="宋体" w:eastAsia="宋体" w:hint="default"/>
                <w:sz w:val="18"/>
                <w:szCs w:val="18"/>
              </w:rPr>
              <w:t>剩余存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放于专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户</w:t>
            </w:r>
          </w:p>
        </w:tc>
        <w:tc>
          <w:tcPr>
            <w:tcW w:w="8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5"/>
              <w:jc w:val="right"/>
              <w:rPr>
                <w:rFonts w:ascii="宋体" w:hAnsi="宋体" w:cs="宋体" w:eastAsia="宋体" w:hint="default"/>
                <w:sz w:val="18"/>
                <w:szCs w:val="18"/>
              </w:rPr>
            </w:pPr>
            <w:r>
              <w:rPr>
                <w:rFonts w:ascii="宋体"/>
                <w:w w:val="101"/>
                <w:sz w:val="18"/>
              </w:rPr>
              <w:t>0</w:t>
            </w:r>
            <w:r>
              <w:rPr>
                <w:rFonts w:ascii="宋体"/>
                <w:sz w:val="18"/>
              </w:rPr>
            </w:r>
          </w:p>
        </w:tc>
      </w:tr>
      <w:tr>
        <w:trPr>
          <w:trHeight w:val="398" w:hRule="exact"/>
        </w:trPr>
        <w:tc>
          <w:tcPr>
            <w:tcW w:w="102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sz w:val="18"/>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35,429.12</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w w:val="101"/>
                <w:sz w:val="18"/>
              </w:rPr>
              <w:t>0</w:t>
            </w:r>
            <w:r>
              <w:rPr>
                <w:rFonts w:ascii="宋体"/>
                <w:sz w:val="18"/>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35,404.62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w w:val="101"/>
                <w:sz w:val="18"/>
              </w:rPr>
              <w:t>0</w:t>
            </w:r>
            <w:r>
              <w:rPr>
                <w:rFonts w:ascii="宋体"/>
                <w:sz w:val="18"/>
              </w:rPr>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w w:val="101"/>
                <w:sz w:val="18"/>
              </w:rPr>
              <w:t>0</w:t>
            </w:r>
            <w:r>
              <w:rPr>
                <w:rFonts w:ascii="宋体"/>
                <w:sz w:val="18"/>
              </w:rPr>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z w:val="18"/>
              </w:rPr>
              <w:t>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24.5</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sz w:val="18"/>
              </w:rPr>
              <w:t>--</w:t>
            </w:r>
          </w:p>
        </w:tc>
        <w:tc>
          <w:tcPr>
            <w:tcW w:w="89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w w:val="101"/>
                <w:sz w:val="18"/>
              </w:rPr>
              <w:t>0</w:t>
            </w:r>
            <w:r>
              <w:rPr>
                <w:rFonts w:ascii="宋体"/>
                <w:sz w:val="18"/>
              </w:rPr>
            </w:r>
          </w:p>
        </w:tc>
      </w:tr>
      <w:tr>
        <w:trPr>
          <w:trHeight w:val="404" w:hRule="exact"/>
        </w:trPr>
        <w:tc>
          <w:tcPr>
            <w:tcW w:w="10430" w:type="dxa"/>
            <w:gridSpan w:val="11"/>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2405" w:hRule="exact"/>
        </w:trPr>
        <w:tc>
          <w:tcPr>
            <w:tcW w:w="10430" w:type="dxa"/>
            <w:gridSpan w:val="11"/>
            <w:tcBorders>
              <w:top w:val="single" w:sz="4" w:space="0" w:color="000000"/>
              <w:left w:val="single" w:sz="12" w:space="0" w:color="000000"/>
              <w:bottom w:val="single" w:sz="12" w:space="0" w:color="000000"/>
              <w:right w:val="single" w:sz="12" w:space="0" w:color="000000"/>
            </w:tcBorders>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2"/>
                <w:sz w:val="18"/>
                <w:szCs w:val="18"/>
              </w:rPr>
              <w:t> </w:t>
            </w:r>
            <w:r>
              <w:rPr>
                <w:rFonts w:ascii="宋体" w:hAnsi="宋体" w:cs="宋体" w:eastAsia="宋体" w:hint="default"/>
                <w:spacing w:val="-3"/>
                <w:sz w:val="18"/>
                <w:szCs w:val="18"/>
              </w:rPr>
              <w:t>年度，公司未使用募集资金。</w:t>
            </w:r>
          </w:p>
          <w:p>
            <w:pPr>
              <w:pStyle w:val="TableParagraph"/>
              <w:spacing w:line="240" w:lineRule="auto" w:before="115"/>
              <w:ind w:left="96" w:right="0"/>
              <w:jc w:val="left"/>
              <w:rPr>
                <w:rFonts w:ascii="宋体" w:hAnsi="宋体" w:cs="宋体" w:eastAsia="宋体" w:hint="default"/>
                <w:sz w:val="18"/>
                <w:szCs w:val="18"/>
              </w:rPr>
            </w:pPr>
            <w:r>
              <w:rPr>
                <w:rFonts w:ascii="宋体" w:hAnsi="宋体" w:cs="宋体" w:eastAsia="宋体" w:hint="default"/>
                <w:w w:val="101"/>
                <w:sz w:val="18"/>
                <w:szCs w:val="18"/>
              </w:rPr>
              <w:t>截至</w:t>
            </w:r>
            <w:r>
              <w:rPr>
                <w:rFonts w:ascii="宋体" w:hAnsi="宋体" w:cs="宋体" w:eastAsia="宋体" w:hint="default"/>
                <w:spacing w:val="-47"/>
                <w:sz w:val="18"/>
                <w:szCs w:val="18"/>
              </w:rPr>
              <w:t> </w:t>
            </w:r>
            <w:r>
              <w:rPr>
                <w:rFonts w:ascii="宋体" w:hAnsi="宋体" w:cs="宋体" w:eastAsia="宋体" w:hint="default"/>
                <w:w w:val="101"/>
                <w:sz w:val="18"/>
                <w:szCs w:val="18"/>
              </w:rPr>
              <w:t>2019</w:t>
            </w:r>
            <w:r>
              <w:rPr>
                <w:rFonts w:ascii="宋体" w:hAnsi="宋体" w:cs="宋体" w:eastAsia="宋体" w:hint="default"/>
                <w:spacing w:val="-47"/>
                <w:sz w:val="18"/>
                <w:szCs w:val="18"/>
              </w:rPr>
              <w:t> </w:t>
            </w:r>
            <w:r>
              <w:rPr>
                <w:rFonts w:ascii="宋体" w:hAnsi="宋体" w:cs="宋体" w:eastAsia="宋体" w:hint="default"/>
                <w:w w:val="101"/>
                <w:sz w:val="18"/>
                <w:szCs w:val="18"/>
              </w:rPr>
              <w:t>年</w:t>
            </w:r>
            <w:r>
              <w:rPr>
                <w:rFonts w:ascii="宋体" w:hAnsi="宋体" w:cs="宋体" w:eastAsia="宋体" w:hint="default"/>
                <w:spacing w:val="-52"/>
                <w:sz w:val="18"/>
                <w:szCs w:val="18"/>
              </w:rPr>
              <w:t> </w:t>
            </w:r>
            <w:r>
              <w:rPr>
                <w:rFonts w:ascii="宋体" w:hAnsi="宋体" w:cs="宋体" w:eastAsia="宋体" w:hint="default"/>
                <w:w w:val="101"/>
                <w:sz w:val="18"/>
                <w:szCs w:val="18"/>
              </w:rPr>
              <w:t>12</w:t>
            </w:r>
            <w:r>
              <w:rPr>
                <w:rFonts w:ascii="宋体" w:hAnsi="宋体" w:cs="宋体" w:eastAsia="宋体" w:hint="default"/>
                <w:spacing w:val="-47"/>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宋体" w:hAnsi="宋体" w:cs="宋体" w:eastAsia="宋体" w:hint="default"/>
                <w:w w:val="101"/>
                <w:sz w:val="18"/>
                <w:szCs w:val="18"/>
              </w:rPr>
              <w:t>31</w:t>
            </w:r>
            <w:r>
              <w:rPr>
                <w:rFonts w:ascii="宋体" w:hAnsi="宋体" w:cs="宋体" w:eastAsia="宋体" w:hint="default"/>
                <w:spacing w:val="-47"/>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累</w:t>
            </w:r>
            <w:r>
              <w:rPr>
                <w:rFonts w:ascii="宋体" w:hAnsi="宋体" w:cs="宋体" w:eastAsia="宋体" w:hint="default"/>
                <w:w w:val="101"/>
                <w:sz w:val="18"/>
                <w:szCs w:val="18"/>
              </w:rPr>
              <w:t>计</w:t>
            </w:r>
            <w:r>
              <w:rPr>
                <w:rFonts w:ascii="宋体" w:hAnsi="宋体" w:cs="宋体" w:eastAsia="宋体" w:hint="default"/>
                <w:spacing w:val="-5"/>
                <w:w w:val="101"/>
                <w:sz w:val="18"/>
                <w:szCs w:val="18"/>
              </w:rPr>
              <w:t>共</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资金</w:t>
            </w:r>
            <w:r>
              <w:rPr>
                <w:rFonts w:ascii="宋体" w:hAnsi="宋体" w:cs="宋体" w:eastAsia="宋体" w:hint="default"/>
                <w:spacing w:val="-47"/>
                <w:sz w:val="18"/>
                <w:szCs w:val="18"/>
              </w:rPr>
              <w:t> </w:t>
            </w:r>
            <w:r>
              <w:rPr>
                <w:rFonts w:ascii="宋体" w:hAnsi="宋体" w:cs="宋体" w:eastAsia="宋体" w:hint="default"/>
                <w:spacing w:val="-5"/>
                <w:w w:val="101"/>
                <w:sz w:val="18"/>
                <w:szCs w:val="18"/>
              </w:rPr>
              <w:t>3</w:t>
            </w:r>
            <w:r>
              <w:rPr>
                <w:rFonts w:ascii="宋体" w:hAnsi="宋体" w:cs="宋体" w:eastAsia="宋体" w:hint="default"/>
                <w:w w:val="101"/>
                <w:sz w:val="18"/>
                <w:szCs w:val="18"/>
              </w:rPr>
              <w:t>6,9</w:t>
            </w:r>
            <w:r>
              <w:rPr>
                <w:rFonts w:ascii="宋体" w:hAnsi="宋体" w:cs="宋体" w:eastAsia="宋体" w:hint="default"/>
                <w:spacing w:val="-5"/>
                <w:w w:val="101"/>
                <w:sz w:val="18"/>
                <w:szCs w:val="18"/>
              </w:rPr>
              <w:t>8</w:t>
            </w:r>
            <w:r>
              <w:rPr>
                <w:rFonts w:ascii="宋体" w:hAnsi="宋体" w:cs="宋体" w:eastAsia="宋体" w:hint="default"/>
                <w:w w:val="101"/>
                <w:sz w:val="18"/>
                <w:szCs w:val="18"/>
              </w:rPr>
              <w:t>2.</w:t>
            </w:r>
            <w:r>
              <w:rPr>
                <w:rFonts w:ascii="宋体" w:hAnsi="宋体" w:cs="宋体" w:eastAsia="宋体" w:hint="default"/>
                <w:spacing w:val="-5"/>
                <w:w w:val="101"/>
                <w:sz w:val="18"/>
                <w:szCs w:val="18"/>
              </w:rPr>
              <w:t>8</w:t>
            </w:r>
            <w:r>
              <w:rPr>
                <w:rFonts w:ascii="宋体" w:hAnsi="宋体" w:cs="宋体" w:eastAsia="宋体" w:hint="default"/>
                <w:w w:val="101"/>
                <w:sz w:val="18"/>
                <w:szCs w:val="18"/>
              </w:rPr>
              <w:t>7</w:t>
            </w:r>
            <w:r>
              <w:rPr>
                <w:rFonts w:ascii="宋体" w:hAnsi="宋体" w:cs="宋体" w:eastAsia="宋体" w:hint="default"/>
                <w:spacing w:val="-47"/>
                <w:sz w:val="18"/>
                <w:szCs w:val="18"/>
              </w:rPr>
              <w:t> </w:t>
            </w:r>
            <w:r>
              <w:rPr>
                <w:rFonts w:ascii="宋体" w:hAnsi="宋体" w:cs="宋体" w:eastAsia="宋体" w:hint="default"/>
                <w:w w:val="101"/>
                <w:sz w:val="18"/>
                <w:szCs w:val="18"/>
              </w:rPr>
              <w:t>万元</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利</w:t>
            </w:r>
            <w:r>
              <w:rPr>
                <w:rFonts w:ascii="宋体" w:hAnsi="宋体" w:cs="宋体" w:eastAsia="宋体" w:hint="default"/>
                <w:w w:val="101"/>
                <w:sz w:val="18"/>
                <w:szCs w:val="18"/>
              </w:rPr>
              <w:t>息</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其</w:t>
            </w:r>
            <w:r>
              <w:rPr>
                <w:rFonts w:ascii="宋体" w:hAnsi="宋体" w:cs="宋体" w:eastAsia="宋体" w:hint="default"/>
                <w:w w:val="101"/>
                <w:sz w:val="18"/>
                <w:szCs w:val="18"/>
              </w:rPr>
              <w:t>中</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电</w:t>
            </w:r>
            <w:r>
              <w:rPr>
                <w:rFonts w:ascii="宋体" w:hAnsi="宋体" w:cs="宋体" w:eastAsia="宋体" w:hint="default"/>
                <w:spacing w:val="-5"/>
                <w:w w:val="101"/>
                <w:sz w:val="18"/>
                <w:szCs w:val="18"/>
              </w:rPr>
              <w:t>力</w:t>
            </w:r>
            <w:r>
              <w:rPr>
                <w:rFonts w:ascii="宋体" w:hAnsi="宋体" w:cs="宋体" w:eastAsia="宋体" w:hint="default"/>
                <w:w w:val="101"/>
                <w:sz w:val="18"/>
                <w:szCs w:val="18"/>
              </w:rPr>
              <w:t>用</w:t>
            </w:r>
            <w:r>
              <w:rPr>
                <w:rFonts w:ascii="宋体" w:hAnsi="宋体" w:cs="宋体" w:eastAsia="宋体" w:hint="default"/>
                <w:spacing w:val="-5"/>
                <w:w w:val="101"/>
                <w:sz w:val="18"/>
                <w:szCs w:val="18"/>
              </w:rPr>
              <w:t>户</w:t>
            </w:r>
            <w:r>
              <w:rPr>
                <w:rFonts w:ascii="宋体" w:hAnsi="宋体" w:cs="宋体" w:eastAsia="宋体" w:hint="default"/>
                <w:w w:val="101"/>
                <w:sz w:val="18"/>
                <w:szCs w:val="18"/>
              </w:rPr>
              <w:t>用</w:t>
            </w:r>
            <w:r>
              <w:rPr>
                <w:rFonts w:ascii="宋体" w:hAnsi="宋体" w:cs="宋体" w:eastAsia="宋体" w:hint="default"/>
                <w:spacing w:val="-5"/>
                <w:w w:val="101"/>
                <w:sz w:val="18"/>
                <w:szCs w:val="18"/>
              </w:rPr>
              <w:t>电</w:t>
            </w:r>
            <w:r>
              <w:rPr>
                <w:rFonts w:ascii="宋体" w:hAnsi="宋体" w:cs="宋体" w:eastAsia="宋体" w:hint="default"/>
                <w:w w:val="101"/>
                <w:sz w:val="18"/>
                <w:szCs w:val="18"/>
              </w:rPr>
              <w:t>信</w:t>
            </w:r>
            <w:r>
              <w:rPr>
                <w:rFonts w:ascii="宋体" w:hAnsi="宋体" w:cs="宋体" w:eastAsia="宋体" w:hint="default"/>
                <w:spacing w:val="-5"/>
                <w:w w:val="101"/>
                <w:sz w:val="18"/>
                <w:szCs w:val="18"/>
              </w:rPr>
              <w:t>息采</w:t>
            </w:r>
            <w:r>
              <w:rPr>
                <w:rFonts w:ascii="宋体" w:hAnsi="宋体" w:cs="宋体" w:eastAsia="宋体" w:hint="default"/>
                <w:w w:val="101"/>
                <w:sz w:val="18"/>
                <w:szCs w:val="18"/>
              </w:rPr>
              <w:t>集</w:t>
            </w:r>
            <w:r>
              <w:rPr>
                <w:rFonts w:ascii="宋体" w:hAnsi="宋体" w:cs="宋体" w:eastAsia="宋体" w:hint="default"/>
                <w:spacing w:val="-5"/>
                <w:w w:val="101"/>
                <w:sz w:val="18"/>
                <w:szCs w:val="18"/>
              </w:rPr>
              <w:t>系</w:t>
            </w:r>
            <w:r>
              <w:rPr>
                <w:rFonts w:ascii="宋体" w:hAnsi="宋体" w:cs="宋体" w:eastAsia="宋体" w:hint="default"/>
                <w:w w:val="101"/>
                <w:sz w:val="18"/>
                <w:szCs w:val="18"/>
              </w:rPr>
              <w:t>统</w:t>
            </w:r>
            <w:r>
              <w:rPr>
                <w:rFonts w:ascii="宋体" w:hAnsi="宋体" w:cs="宋体" w:eastAsia="宋体" w:hint="default"/>
                <w:spacing w:val="-5"/>
                <w:w w:val="101"/>
                <w:sz w:val="18"/>
                <w:szCs w:val="18"/>
              </w:rPr>
              <w:t>产</w:t>
            </w:r>
            <w:r>
              <w:rPr>
                <w:rFonts w:ascii="宋体" w:hAnsi="宋体" w:cs="宋体" w:eastAsia="宋体" w:hint="default"/>
                <w:w w:val="101"/>
                <w:sz w:val="18"/>
                <w:szCs w:val="18"/>
              </w:rPr>
              <w:t>能</w:t>
            </w:r>
            <w:r>
              <w:rPr>
                <w:rFonts w:ascii="宋体" w:hAnsi="宋体" w:cs="宋体" w:eastAsia="宋体" w:hint="default"/>
                <w:spacing w:val="-5"/>
                <w:w w:val="101"/>
                <w:sz w:val="18"/>
                <w:szCs w:val="18"/>
              </w:rPr>
              <w:t>扩</w:t>
            </w:r>
            <w:r>
              <w:rPr>
                <w:rFonts w:ascii="宋体" w:hAnsi="宋体" w:cs="宋体" w:eastAsia="宋体" w:hint="default"/>
                <w:w w:val="101"/>
                <w:sz w:val="18"/>
                <w:szCs w:val="18"/>
              </w:rPr>
              <w:t>大</w:t>
            </w:r>
            <w:r>
              <w:rPr>
                <w:rFonts w:ascii="宋体" w:hAnsi="宋体" w:cs="宋体" w:eastAsia="宋体" w:hint="default"/>
                <w:spacing w:val="-5"/>
                <w:w w:val="101"/>
                <w:sz w:val="18"/>
                <w:szCs w:val="18"/>
              </w:rPr>
              <w:t>建</w:t>
            </w:r>
            <w:r>
              <w:rPr>
                <w:rFonts w:ascii="宋体" w:hAnsi="宋体" w:cs="宋体" w:eastAsia="宋体" w:hint="default"/>
                <w:w w:val="101"/>
                <w:sz w:val="18"/>
                <w:szCs w:val="18"/>
              </w:rPr>
              <w:t>设</w:t>
            </w:r>
            <w:r>
              <w:rPr>
                <w:rFonts w:ascii="宋体" w:hAnsi="宋体" w:cs="宋体" w:eastAsia="宋体" w:hint="default"/>
                <w:sz w:val="18"/>
                <w:szCs w:val="18"/>
              </w:rPr>
            </w:r>
          </w:p>
          <w:p>
            <w:pPr>
              <w:pStyle w:val="TableParagraph"/>
              <w:spacing w:line="240" w:lineRule="auto" w:before="76"/>
              <w:ind w:left="96" w:right="0"/>
              <w:jc w:val="left"/>
              <w:rPr>
                <w:rFonts w:ascii="宋体" w:hAnsi="宋体" w:cs="宋体" w:eastAsia="宋体" w:hint="default"/>
                <w:sz w:val="18"/>
                <w:szCs w:val="18"/>
              </w:rPr>
            </w:pPr>
            <w:r>
              <w:rPr>
                <w:rFonts w:ascii="宋体" w:hAnsi="宋体" w:cs="宋体" w:eastAsia="宋体" w:hint="default"/>
                <w:spacing w:val="-6"/>
                <w:sz w:val="18"/>
                <w:szCs w:val="18"/>
              </w:rPr>
              <w:t>项目”累计投入</w:t>
            </w:r>
            <w:r>
              <w:rPr>
                <w:rFonts w:ascii="宋体" w:hAnsi="宋体" w:cs="宋体" w:eastAsia="宋体" w:hint="default"/>
                <w:spacing w:val="-39"/>
                <w:sz w:val="18"/>
                <w:szCs w:val="18"/>
              </w:rPr>
              <w:t> </w:t>
            </w:r>
            <w:r>
              <w:rPr>
                <w:rFonts w:ascii="宋体" w:hAnsi="宋体" w:cs="宋体" w:eastAsia="宋体" w:hint="default"/>
                <w:sz w:val="18"/>
                <w:szCs w:val="18"/>
              </w:rPr>
              <w:t>12,205.73</w:t>
            </w:r>
            <w:r>
              <w:rPr>
                <w:rFonts w:ascii="宋体" w:hAnsi="宋体" w:cs="宋体" w:eastAsia="宋体" w:hint="default"/>
                <w:spacing w:val="-39"/>
                <w:sz w:val="18"/>
                <w:szCs w:val="18"/>
              </w:rPr>
              <w:t> </w:t>
            </w:r>
            <w:r>
              <w:rPr>
                <w:rFonts w:ascii="宋体" w:hAnsi="宋体" w:cs="宋体" w:eastAsia="宋体" w:hint="default"/>
                <w:spacing w:val="-4"/>
                <w:sz w:val="18"/>
                <w:szCs w:val="18"/>
              </w:rPr>
              <w:t>万元，结余募集资金永久性补充流动资金</w:t>
            </w:r>
            <w:r>
              <w:rPr>
                <w:rFonts w:ascii="宋体" w:hAnsi="宋体" w:cs="宋体" w:eastAsia="宋体" w:hint="default"/>
                <w:spacing w:val="-38"/>
                <w:sz w:val="18"/>
                <w:szCs w:val="18"/>
              </w:rPr>
              <w:t> </w:t>
            </w:r>
            <w:r>
              <w:rPr>
                <w:rFonts w:ascii="宋体" w:hAnsi="宋体" w:cs="宋体" w:eastAsia="宋体" w:hint="default"/>
                <w:sz w:val="18"/>
                <w:szCs w:val="18"/>
              </w:rPr>
              <w:t>3,898.63</w:t>
            </w:r>
            <w:r>
              <w:rPr>
                <w:rFonts w:ascii="宋体" w:hAnsi="宋体" w:cs="宋体" w:eastAsia="宋体" w:hint="default"/>
                <w:spacing w:val="-39"/>
                <w:sz w:val="18"/>
                <w:szCs w:val="18"/>
              </w:rPr>
              <w:t> </w:t>
            </w:r>
            <w:r>
              <w:rPr>
                <w:rFonts w:ascii="宋体" w:hAnsi="宋体" w:cs="宋体" w:eastAsia="宋体" w:hint="default"/>
                <w:spacing w:val="-10"/>
                <w:sz w:val="18"/>
                <w:szCs w:val="18"/>
              </w:rPr>
              <w:t>万元（其中：本金</w:t>
            </w:r>
            <w:r>
              <w:rPr>
                <w:rFonts w:ascii="宋体" w:hAnsi="宋体" w:cs="宋体" w:eastAsia="宋体" w:hint="default"/>
                <w:spacing w:val="19"/>
                <w:sz w:val="18"/>
                <w:szCs w:val="18"/>
              </w:rPr>
              <w:t> </w:t>
            </w:r>
            <w:r>
              <w:rPr>
                <w:rFonts w:ascii="宋体" w:hAnsi="宋体" w:cs="宋体" w:eastAsia="宋体" w:hint="default"/>
                <w:sz w:val="18"/>
                <w:szCs w:val="18"/>
              </w:rPr>
              <w:t>3,069.78</w:t>
            </w:r>
            <w:r>
              <w:rPr>
                <w:rFonts w:ascii="宋体" w:hAnsi="宋体" w:cs="宋体" w:eastAsia="宋体" w:hint="default"/>
                <w:spacing w:val="12"/>
                <w:sz w:val="18"/>
                <w:szCs w:val="18"/>
              </w:rPr>
              <w:t> </w:t>
            </w:r>
            <w:r>
              <w:rPr>
                <w:rFonts w:ascii="宋体" w:hAnsi="宋体" w:cs="宋体" w:eastAsia="宋体" w:hint="default"/>
                <w:spacing w:val="-8"/>
                <w:sz w:val="18"/>
                <w:szCs w:val="18"/>
              </w:rPr>
              <w:t>万元、利息</w:t>
            </w:r>
            <w:r>
              <w:rPr>
                <w:rFonts w:ascii="宋体" w:hAnsi="宋体" w:cs="宋体" w:eastAsia="宋体" w:hint="default"/>
                <w:spacing w:val="18"/>
                <w:sz w:val="18"/>
                <w:szCs w:val="18"/>
              </w:rPr>
              <w:t> </w:t>
            </w:r>
            <w:r>
              <w:rPr>
                <w:rFonts w:ascii="宋体" w:hAnsi="宋体" w:cs="宋体" w:eastAsia="宋体" w:hint="default"/>
                <w:sz w:val="18"/>
                <w:szCs w:val="18"/>
              </w:rPr>
              <w:t>828.85</w:t>
            </w:r>
            <w:r>
              <w:rPr>
                <w:rFonts w:ascii="宋体" w:hAnsi="宋体" w:cs="宋体" w:eastAsia="宋体" w:hint="default"/>
                <w:spacing w:val="12"/>
                <w:sz w:val="18"/>
                <w:szCs w:val="18"/>
              </w:rPr>
              <w:t> </w:t>
            </w:r>
            <w:r>
              <w:rPr>
                <w:rFonts w:ascii="宋体" w:hAnsi="宋体" w:cs="宋体" w:eastAsia="宋体" w:hint="default"/>
                <w:sz w:val="18"/>
                <w:szCs w:val="18"/>
              </w:rPr>
              <w:t>万</w:t>
            </w:r>
          </w:p>
          <w:p>
            <w:pPr>
              <w:pStyle w:val="TableParagraph"/>
              <w:spacing w:line="240" w:lineRule="auto" w:before="76"/>
              <w:ind w:left="96" w:right="0"/>
              <w:jc w:val="left"/>
              <w:rPr>
                <w:rFonts w:ascii="宋体" w:hAnsi="宋体" w:cs="宋体" w:eastAsia="宋体" w:hint="default"/>
                <w:sz w:val="18"/>
                <w:szCs w:val="18"/>
              </w:rPr>
            </w:pPr>
            <w:r>
              <w:rPr>
                <w:rFonts w:ascii="宋体" w:hAnsi="宋体" w:cs="宋体" w:eastAsia="宋体" w:hint="default"/>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研</w:t>
            </w:r>
            <w:r>
              <w:rPr>
                <w:rFonts w:ascii="宋体" w:hAnsi="宋体" w:cs="宋体" w:eastAsia="宋体" w:hint="default"/>
                <w:w w:val="101"/>
                <w:sz w:val="18"/>
                <w:szCs w:val="18"/>
              </w:rPr>
              <w:t>发</w:t>
            </w:r>
            <w:r>
              <w:rPr>
                <w:rFonts w:ascii="宋体" w:hAnsi="宋体" w:cs="宋体" w:eastAsia="宋体" w:hint="default"/>
                <w:spacing w:val="-5"/>
                <w:w w:val="101"/>
                <w:sz w:val="18"/>
                <w:szCs w:val="18"/>
              </w:rPr>
              <w:t>中</w:t>
            </w:r>
            <w:r>
              <w:rPr>
                <w:rFonts w:ascii="宋体" w:hAnsi="宋体" w:cs="宋体" w:eastAsia="宋体" w:hint="default"/>
                <w:w w:val="101"/>
                <w:sz w:val="18"/>
                <w:szCs w:val="18"/>
              </w:rPr>
              <w:t>心</w:t>
            </w:r>
            <w:r>
              <w:rPr>
                <w:rFonts w:ascii="宋体" w:hAnsi="宋体" w:cs="宋体" w:eastAsia="宋体" w:hint="default"/>
                <w:spacing w:val="-5"/>
                <w:w w:val="101"/>
                <w:sz w:val="18"/>
                <w:szCs w:val="18"/>
              </w:rPr>
              <w:t>建</w:t>
            </w:r>
            <w:r>
              <w:rPr>
                <w:rFonts w:ascii="宋体" w:hAnsi="宋体" w:cs="宋体" w:eastAsia="宋体" w:hint="default"/>
                <w:w w:val="101"/>
                <w:sz w:val="18"/>
                <w:szCs w:val="18"/>
              </w:rPr>
              <w:t>设</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w:t>
            </w:r>
            <w:r>
              <w:rPr>
                <w:rFonts w:ascii="宋体" w:hAnsi="宋体" w:cs="宋体" w:eastAsia="宋体" w:hint="default"/>
                <w:w w:val="101"/>
                <w:sz w:val="18"/>
                <w:szCs w:val="18"/>
              </w:rPr>
              <w:t>累</w:t>
            </w:r>
            <w:r>
              <w:rPr>
                <w:rFonts w:ascii="宋体" w:hAnsi="宋体" w:cs="宋体" w:eastAsia="宋体" w:hint="default"/>
                <w:spacing w:val="-5"/>
                <w:w w:val="101"/>
                <w:sz w:val="18"/>
                <w:szCs w:val="18"/>
              </w:rPr>
              <w:t>计</w:t>
            </w:r>
            <w:r>
              <w:rPr>
                <w:rFonts w:ascii="宋体" w:hAnsi="宋体" w:cs="宋体" w:eastAsia="宋体" w:hint="default"/>
                <w:w w:val="101"/>
                <w:sz w:val="18"/>
                <w:szCs w:val="18"/>
              </w:rPr>
              <w:t>投入</w:t>
            </w:r>
            <w:r>
              <w:rPr>
                <w:rFonts w:ascii="宋体" w:hAnsi="宋体" w:cs="宋体" w:eastAsia="宋体" w:hint="default"/>
                <w:spacing w:val="-47"/>
                <w:sz w:val="18"/>
                <w:szCs w:val="18"/>
              </w:rPr>
              <w:t> </w:t>
            </w:r>
            <w:r>
              <w:rPr>
                <w:rFonts w:ascii="宋体" w:hAnsi="宋体" w:cs="宋体" w:eastAsia="宋体" w:hint="default"/>
                <w:w w:val="101"/>
                <w:sz w:val="18"/>
                <w:szCs w:val="18"/>
              </w:rPr>
              <w:t>3,</w:t>
            </w:r>
            <w:r>
              <w:rPr>
                <w:rFonts w:ascii="宋体" w:hAnsi="宋体" w:cs="宋体" w:eastAsia="宋体" w:hint="default"/>
                <w:spacing w:val="-5"/>
                <w:w w:val="101"/>
                <w:sz w:val="18"/>
                <w:szCs w:val="18"/>
              </w:rPr>
              <w:t>9</w:t>
            </w:r>
            <w:r>
              <w:rPr>
                <w:rFonts w:ascii="宋体" w:hAnsi="宋体" w:cs="宋体" w:eastAsia="宋体" w:hint="default"/>
                <w:w w:val="101"/>
                <w:sz w:val="18"/>
                <w:szCs w:val="18"/>
              </w:rPr>
              <w:t>02.94</w:t>
            </w:r>
            <w:r>
              <w:rPr>
                <w:rFonts w:ascii="宋体" w:hAnsi="宋体" w:cs="宋体" w:eastAsia="宋体" w:hint="default"/>
                <w:spacing w:val="-52"/>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pacing w:val="-5"/>
                <w:w w:val="101"/>
                <w:sz w:val="18"/>
                <w:szCs w:val="18"/>
              </w:rPr>
              <w:t>结</w:t>
            </w:r>
            <w:r>
              <w:rPr>
                <w:rFonts w:ascii="宋体" w:hAnsi="宋体" w:cs="宋体" w:eastAsia="宋体" w:hint="default"/>
                <w:w w:val="101"/>
                <w:sz w:val="18"/>
                <w:szCs w:val="18"/>
              </w:rPr>
              <w:t>余</w:t>
            </w:r>
            <w:r>
              <w:rPr>
                <w:rFonts w:ascii="宋体" w:hAnsi="宋体" w:cs="宋体" w:eastAsia="宋体" w:hint="default"/>
                <w:spacing w:val="-5"/>
                <w:w w:val="101"/>
                <w:sz w:val="18"/>
                <w:szCs w:val="18"/>
              </w:rPr>
              <w:t>募集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永</w:t>
            </w:r>
            <w:r>
              <w:rPr>
                <w:rFonts w:ascii="宋体" w:hAnsi="宋体" w:cs="宋体" w:eastAsia="宋体" w:hint="default"/>
                <w:spacing w:val="-5"/>
                <w:w w:val="101"/>
                <w:sz w:val="18"/>
                <w:szCs w:val="18"/>
              </w:rPr>
              <w:t>久</w:t>
            </w:r>
            <w:r>
              <w:rPr>
                <w:rFonts w:ascii="宋体" w:hAnsi="宋体" w:cs="宋体" w:eastAsia="宋体" w:hint="default"/>
                <w:w w:val="101"/>
                <w:sz w:val="18"/>
                <w:szCs w:val="18"/>
              </w:rPr>
              <w:t>性</w:t>
            </w:r>
            <w:r>
              <w:rPr>
                <w:rFonts w:ascii="宋体" w:hAnsi="宋体" w:cs="宋体" w:eastAsia="宋体" w:hint="default"/>
                <w:spacing w:val="-5"/>
                <w:w w:val="101"/>
                <w:sz w:val="18"/>
                <w:szCs w:val="18"/>
              </w:rPr>
              <w:t>补</w:t>
            </w:r>
            <w:r>
              <w:rPr>
                <w:rFonts w:ascii="宋体" w:hAnsi="宋体" w:cs="宋体" w:eastAsia="宋体" w:hint="default"/>
                <w:w w:val="101"/>
                <w:sz w:val="18"/>
                <w:szCs w:val="18"/>
              </w:rPr>
              <w:t>充</w:t>
            </w:r>
            <w:r>
              <w:rPr>
                <w:rFonts w:ascii="宋体" w:hAnsi="宋体" w:cs="宋体" w:eastAsia="宋体" w:hint="default"/>
                <w:spacing w:val="-5"/>
                <w:w w:val="101"/>
                <w:sz w:val="18"/>
                <w:szCs w:val="18"/>
              </w:rPr>
              <w:t>流</w:t>
            </w:r>
            <w:r>
              <w:rPr>
                <w:rFonts w:ascii="宋体" w:hAnsi="宋体" w:cs="宋体" w:eastAsia="宋体" w:hint="default"/>
                <w:w w:val="101"/>
                <w:sz w:val="18"/>
                <w:szCs w:val="18"/>
              </w:rPr>
              <w:t>动资金</w:t>
            </w:r>
            <w:r>
              <w:rPr>
                <w:rFonts w:ascii="宋体" w:hAnsi="宋体" w:cs="宋体" w:eastAsia="宋体" w:hint="default"/>
                <w:spacing w:val="-47"/>
                <w:sz w:val="18"/>
                <w:szCs w:val="18"/>
              </w:rPr>
              <w:t> </w:t>
            </w:r>
            <w:r>
              <w:rPr>
                <w:rFonts w:ascii="宋体" w:hAnsi="宋体" w:cs="宋体" w:eastAsia="宋体" w:hint="default"/>
                <w:spacing w:val="-5"/>
                <w:w w:val="101"/>
                <w:sz w:val="18"/>
                <w:szCs w:val="18"/>
              </w:rPr>
              <w:t>1</w:t>
            </w:r>
            <w:r>
              <w:rPr>
                <w:rFonts w:ascii="宋体" w:hAnsi="宋体" w:cs="宋体" w:eastAsia="宋体" w:hint="default"/>
                <w:w w:val="101"/>
                <w:sz w:val="18"/>
                <w:szCs w:val="18"/>
              </w:rPr>
              <w:t>,42</w:t>
            </w:r>
            <w:r>
              <w:rPr>
                <w:rFonts w:ascii="宋体" w:hAnsi="宋体" w:cs="宋体" w:eastAsia="宋体" w:hint="default"/>
                <w:spacing w:val="-5"/>
                <w:w w:val="101"/>
                <w:sz w:val="18"/>
                <w:szCs w:val="18"/>
              </w:rPr>
              <w:t>8</w:t>
            </w:r>
            <w:r>
              <w:rPr>
                <w:rFonts w:ascii="宋体" w:hAnsi="宋体" w:cs="宋体" w:eastAsia="宋体" w:hint="default"/>
                <w:w w:val="101"/>
                <w:sz w:val="18"/>
                <w:szCs w:val="18"/>
              </w:rPr>
              <w:t>.95</w:t>
            </w:r>
            <w:r>
              <w:rPr>
                <w:rFonts w:ascii="宋体" w:hAnsi="宋体" w:cs="宋体" w:eastAsia="宋体" w:hint="default"/>
                <w:spacing w:val="-47"/>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超</w:t>
            </w:r>
            <w:r>
              <w:rPr>
                <w:rFonts w:ascii="宋体" w:hAnsi="宋体" w:cs="宋体" w:eastAsia="宋体" w:hint="default"/>
                <w:spacing w:val="-5"/>
                <w:w w:val="101"/>
                <w:sz w:val="18"/>
                <w:szCs w:val="18"/>
              </w:rPr>
              <w:t>募</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使用</w:t>
            </w:r>
            <w:r>
              <w:rPr>
                <w:rFonts w:ascii="宋体" w:hAnsi="宋体" w:cs="宋体" w:eastAsia="宋体" w:hint="default"/>
                <w:spacing w:val="-47"/>
                <w:sz w:val="18"/>
                <w:szCs w:val="18"/>
              </w:rPr>
              <w:t> </w:t>
            </w:r>
            <w:r>
              <w:rPr>
                <w:rFonts w:ascii="宋体" w:hAnsi="宋体" w:cs="宋体" w:eastAsia="宋体" w:hint="default"/>
                <w:spacing w:val="-5"/>
                <w:w w:val="101"/>
                <w:sz w:val="18"/>
                <w:szCs w:val="18"/>
              </w:rPr>
              <w:t>1</w:t>
            </w:r>
            <w:r>
              <w:rPr>
                <w:rFonts w:ascii="宋体" w:hAnsi="宋体" w:cs="宋体" w:eastAsia="宋体" w:hint="default"/>
                <w:w w:val="101"/>
                <w:sz w:val="18"/>
                <w:szCs w:val="18"/>
              </w:rPr>
              <w:t>5,5</w:t>
            </w:r>
            <w:r>
              <w:rPr>
                <w:rFonts w:ascii="宋体" w:hAnsi="宋体" w:cs="宋体" w:eastAsia="宋体" w:hint="default"/>
                <w:spacing w:val="-5"/>
                <w:w w:val="101"/>
                <w:sz w:val="18"/>
                <w:szCs w:val="18"/>
              </w:rPr>
              <w:t>4</w:t>
            </w:r>
            <w:r>
              <w:rPr>
                <w:rFonts w:ascii="宋体" w:hAnsi="宋体" w:cs="宋体" w:eastAsia="宋体" w:hint="default"/>
                <w:w w:val="101"/>
                <w:sz w:val="18"/>
                <w:szCs w:val="18"/>
              </w:rPr>
              <w:t>6.62</w:t>
            </w:r>
            <w:r>
              <w:rPr>
                <w:rFonts w:ascii="宋体" w:hAnsi="宋体" w:cs="宋体" w:eastAsia="宋体" w:hint="default"/>
                <w:sz w:val="18"/>
                <w:szCs w:val="18"/>
              </w:rPr>
            </w:r>
          </w:p>
          <w:p>
            <w:pPr>
              <w:pStyle w:val="TableParagraph"/>
              <w:spacing w:line="240" w:lineRule="auto" w:before="81"/>
              <w:ind w:left="96" w:right="0"/>
              <w:jc w:val="left"/>
              <w:rPr>
                <w:rFonts w:ascii="宋体" w:hAnsi="宋体" w:cs="宋体" w:eastAsia="宋体" w:hint="default"/>
                <w:sz w:val="18"/>
                <w:szCs w:val="18"/>
              </w:rPr>
            </w:pP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pacing w:val="-5"/>
                <w:w w:val="101"/>
                <w:sz w:val="18"/>
                <w:szCs w:val="18"/>
              </w:rPr>
              <w:t>其</w:t>
            </w:r>
            <w:r>
              <w:rPr>
                <w:rFonts w:ascii="宋体" w:hAnsi="宋体" w:cs="宋体" w:eastAsia="宋体" w:hint="default"/>
                <w:w w:val="101"/>
                <w:sz w:val="18"/>
                <w:szCs w:val="18"/>
              </w:rPr>
              <w:t>中</w:t>
            </w:r>
            <w:r>
              <w:rPr>
                <w:rFonts w:ascii="宋体" w:hAnsi="宋体" w:cs="宋体" w:eastAsia="宋体" w:hint="default"/>
                <w:spacing w:val="-5"/>
                <w:w w:val="101"/>
                <w:sz w:val="18"/>
                <w:szCs w:val="18"/>
              </w:rPr>
              <w:t>：</w:t>
            </w:r>
            <w:r>
              <w:rPr>
                <w:rFonts w:ascii="宋体" w:hAnsi="宋体" w:cs="宋体" w:eastAsia="宋体" w:hint="default"/>
                <w:w w:val="101"/>
                <w:sz w:val="18"/>
                <w:szCs w:val="18"/>
              </w:rPr>
              <w:t>永</w:t>
            </w:r>
            <w:r>
              <w:rPr>
                <w:rFonts w:ascii="宋体" w:hAnsi="宋体" w:cs="宋体" w:eastAsia="宋体" w:hint="default"/>
                <w:spacing w:val="-5"/>
                <w:w w:val="101"/>
                <w:sz w:val="18"/>
                <w:szCs w:val="18"/>
              </w:rPr>
              <w:t>久</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流</w:t>
            </w:r>
            <w:r>
              <w:rPr>
                <w:rFonts w:ascii="宋体" w:hAnsi="宋体" w:cs="宋体" w:eastAsia="宋体" w:hint="default"/>
                <w:spacing w:val="-5"/>
                <w:w w:val="101"/>
                <w:sz w:val="18"/>
                <w:szCs w:val="18"/>
              </w:rPr>
              <w:t>动</w:t>
            </w:r>
            <w:r>
              <w:rPr>
                <w:rFonts w:ascii="宋体" w:hAnsi="宋体" w:cs="宋体" w:eastAsia="宋体" w:hint="default"/>
                <w:w w:val="101"/>
                <w:sz w:val="18"/>
                <w:szCs w:val="18"/>
              </w:rPr>
              <w:t>资金</w:t>
            </w:r>
            <w:r>
              <w:rPr>
                <w:rFonts w:ascii="宋体" w:hAnsi="宋体" w:cs="宋体" w:eastAsia="宋体" w:hint="default"/>
                <w:spacing w:val="-47"/>
                <w:sz w:val="18"/>
                <w:szCs w:val="18"/>
              </w:rPr>
              <w:t> </w:t>
            </w:r>
            <w:r>
              <w:rPr>
                <w:rFonts w:ascii="宋体" w:hAnsi="宋体" w:cs="宋体" w:eastAsia="宋体" w:hint="default"/>
                <w:w w:val="101"/>
                <w:sz w:val="18"/>
                <w:szCs w:val="18"/>
              </w:rPr>
              <w:t>8,</w:t>
            </w:r>
            <w:r>
              <w:rPr>
                <w:rFonts w:ascii="宋体" w:hAnsi="宋体" w:cs="宋体" w:eastAsia="宋体" w:hint="default"/>
                <w:spacing w:val="-5"/>
                <w:w w:val="101"/>
                <w:sz w:val="18"/>
                <w:szCs w:val="18"/>
              </w:rPr>
              <w:t>2</w:t>
            </w:r>
            <w:r>
              <w:rPr>
                <w:rFonts w:ascii="宋体" w:hAnsi="宋体" w:cs="宋体" w:eastAsia="宋体" w:hint="default"/>
                <w:w w:val="101"/>
                <w:sz w:val="18"/>
                <w:szCs w:val="18"/>
              </w:rPr>
              <w:t>50.37</w:t>
            </w:r>
            <w:r>
              <w:rPr>
                <w:rFonts w:ascii="宋体" w:hAnsi="宋体" w:cs="宋体" w:eastAsia="宋体" w:hint="default"/>
                <w:spacing w:val="-52"/>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pacing w:val="-5"/>
                <w:w w:val="101"/>
                <w:sz w:val="18"/>
                <w:szCs w:val="18"/>
              </w:rPr>
              <w:t>收</w:t>
            </w:r>
            <w:r>
              <w:rPr>
                <w:rFonts w:ascii="宋体" w:hAnsi="宋体" w:cs="宋体" w:eastAsia="宋体" w:hint="default"/>
                <w:w w:val="101"/>
                <w:sz w:val="18"/>
                <w:szCs w:val="18"/>
              </w:rPr>
              <w:t>购</w:t>
            </w:r>
            <w:r>
              <w:rPr>
                <w:rFonts w:ascii="宋体" w:hAnsi="宋体" w:cs="宋体" w:eastAsia="宋体" w:hint="default"/>
                <w:spacing w:val="-5"/>
                <w:w w:val="101"/>
                <w:sz w:val="18"/>
                <w:szCs w:val="18"/>
              </w:rPr>
              <w:t>索</w:t>
            </w:r>
            <w:r>
              <w:rPr>
                <w:rFonts w:ascii="宋体" w:hAnsi="宋体" w:cs="宋体" w:eastAsia="宋体" w:hint="default"/>
                <w:w w:val="101"/>
                <w:sz w:val="18"/>
                <w:szCs w:val="18"/>
              </w:rPr>
              <w:t>瑞</w:t>
            </w:r>
            <w:r>
              <w:rPr>
                <w:rFonts w:ascii="宋体" w:hAnsi="宋体" w:cs="宋体" w:eastAsia="宋体" w:hint="default"/>
                <w:spacing w:val="-5"/>
                <w:w w:val="101"/>
                <w:sz w:val="18"/>
                <w:szCs w:val="18"/>
              </w:rPr>
              <w:t>电</w:t>
            </w:r>
            <w:r>
              <w:rPr>
                <w:rFonts w:ascii="宋体" w:hAnsi="宋体" w:cs="宋体" w:eastAsia="宋体" w:hint="default"/>
                <w:w w:val="101"/>
                <w:sz w:val="18"/>
                <w:szCs w:val="18"/>
              </w:rPr>
              <w:t>气股权</w:t>
            </w:r>
            <w:r>
              <w:rPr>
                <w:rFonts w:ascii="宋体" w:hAnsi="宋体" w:cs="宋体" w:eastAsia="宋体" w:hint="default"/>
                <w:spacing w:val="-47"/>
                <w:sz w:val="18"/>
                <w:szCs w:val="18"/>
              </w:rPr>
              <w:t> </w:t>
            </w:r>
            <w:r>
              <w:rPr>
                <w:rFonts w:ascii="宋体" w:hAnsi="宋体" w:cs="宋体" w:eastAsia="宋体" w:hint="default"/>
                <w:spacing w:val="-5"/>
                <w:w w:val="101"/>
                <w:sz w:val="18"/>
                <w:szCs w:val="18"/>
              </w:rPr>
              <w:t>7</w:t>
            </w:r>
            <w:r>
              <w:rPr>
                <w:rFonts w:ascii="宋体" w:hAnsi="宋体" w:cs="宋体" w:eastAsia="宋体" w:hint="default"/>
                <w:w w:val="101"/>
                <w:sz w:val="18"/>
                <w:szCs w:val="18"/>
              </w:rPr>
              <w:t>,29</w:t>
            </w:r>
            <w:r>
              <w:rPr>
                <w:rFonts w:ascii="宋体" w:hAnsi="宋体" w:cs="宋体" w:eastAsia="宋体" w:hint="default"/>
                <w:spacing w:val="-5"/>
                <w:w w:val="101"/>
                <w:sz w:val="18"/>
                <w:szCs w:val="18"/>
              </w:rPr>
              <w:t>6</w:t>
            </w:r>
            <w:r>
              <w:rPr>
                <w:rFonts w:ascii="宋体" w:hAnsi="宋体" w:cs="宋体" w:eastAsia="宋体" w:hint="default"/>
                <w:w w:val="101"/>
                <w:sz w:val="18"/>
                <w:szCs w:val="18"/>
              </w:rPr>
              <w:t>.25</w:t>
            </w:r>
            <w:r>
              <w:rPr>
                <w:rFonts w:ascii="宋体" w:hAnsi="宋体" w:cs="宋体" w:eastAsia="宋体" w:hint="default"/>
                <w:spacing w:val="-47"/>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115"/>
              <w:ind w:left="96"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6"/>
                <w:sz w:val="18"/>
                <w:szCs w:val="18"/>
              </w:rPr>
              <w:t> </w:t>
            </w:r>
            <w:r>
              <w:rPr>
                <w:rFonts w:ascii="宋体" w:hAnsi="宋体" w:cs="宋体" w:eastAsia="宋体" w:hint="default"/>
                <w:sz w:val="18"/>
                <w:szCs w:val="18"/>
              </w:rPr>
              <w:t>2019</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宋体" w:hAnsi="宋体" w:cs="宋体" w:eastAsia="宋体" w:hint="default"/>
                <w:sz w:val="18"/>
                <w:szCs w:val="18"/>
              </w:rPr>
              <w:t>31</w:t>
            </w:r>
            <w:r>
              <w:rPr>
                <w:rFonts w:ascii="宋体" w:hAnsi="宋体" w:cs="宋体" w:eastAsia="宋体" w:hint="default"/>
                <w:spacing w:val="-36"/>
                <w:sz w:val="18"/>
                <w:szCs w:val="18"/>
              </w:rPr>
              <w:t> </w:t>
            </w:r>
            <w:r>
              <w:rPr>
                <w:rFonts w:ascii="宋体" w:hAnsi="宋体" w:cs="宋体" w:eastAsia="宋体" w:hint="default"/>
                <w:spacing w:val="-4"/>
                <w:sz w:val="18"/>
                <w:szCs w:val="18"/>
              </w:rPr>
              <w:t>日，公司募集资金专户实际余额为</w:t>
            </w:r>
            <w:r>
              <w:rPr>
                <w:rFonts w:ascii="宋体" w:hAnsi="宋体" w:cs="宋体" w:eastAsia="宋体" w:hint="default"/>
                <w:spacing w:val="-36"/>
                <w:sz w:val="18"/>
                <w:szCs w:val="18"/>
              </w:rPr>
              <w:t> </w:t>
            </w:r>
            <w:r>
              <w:rPr>
                <w:rFonts w:ascii="宋体" w:hAnsi="宋体" w:cs="宋体" w:eastAsia="宋体" w:hint="default"/>
                <w:sz w:val="18"/>
                <w:szCs w:val="18"/>
              </w:rPr>
              <w:t>94.82</w:t>
            </w:r>
            <w:r>
              <w:rPr>
                <w:rFonts w:ascii="宋体" w:hAnsi="宋体" w:cs="宋体" w:eastAsia="宋体" w:hint="default"/>
                <w:spacing w:val="-36"/>
                <w:sz w:val="18"/>
                <w:szCs w:val="18"/>
              </w:rPr>
              <w:t> </w:t>
            </w:r>
            <w:r>
              <w:rPr>
                <w:rFonts w:ascii="宋体" w:hAnsi="宋体" w:cs="宋体" w:eastAsia="宋体" w:hint="default"/>
                <w:spacing w:val="-4"/>
                <w:sz w:val="18"/>
                <w:szCs w:val="18"/>
              </w:rPr>
              <w:t>万元，其中：募集资金实际余额为</w:t>
            </w:r>
            <w:r>
              <w:rPr>
                <w:rFonts w:ascii="宋体" w:hAnsi="宋体" w:cs="宋体" w:eastAsia="宋体" w:hint="default"/>
                <w:spacing w:val="-41"/>
                <w:sz w:val="18"/>
                <w:szCs w:val="18"/>
              </w:rPr>
              <w:t> </w:t>
            </w:r>
            <w:r>
              <w:rPr>
                <w:rFonts w:ascii="宋体" w:hAnsi="宋体" w:cs="宋体" w:eastAsia="宋体" w:hint="default"/>
                <w:sz w:val="18"/>
                <w:szCs w:val="18"/>
              </w:rPr>
              <w:t>24.50</w:t>
            </w:r>
            <w:r>
              <w:rPr>
                <w:rFonts w:ascii="宋体" w:hAnsi="宋体" w:cs="宋体" w:eastAsia="宋体" w:hint="default"/>
                <w:spacing w:val="-43"/>
                <w:sz w:val="18"/>
                <w:szCs w:val="18"/>
              </w:rPr>
              <w:t> </w:t>
            </w:r>
            <w:r>
              <w:rPr>
                <w:rFonts w:ascii="宋体" w:hAnsi="宋体" w:cs="宋体" w:eastAsia="宋体" w:hint="default"/>
                <w:spacing w:val="-5"/>
                <w:sz w:val="18"/>
                <w:szCs w:val="18"/>
              </w:rPr>
              <w:t>万元、净利息</w:t>
            </w:r>
            <w:r>
              <w:rPr>
                <w:rFonts w:ascii="宋体" w:hAnsi="宋体" w:cs="宋体" w:eastAsia="宋体" w:hint="default"/>
                <w:spacing w:val="-36"/>
                <w:sz w:val="18"/>
                <w:szCs w:val="18"/>
              </w:rPr>
              <w:t> </w:t>
            </w:r>
            <w:r>
              <w:rPr>
                <w:rFonts w:ascii="宋体" w:hAnsi="宋体" w:cs="宋体" w:eastAsia="宋体" w:hint="default"/>
                <w:sz w:val="18"/>
                <w:szCs w:val="18"/>
              </w:rPr>
              <w:t>70.32</w:t>
            </w:r>
            <w:r>
              <w:rPr>
                <w:rFonts w:ascii="宋体" w:hAnsi="宋体" w:cs="宋体" w:eastAsia="宋体" w:hint="default"/>
                <w:spacing w:val="-36"/>
                <w:sz w:val="18"/>
                <w:szCs w:val="18"/>
              </w:rPr>
              <w:t> </w:t>
            </w:r>
            <w:r>
              <w:rPr>
                <w:rFonts w:ascii="宋体" w:hAnsi="宋体" w:cs="宋体" w:eastAsia="宋体" w:hint="default"/>
                <w:sz w:val="18"/>
                <w:szCs w:val="18"/>
              </w:rPr>
              <w:t>万元。</w:t>
            </w:r>
          </w:p>
        </w:tc>
      </w:tr>
    </w:tbl>
    <w:p>
      <w:pPr>
        <w:pStyle w:val="Heading4"/>
        <w:spacing w:line="240" w:lineRule="auto" w:before="66"/>
        <w:ind w:left="733" w:right="0"/>
        <w:jc w:val="left"/>
        <w:rPr>
          <w:b w:val="0"/>
          <w:bCs w:val="0"/>
        </w:rPr>
      </w:pPr>
      <w:bookmarkStart w:name="（2）募集资金承诺项目情况" w:id="52"/>
      <w:bookmarkEnd w:id="52"/>
      <w:r>
        <w:rPr>
          <w:b w:val="0"/>
          <w:bCs w:val="0"/>
        </w:rPr>
      </w:r>
      <w:r>
        <w:rPr/>
        <w:t>（</w:t>
      </w:r>
      <w:r>
        <w:rPr>
          <w:rFonts w:ascii="宋体" w:hAnsi="宋体" w:cs="宋体" w:eastAsia="宋体" w:hint="default"/>
        </w:rPr>
        <w:t>2</w:t>
      </w:r>
      <w:r>
        <w:rPr/>
        <w:t>）募集资金承诺项目情况</w:t>
      </w:r>
      <w:r>
        <w:rPr>
          <w:b w:val="0"/>
          <w:bCs w:val="0"/>
        </w:rPr>
      </w:r>
    </w:p>
    <w:p>
      <w:pPr>
        <w:spacing w:line="240" w:lineRule="auto" w:before="13"/>
        <w:rPr>
          <w:rFonts w:ascii="宋体" w:hAnsi="宋体" w:cs="宋体" w:eastAsia="宋体" w:hint="default"/>
          <w:b/>
          <w:bCs/>
          <w:sz w:val="14"/>
          <w:szCs w:val="14"/>
        </w:rPr>
      </w:pPr>
    </w:p>
    <w:p>
      <w:pPr>
        <w:pStyle w:val="BodyText"/>
        <w:spacing w:line="240" w:lineRule="auto"/>
        <w:ind w:left="733" w:right="0"/>
        <w:jc w:val="left"/>
      </w:pPr>
      <w:r>
        <w:rPr/>
        <w:t>√ 适用 □</w:t>
      </w:r>
      <w:r>
        <w:rPr>
          <w:spacing w:val="4"/>
        </w:rPr>
        <w:t> </w:t>
      </w:r>
      <w:r>
        <w:rPr/>
        <w:t>不适用</w:t>
      </w:r>
    </w:p>
    <w:p>
      <w:pPr>
        <w:spacing w:line="240" w:lineRule="auto" w:before="13"/>
        <w:rPr>
          <w:rFonts w:ascii="宋体" w:hAnsi="宋体" w:cs="宋体" w:eastAsia="宋体" w:hint="default"/>
          <w:sz w:val="12"/>
          <w:szCs w:val="12"/>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tbl>
      <w:tblPr>
        <w:tblW w:w="0" w:type="auto"/>
        <w:jc w:val="left"/>
        <w:tblInd w:w="113" w:type="dxa"/>
        <w:tblLayout w:type="fixed"/>
        <w:tblCellMar>
          <w:top w:w="0" w:type="dxa"/>
          <w:left w:w="0" w:type="dxa"/>
          <w:bottom w:w="0" w:type="dxa"/>
          <w:right w:w="0" w:type="dxa"/>
        </w:tblCellMar>
        <w:tblLook w:val="01E0"/>
      </w:tblPr>
      <w:tblGrid>
        <w:gridCol w:w="1330"/>
        <w:gridCol w:w="802"/>
        <w:gridCol w:w="816"/>
        <w:gridCol w:w="898"/>
        <w:gridCol w:w="730"/>
        <w:gridCol w:w="1085"/>
        <w:gridCol w:w="912"/>
        <w:gridCol w:w="946"/>
        <w:gridCol w:w="946"/>
        <w:gridCol w:w="1124"/>
        <w:gridCol w:w="601"/>
        <w:gridCol w:w="845"/>
      </w:tblGrid>
      <w:tr>
        <w:trPr>
          <w:trHeight w:val="1661" w:hRule="exact"/>
        </w:trPr>
        <w:tc>
          <w:tcPr>
            <w:tcW w:w="133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1"/>
              <w:ind w:left="110" w:right="113"/>
              <w:jc w:val="center"/>
              <w:rPr>
                <w:rFonts w:ascii="宋体" w:hAnsi="宋体" w:cs="宋体" w:eastAsia="宋体" w:hint="default"/>
                <w:sz w:val="18"/>
                <w:szCs w:val="18"/>
              </w:rPr>
            </w:pPr>
            <w:r>
              <w:rPr>
                <w:rFonts w:ascii="宋体" w:hAnsi="宋体" w:cs="宋体" w:eastAsia="宋体" w:hint="default"/>
                <w:spacing w:val="-2"/>
                <w:sz w:val="18"/>
                <w:szCs w:val="18"/>
              </w:rPr>
              <w:t>承诺投资项目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和超募资金投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向</w:t>
            </w:r>
          </w:p>
        </w:tc>
        <w:tc>
          <w:tcPr>
            <w:tcW w:w="8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5" w:right="122"/>
              <w:jc w:val="center"/>
              <w:rPr>
                <w:rFonts w:ascii="宋体" w:hAnsi="宋体" w:cs="宋体" w:eastAsia="宋体" w:hint="default"/>
                <w:sz w:val="18"/>
                <w:szCs w:val="18"/>
              </w:rPr>
            </w:pPr>
            <w:r>
              <w:rPr>
                <w:rFonts w:ascii="宋体" w:hAnsi="宋体" w:cs="宋体" w:eastAsia="宋体" w:hint="default"/>
                <w:spacing w:val="-2"/>
                <w:sz w:val="18"/>
                <w:szCs w:val="18"/>
              </w:rPr>
              <w:t>是否已</w:t>
            </w:r>
            <w:r>
              <w:rPr>
                <w:rFonts w:ascii="宋体" w:hAnsi="宋体" w:cs="宋体" w:eastAsia="宋体" w:hint="default"/>
                <w:w w:val="101"/>
                <w:sz w:val="18"/>
                <w:szCs w:val="18"/>
              </w:rPr>
              <w:t> </w:t>
            </w:r>
            <w:r>
              <w:rPr>
                <w:rFonts w:ascii="宋体" w:hAnsi="宋体" w:cs="宋体" w:eastAsia="宋体" w:hint="default"/>
                <w:spacing w:val="-2"/>
                <w:sz w:val="18"/>
                <w:szCs w:val="18"/>
              </w:rPr>
              <w:t>变更项</w:t>
            </w:r>
            <w:r>
              <w:rPr>
                <w:rFonts w:ascii="宋体" w:hAnsi="宋体" w:cs="宋体" w:eastAsia="宋体" w:hint="default"/>
                <w:w w:val="101"/>
                <w:sz w:val="18"/>
                <w:szCs w:val="18"/>
              </w:rPr>
              <w:t> </w:t>
            </w:r>
            <w:r>
              <w:rPr>
                <w:rFonts w:ascii="宋体" w:hAnsi="宋体" w:cs="宋体" w:eastAsia="宋体" w:hint="default"/>
                <w:sz w:val="18"/>
                <w:szCs w:val="18"/>
              </w:rPr>
              <w:t>目</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w w:val="101"/>
                <w:sz w:val="18"/>
                <w:szCs w:val="18"/>
              </w:rPr>
              <w:t> </w:t>
            </w:r>
            <w:r>
              <w:rPr>
                <w:rFonts w:ascii="宋体" w:hAnsi="宋体" w:cs="宋体" w:eastAsia="宋体" w:hint="default"/>
                <w:spacing w:val="-2"/>
                <w:sz w:val="18"/>
                <w:szCs w:val="18"/>
              </w:rPr>
              <w:t>部分变</w:t>
            </w:r>
            <w:r>
              <w:rPr>
                <w:rFonts w:ascii="宋体" w:hAnsi="宋体" w:cs="宋体" w:eastAsia="宋体" w:hint="default"/>
                <w:w w:val="101"/>
                <w:sz w:val="18"/>
                <w:szCs w:val="18"/>
              </w:rPr>
              <w:t> </w:t>
            </w:r>
            <w:r>
              <w:rPr>
                <w:rFonts w:ascii="宋体" w:hAnsi="宋体" w:cs="宋体" w:eastAsia="宋体" w:hint="default"/>
                <w:sz w:val="18"/>
                <w:szCs w:val="18"/>
              </w:rPr>
              <w:t>更</w:t>
            </w:r>
            <w:r>
              <w:rPr>
                <w:rFonts w:ascii="宋体" w:hAnsi="宋体" w:cs="宋体" w:eastAsia="宋体" w:hint="default"/>
                <w:sz w:val="18"/>
                <w:szCs w:val="18"/>
              </w:rPr>
              <w:t>)</w:t>
            </w:r>
          </w:p>
        </w:tc>
        <w:tc>
          <w:tcPr>
            <w:tcW w:w="8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34" w:right="127"/>
              <w:jc w:val="center"/>
              <w:rPr>
                <w:rFonts w:ascii="宋体" w:hAnsi="宋体" w:cs="宋体" w:eastAsia="宋体" w:hint="default"/>
                <w:sz w:val="18"/>
                <w:szCs w:val="18"/>
              </w:rPr>
            </w:pPr>
            <w:r>
              <w:rPr>
                <w:rFonts w:ascii="宋体" w:hAnsi="宋体" w:cs="宋体" w:eastAsia="宋体" w:hint="default"/>
                <w:spacing w:val="-2"/>
                <w:sz w:val="18"/>
                <w:szCs w:val="18"/>
              </w:rPr>
              <w:t>募集资</w:t>
            </w:r>
            <w:r>
              <w:rPr>
                <w:rFonts w:ascii="宋体" w:hAnsi="宋体" w:cs="宋体" w:eastAsia="宋体" w:hint="default"/>
                <w:w w:val="101"/>
                <w:sz w:val="18"/>
                <w:szCs w:val="18"/>
              </w:rPr>
              <w:t> </w:t>
            </w:r>
            <w:r>
              <w:rPr>
                <w:rFonts w:ascii="宋体" w:hAnsi="宋体" w:cs="宋体" w:eastAsia="宋体" w:hint="default"/>
                <w:spacing w:val="-2"/>
                <w:sz w:val="18"/>
                <w:szCs w:val="18"/>
              </w:rPr>
              <w:t>金承诺</w:t>
            </w:r>
            <w:r>
              <w:rPr>
                <w:rFonts w:ascii="宋体" w:hAnsi="宋体" w:cs="宋体" w:eastAsia="宋体" w:hint="default"/>
                <w:w w:val="101"/>
                <w:sz w:val="18"/>
                <w:szCs w:val="18"/>
              </w:rPr>
              <w:t> </w:t>
            </w:r>
            <w:r>
              <w:rPr>
                <w:rFonts w:ascii="宋体" w:hAnsi="宋体" w:cs="宋体" w:eastAsia="宋体" w:hint="default"/>
                <w:spacing w:val="-2"/>
                <w:sz w:val="18"/>
                <w:szCs w:val="18"/>
              </w:rPr>
              <w:t>投资总</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89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1"/>
              <w:ind w:left="177" w:right="165"/>
              <w:jc w:val="both"/>
              <w:rPr>
                <w:rFonts w:ascii="宋体" w:hAnsi="宋体" w:cs="宋体" w:eastAsia="宋体" w:hint="default"/>
                <w:sz w:val="18"/>
                <w:szCs w:val="18"/>
              </w:rPr>
            </w:pPr>
            <w:r>
              <w:rPr>
                <w:rFonts w:ascii="宋体" w:hAnsi="宋体" w:cs="宋体" w:eastAsia="宋体" w:hint="default"/>
                <w:sz w:val="18"/>
                <w:szCs w:val="18"/>
              </w:rPr>
              <w:t>调整后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r>
              <w:rPr>
                <w:rFonts w:ascii="宋体" w:hAnsi="宋体" w:cs="宋体" w:eastAsia="宋体" w:hint="default"/>
                <w:sz w:val="18"/>
                <w:szCs w:val="18"/>
              </w:rPr>
              <w:t>(1)</w:t>
            </w:r>
          </w:p>
        </w:tc>
        <w:tc>
          <w:tcPr>
            <w:tcW w:w="73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78" w:right="175"/>
              <w:jc w:val="both"/>
              <w:rPr>
                <w:rFonts w:ascii="宋体" w:hAnsi="宋体" w:cs="宋体" w:eastAsia="宋体" w:hint="default"/>
                <w:sz w:val="18"/>
                <w:szCs w:val="18"/>
              </w:rPr>
            </w:pPr>
            <w:r>
              <w:rPr>
                <w:rFonts w:ascii="宋体" w:hAnsi="宋体" w:cs="宋体" w:eastAsia="宋体" w:hint="default"/>
                <w:sz w:val="18"/>
                <w:szCs w:val="18"/>
              </w:rPr>
              <w:t>本报</w:t>
            </w:r>
            <w:r>
              <w:rPr>
                <w:rFonts w:ascii="宋体" w:hAnsi="宋体" w:cs="宋体" w:eastAsia="宋体" w:hint="default"/>
                <w:spacing w:val="-86"/>
                <w:sz w:val="18"/>
                <w:szCs w:val="18"/>
              </w:rPr>
              <w:t> </w:t>
            </w:r>
            <w:r>
              <w:rPr>
                <w:rFonts w:ascii="宋体" w:hAnsi="宋体" w:cs="宋体" w:eastAsia="宋体" w:hint="default"/>
                <w:sz w:val="18"/>
                <w:szCs w:val="18"/>
              </w:rPr>
              <w:t>告期</w:t>
            </w:r>
            <w:r>
              <w:rPr>
                <w:rFonts w:ascii="宋体" w:hAnsi="宋体" w:cs="宋体" w:eastAsia="宋体" w:hint="default"/>
                <w:spacing w:val="-86"/>
                <w:sz w:val="18"/>
                <w:szCs w:val="18"/>
              </w:rPr>
              <w:t> </w:t>
            </w:r>
            <w:r>
              <w:rPr>
                <w:rFonts w:ascii="宋体" w:hAnsi="宋体" w:cs="宋体" w:eastAsia="宋体" w:hint="default"/>
                <w:sz w:val="18"/>
                <w:szCs w:val="18"/>
              </w:rPr>
              <w:t>投入</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108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1"/>
              <w:ind w:left="172" w:right="175"/>
              <w:jc w:val="both"/>
              <w:rPr>
                <w:rFonts w:ascii="宋体" w:hAnsi="宋体" w:cs="宋体" w:eastAsia="宋体"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宋体" w:hAnsi="宋体" w:cs="宋体" w:eastAsia="宋体" w:hint="default"/>
                <w:sz w:val="18"/>
                <w:szCs w:val="18"/>
              </w:rPr>
              <w:t>(2)</w:t>
            </w:r>
          </w:p>
        </w:tc>
        <w:tc>
          <w:tcPr>
            <w:tcW w:w="91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34" w:right="132" w:firstLine="48"/>
              <w:jc w:val="both"/>
              <w:rPr>
                <w:rFonts w:ascii="宋体" w:hAnsi="宋体" w:cs="宋体" w:eastAsia="宋体" w:hint="default"/>
                <w:sz w:val="18"/>
                <w:szCs w:val="18"/>
              </w:rPr>
            </w:pPr>
            <w:r>
              <w:rPr>
                <w:rFonts w:ascii="宋体" w:hAnsi="宋体" w:cs="宋体" w:eastAsia="宋体" w:hint="default"/>
                <w:sz w:val="18"/>
                <w:szCs w:val="18"/>
              </w:rPr>
              <w:t>截至期</w:t>
            </w:r>
            <w:r>
              <w:rPr>
                <w:rFonts w:ascii="宋体" w:hAnsi="宋体" w:cs="宋体" w:eastAsia="宋体" w:hint="default"/>
                <w:w w:val="101"/>
                <w:sz w:val="18"/>
                <w:szCs w:val="18"/>
              </w:rPr>
              <w:t> </w:t>
            </w:r>
            <w:r>
              <w:rPr>
                <w:rFonts w:ascii="宋体" w:hAnsi="宋体" w:cs="宋体" w:eastAsia="宋体" w:hint="default"/>
                <w:sz w:val="18"/>
                <w:szCs w:val="18"/>
              </w:rPr>
              <w:t>末投资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进度</w:t>
            </w:r>
            <w:r>
              <w:rPr>
                <w:rFonts w:ascii="宋体" w:hAnsi="宋体" w:cs="宋体" w:eastAsia="宋体" w:hint="default"/>
                <w:sz w:val="18"/>
                <w:szCs w:val="18"/>
              </w:rPr>
              <w:t>(3)</w:t>
            </w:r>
          </w:p>
          <w:p>
            <w:pPr>
              <w:pStyle w:val="TableParagraph"/>
              <w:spacing w:line="321" w:lineRule="auto" w:before="17"/>
              <w:ind w:left="134" w:right="132" w:firstLine="22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(2)/(1)</w:t>
            </w:r>
          </w:p>
        </w:tc>
        <w:tc>
          <w:tcPr>
            <w:tcW w:w="9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10" w:right="98"/>
              <w:jc w:val="center"/>
              <w:rPr>
                <w:rFonts w:ascii="宋体" w:hAnsi="宋体" w:cs="宋体" w:eastAsia="宋体" w:hint="default"/>
                <w:sz w:val="18"/>
                <w:szCs w:val="18"/>
              </w:rPr>
            </w:pPr>
            <w:r>
              <w:rPr>
                <w:rFonts w:ascii="宋体" w:hAnsi="宋体" w:cs="宋体" w:eastAsia="宋体" w:hint="default"/>
                <w:spacing w:val="-2"/>
                <w:sz w:val="18"/>
                <w:szCs w:val="18"/>
              </w:rPr>
              <w:t>项目达到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预定可使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用状态日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期</w:t>
            </w:r>
          </w:p>
        </w:tc>
        <w:tc>
          <w:tcPr>
            <w:tcW w:w="9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1"/>
              <w:ind w:left="105" w:right="104"/>
              <w:jc w:val="center"/>
              <w:rPr>
                <w:rFonts w:ascii="宋体" w:hAnsi="宋体" w:cs="宋体" w:eastAsia="宋体" w:hint="default"/>
                <w:sz w:val="18"/>
                <w:szCs w:val="18"/>
              </w:rPr>
            </w:pPr>
            <w:r>
              <w:rPr>
                <w:rFonts w:ascii="宋体" w:hAnsi="宋体" w:cs="宋体" w:eastAsia="宋体" w:hint="default"/>
                <w:spacing w:val="-2"/>
                <w:sz w:val="18"/>
                <w:szCs w:val="18"/>
              </w:rPr>
              <w:t>本报告期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实现的效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w:t>
            </w:r>
          </w:p>
        </w:tc>
        <w:tc>
          <w:tcPr>
            <w:tcW w:w="112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1"/>
              <w:ind w:left="105" w:right="103"/>
              <w:jc w:val="center"/>
              <w:rPr>
                <w:rFonts w:ascii="宋体" w:hAnsi="宋体" w:cs="宋体" w:eastAsia="宋体" w:hint="default"/>
                <w:sz w:val="18"/>
                <w:szCs w:val="18"/>
              </w:rPr>
            </w:pPr>
            <w:r>
              <w:rPr>
                <w:rFonts w:ascii="宋体" w:hAnsi="宋体" w:cs="宋体" w:eastAsia="宋体" w:hint="default"/>
                <w:spacing w:val="-2"/>
                <w:sz w:val="18"/>
                <w:szCs w:val="18"/>
              </w:rPr>
              <w:t>截止报告期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末累计实现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的效益</w:t>
            </w:r>
          </w:p>
        </w:tc>
        <w:tc>
          <w:tcPr>
            <w:tcW w:w="60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15" w:right="110"/>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达到</w:t>
            </w:r>
            <w:r>
              <w:rPr>
                <w:rFonts w:ascii="宋体" w:hAnsi="宋体" w:cs="宋体" w:eastAsia="宋体" w:hint="default"/>
                <w:spacing w:val="-86"/>
                <w:sz w:val="18"/>
                <w:szCs w:val="18"/>
              </w:rPr>
              <w:t> </w:t>
            </w:r>
            <w:r>
              <w:rPr>
                <w:rFonts w:ascii="宋体" w:hAnsi="宋体" w:cs="宋体" w:eastAsia="宋体" w:hint="default"/>
                <w:sz w:val="18"/>
                <w:szCs w:val="18"/>
              </w:rPr>
              <w:t>预计</w:t>
            </w:r>
            <w:r>
              <w:rPr>
                <w:rFonts w:ascii="宋体" w:hAnsi="宋体" w:cs="宋体" w:eastAsia="宋体" w:hint="default"/>
                <w:spacing w:val="-86"/>
                <w:sz w:val="18"/>
                <w:szCs w:val="18"/>
              </w:rPr>
              <w:t> </w:t>
            </w:r>
            <w:r>
              <w:rPr>
                <w:rFonts w:ascii="宋体" w:hAnsi="宋体" w:cs="宋体" w:eastAsia="宋体" w:hint="default"/>
                <w:sz w:val="18"/>
                <w:szCs w:val="18"/>
              </w:rPr>
              <w:t>效益</w:t>
            </w:r>
          </w:p>
        </w:tc>
        <w:tc>
          <w:tcPr>
            <w:tcW w:w="84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9" w:lineRule="auto" w:before="53"/>
              <w:ind w:left="148" w:right="132"/>
              <w:jc w:val="center"/>
              <w:rPr>
                <w:rFonts w:ascii="宋体" w:hAnsi="宋体" w:cs="宋体" w:eastAsia="宋体" w:hint="default"/>
                <w:sz w:val="18"/>
                <w:szCs w:val="18"/>
              </w:rPr>
            </w:pPr>
            <w:r>
              <w:rPr>
                <w:rFonts w:ascii="宋体" w:hAnsi="宋体" w:cs="宋体" w:eastAsia="宋体" w:hint="default"/>
                <w:sz w:val="18"/>
                <w:szCs w:val="18"/>
              </w:rPr>
              <w:t>项目可</w:t>
            </w:r>
            <w:r>
              <w:rPr>
                <w:rFonts w:ascii="宋体" w:hAnsi="宋体" w:cs="宋体" w:eastAsia="宋体" w:hint="default"/>
                <w:w w:val="101"/>
                <w:sz w:val="18"/>
                <w:szCs w:val="18"/>
              </w:rPr>
              <w:t> </w:t>
            </w:r>
            <w:r>
              <w:rPr>
                <w:rFonts w:ascii="宋体" w:hAnsi="宋体" w:cs="宋体" w:eastAsia="宋体" w:hint="default"/>
                <w:sz w:val="18"/>
                <w:szCs w:val="18"/>
              </w:rPr>
              <w:t>行性是</w:t>
            </w:r>
            <w:r>
              <w:rPr>
                <w:rFonts w:ascii="宋体" w:hAnsi="宋体" w:cs="宋体" w:eastAsia="宋体" w:hint="default"/>
                <w:w w:val="101"/>
                <w:sz w:val="18"/>
                <w:szCs w:val="18"/>
              </w:rPr>
              <w:t> </w:t>
            </w:r>
            <w:r>
              <w:rPr>
                <w:rFonts w:ascii="宋体" w:hAnsi="宋体" w:cs="宋体" w:eastAsia="宋体" w:hint="default"/>
                <w:sz w:val="18"/>
                <w:szCs w:val="18"/>
              </w:rPr>
              <w:t>否发生</w:t>
            </w:r>
            <w:r>
              <w:rPr>
                <w:rFonts w:ascii="宋体" w:hAnsi="宋体" w:cs="宋体" w:eastAsia="宋体" w:hint="default"/>
                <w:w w:val="101"/>
                <w:sz w:val="18"/>
                <w:szCs w:val="18"/>
              </w:rPr>
              <w:t> </w:t>
            </w:r>
            <w:r>
              <w:rPr>
                <w:rFonts w:ascii="宋体" w:hAnsi="宋体" w:cs="宋体" w:eastAsia="宋体" w:hint="default"/>
                <w:sz w:val="18"/>
                <w:szCs w:val="18"/>
              </w:rPr>
              <w:t>重大变</w:t>
            </w:r>
            <w:r>
              <w:rPr>
                <w:rFonts w:ascii="宋体" w:hAnsi="宋体" w:cs="宋体" w:eastAsia="宋体" w:hint="default"/>
                <w:w w:val="101"/>
                <w:sz w:val="18"/>
                <w:szCs w:val="18"/>
              </w:rPr>
              <w:t> </w:t>
            </w:r>
            <w:r>
              <w:rPr>
                <w:rFonts w:ascii="宋体" w:hAnsi="宋体" w:cs="宋体" w:eastAsia="宋体" w:hint="default"/>
                <w:sz w:val="18"/>
                <w:szCs w:val="18"/>
              </w:rPr>
              <w:t>化</w:t>
            </w:r>
          </w:p>
        </w:tc>
      </w:tr>
      <w:tr>
        <w:trPr>
          <w:trHeight w:val="403" w:hRule="exact"/>
        </w:trPr>
        <w:tc>
          <w:tcPr>
            <w:tcW w:w="11035" w:type="dxa"/>
            <w:gridSpan w:val="1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40" w:hRule="exact"/>
        </w:trPr>
        <w:tc>
          <w:tcPr>
            <w:tcW w:w="133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4"/>
              <w:ind w:left="96" w:right="127"/>
              <w:jc w:val="both"/>
              <w:rPr>
                <w:rFonts w:ascii="宋体" w:hAnsi="宋体" w:cs="宋体" w:eastAsia="宋体" w:hint="default"/>
                <w:sz w:val="18"/>
                <w:szCs w:val="18"/>
              </w:rPr>
            </w:pPr>
            <w:r>
              <w:rPr>
                <w:rFonts w:ascii="宋体" w:hAnsi="宋体" w:cs="宋体" w:eastAsia="宋体" w:hint="default"/>
                <w:sz w:val="18"/>
                <w:szCs w:val="18"/>
              </w:rPr>
              <w:t>电力用户用电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信息采集系统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产能扩大建设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15,300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15,300</w:t>
            </w:r>
          </w:p>
        </w:tc>
        <w:tc>
          <w:tcPr>
            <w:tcW w:w="73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12,205.73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79.78%</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621.64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3,926.31</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13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6" w:right="127"/>
              <w:jc w:val="left"/>
              <w:rPr>
                <w:rFonts w:ascii="宋体" w:hAnsi="宋体" w:cs="宋体" w:eastAsia="宋体" w:hint="default"/>
                <w:sz w:val="18"/>
                <w:szCs w:val="18"/>
              </w:rPr>
            </w:pPr>
            <w:r>
              <w:rPr>
                <w:rFonts w:ascii="宋体" w:hAnsi="宋体" w:cs="宋体" w:eastAsia="宋体" w:hint="default"/>
                <w:sz w:val="18"/>
                <w:szCs w:val="18"/>
              </w:rPr>
              <w:t>研发中心建设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1"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4"/>
              <w:jc w:val="right"/>
              <w:rPr>
                <w:rFonts w:ascii="宋体" w:hAnsi="宋体" w:cs="宋体" w:eastAsia="宋体" w:hint="default"/>
                <w:sz w:val="18"/>
                <w:szCs w:val="18"/>
              </w:rPr>
            </w:pPr>
            <w:r>
              <w:rPr>
                <w:rFonts w:ascii="宋体"/>
                <w:sz w:val="18"/>
              </w:rPr>
              <w:t>5,100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5"/>
              <w:jc w:val="right"/>
              <w:rPr>
                <w:rFonts w:ascii="宋体" w:hAnsi="宋体" w:cs="宋体" w:eastAsia="宋体" w:hint="default"/>
                <w:sz w:val="18"/>
                <w:szCs w:val="18"/>
              </w:rPr>
            </w:pPr>
            <w:r>
              <w:rPr>
                <w:rFonts w:ascii="宋体"/>
                <w:sz w:val="18"/>
              </w:rPr>
              <w:t>5,100</w:t>
            </w:r>
          </w:p>
        </w:tc>
        <w:tc>
          <w:tcPr>
            <w:tcW w:w="73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9"/>
              <w:jc w:val="right"/>
              <w:rPr>
                <w:rFonts w:ascii="宋体" w:hAnsi="宋体" w:cs="宋体" w:eastAsia="宋体" w:hint="default"/>
                <w:sz w:val="18"/>
                <w:szCs w:val="18"/>
              </w:rPr>
            </w:pPr>
            <w:r>
              <w:rPr>
                <w:rFonts w:ascii="宋体"/>
                <w:spacing w:val="-1"/>
                <w:sz w:val="18"/>
              </w:rPr>
              <w:t>3,902.94</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4"/>
              <w:jc w:val="right"/>
              <w:rPr>
                <w:rFonts w:ascii="宋体" w:hAnsi="宋体" w:cs="宋体" w:eastAsia="宋体" w:hint="default"/>
                <w:sz w:val="18"/>
                <w:szCs w:val="18"/>
              </w:rPr>
            </w:pPr>
            <w:r>
              <w:rPr>
                <w:rFonts w:ascii="宋体"/>
                <w:spacing w:val="-1"/>
                <w:sz w:val="18"/>
              </w:rPr>
              <w:t>76.53%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2"/>
              <w:ind w:left="10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宋体" w:hAnsi="宋体" w:cs="宋体" w:eastAsia="宋体" w:hint="default"/>
                <w:sz w:val="18"/>
                <w:szCs w:val="18"/>
              </w:rPr>
            </w:pPr>
            <w:r>
              <w:rPr>
                <w:rFonts w:ascii="宋体"/>
                <w:spacing w:val="-1"/>
                <w:sz w:val="18"/>
              </w:rPr>
              <w:t>358.59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8"/>
              <w:jc w:val="right"/>
              <w:rPr>
                <w:rFonts w:ascii="宋体" w:hAnsi="宋体" w:cs="宋体" w:eastAsia="宋体" w:hint="default"/>
                <w:sz w:val="18"/>
                <w:szCs w:val="18"/>
              </w:rPr>
            </w:pPr>
            <w:r>
              <w:rPr>
                <w:rFonts w:ascii="宋体"/>
                <w:spacing w:val="-1"/>
                <w:sz w:val="18"/>
              </w:rPr>
              <w:t>515.65</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13" w:hRule="exact"/>
        </w:trPr>
        <w:tc>
          <w:tcPr>
            <w:tcW w:w="133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77"/>
              <w:ind w:left="96" w:right="0"/>
              <w:jc w:val="left"/>
              <w:rPr>
                <w:rFonts w:ascii="宋体" w:hAnsi="宋体" w:cs="宋体" w:eastAsia="宋体" w:hint="default"/>
                <w:sz w:val="18"/>
                <w:szCs w:val="18"/>
              </w:rPr>
            </w:pPr>
            <w:r>
              <w:rPr>
                <w:rFonts w:ascii="宋体" w:hAnsi="宋体" w:cs="宋体" w:eastAsia="宋体" w:hint="default"/>
                <w:sz w:val="18"/>
                <w:szCs w:val="18"/>
              </w:rPr>
              <w:t>项目结余募集</w:t>
            </w:r>
          </w:p>
        </w:tc>
        <w:tc>
          <w:tcPr>
            <w:tcW w:w="8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6" w:type="dxa"/>
            <w:tcBorders>
              <w:top w:val="single" w:sz="4" w:space="0" w:color="000000"/>
              <w:left w:val="single" w:sz="4" w:space="0" w:color="000000"/>
              <w:bottom w:val="single" w:sz="12" w:space="0" w:color="000000"/>
              <w:right w:val="single" w:sz="4" w:space="0" w:color="000000"/>
            </w:tcBorders>
          </w:tcPr>
          <w:p>
            <w:pPr/>
          </w:p>
        </w:tc>
        <w:tc>
          <w:tcPr>
            <w:tcW w:w="898" w:type="dxa"/>
            <w:tcBorders>
              <w:top w:val="single" w:sz="4" w:space="0" w:color="000000"/>
              <w:left w:val="single" w:sz="4" w:space="0" w:color="000000"/>
              <w:bottom w:val="single" w:sz="12" w:space="0" w:color="000000"/>
              <w:right w:val="single" w:sz="4" w:space="0" w:color="000000"/>
            </w:tcBorders>
          </w:tcPr>
          <w:p>
            <w:pPr/>
          </w:p>
        </w:tc>
        <w:tc>
          <w:tcPr>
            <w:tcW w:w="730" w:type="dxa"/>
            <w:tcBorders>
              <w:top w:val="single" w:sz="4" w:space="0" w:color="000000"/>
              <w:left w:val="single" w:sz="4" w:space="0" w:color="000000"/>
              <w:bottom w:val="single" w:sz="12" w:space="0" w:color="000000"/>
              <w:right w:val="single" w:sz="4" w:space="0" w:color="000000"/>
            </w:tcBorders>
          </w:tcPr>
          <w:p>
            <w:pPr/>
          </w:p>
        </w:tc>
        <w:tc>
          <w:tcPr>
            <w:tcW w:w="10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5,327.58</w:t>
            </w:r>
          </w:p>
        </w:tc>
        <w:tc>
          <w:tcPr>
            <w:tcW w:w="912" w:type="dxa"/>
            <w:tcBorders>
              <w:top w:val="single" w:sz="4" w:space="0" w:color="000000"/>
              <w:left w:val="single" w:sz="4" w:space="0" w:color="000000"/>
              <w:bottom w:val="single" w:sz="12" w:space="0" w:color="000000"/>
              <w:right w:val="single" w:sz="4" w:space="0" w:color="000000"/>
            </w:tcBorders>
          </w:tcPr>
          <w:p>
            <w:pPr/>
          </w:p>
        </w:tc>
        <w:tc>
          <w:tcPr>
            <w:tcW w:w="946" w:type="dxa"/>
            <w:tcBorders>
              <w:top w:val="single" w:sz="4" w:space="0" w:color="000000"/>
              <w:left w:val="single" w:sz="4" w:space="0" w:color="000000"/>
              <w:bottom w:val="single" w:sz="12" w:space="0" w:color="000000"/>
              <w:right w:val="single" w:sz="4" w:space="0" w:color="000000"/>
            </w:tcBorders>
          </w:tcPr>
          <w:p>
            <w:pPr/>
          </w:p>
        </w:tc>
        <w:tc>
          <w:tcPr>
            <w:tcW w:w="946" w:type="dxa"/>
            <w:tcBorders>
              <w:top w:val="single" w:sz="4" w:space="0" w:color="000000"/>
              <w:left w:val="single" w:sz="4" w:space="0" w:color="000000"/>
              <w:bottom w:val="single" w:sz="12" w:space="0" w:color="000000"/>
              <w:right w:val="single" w:sz="4" w:space="0" w:color="000000"/>
            </w:tcBorders>
          </w:tcPr>
          <w:p>
            <w:pPr/>
          </w:p>
        </w:tc>
        <w:tc>
          <w:tcPr>
            <w:tcW w:w="1124" w:type="dxa"/>
            <w:tcBorders>
              <w:top w:val="single" w:sz="4" w:space="0" w:color="000000"/>
              <w:left w:val="single" w:sz="4" w:space="0" w:color="000000"/>
              <w:bottom w:val="single" w:sz="12" w:space="0" w:color="000000"/>
              <w:right w:val="single" w:sz="4" w:space="0" w:color="000000"/>
            </w:tcBorders>
          </w:tcPr>
          <w:p>
            <w:pPr/>
          </w:p>
        </w:tc>
        <w:tc>
          <w:tcPr>
            <w:tcW w:w="6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4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1037" w:top="1100" w:bottom="1220" w:left="4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3" w:type="dxa"/>
        <w:tblLayout w:type="fixed"/>
        <w:tblCellMar>
          <w:top w:w="0" w:type="dxa"/>
          <w:left w:w="0" w:type="dxa"/>
          <w:bottom w:w="0" w:type="dxa"/>
          <w:right w:w="0" w:type="dxa"/>
        </w:tblCellMar>
        <w:tblLook w:val="01E0"/>
      </w:tblPr>
      <w:tblGrid>
        <w:gridCol w:w="1330"/>
        <w:gridCol w:w="802"/>
        <w:gridCol w:w="816"/>
        <w:gridCol w:w="898"/>
        <w:gridCol w:w="730"/>
        <w:gridCol w:w="1085"/>
        <w:gridCol w:w="912"/>
        <w:gridCol w:w="946"/>
        <w:gridCol w:w="946"/>
        <w:gridCol w:w="1124"/>
        <w:gridCol w:w="601"/>
        <w:gridCol w:w="845"/>
      </w:tblGrid>
      <w:tr>
        <w:trPr>
          <w:trHeight w:val="686" w:hRule="exact"/>
        </w:trPr>
        <w:tc>
          <w:tcPr>
            <w:tcW w:w="1330" w:type="dxa"/>
            <w:tcBorders>
              <w:top w:val="single" w:sz="12" w:space="0" w:color="000000"/>
              <w:left w:val="single" w:sz="12" w:space="0" w:color="000000"/>
              <w:bottom w:val="single" w:sz="4" w:space="0" w:color="000000"/>
              <w:right w:val="single" w:sz="4" w:space="0" w:color="000000"/>
            </w:tcBorders>
          </w:tcPr>
          <w:p>
            <w:pPr>
              <w:pStyle w:val="TableParagraph"/>
              <w:spacing w:line="321" w:lineRule="auto" w:before="10"/>
              <w:ind w:left="96" w:right="127"/>
              <w:jc w:val="left"/>
              <w:rPr>
                <w:rFonts w:ascii="宋体" w:hAnsi="宋体" w:cs="宋体" w:eastAsia="宋体" w:hint="default"/>
                <w:sz w:val="18"/>
                <w:szCs w:val="18"/>
              </w:rPr>
            </w:pPr>
            <w:r>
              <w:rPr>
                <w:rFonts w:ascii="宋体" w:hAnsi="宋体" w:cs="宋体" w:eastAsia="宋体" w:hint="default"/>
                <w:sz w:val="18"/>
                <w:szCs w:val="18"/>
              </w:rPr>
              <w:t>资金永久补充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流动资金</w:t>
            </w:r>
          </w:p>
        </w:tc>
        <w:tc>
          <w:tcPr>
            <w:tcW w:w="802" w:type="dxa"/>
            <w:tcBorders>
              <w:top w:val="single" w:sz="12" w:space="0" w:color="000000"/>
              <w:left w:val="single" w:sz="4" w:space="0" w:color="000000"/>
              <w:bottom w:val="single" w:sz="4" w:space="0" w:color="000000"/>
              <w:right w:val="single" w:sz="4" w:space="0" w:color="000000"/>
            </w:tcBorders>
          </w:tcPr>
          <w:p>
            <w:pPr/>
          </w:p>
        </w:tc>
        <w:tc>
          <w:tcPr>
            <w:tcW w:w="816" w:type="dxa"/>
            <w:tcBorders>
              <w:top w:val="single" w:sz="12" w:space="0" w:color="000000"/>
              <w:left w:val="single" w:sz="4" w:space="0" w:color="000000"/>
              <w:bottom w:val="single" w:sz="4" w:space="0" w:color="000000"/>
              <w:right w:val="single" w:sz="4" w:space="0" w:color="000000"/>
            </w:tcBorders>
          </w:tcPr>
          <w:p>
            <w:pPr/>
          </w:p>
        </w:tc>
        <w:tc>
          <w:tcPr>
            <w:tcW w:w="898" w:type="dxa"/>
            <w:tcBorders>
              <w:top w:val="single" w:sz="12" w:space="0" w:color="000000"/>
              <w:left w:val="single" w:sz="4" w:space="0" w:color="000000"/>
              <w:bottom w:val="single" w:sz="4" w:space="0" w:color="000000"/>
              <w:right w:val="single" w:sz="4" w:space="0" w:color="000000"/>
            </w:tcBorders>
          </w:tcPr>
          <w:p>
            <w:pPr/>
          </w:p>
        </w:tc>
        <w:tc>
          <w:tcPr>
            <w:tcW w:w="730" w:type="dxa"/>
            <w:tcBorders>
              <w:top w:val="single" w:sz="12" w:space="0" w:color="000000"/>
              <w:left w:val="single" w:sz="4" w:space="0" w:color="000000"/>
              <w:bottom w:val="single" w:sz="4" w:space="0" w:color="000000"/>
              <w:right w:val="single" w:sz="4" w:space="0" w:color="000000"/>
            </w:tcBorders>
          </w:tcPr>
          <w:p>
            <w:pPr/>
          </w:p>
        </w:tc>
        <w:tc>
          <w:tcPr>
            <w:tcW w:w="1085" w:type="dxa"/>
            <w:tcBorders>
              <w:top w:val="single" w:sz="12" w:space="0" w:color="000000"/>
              <w:left w:val="single" w:sz="4" w:space="0" w:color="000000"/>
              <w:bottom w:val="single" w:sz="4" w:space="0" w:color="000000"/>
              <w:right w:val="single" w:sz="4" w:space="0" w:color="000000"/>
            </w:tcBorders>
          </w:tcPr>
          <w:p>
            <w:pPr/>
          </w:p>
        </w:tc>
        <w:tc>
          <w:tcPr>
            <w:tcW w:w="912" w:type="dxa"/>
            <w:tcBorders>
              <w:top w:val="single" w:sz="12" w:space="0" w:color="000000"/>
              <w:left w:val="single" w:sz="4" w:space="0" w:color="000000"/>
              <w:bottom w:val="single" w:sz="4" w:space="0" w:color="000000"/>
              <w:right w:val="single" w:sz="4" w:space="0" w:color="000000"/>
            </w:tcBorders>
          </w:tcPr>
          <w:p>
            <w:pPr/>
          </w:p>
        </w:tc>
        <w:tc>
          <w:tcPr>
            <w:tcW w:w="946" w:type="dxa"/>
            <w:tcBorders>
              <w:top w:val="single" w:sz="12" w:space="0" w:color="000000"/>
              <w:left w:val="single" w:sz="4" w:space="0" w:color="000000"/>
              <w:bottom w:val="single" w:sz="4" w:space="0" w:color="000000"/>
              <w:right w:val="single" w:sz="4" w:space="0" w:color="000000"/>
            </w:tcBorders>
          </w:tcPr>
          <w:p>
            <w:pPr/>
          </w:p>
        </w:tc>
        <w:tc>
          <w:tcPr>
            <w:tcW w:w="946" w:type="dxa"/>
            <w:tcBorders>
              <w:top w:val="single" w:sz="12" w:space="0" w:color="000000"/>
              <w:left w:val="single" w:sz="4" w:space="0" w:color="000000"/>
              <w:bottom w:val="single" w:sz="4" w:space="0" w:color="000000"/>
              <w:right w:val="single" w:sz="4" w:space="0" w:color="000000"/>
            </w:tcBorders>
          </w:tcPr>
          <w:p>
            <w:pPr/>
          </w:p>
        </w:tc>
        <w:tc>
          <w:tcPr>
            <w:tcW w:w="1124" w:type="dxa"/>
            <w:tcBorders>
              <w:top w:val="single" w:sz="12" w:space="0" w:color="000000"/>
              <w:left w:val="single" w:sz="4" w:space="0" w:color="000000"/>
              <w:bottom w:val="single" w:sz="4" w:space="0" w:color="000000"/>
              <w:right w:val="single" w:sz="4" w:space="0" w:color="000000"/>
            </w:tcBorders>
          </w:tcPr>
          <w:p>
            <w:pPr/>
          </w:p>
        </w:tc>
        <w:tc>
          <w:tcPr>
            <w:tcW w:w="601" w:type="dxa"/>
            <w:tcBorders>
              <w:top w:val="single" w:sz="12" w:space="0" w:color="000000"/>
              <w:left w:val="single" w:sz="4" w:space="0" w:color="000000"/>
              <w:bottom w:val="single" w:sz="4" w:space="0" w:color="000000"/>
              <w:right w:val="single" w:sz="4" w:space="0" w:color="000000"/>
            </w:tcBorders>
          </w:tcPr>
          <w:p>
            <w:pPr/>
          </w:p>
        </w:tc>
        <w:tc>
          <w:tcPr>
            <w:tcW w:w="845" w:type="dxa"/>
            <w:tcBorders>
              <w:top w:val="single" w:sz="12" w:space="0" w:color="000000"/>
              <w:left w:val="single" w:sz="4" w:space="0" w:color="000000"/>
              <w:bottom w:val="single" w:sz="4" w:space="0" w:color="000000"/>
              <w:right w:val="single" w:sz="12" w:space="0" w:color="000000"/>
            </w:tcBorders>
          </w:tcPr>
          <w:p>
            <w:pPr/>
          </w:p>
        </w:tc>
      </w:tr>
      <w:tr>
        <w:trPr>
          <w:trHeight w:val="716" w:hRule="exact"/>
        </w:trPr>
        <w:tc>
          <w:tcPr>
            <w:tcW w:w="13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6" w:right="127"/>
              <w:jc w:val="left"/>
              <w:rPr>
                <w:rFonts w:ascii="宋体" w:hAnsi="宋体" w:cs="宋体" w:eastAsia="宋体" w:hint="default"/>
                <w:sz w:val="18"/>
                <w:szCs w:val="18"/>
              </w:rPr>
            </w:pPr>
            <w:r>
              <w:rPr>
                <w:rFonts w:ascii="宋体" w:hAnsi="宋体" w:cs="宋体" w:eastAsia="宋体" w:hint="default"/>
                <w:sz w:val="18"/>
                <w:szCs w:val="18"/>
              </w:rPr>
              <w:t>承诺投资项目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小计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sz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20,400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20,400</w:t>
            </w:r>
          </w:p>
        </w:tc>
        <w:tc>
          <w:tcPr>
            <w:tcW w:w="73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21,436.25</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980.23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4,441.96</w:t>
            </w:r>
          </w:p>
        </w:tc>
        <w:tc>
          <w:tcPr>
            <w:tcW w:w="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0"/>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311"/>
              <w:jc w:val="right"/>
              <w:rPr>
                <w:rFonts w:ascii="宋体" w:hAnsi="宋体" w:cs="宋体" w:eastAsia="宋体" w:hint="default"/>
                <w:sz w:val="18"/>
                <w:szCs w:val="18"/>
              </w:rPr>
            </w:pPr>
            <w:r>
              <w:rPr>
                <w:rFonts w:ascii="宋体"/>
                <w:sz w:val="18"/>
              </w:rPr>
              <w:t>--</w:t>
            </w:r>
          </w:p>
        </w:tc>
      </w:tr>
      <w:tr>
        <w:trPr>
          <w:trHeight w:val="398" w:hRule="exact"/>
        </w:trPr>
        <w:tc>
          <w:tcPr>
            <w:tcW w:w="11035" w:type="dxa"/>
            <w:gridSpan w:val="1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96"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5" w:hRule="exact"/>
        </w:trPr>
        <w:tc>
          <w:tcPr>
            <w:tcW w:w="133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6" w:right="127"/>
              <w:jc w:val="left"/>
              <w:rPr>
                <w:rFonts w:ascii="宋体" w:hAnsi="宋体" w:cs="宋体" w:eastAsia="宋体" w:hint="default"/>
                <w:sz w:val="18"/>
                <w:szCs w:val="18"/>
              </w:rPr>
            </w:pPr>
            <w:r>
              <w:rPr>
                <w:rFonts w:ascii="宋体" w:hAnsi="宋体" w:cs="宋体" w:eastAsia="宋体" w:hint="default"/>
                <w:sz w:val="18"/>
                <w:szCs w:val="18"/>
              </w:rPr>
              <w:t>收购索瑞电气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股权</w:t>
            </w:r>
          </w:p>
        </w:tc>
        <w:tc>
          <w:tcPr>
            <w:tcW w:w="802"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7,296.25</w:t>
            </w:r>
          </w:p>
        </w:tc>
        <w:tc>
          <w:tcPr>
            <w:tcW w:w="91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332.79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18,233.11</w:t>
            </w:r>
          </w:p>
        </w:tc>
        <w:tc>
          <w:tcPr>
            <w:tcW w:w="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4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330"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4"/>
              <w:ind w:left="96" w:right="127"/>
              <w:jc w:val="left"/>
              <w:rPr>
                <w:rFonts w:ascii="宋体" w:hAnsi="宋体" w:cs="宋体" w:eastAsia="宋体" w:hint="default"/>
                <w:sz w:val="18"/>
                <w:szCs w:val="18"/>
              </w:rPr>
            </w:pPr>
            <w:r>
              <w:rPr>
                <w:rFonts w:ascii="宋体" w:hAnsi="宋体" w:cs="宋体" w:eastAsia="宋体" w:hint="default"/>
                <w:sz w:val="18"/>
                <w:szCs w:val="18"/>
              </w:rPr>
              <w:t>超募资金销户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补充流动资金</w:t>
            </w:r>
          </w:p>
        </w:tc>
        <w:tc>
          <w:tcPr>
            <w:tcW w:w="802"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0.37</w:t>
            </w:r>
          </w:p>
        </w:tc>
        <w:tc>
          <w:tcPr>
            <w:tcW w:w="91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601"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13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归还银行贷款</w:t>
            </w:r>
          </w:p>
          <w:p>
            <w:pPr>
              <w:pStyle w:val="TableParagraph"/>
              <w:spacing w:line="240" w:lineRule="auto" w:before="76"/>
              <w:ind w:left="96"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sz w:val="18"/>
              </w:rPr>
              <w:t>--</w:t>
            </w: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sz w:val="18"/>
              </w:rPr>
              <w:t>--</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0"/>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11"/>
              <w:jc w:val="right"/>
              <w:rPr>
                <w:rFonts w:ascii="宋体" w:hAnsi="宋体" w:cs="宋体" w:eastAsia="宋体" w:hint="default"/>
                <w:sz w:val="18"/>
                <w:szCs w:val="18"/>
              </w:rPr>
            </w:pPr>
            <w:r>
              <w:rPr>
                <w:rFonts w:ascii="宋体"/>
                <w:sz w:val="18"/>
              </w:rPr>
              <w:t>--</w:t>
            </w:r>
          </w:p>
        </w:tc>
      </w:tr>
      <w:tr>
        <w:trPr>
          <w:trHeight w:val="716" w:hRule="exact"/>
        </w:trPr>
        <w:tc>
          <w:tcPr>
            <w:tcW w:w="13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补充流动资金</w:t>
            </w:r>
          </w:p>
          <w:p>
            <w:pPr>
              <w:pStyle w:val="TableParagraph"/>
              <w:spacing w:line="240" w:lineRule="auto" w:before="82"/>
              <w:ind w:left="96"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sz w:val="18"/>
              </w:rPr>
              <w:t>--</w:t>
            </w: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z w:val="18"/>
              </w:rPr>
              <w:t>8,250</w:t>
            </w:r>
          </w:p>
        </w:tc>
        <w:tc>
          <w:tcPr>
            <w:tcW w:w="91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sz w:val="18"/>
              </w:rPr>
              <w:t>--</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00"/>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311"/>
              <w:jc w:val="right"/>
              <w:rPr>
                <w:rFonts w:ascii="宋体" w:hAnsi="宋体" w:cs="宋体" w:eastAsia="宋体" w:hint="default"/>
                <w:sz w:val="18"/>
                <w:szCs w:val="18"/>
              </w:rPr>
            </w:pPr>
            <w:r>
              <w:rPr>
                <w:rFonts w:ascii="宋体"/>
                <w:sz w:val="18"/>
              </w:rPr>
              <w:t>--</w:t>
            </w:r>
          </w:p>
        </w:tc>
      </w:tr>
      <w:tr>
        <w:trPr>
          <w:trHeight w:val="715" w:hRule="exact"/>
        </w:trPr>
        <w:tc>
          <w:tcPr>
            <w:tcW w:w="13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6" w:right="127"/>
              <w:jc w:val="left"/>
              <w:rPr>
                <w:rFonts w:ascii="宋体" w:hAnsi="宋体" w:cs="宋体" w:eastAsia="宋体" w:hint="default"/>
                <w:sz w:val="18"/>
                <w:szCs w:val="18"/>
              </w:rPr>
            </w:pPr>
            <w:r>
              <w:rPr>
                <w:rFonts w:ascii="宋体" w:hAnsi="宋体" w:cs="宋体" w:eastAsia="宋体" w:hint="default"/>
                <w:sz w:val="18"/>
                <w:szCs w:val="18"/>
              </w:rPr>
              <w:t>超募资金投向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小计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sz w:val="18"/>
              </w:rPr>
              <w:t>--</w:t>
            </w:r>
          </w:p>
        </w:tc>
        <w:tc>
          <w:tcPr>
            <w:tcW w:w="816"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15,546.62</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332.79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18,233.11</w:t>
            </w:r>
          </w:p>
        </w:tc>
        <w:tc>
          <w:tcPr>
            <w:tcW w:w="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00"/>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311"/>
              <w:jc w:val="right"/>
              <w:rPr>
                <w:rFonts w:ascii="宋体" w:hAnsi="宋体" w:cs="宋体" w:eastAsia="宋体" w:hint="default"/>
                <w:sz w:val="18"/>
                <w:szCs w:val="18"/>
              </w:rPr>
            </w:pPr>
            <w:r>
              <w:rPr>
                <w:rFonts w:ascii="宋体"/>
                <w:sz w:val="18"/>
              </w:rPr>
              <w:t>--</w:t>
            </w:r>
          </w:p>
        </w:tc>
      </w:tr>
      <w:tr>
        <w:trPr>
          <w:trHeight w:val="403" w:hRule="exact"/>
        </w:trPr>
        <w:tc>
          <w:tcPr>
            <w:tcW w:w="13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sz w:val="18"/>
              </w:rPr>
              <w:t>--</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20,400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20,400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36,982.87</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1,313.02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22,675.07</w:t>
            </w:r>
          </w:p>
        </w:tc>
        <w:tc>
          <w:tcPr>
            <w:tcW w:w="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0"/>
              <w:jc w:val="right"/>
              <w:rPr>
                <w:rFonts w:ascii="宋体" w:hAnsi="宋体" w:cs="宋体" w:eastAsia="宋体" w:hint="default"/>
                <w:sz w:val="18"/>
                <w:szCs w:val="18"/>
              </w:rPr>
            </w:pPr>
            <w:r>
              <w:rPr>
                <w:rFonts w:ascii="宋体"/>
                <w:sz w:val="18"/>
              </w:rPr>
              <w:t>--</w:t>
            </w:r>
          </w:p>
        </w:tc>
        <w:tc>
          <w:tcPr>
            <w:tcW w:w="845"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right="311"/>
              <w:jc w:val="right"/>
              <w:rPr>
                <w:rFonts w:ascii="宋体" w:hAnsi="宋体" w:cs="宋体" w:eastAsia="宋体" w:hint="default"/>
                <w:sz w:val="18"/>
                <w:szCs w:val="18"/>
              </w:rPr>
            </w:pPr>
            <w:r>
              <w:rPr>
                <w:rFonts w:ascii="宋体"/>
                <w:sz w:val="18"/>
              </w:rPr>
              <w:t>--</w:t>
            </w:r>
          </w:p>
        </w:tc>
      </w:tr>
      <w:tr>
        <w:trPr>
          <w:trHeight w:val="8100" w:hRule="exact"/>
        </w:trPr>
        <w:tc>
          <w:tcPr>
            <w:tcW w:w="133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96" w:right="127"/>
              <w:jc w:val="both"/>
              <w:rPr>
                <w:rFonts w:ascii="宋体" w:hAnsi="宋体" w:cs="宋体" w:eastAsia="宋体" w:hint="default"/>
                <w:sz w:val="18"/>
                <w:szCs w:val="18"/>
              </w:rPr>
            </w:pPr>
            <w:r>
              <w:rPr>
                <w:rFonts w:ascii="宋体" w:hAnsi="宋体" w:cs="宋体" w:eastAsia="宋体" w:hint="default"/>
                <w:sz w:val="18"/>
                <w:szCs w:val="18"/>
              </w:rPr>
              <w:t>未达到计划进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度或预计收益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的情况和原因</w:t>
            </w:r>
          </w:p>
          <w:p>
            <w:pPr>
              <w:pStyle w:val="TableParagraph"/>
              <w:spacing w:line="321" w:lineRule="auto" w:before="17"/>
              <w:ind w:left="96" w:right="309"/>
              <w:jc w:val="left"/>
              <w:rPr>
                <w:rFonts w:ascii="宋体" w:hAnsi="宋体" w:cs="宋体" w:eastAsia="宋体" w:hint="default"/>
                <w:sz w:val="18"/>
                <w:szCs w:val="18"/>
              </w:rPr>
            </w:pPr>
            <w:r>
              <w:rPr>
                <w:rFonts w:ascii="宋体" w:hAnsi="宋体" w:cs="宋体" w:eastAsia="宋体" w:hint="default"/>
                <w:sz w:val="18"/>
                <w:szCs w:val="18"/>
              </w:rPr>
              <w:t>（分具体项</w:t>
            </w:r>
            <w:r>
              <w:rPr>
                <w:rFonts w:ascii="宋体" w:hAnsi="宋体" w:cs="宋体" w:eastAsia="宋体" w:hint="default"/>
                <w:w w:val="101"/>
                <w:sz w:val="18"/>
                <w:szCs w:val="18"/>
              </w:rPr>
              <w:t> </w:t>
            </w:r>
            <w:r>
              <w:rPr>
                <w:rFonts w:ascii="宋体" w:hAnsi="宋体" w:cs="宋体" w:eastAsia="宋体" w:hint="default"/>
                <w:sz w:val="18"/>
                <w:szCs w:val="18"/>
              </w:rPr>
              <w:t>目）</w:t>
            </w:r>
          </w:p>
        </w:tc>
        <w:tc>
          <w:tcPr>
            <w:tcW w:w="9705" w:type="dxa"/>
            <w:gridSpan w:val="11"/>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101" w:right="0"/>
              <w:jc w:val="both"/>
              <w:rPr>
                <w:rFonts w:ascii="宋体" w:hAnsi="宋体" w:cs="宋体" w:eastAsia="宋体" w:hint="default"/>
                <w:sz w:val="18"/>
                <w:szCs w:val="18"/>
              </w:rPr>
            </w:pPr>
            <w:r>
              <w:rPr>
                <w:rFonts w:ascii="宋体" w:hAnsi="宋体" w:cs="宋体" w:eastAsia="宋体" w:hint="default"/>
                <w:spacing w:val="-4"/>
                <w:sz w:val="18"/>
                <w:szCs w:val="18"/>
              </w:rPr>
              <w:t>①电力用户用电信息采集系统产能扩大建设项目：由于公司变更了募集资金投资项目实施地点，详见公司 </w:t>
            </w:r>
            <w:r>
              <w:rPr>
                <w:rFonts w:ascii="宋体" w:hAnsi="宋体" w:cs="宋体" w:eastAsia="宋体" w:hint="default"/>
                <w:sz w:val="18"/>
                <w:szCs w:val="18"/>
              </w:rPr>
              <w:t>2013 </w:t>
            </w:r>
            <w:r>
              <w:rPr>
                <w:rFonts w:ascii="宋体" w:hAnsi="宋体" w:cs="宋体" w:eastAsia="宋体" w:hint="default"/>
                <w:sz w:val="18"/>
                <w:szCs w:val="18"/>
              </w:rPr>
              <w:t>年 </w:t>
            </w:r>
            <w:r>
              <w:rPr>
                <w:rFonts w:ascii="宋体" w:hAnsi="宋体" w:cs="宋体" w:eastAsia="宋体"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p>
          <w:p>
            <w:pPr>
              <w:pStyle w:val="TableParagraph"/>
              <w:spacing w:line="240" w:lineRule="auto" w:before="72"/>
              <w:ind w:left="101" w:right="0"/>
              <w:jc w:val="both"/>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pacing w:val="-5"/>
                <w:w w:val="101"/>
                <w:sz w:val="18"/>
                <w:szCs w:val="18"/>
              </w:rPr>
              <w:t>披</w:t>
            </w:r>
            <w:r>
              <w:rPr>
                <w:rFonts w:ascii="宋体" w:hAnsi="宋体" w:cs="宋体" w:eastAsia="宋体" w:hint="default"/>
                <w:w w:val="101"/>
                <w:sz w:val="18"/>
                <w:szCs w:val="18"/>
              </w:rPr>
              <w:t>露</w:t>
            </w:r>
            <w:r>
              <w:rPr>
                <w:rFonts w:ascii="宋体" w:hAnsi="宋体" w:cs="宋体" w:eastAsia="宋体" w:hint="default"/>
                <w:spacing w:val="-5"/>
                <w:w w:val="101"/>
                <w:sz w:val="18"/>
                <w:szCs w:val="18"/>
              </w:rPr>
              <w:t>的</w:t>
            </w: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变</w:t>
            </w:r>
            <w:r>
              <w:rPr>
                <w:rFonts w:ascii="宋体" w:hAnsi="宋体" w:cs="宋体" w:eastAsia="宋体" w:hint="default"/>
                <w:w w:val="101"/>
                <w:sz w:val="18"/>
                <w:szCs w:val="18"/>
              </w:rPr>
              <w:t>更</w:t>
            </w:r>
            <w:r>
              <w:rPr>
                <w:rFonts w:ascii="宋体" w:hAnsi="宋体" w:cs="宋体" w:eastAsia="宋体" w:hint="default"/>
                <w:spacing w:val="-5"/>
                <w:w w:val="101"/>
                <w:sz w:val="18"/>
                <w:szCs w:val="18"/>
              </w:rPr>
              <w:t>部</w:t>
            </w:r>
            <w:r>
              <w:rPr>
                <w:rFonts w:ascii="宋体" w:hAnsi="宋体" w:cs="宋体" w:eastAsia="宋体" w:hint="default"/>
                <w:w w:val="101"/>
                <w:sz w:val="18"/>
                <w:szCs w:val="18"/>
              </w:rPr>
              <w:t>分</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投</w:t>
            </w:r>
            <w:r>
              <w:rPr>
                <w:rFonts w:ascii="宋体" w:hAnsi="宋体" w:cs="宋体" w:eastAsia="宋体" w:hint="default"/>
                <w:w w:val="101"/>
                <w:sz w:val="18"/>
                <w:szCs w:val="18"/>
              </w:rPr>
              <w:t>资</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实</w:t>
            </w:r>
            <w:r>
              <w:rPr>
                <w:rFonts w:ascii="宋体" w:hAnsi="宋体" w:cs="宋体" w:eastAsia="宋体" w:hint="default"/>
                <w:w w:val="101"/>
                <w:sz w:val="18"/>
                <w:szCs w:val="18"/>
              </w:rPr>
              <w:t>施</w:t>
            </w:r>
            <w:r>
              <w:rPr>
                <w:rFonts w:ascii="宋体" w:hAnsi="宋体" w:cs="宋体" w:eastAsia="宋体" w:hint="default"/>
                <w:spacing w:val="-5"/>
                <w:w w:val="101"/>
                <w:sz w:val="18"/>
                <w:szCs w:val="18"/>
              </w:rPr>
              <w:t>地</w:t>
            </w:r>
            <w:r>
              <w:rPr>
                <w:rFonts w:ascii="宋体" w:hAnsi="宋体" w:cs="宋体" w:eastAsia="宋体" w:hint="default"/>
                <w:w w:val="101"/>
                <w:sz w:val="18"/>
                <w:szCs w:val="18"/>
              </w:rPr>
              <w:t>点</w:t>
            </w:r>
            <w:r>
              <w:rPr>
                <w:rFonts w:ascii="宋体" w:hAnsi="宋体" w:cs="宋体" w:eastAsia="宋体" w:hint="default"/>
                <w:spacing w:val="-5"/>
                <w:w w:val="101"/>
                <w:sz w:val="18"/>
                <w:szCs w:val="18"/>
              </w:rPr>
              <w:t>的</w:t>
            </w:r>
            <w:r>
              <w:rPr>
                <w:rFonts w:ascii="宋体" w:hAnsi="宋体" w:cs="宋体" w:eastAsia="宋体" w:hint="default"/>
                <w:w w:val="101"/>
                <w:sz w:val="18"/>
                <w:szCs w:val="18"/>
              </w:rPr>
              <w:t>公告</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5"/>
                <w:w w:val="101"/>
                <w:sz w:val="18"/>
                <w:szCs w:val="18"/>
              </w:rPr>
              <w:t>编</w:t>
            </w:r>
            <w:r>
              <w:rPr>
                <w:rFonts w:ascii="宋体" w:hAnsi="宋体" w:cs="宋体" w:eastAsia="宋体" w:hint="default"/>
                <w:w w:val="101"/>
                <w:sz w:val="18"/>
                <w:szCs w:val="18"/>
              </w:rPr>
              <w:t>码（</w:t>
            </w:r>
            <w:r>
              <w:rPr>
                <w:rFonts w:ascii="宋体" w:hAnsi="宋体" w:cs="宋体" w:eastAsia="宋体" w:hint="default"/>
                <w:spacing w:val="-5"/>
                <w:w w:val="101"/>
                <w:sz w:val="18"/>
                <w:szCs w:val="18"/>
              </w:rPr>
              <w:t>2</w:t>
            </w:r>
            <w:r>
              <w:rPr>
                <w:rFonts w:ascii="宋体" w:hAnsi="宋体" w:cs="宋体" w:eastAsia="宋体" w:hint="default"/>
                <w:w w:val="101"/>
                <w:sz w:val="18"/>
                <w:szCs w:val="18"/>
              </w:rPr>
              <w:t>01</w:t>
            </w:r>
            <w:r>
              <w:rPr>
                <w:rFonts w:ascii="宋体" w:hAnsi="宋体" w:cs="宋体" w:eastAsia="宋体" w:hint="default"/>
                <w:spacing w:val="-5"/>
                <w:w w:val="101"/>
                <w:sz w:val="18"/>
                <w:szCs w:val="18"/>
              </w:rPr>
              <w:t>3</w:t>
            </w:r>
            <w:r>
              <w:rPr>
                <w:rFonts w:ascii="宋体" w:hAnsi="宋体" w:cs="宋体" w:eastAsia="宋体" w:hint="default"/>
                <w:w w:val="101"/>
                <w:sz w:val="18"/>
                <w:szCs w:val="18"/>
              </w:rPr>
              <w:t>）</w:t>
            </w:r>
            <w:r>
              <w:rPr>
                <w:rFonts w:ascii="宋体" w:hAnsi="宋体" w:cs="宋体" w:eastAsia="宋体" w:hint="default"/>
                <w:w w:val="101"/>
                <w:sz w:val="18"/>
                <w:szCs w:val="18"/>
              </w:rPr>
              <w:t>01</w:t>
            </w:r>
            <w:r>
              <w:rPr>
                <w:rFonts w:ascii="宋体" w:hAnsi="宋体" w:cs="宋体" w:eastAsia="宋体" w:hint="default"/>
                <w:spacing w:val="-5"/>
                <w:w w:val="101"/>
                <w:sz w:val="18"/>
                <w:szCs w:val="18"/>
              </w:rPr>
              <w:t>1</w:t>
            </w:r>
            <w:r>
              <w:rPr>
                <w:rFonts w:ascii="宋体" w:hAnsi="宋体" w:cs="宋体" w:eastAsia="宋体" w:hint="default"/>
                <w:spacing w:val="-1"/>
                <w:w w:val="101"/>
                <w:sz w:val="18"/>
                <w:szCs w:val="18"/>
              </w:rPr>
              <w:t>1</w:t>
            </w:r>
            <w:r>
              <w:rPr>
                <w:rFonts w:ascii="宋体" w:hAnsi="宋体" w:cs="宋体" w:eastAsia="宋体" w:hint="default"/>
                <w:w w:val="101"/>
                <w:sz w:val="18"/>
                <w:szCs w:val="18"/>
              </w:rPr>
              <w:t>-</w:t>
            </w:r>
            <w:r>
              <w:rPr>
                <w:rFonts w:ascii="宋体" w:hAnsi="宋体" w:cs="宋体" w:eastAsia="宋体" w:hint="default"/>
                <w:spacing w:val="-9"/>
                <w:sz w:val="18"/>
                <w:szCs w:val="18"/>
              </w:rPr>
              <w:t> </w:t>
            </w:r>
            <w:r>
              <w:rPr>
                <w:rFonts w:ascii="宋体" w:hAnsi="宋体" w:cs="宋体" w:eastAsia="宋体" w:hint="default"/>
                <w:spacing w:val="-5"/>
                <w:w w:val="101"/>
                <w:sz w:val="18"/>
                <w:szCs w:val="18"/>
              </w:rPr>
              <w:t>0</w:t>
            </w:r>
            <w:r>
              <w:rPr>
                <w:rFonts w:ascii="宋体" w:hAnsi="宋体" w:cs="宋体" w:eastAsia="宋体" w:hint="default"/>
                <w:w w:val="101"/>
                <w:sz w:val="18"/>
                <w:szCs w:val="18"/>
              </w:rPr>
              <w:t>03</w:t>
            </w:r>
            <w:r>
              <w:rPr>
                <w:rFonts w:ascii="宋体" w:hAnsi="宋体" w:cs="宋体" w:eastAsia="宋体" w:hint="default"/>
                <w:spacing w:val="-47"/>
                <w:sz w:val="18"/>
                <w:szCs w:val="18"/>
              </w:rPr>
              <w:t> </w:t>
            </w:r>
            <w:r>
              <w:rPr>
                <w:rFonts w:ascii="宋体" w:hAnsi="宋体" w:cs="宋体" w:eastAsia="宋体" w:hint="default"/>
                <w:w w:val="101"/>
                <w:sz w:val="18"/>
                <w:szCs w:val="18"/>
              </w:rPr>
              <w:t>号</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与</w:t>
            </w:r>
            <w:r>
              <w:rPr>
                <w:rFonts w:ascii="宋体" w:hAnsi="宋体" w:cs="宋体" w:eastAsia="宋体" w:hint="default"/>
                <w:w w:val="101"/>
                <w:sz w:val="18"/>
                <w:szCs w:val="18"/>
              </w:rPr>
              <w:t>之</w:t>
            </w:r>
            <w:r>
              <w:rPr>
                <w:rFonts w:ascii="宋体" w:hAnsi="宋体" w:cs="宋体" w:eastAsia="宋体" w:hint="default"/>
                <w:spacing w:val="-5"/>
                <w:w w:val="101"/>
                <w:sz w:val="18"/>
                <w:szCs w:val="18"/>
              </w:rPr>
              <w:t>相</w:t>
            </w:r>
            <w:r>
              <w:rPr>
                <w:rFonts w:ascii="宋体" w:hAnsi="宋体" w:cs="宋体" w:eastAsia="宋体" w:hint="default"/>
                <w:w w:val="101"/>
                <w:sz w:val="18"/>
                <w:szCs w:val="18"/>
              </w:rPr>
              <w:t>关</w:t>
            </w:r>
            <w:r>
              <w:rPr>
                <w:rFonts w:ascii="宋体" w:hAnsi="宋体" w:cs="宋体" w:eastAsia="宋体" w:hint="default"/>
                <w:spacing w:val="-5"/>
                <w:w w:val="101"/>
                <w:sz w:val="18"/>
                <w:szCs w:val="18"/>
              </w:rPr>
              <w:t>的</w:t>
            </w:r>
            <w:r>
              <w:rPr>
                <w:rFonts w:ascii="宋体" w:hAnsi="宋体" w:cs="宋体" w:eastAsia="宋体" w:hint="default"/>
                <w:w w:val="101"/>
                <w:sz w:val="18"/>
                <w:szCs w:val="18"/>
              </w:rPr>
              <w:t>规</w:t>
            </w:r>
            <w:r>
              <w:rPr>
                <w:rFonts w:ascii="宋体" w:hAnsi="宋体" w:cs="宋体" w:eastAsia="宋体" w:hint="default"/>
                <w:spacing w:val="-5"/>
                <w:w w:val="101"/>
                <w:sz w:val="18"/>
                <w:szCs w:val="18"/>
              </w:rPr>
              <w:t>划</w:t>
            </w:r>
            <w:r>
              <w:rPr>
                <w:rFonts w:ascii="宋体" w:hAnsi="宋体" w:cs="宋体" w:eastAsia="宋体" w:hint="default"/>
                <w:w w:val="101"/>
                <w:sz w:val="18"/>
                <w:szCs w:val="18"/>
              </w:rPr>
              <w:t>许</w:t>
            </w:r>
            <w:r>
              <w:rPr>
                <w:rFonts w:ascii="宋体" w:hAnsi="宋体" w:cs="宋体" w:eastAsia="宋体" w:hint="default"/>
                <w:spacing w:val="-5"/>
                <w:w w:val="101"/>
                <w:sz w:val="18"/>
                <w:szCs w:val="18"/>
              </w:rPr>
              <w:t>可</w:t>
            </w:r>
            <w:r>
              <w:rPr>
                <w:rFonts w:ascii="宋体" w:hAnsi="宋体" w:cs="宋体" w:eastAsia="宋体" w:hint="default"/>
                <w:w w:val="101"/>
                <w:sz w:val="18"/>
                <w:szCs w:val="18"/>
              </w:rPr>
              <w:t>审</w:t>
            </w:r>
            <w:r>
              <w:rPr>
                <w:rFonts w:ascii="宋体" w:hAnsi="宋体" w:cs="宋体" w:eastAsia="宋体" w:hint="default"/>
                <w:sz w:val="18"/>
                <w:szCs w:val="18"/>
              </w:rPr>
            </w:r>
          </w:p>
          <w:p>
            <w:pPr>
              <w:pStyle w:val="TableParagraph"/>
              <w:spacing w:line="319" w:lineRule="auto" w:before="76"/>
              <w:ind w:left="101" w:right="170"/>
              <w:jc w:val="both"/>
              <w:rPr>
                <w:rFonts w:ascii="宋体" w:hAnsi="宋体" w:cs="宋体" w:eastAsia="宋体" w:hint="default"/>
                <w:sz w:val="18"/>
                <w:szCs w:val="18"/>
              </w:rPr>
            </w:pPr>
            <w:r>
              <w:rPr>
                <w:rFonts w:ascii="宋体" w:hAnsi="宋体" w:cs="宋体" w:eastAsia="宋体" w:hint="default"/>
                <w:spacing w:val="-3"/>
                <w:sz w:val="18"/>
                <w:szCs w:val="18"/>
              </w:rPr>
              <w:t>批、施工图审批、消防审批及项目施工许可审批等环节都相应调整并重新办理，需时较长。另外，公司所在城市于 </w:t>
            </w:r>
            <w:r>
              <w:rPr>
                <w:rFonts w:ascii="宋体" w:hAnsi="宋体" w:cs="宋体" w:eastAsia="宋体" w:hint="default"/>
                <w:sz w:val="18"/>
                <w:szCs w:val="18"/>
              </w:rPr>
              <w:t>2013</w:t>
            </w:r>
            <w:r>
              <w:rPr>
                <w:rFonts w:ascii="宋体" w:hAnsi="宋体" w:cs="宋体" w:eastAsia="宋体" w:hint="default"/>
                <w:spacing w:val="17"/>
                <w:sz w:val="18"/>
                <w:szCs w:val="18"/>
              </w:rPr>
              <w:t> </w:t>
            </w:r>
            <w:r>
              <w:rPr>
                <w:rFonts w:ascii="宋体" w:hAnsi="宋体" w:cs="宋体" w:eastAsia="宋体" w:hint="default"/>
                <w:sz w:val="18"/>
                <w:szCs w:val="18"/>
              </w:rPr>
              <w:t>年承办亚青会，</w:t>
            </w:r>
            <w:r>
              <w:rPr>
                <w:rFonts w:ascii="宋体" w:hAnsi="宋体" w:cs="宋体" w:eastAsia="宋体" w:hint="default"/>
                <w:sz w:val="18"/>
                <w:szCs w:val="18"/>
              </w:rPr>
              <w:t>2014 </w:t>
            </w:r>
            <w:r>
              <w:rPr>
                <w:rFonts w:ascii="宋体" w:hAnsi="宋体" w:cs="宋体" w:eastAsia="宋体" w:hint="default"/>
                <w:spacing w:val="-3"/>
                <w:sz w:val="18"/>
                <w:szCs w:val="18"/>
              </w:rPr>
              <w:t>年承办青奥会，服从政府部门在此期间对基建项目的管理要求也对项目的基建工期有一定影响，公</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司考虑到上述因素，公司在《</w:t>
            </w:r>
            <w:r>
              <w:rPr>
                <w:rFonts w:ascii="宋体" w:hAnsi="宋体" w:cs="宋体" w:eastAsia="宋体" w:hint="default"/>
                <w:sz w:val="18"/>
                <w:szCs w:val="18"/>
              </w:rPr>
              <w:t>2013 </w:t>
            </w:r>
            <w:r>
              <w:rPr>
                <w:rFonts w:ascii="宋体" w:hAnsi="宋体" w:cs="宋体" w:eastAsia="宋体" w:hint="default"/>
                <w:spacing w:val="-3"/>
                <w:sz w:val="18"/>
                <w:szCs w:val="18"/>
              </w:rPr>
              <w:t>年度半年度报告》中将“电力用户用电信息采集系统产能扩大建设项目”达到预定可</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使用状态日期由</w:t>
            </w:r>
            <w:r>
              <w:rPr>
                <w:rFonts w:ascii="宋体" w:hAnsi="宋体" w:cs="宋体" w:eastAsia="宋体" w:hint="default"/>
                <w:spacing w:val="-45"/>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日调整至</w:t>
            </w:r>
            <w:r>
              <w:rPr>
                <w:rFonts w:ascii="宋体" w:hAnsi="宋体" w:cs="宋体" w:eastAsia="宋体" w:hint="default"/>
                <w:spacing w:val="-50"/>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50"/>
                <w:sz w:val="18"/>
                <w:szCs w:val="18"/>
              </w:rPr>
              <w:t> </w:t>
            </w:r>
            <w:r>
              <w:rPr>
                <w:rFonts w:ascii="宋体" w:hAnsi="宋体" w:cs="宋体" w:eastAsia="宋体" w:hint="default"/>
                <w:sz w:val="18"/>
                <w:szCs w:val="18"/>
              </w:rPr>
              <w:t>日。</w:t>
            </w:r>
          </w:p>
          <w:p>
            <w:pPr>
              <w:pStyle w:val="TableParagraph"/>
              <w:spacing w:line="319" w:lineRule="auto" w:before="51"/>
              <w:ind w:left="101" w:right="1"/>
              <w:jc w:val="left"/>
              <w:rPr>
                <w:rFonts w:ascii="宋体" w:hAnsi="宋体" w:cs="宋体" w:eastAsia="宋体" w:hint="default"/>
                <w:sz w:val="18"/>
                <w:szCs w:val="18"/>
              </w:rPr>
            </w:pPr>
            <w:r>
              <w:rPr>
                <w:rFonts w:ascii="宋体" w:hAnsi="宋体" w:cs="宋体" w:eastAsia="宋体" w:hint="default"/>
                <w:spacing w:val="-3"/>
                <w:sz w:val="18"/>
                <w:szCs w:val="18"/>
              </w:rPr>
              <w:t>由于亚青会的召开及青奥会前期的市政工作，募投项目 </w:t>
            </w:r>
            <w:r>
              <w:rPr>
                <w:rFonts w:ascii="宋体" w:hAnsi="宋体" w:cs="宋体" w:eastAsia="宋体" w:hint="default"/>
                <w:sz w:val="18"/>
                <w:szCs w:val="18"/>
              </w:rPr>
              <w:t>2013 </w:t>
            </w:r>
            <w:r>
              <w:rPr>
                <w:rFonts w:ascii="宋体" w:hAnsi="宋体" w:cs="宋体" w:eastAsia="宋体" w:hint="default"/>
                <w:spacing w:val="-3"/>
                <w:sz w:val="18"/>
                <w:szCs w:val="18"/>
              </w:rPr>
              <w:t>年下半年的基建进度受到的影响比预期要大，此外为响应党</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4"/>
                <w:sz w:val="18"/>
                <w:szCs w:val="18"/>
              </w:rPr>
              <w:t>的十八大关于绿色、科技、节能、减排的号召，综合考虑募投项目未来运行及管理的科学性和便利性，以及灵活利用生产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设备，充分发挥生产效率的需要，公司对电力用户用电信息采集系统产能扩大建设项目在厂房内部结构和布局上重新进行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6"/>
                <w:sz w:val="18"/>
                <w:szCs w:val="18"/>
              </w:rPr>
              <w:t>规划设计。为避免完工后二次改造产生额外成本，公司决定在厂房建设阶段即进行方案设计和实施，将其建设成节能减排、</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绿色科技厂房。考虑到上述因素，公司将“电力用户用电信息采集系统产能扩大建设项目”达到预定可使用状态日期由</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pacing w:val="-3"/>
                <w:sz w:val="18"/>
                <w:szCs w:val="18"/>
              </w:rPr>
              <w:t>日调整至</w:t>
            </w:r>
            <w:r>
              <w:rPr>
                <w:rFonts w:ascii="宋体" w:hAnsi="宋体" w:cs="宋体" w:eastAsia="宋体" w:hint="default"/>
                <w:spacing w:val="-43"/>
                <w:sz w:val="18"/>
                <w:szCs w:val="18"/>
              </w:rPr>
              <w:t> </w:t>
            </w: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p>
            <w:pPr>
              <w:pStyle w:val="TableParagraph"/>
              <w:spacing w:line="316" w:lineRule="auto" w:before="55"/>
              <w:ind w:left="101" w:right="90"/>
              <w:jc w:val="left"/>
              <w:rPr>
                <w:rFonts w:ascii="宋体" w:hAnsi="宋体" w:cs="宋体" w:eastAsia="宋体" w:hint="default"/>
                <w:sz w:val="18"/>
                <w:szCs w:val="18"/>
              </w:rPr>
            </w:pPr>
            <w:r>
              <w:rPr>
                <w:rFonts w:ascii="宋体" w:hAnsi="宋体" w:cs="宋体" w:eastAsia="宋体" w:hint="default"/>
                <w:sz w:val="18"/>
                <w:szCs w:val="18"/>
              </w:rPr>
              <w:t>公司在《</w:t>
            </w:r>
            <w:r>
              <w:rPr>
                <w:rFonts w:ascii="宋体" w:hAnsi="宋体" w:cs="宋体" w:eastAsia="宋体" w:hint="default"/>
                <w:sz w:val="18"/>
                <w:szCs w:val="18"/>
              </w:rPr>
              <w:t>2014 </w:t>
            </w:r>
            <w:r>
              <w:rPr>
                <w:rFonts w:ascii="宋体" w:hAnsi="宋体" w:cs="宋体" w:eastAsia="宋体" w:hint="default"/>
                <w:spacing w:val="-3"/>
                <w:sz w:val="18"/>
                <w:szCs w:val="18"/>
              </w:rPr>
              <w:t>年度报告》中，电力用户用电信息采集系统产能扩大建设项目的厂房已建设完毕，按照柔性产能确定的生</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4"/>
                <w:sz w:val="18"/>
                <w:szCs w:val="18"/>
              </w:rPr>
              <w:t>产设备合同已陆续签署。由于该项目厂房与公司综合楼在同一地块一起投入建设，综合楼建设体量比厂房大，故在建设进</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度上慢于厂房，在规划供电、排水、交通、后勤保障等方面综合楼与厂房需要同步考虑，从经济效益角度考虑，厂房与综</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合楼同时启用经济效益最优，运行成本较低，综合楼预计 </w:t>
            </w:r>
            <w:r>
              <w:rPr>
                <w:rFonts w:ascii="宋体" w:hAnsi="宋体" w:cs="宋体" w:eastAsia="宋体" w:hint="default"/>
                <w:sz w:val="18"/>
                <w:szCs w:val="18"/>
              </w:rPr>
              <w:t>2016</w:t>
            </w:r>
            <w:r>
              <w:rPr>
                <w:rFonts w:ascii="宋体" w:hAnsi="宋体" w:cs="宋体" w:eastAsia="宋体" w:hint="default"/>
                <w:spacing w:val="59"/>
                <w:sz w:val="18"/>
                <w:szCs w:val="18"/>
              </w:rPr>
              <w:t> </w:t>
            </w:r>
            <w:r>
              <w:rPr>
                <w:rFonts w:ascii="宋体" w:hAnsi="宋体" w:cs="宋体" w:eastAsia="宋体" w:hint="default"/>
                <w:spacing w:val="-3"/>
                <w:sz w:val="18"/>
                <w:szCs w:val="18"/>
              </w:rPr>
              <w:t>年年初交付使用，考虑到上述因素，公司将“电力用户用</w:t>
            </w:r>
          </w:p>
          <w:p>
            <w:pPr>
              <w:pStyle w:val="TableParagraph"/>
              <w:spacing w:line="357" w:lineRule="auto" w:before="23"/>
              <w:ind w:left="101" w:right="854"/>
              <w:jc w:val="left"/>
              <w:rPr>
                <w:rFonts w:ascii="宋体" w:hAnsi="宋体" w:cs="宋体" w:eastAsia="宋体" w:hint="default"/>
                <w:sz w:val="18"/>
                <w:szCs w:val="18"/>
              </w:rPr>
            </w:pPr>
            <w:r>
              <w:rPr>
                <w:rFonts w:ascii="宋体" w:hAnsi="宋体" w:cs="宋体" w:eastAsia="宋体" w:hint="default"/>
                <w:spacing w:val="-3"/>
                <w:sz w:val="18"/>
                <w:szCs w:val="18"/>
              </w:rPr>
              <w:t>电信息采集系统产能扩大建设项目”达到预定可使用状态日期由</w:t>
            </w:r>
            <w:r>
              <w:rPr>
                <w:rFonts w:ascii="宋体" w:hAnsi="宋体" w:cs="宋体" w:eastAsia="宋体" w:hint="default"/>
                <w:spacing w:val="-37"/>
                <w:sz w:val="18"/>
                <w:szCs w:val="18"/>
              </w:rPr>
              <w:t> </w:t>
            </w:r>
            <w:r>
              <w:rPr>
                <w:rFonts w:ascii="宋体" w:hAnsi="宋体" w:cs="宋体" w:eastAsia="宋体" w:hint="default"/>
                <w:sz w:val="18"/>
                <w:szCs w:val="18"/>
              </w:rPr>
              <w:t>2014</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12</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日调整至</w:t>
            </w:r>
            <w:r>
              <w:rPr>
                <w:rFonts w:ascii="宋体" w:hAnsi="宋体" w:cs="宋体" w:eastAsia="宋体" w:hint="default"/>
                <w:spacing w:val="-38"/>
                <w:sz w:val="18"/>
                <w:szCs w:val="18"/>
              </w:rPr>
              <w:t> </w:t>
            </w:r>
            <w:r>
              <w:rPr>
                <w:rFonts w:ascii="宋体" w:hAnsi="宋体" w:cs="宋体" w:eastAsia="宋体" w:hint="default"/>
                <w:sz w:val="18"/>
                <w:szCs w:val="18"/>
              </w:rPr>
              <w:t>2016</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3</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宋体" w:hAnsi="宋体" w:cs="宋体" w:eastAsia="宋体" w:hint="default"/>
                <w:sz w:val="18"/>
                <w:szCs w:val="18"/>
              </w:rPr>
              <w:t>31</w:t>
            </w:r>
            <w:r>
              <w:rPr>
                <w:rFonts w:ascii="宋体" w:hAnsi="宋体" w:cs="宋体" w:eastAsia="宋体" w:hint="default"/>
                <w:spacing w:val="-38"/>
                <w:sz w:val="18"/>
                <w:szCs w:val="18"/>
              </w:rPr>
              <w:t> </w:t>
            </w:r>
            <w:r>
              <w:rPr>
                <w:rFonts w:ascii="宋体" w:hAnsi="宋体" w:cs="宋体" w:eastAsia="宋体" w:hint="default"/>
                <w:spacing w:val="-5"/>
                <w:sz w:val="18"/>
                <w:szCs w:val="18"/>
              </w:rPr>
              <w:t>日。</w:t>
            </w:r>
            <w:r>
              <w:rPr>
                <w:rFonts w:ascii="宋体" w:hAnsi="宋体" w:cs="宋体" w:eastAsia="宋体" w:hint="default"/>
                <w:spacing w:val="-85"/>
                <w:sz w:val="18"/>
                <w:szCs w:val="18"/>
              </w:rPr>
              <w:t> </w:t>
            </w:r>
            <w:r>
              <w:rPr>
                <w:rFonts w:ascii="宋体" w:hAnsi="宋体" w:cs="宋体" w:eastAsia="宋体" w:hint="default"/>
                <w:spacing w:val="-3"/>
                <w:sz w:val="18"/>
                <w:szCs w:val="18"/>
              </w:rPr>
              <w:t>截止目前，电力用户用电信息采集系统产能扩大建设项目已建成并投入使用。</w:t>
            </w:r>
          </w:p>
          <w:p>
            <w:pPr>
              <w:pStyle w:val="TableParagraph"/>
              <w:spacing w:line="316" w:lineRule="auto" w:before="22"/>
              <w:ind w:left="101" w:right="170"/>
              <w:jc w:val="left"/>
              <w:rPr>
                <w:rFonts w:ascii="宋体" w:hAnsi="宋体" w:cs="宋体" w:eastAsia="宋体" w:hint="default"/>
                <w:sz w:val="18"/>
                <w:szCs w:val="18"/>
              </w:rPr>
            </w:pPr>
            <w:r>
              <w:rPr>
                <w:rFonts w:ascii="宋体" w:hAnsi="宋体" w:cs="宋体" w:eastAsia="宋体" w:hint="default"/>
                <w:spacing w:val="-3"/>
                <w:sz w:val="18"/>
                <w:szCs w:val="18"/>
              </w:rPr>
              <w:t>②研发中心建设项目：因同受上述“电力用户用电信息采集系统产能扩大建设项目”延期因素影响，公司在《</w:t>
            </w:r>
            <w:r>
              <w:rPr>
                <w:rFonts w:ascii="宋体" w:hAnsi="宋体" w:cs="宋体" w:eastAsia="宋体" w:hint="default"/>
                <w:spacing w:val="-3"/>
                <w:sz w:val="18"/>
                <w:szCs w:val="18"/>
              </w:rPr>
              <w:t>2013 </w:t>
            </w:r>
            <w:r>
              <w:rPr>
                <w:rFonts w:ascii="宋体" w:hAnsi="宋体" w:cs="宋体" w:eastAsia="宋体" w:hint="default"/>
                <w:sz w:val="18"/>
                <w:szCs w:val="18"/>
              </w:rPr>
              <w:t>年度</w:t>
            </w:r>
            <w:r>
              <w:rPr>
                <w:rFonts w:ascii="宋体" w:hAnsi="宋体" w:cs="宋体" w:eastAsia="宋体" w:hint="default"/>
                <w:spacing w:val="-64"/>
                <w:sz w:val="18"/>
                <w:szCs w:val="18"/>
              </w:rPr>
              <w:t> </w:t>
            </w:r>
            <w:r>
              <w:rPr>
                <w:rFonts w:ascii="宋体" w:hAnsi="宋体" w:cs="宋体" w:eastAsia="宋体" w:hint="default"/>
                <w:spacing w:val="-3"/>
                <w:sz w:val="18"/>
                <w:szCs w:val="18"/>
              </w:rPr>
              <w:t>半年度报告》中将“研发中心建设项目”达到预定可使用状态日期由</w:t>
            </w:r>
            <w:r>
              <w:rPr>
                <w:rFonts w:ascii="宋体" w:hAnsi="宋体" w:cs="宋体" w:eastAsia="宋体" w:hint="default"/>
                <w:spacing w:val="-37"/>
                <w:sz w:val="18"/>
                <w:szCs w:val="18"/>
              </w:rPr>
              <w:t> </w:t>
            </w:r>
            <w:r>
              <w:rPr>
                <w:rFonts w:ascii="宋体" w:hAnsi="宋体" w:cs="宋体" w:eastAsia="宋体" w:hint="default"/>
                <w:sz w:val="18"/>
                <w:szCs w:val="18"/>
              </w:rPr>
              <w:t>2013</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9</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日调整至</w:t>
            </w:r>
            <w:r>
              <w:rPr>
                <w:rFonts w:ascii="宋体" w:hAnsi="宋体" w:cs="宋体" w:eastAsia="宋体" w:hint="default"/>
                <w:spacing w:val="-38"/>
                <w:sz w:val="18"/>
                <w:szCs w:val="18"/>
              </w:rPr>
              <w:t> </w:t>
            </w:r>
            <w:r>
              <w:rPr>
                <w:rFonts w:ascii="宋体" w:hAnsi="宋体" w:cs="宋体" w:eastAsia="宋体" w:hint="default"/>
                <w:sz w:val="18"/>
                <w:szCs w:val="18"/>
              </w:rPr>
              <w:t>2014</w:t>
            </w:r>
            <w:r>
              <w:rPr>
                <w:rFonts w:ascii="宋体" w:hAnsi="宋体" w:cs="宋体" w:eastAsia="宋体"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6</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101" w:right="91"/>
              <w:jc w:val="both"/>
              <w:rPr>
                <w:rFonts w:ascii="宋体" w:hAnsi="宋体" w:cs="宋体" w:eastAsia="宋体" w:hint="default"/>
                <w:sz w:val="18"/>
                <w:szCs w:val="18"/>
              </w:rPr>
            </w:pPr>
            <w:r>
              <w:rPr>
                <w:rFonts w:ascii="宋体" w:hAnsi="宋体" w:cs="宋体" w:eastAsia="宋体" w:hint="default"/>
                <w:sz w:val="18"/>
                <w:szCs w:val="18"/>
              </w:rPr>
              <w:t>公司所在城市 </w:t>
            </w:r>
            <w:r>
              <w:rPr>
                <w:rFonts w:ascii="宋体" w:hAnsi="宋体" w:cs="宋体" w:eastAsia="宋体" w:hint="default"/>
                <w:sz w:val="18"/>
                <w:szCs w:val="18"/>
              </w:rPr>
              <w:t>2014 </w:t>
            </w:r>
            <w:r>
              <w:rPr>
                <w:rFonts w:ascii="宋体" w:hAnsi="宋体" w:cs="宋体" w:eastAsia="宋体" w:hint="default"/>
                <w:spacing w:val="-3"/>
                <w:sz w:val="18"/>
                <w:szCs w:val="18"/>
              </w:rPr>
              <w:t>年将承办青奥会，为服从政府部门对城市重要干道基建项目的管理，致使项目的基建完工时间有所推</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4"/>
                <w:sz w:val="18"/>
                <w:szCs w:val="18"/>
              </w:rPr>
              <w:t>迟。研发中心项目所在综合楼目前已完成主体封顶，尚有内外墙体砌筑、外立面幕墙装饰施工、设备采购安装调试、水电</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气等各专业管线布置、内部装修、工程项目验收、备案等工作须进行，考虑到上述因素，公司将“研发中心建设项目”达</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到预定可使用状态日期由</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50"/>
                <w:sz w:val="18"/>
                <w:szCs w:val="18"/>
              </w:rPr>
              <w:t> </w:t>
            </w:r>
            <w:r>
              <w:rPr>
                <w:rFonts w:ascii="宋体" w:hAnsi="宋体" w:cs="宋体" w:eastAsia="宋体" w:hint="default"/>
                <w:sz w:val="18"/>
                <w:szCs w:val="18"/>
              </w:rPr>
              <w:t>日调整至</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after="0" w:line="319" w:lineRule="auto"/>
        <w:jc w:val="both"/>
        <w:rPr>
          <w:rFonts w:ascii="宋体" w:hAnsi="宋体" w:cs="宋体" w:eastAsia="宋体" w:hint="default"/>
          <w:sz w:val="18"/>
          <w:szCs w:val="18"/>
        </w:rPr>
        <w:sectPr>
          <w:pgSz w:w="11910" w:h="16840"/>
          <w:pgMar w:header="871" w:footer="1037" w:top="1100" w:bottom="1220" w:left="4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1328"/>
        <w:gridCol w:w="9705"/>
      </w:tblGrid>
      <w:tr>
        <w:trPr>
          <w:trHeight w:val="2991" w:hRule="exact"/>
        </w:trPr>
        <w:tc>
          <w:tcPr>
            <w:tcW w:w="1328"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9705" w:type="dxa"/>
            <w:tcBorders>
              <w:top w:val="single" w:sz="12" w:space="0" w:color="000000"/>
              <w:left w:val="single" w:sz="4" w:space="0" w:color="000000"/>
              <w:bottom w:val="single" w:sz="4" w:space="0" w:color="000000"/>
              <w:right w:val="single" w:sz="12" w:space="0" w:color="000000"/>
            </w:tcBorders>
          </w:tcPr>
          <w:p>
            <w:pPr>
              <w:pStyle w:val="TableParagraph"/>
              <w:spacing w:line="319" w:lineRule="auto" w:before="10"/>
              <w:ind w:left="101" w:right="96"/>
              <w:jc w:val="left"/>
              <w:rPr>
                <w:rFonts w:ascii="宋体" w:hAnsi="宋体" w:cs="宋体" w:eastAsia="宋体" w:hint="default"/>
                <w:sz w:val="18"/>
                <w:szCs w:val="18"/>
              </w:rPr>
            </w:pPr>
            <w:r>
              <w:rPr>
                <w:rFonts w:ascii="宋体" w:hAnsi="宋体" w:cs="宋体" w:eastAsia="宋体" w:hint="default"/>
                <w:sz w:val="18"/>
                <w:szCs w:val="18"/>
              </w:rPr>
              <w:t>公司在《</w:t>
            </w:r>
            <w:r>
              <w:rPr>
                <w:rFonts w:ascii="宋体" w:hAnsi="宋体" w:cs="宋体" w:eastAsia="宋体" w:hint="default"/>
                <w:sz w:val="18"/>
                <w:szCs w:val="18"/>
              </w:rPr>
              <w:t>2014 </w:t>
            </w:r>
            <w:r>
              <w:rPr>
                <w:rFonts w:ascii="宋体" w:hAnsi="宋体" w:cs="宋体" w:eastAsia="宋体" w:hint="default"/>
                <w:spacing w:val="-3"/>
                <w:sz w:val="18"/>
                <w:szCs w:val="18"/>
              </w:rPr>
              <w:t>年度报告》中，研发中心建设项目所在综合楼土建工程、水电安装及消防工程基本结束，外墙玻璃、石材</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4"/>
                <w:sz w:val="18"/>
                <w:szCs w:val="18"/>
              </w:rPr>
              <w:t>幕墙全部完成，尚待进行室内装修、空调设备安装、室外管网、道路及景观工程施工等方面的工作，考虑到上述工程工作</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量，公司将“研发中心建设项目”达到预定可使用状态日期由</w:t>
            </w:r>
            <w:r>
              <w:rPr>
                <w:rFonts w:ascii="宋体" w:hAnsi="宋体" w:cs="宋体" w:eastAsia="宋体" w:hint="default"/>
                <w:spacing w:val="-42"/>
                <w:sz w:val="18"/>
                <w:szCs w:val="18"/>
              </w:rPr>
              <w:t> </w:t>
            </w:r>
            <w:r>
              <w:rPr>
                <w:rFonts w:ascii="宋体" w:hAnsi="宋体" w:cs="宋体" w:eastAsia="宋体" w:hint="default"/>
                <w:sz w:val="18"/>
                <w:szCs w:val="18"/>
              </w:rPr>
              <w:t>2015</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6</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宋体" w:hAnsi="宋体" w:cs="宋体" w:eastAsia="宋体" w:hint="default"/>
                <w:sz w:val="18"/>
                <w:szCs w:val="18"/>
              </w:rPr>
              <w:t>30</w:t>
            </w:r>
            <w:r>
              <w:rPr>
                <w:rFonts w:ascii="宋体" w:hAnsi="宋体" w:cs="宋体" w:eastAsia="宋体" w:hint="default"/>
                <w:spacing w:val="-37"/>
                <w:sz w:val="18"/>
                <w:szCs w:val="18"/>
              </w:rPr>
              <w:t> </w:t>
            </w:r>
            <w:r>
              <w:rPr>
                <w:rFonts w:ascii="宋体" w:hAnsi="宋体" w:cs="宋体" w:eastAsia="宋体" w:hint="default"/>
                <w:spacing w:val="-3"/>
                <w:sz w:val="18"/>
                <w:szCs w:val="18"/>
              </w:rPr>
              <w:t>日调整至</w:t>
            </w:r>
            <w:r>
              <w:rPr>
                <w:rFonts w:ascii="宋体" w:hAnsi="宋体" w:cs="宋体" w:eastAsia="宋体" w:hint="default"/>
                <w:spacing w:val="-37"/>
                <w:sz w:val="18"/>
                <w:szCs w:val="18"/>
              </w:rPr>
              <w:t> </w:t>
            </w:r>
            <w:r>
              <w:rPr>
                <w:rFonts w:ascii="宋体" w:hAnsi="宋体" w:cs="宋体" w:eastAsia="宋体" w:hint="default"/>
                <w:sz w:val="18"/>
                <w:szCs w:val="18"/>
              </w:rPr>
              <w:t>2016</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3</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31</w:t>
            </w:r>
            <w:r>
              <w:rPr>
                <w:rFonts w:ascii="宋体" w:hAnsi="宋体" w:cs="宋体" w:eastAsia="宋体" w:hint="default"/>
                <w:spacing w:val="-37"/>
                <w:sz w:val="18"/>
                <w:szCs w:val="18"/>
              </w:rPr>
              <w:t> </w:t>
            </w:r>
            <w:r>
              <w:rPr>
                <w:rFonts w:ascii="宋体" w:hAnsi="宋体" w:cs="宋体" w:eastAsia="宋体" w:hint="default"/>
                <w:sz w:val="18"/>
                <w:szCs w:val="18"/>
              </w:rPr>
              <w:t>日。</w:t>
            </w:r>
          </w:p>
          <w:p>
            <w:pPr>
              <w:pStyle w:val="TableParagraph"/>
              <w:spacing w:line="316" w:lineRule="auto" w:before="56"/>
              <w:ind w:left="101" w:right="128"/>
              <w:jc w:val="left"/>
              <w:rPr>
                <w:rFonts w:ascii="宋体" w:hAnsi="宋体" w:cs="宋体" w:eastAsia="宋体" w:hint="default"/>
                <w:sz w:val="18"/>
                <w:szCs w:val="18"/>
              </w:rPr>
            </w:pPr>
            <w:r>
              <w:rPr>
                <w:rFonts w:ascii="宋体" w:hAnsi="宋体" w:cs="宋体" w:eastAsia="宋体" w:hint="default"/>
                <w:sz w:val="18"/>
                <w:szCs w:val="18"/>
              </w:rPr>
              <w:t>公司在《</w:t>
            </w:r>
            <w:r>
              <w:rPr>
                <w:rFonts w:ascii="宋体" w:hAnsi="宋体" w:cs="宋体" w:eastAsia="宋体" w:hint="default"/>
                <w:sz w:val="18"/>
                <w:szCs w:val="18"/>
              </w:rPr>
              <w:t>2015 </w:t>
            </w:r>
            <w:r>
              <w:rPr>
                <w:rFonts w:ascii="宋体" w:hAnsi="宋体" w:cs="宋体" w:eastAsia="宋体" w:hint="default"/>
                <w:spacing w:val="-3"/>
                <w:sz w:val="18"/>
                <w:szCs w:val="18"/>
              </w:rPr>
              <w:t>年度报告》中考虑到研发中心建设项目所在综合楼办公装修、楼层规划、采购设备等工作量，公司将“研</w:t>
            </w:r>
            <w:r>
              <w:rPr>
                <w:rFonts w:ascii="宋体" w:hAnsi="宋体" w:cs="宋体" w:eastAsia="宋体" w:hint="default"/>
                <w:sz w:val="18"/>
                <w:szCs w:val="18"/>
              </w:rPr>
              <w:t> </w:t>
            </w:r>
            <w:r>
              <w:rPr>
                <w:rFonts w:ascii="宋体" w:hAnsi="宋体" w:cs="宋体" w:eastAsia="宋体" w:hint="default"/>
                <w:sz w:val="18"/>
                <w:szCs w:val="18"/>
              </w:rPr>
            </w:r>
            <w:r>
              <w:rPr>
                <w:rFonts w:ascii="宋体" w:hAnsi="宋体" w:cs="宋体" w:eastAsia="宋体" w:hint="default"/>
                <w:spacing w:val="-3"/>
                <w:sz w:val="18"/>
                <w:szCs w:val="18"/>
              </w:rPr>
              <w:t>发中心建设项目”达到预定可使用状态日期由</w:t>
            </w:r>
            <w:r>
              <w:rPr>
                <w:rFonts w:ascii="宋体" w:hAnsi="宋体" w:cs="宋体" w:eastAsia="宋体" w:hint="default"/>
                <w:spacing w:val="-36"/>
                <w:sz w:val="18"/>
                <w:szCs w:val="18"/>
              </w:rPr>
              <w:t> </w:t>
            </w:r>
            <w:r>
              <w:rPr>
                <w:rFonts w:ascii="宋体" w:hAnsi="宋体" w:cs="宋体" w:eastAsia="宋体" w:hint="default"/>
                <w:sz w:val="18"/>
                <w:szCs w:val="18"/>
              </w:rPr>
              <w:t>2016</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3</w:t>
            </w:r>
            <w:r>
              <w:rPr>
                <w:rFonts w:ascii="宋体" w:hAnsi="宋体" w:cs="宋体" w:eastAsia="宋体"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日调整至</w:t>
            </w:r>
            <w:r>
              <w:rPr>
                <w:rFonts w:ascii="宋体" w:hAnsi="宋体" w:cs="宋体" w:eastAsia="宋体" w:hint="default"/>
                <w:spacing w:val="-36"/>
                <w:sz w:val="18"/>
                <w:szCs w:val="18"/>
              </w:rPr>
              <w:t> </w:t>
            </w:r>
            <w:r>
              <w:rPr>
                <w:rFonts w:ascii="宋体" w:hAnsi="宋体" w:cs="宋体" w:eastAsia="宋体" w:hint="default"/>
                <w:sz w:val="18"/>
                <w:szCs w:val="18"/>
              </w:rPr>
              <w:t>2016</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12</w:t>
            </w:r>
            <w:r>
              <w:rPr>
                <w:rFonts w:ascii="宋体" w:hAnsi="宋体" w:cs="宋体" w:eastAsia="宋体"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宋体" w:hAnsi="宋体" w:cs="宋体" w:eastAsia="宋体" w:hint="default"/>
                <w:sz w:val="18"/>
                <w:szCs w:val="18"/>
              </w:rPr>
              <w:t>31</w:t>
            </w:r>
            <w:r>
              <w:rPr>
                <w:rFonts w:ascii="宋体" w:hAnsi="宋体" w:cs="宋体" w:eastAsia="宋体" w:hint="default"/>
                <w:spacing w:val="-36"/>
                <w:sz w:val="18"/>
                <w:szCs w:val="18"/>
              </w:rPr>
              <w:t> </w:t>
            </w:r>
            <w:r>
              <w:rPr>
                <w:rFonts w:ascii="宋体" w:hAnsi="宋体" w:cs="宋体" w:eastAsia="宋体" w:hint="default"/>
                <w:spacing w:val="-3"/>
                <w:sz w:val="18"/>
                <w:szCs w:val="18"/>
              </w:rPr>
              <w:t>日。由于综合楼装修工作尚未结</w:t>
            </w:r>
          </w:p>
          <w:p>
            <w:pPr>
              <w:pStyle w:val="TableParagraph"/>
              <w:spacing w:line="340" w:lineRule="auto" w:before="19"/>
              <w:ind w:left="101" w:right="89"/>
              <w:jc w:val="left"/>
              <w:rPr>
                <w:rFonts w:ascii="宋体" w:hAnsi="宋体" w:cs="宋体" w:eastAsia="宋体" w:hint="default"/>
                <w:sz w:val="18"/>
                <w:szCs w:val="18"/>
              </w:rPr>
            </w:pPr>
            <w:r>
              <w:rPr>
                <w:rFonts w:ascii="宋体" w:hAnsi="宋体" w:cs="宋体" w:eastAsia="宋体" w:hint="default"/>
                <w:spacing w:val="-4"/>
                <w:sz w:val="18"/>
                <w:szCs w:val="18"/>
              </w:rPr>
              <w:t>束，公司拟将“研发中心建设项目”达到预定可使用状态日期由</w:t>
            </w:r>
            <w:r>
              <w:rPr>
                <w:rFonts w:ascii="宋体" w:hAnsi="宋体" w:cs="宋体" w:eastAsia="宋体" w:hint="default"/>
                <w:spacing w:val="-38"/>
                <w:sz w:val="18"/>
                <w:szCs w:val="18"/>
              </w:rPr>
              <w:t> </w:t>
            </w:r>
            <w:r>
              <w:rPr>
                <w:rFonts w:ascii="宋体" w:hAnsi="宋体" w:cs="宋体" w:eastAsia="宋体" w:hint="default"/>
                <w:sz w:val="18"/>
                <w:szCs w:val="18"/>
              </w:rPr>
              <w:t>2016</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12</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日调整至</w:t>
            </w:r>
            <w:r>
              <w:rPr>
                <w:rFonts w:ascii="宋体" w:hAnsi="宋体" w:cs="宋体" w:eastAsia="宋体" w:hint="default"/>
                <w:spacing w:val="-38"/>
                <w:sz w:val="18"/>
                <w:szCs w:val="18"/>
              </w:rPr>
              <w:t> </w:t>
            </w:r>
            <w:r>
              <w:rPr>
                <w:rFonts w:ascii="宋体" w:hAnsi="宋体" w:cs="宋体" w:eastAsia="宋体" w:hint="default"/>
                <w:sz w:val="18"/>
                <w:szCs w:val="18"/>
              </w:rPr>
              <w:t>2017</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12</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宋体" w:hAnsi="宋体" w:cs="宋体" w:eastAsia="宋体" w:hint="default"/>
                <w:sz w:val="18"/>
                <w:szCs w:val="18"/>
              </w:rPr>
              <w:t>31</w:t>
            </w:r>
            <w:r>
              <w:rPr>
                <w:rFonts w:ascii="宋体" w:hAnsi="宋体" w:cs="宋体" w:eastAsia="宋体" w:hint="default"/>
                <w:spacing w:val="-44"/>
                <w:sz w:val="18"/>
                <w:szCs w:val="18"/>
              </w:rPr>
              <w:t> </w:t>
            </w:r>
            <w:r>
              <w:rPr>
                <w:rFonts w:ascii="宋体" w:hAnsi="宋体" w:cs="宋体" w:eastAsia="宋体" w:hint="default"/>
                <w:spacing w:val="-5"/>
                <w:sz w:val="18"/>
                <w:szCs w:val="18"/>
              </w:rPr>
              <w:t>日。在此期间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公司研发部门在现有办公场地正常开展技术研发工作，研发中心建设项目进度延期不会影响公司正常研发工作的开展。</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截止目前，研发中心建设项目已建成并投入使用。</w:t>
            </w:r>
          </w:p>
        </w:tc>
      </w:tr>
      <w:tr>
        <w:trPr>
          <w:trHeight w:val="1334" w:hRule="exact"/>
        </w:trPr>
        <w:tc>
          <w:tcPr>
            <w:tcW w:w="1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94" w:right="127"/>
              <w:jc w:val="both"/>
              <w:rPr>
                <w:rFonts w:ascii="宋体" w:hAnsi="宋体" w:cs="宋体" w:eastAsia="宋体" w:hint="default"/>
                <w:sz w:val="18"/>
                <w:szCs w:val="18"/>
              </w:rPr>
            </w:pPr>
            <w:r>
              <w:rPr>
                <w:rFonts w:ascii="宋体" w:hAnsi="宋体" w:cs="宋体" w:eastAsia="宋体" w:hint="default"/>
                <w:sz w:val="18"/>
                <w:szCs w:val="18"/>
              </w:rPr>
              <w:t>项目可行性发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生重大变化的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情况说明</w:t>
            </w:r>
          </w:p>
        </w:tc>
        <w:tc>
          <w:tcPr>
            <w:tcW w:w="9705"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3"/>
              <w:ind w:left="101" w:right="42"/>
              <w:jc w:val="left"/>
              <w:rPr>
                <w:rFonts w:ascii="宋体" w:hAnsi="宋体" w:cs="宋体" w:eastAsia="宋体" w:hint="default"/>
                <w:sz w:val="18"/>
                <w:szCs w:val="18"/>
              </w:rPr>
            </w:pPr>
            <w:r>
              <w:rPr>
                <w:rFonts w:ascii="宋体" w:hAnsi="宋体" w:cs="宋体" w:eastAsia="宋体" w:hint="default"/>
                <w:spacing w:val="-4"/>
                <w:sz w:val="18"/>
                <w:szCs w:val="18"/>
              </w:rPr>
              <w:t>为降低公司对外投资风险、保护公司及股东的合法权益免受损失，维护上市公司和非关联股东特别是中小股东的利益，经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公司第二届董事会第十一次会议及</w:t>
            </w:r>
            <w:r>
              <w:rPr>
                <w:rFonts w:ascii="宋体" w:hAnsi="宋体" w:cs="宋体" w:eastAsia="宋体" w:hint="default"/>
                <w:spacing w:val="-31"/>
                <w:sz w:val="18"/>
                <w:szCs w:val="18"/>
              </w:rPr>
              <w:t> </w:t>
            </w:r>
            <w:r>
              <w:rPr>
                <w:rFonts w:ascii="宋体" w:hAnsi="宋体" w:cs="宋体" w:eastAsia="宋体" w:hint="default"/>
                <w:sz w:val="18"/>
                <w:szCs w:val="18"/>
              </w:rPr>
              <w:t>2014</w:t>
            </w:r>
            <w:r>
              <w:rPr>
                <w:rFonts w:ascii="宋体" w:hAnsi="宋体" w:cs="宋体" w:eastAsia="宋体" w:hint="default"/>
                <w:spacing w:val="-31"/>
                <w:sz w:val="18"/>
                <w:szCs w:val="18"/>
              </w:rPr>
              <w:t> </w:t>
            </w:r>
            <w:r>
              <w:rPr>
                <w:rFonts w:ascii="宋体" w:hAnsi="宋体" w:cs="宋体" w:eastAsia="宋体" w:hint="default"/>
                <w:spacing w:val="-3"/>
                <w:sz w:val="18"/>
                <w:szCs w:val="18"/>
              </w:rPr>
              <w:t>年第二次临时股东大会审议通过，公司将所持有的南京宇能</w:t>
            </w:r>
            <w:r>
              <w:rPr>
                <w:rFonts w:ascii="宋体" w:hAnsi="宋体" w:cs="宋体" w:eastAsia="宋体" w:hint="default"/>
                <w:spacing w:val="-30"/>
                <w:sz w:val="18"/>
                <w:szCs w:val="18"/>
              </w:rPr>
              <w:t> </w:t>
            </w:r>
            <w:r>
              <w:rPr>
                <w:rFonts w:ascii="宋体" w:hAnsi="宋体" w:cs="宋体" w:eastAsia="宋体" w:hint="default"/>
                <w:spacing w:val="-3"/>
                <w:sz w:val="18"/>
                <w:szCs w:val="18"/>
              </w:rPr>
              <w:t>55%</w:t>
            </w:r>
            <w:r>
              <w:rPr>
                <w:rFonts w:ascii="宋体" w:hAnsi="宋体" w:cs="宋体" w:eastAsia="宋体" w:hint="default"/>
                <w:spacing w:val="-3"/>
                <w:sz w:val="18"/>
                <w:szCs w:val="18"/>
              </w:rPr>
              <w:t>的股权、全部债</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权及相应权利整体转让给公司控股股东光一投资，上述股权投资款项 </w:t>
            </w:r>
            <w:r>
              <w:rPr>
                <w:rFonts w:ascii="宋体" w:hAnsi="宋体" w:cs="宋体" w:eastAsia="宋体" w:hint="default"/>
                <w:sz w:val="18"/>
                <w:szCs w:val="18"/>
              </w:rPr>
              <w:t>2,250 </w:t>
            </w:r>
            <w:r>
              <w:rPr>
                <w:rFonts w:ascii="宋体" w:hAnsi="宋体" w:cs="宋体" w:eastAsia="宋体" w:hint="default"/>
                <w:spacing w:val="-3"/>
                <w:sz w:val="18"/>
                <w:szCs w:val="18"/>
              </w:rPr>
              <w:t>万元公司已收回并存放于超募资金专用账户，</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南京宇能不再是公司控股子公司。</w:t>
            </w:r>
          </w:p>
        </w:tc>
      </w:tr>
      <w:tr>
        <w:trPr>
          <w:trHeight w:val="404" w:hRule="exact"/>
        </w:trPr>
        <w:tc>
          <w:tcPr>
            <w:tcW w:w="1328" w:type="dxa"/>
            <w:vMerge w:val="restart"/>
            <w:tcBorders>
              <w:top w:val="single" w:sz="4" w:space="0" w:color="000000"/>
              <w:left w:val="single" w:sz="12"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94" w:right="127"/>
              <w:jc w:val="both"/>
              <w:rPr>
                <w:rFonts w:ascii="宋体" w:hAnsi="宋体" w:cs="宋体" w:eastAsia="宋体" w:hint="default"/>
                <w:sz w:val="18"/>
                <w:szCs w:val="18"/>
              </w:rPr>
            </w:pPr>
            <w:r>
              <w:rPr>
                <w:rFonts w:ascii="宋体" w:hAnsi="宋体" w:cs="宋体" w:eastAsia="宋体" w:hint="default"/>
                <w:sz w:val="18"/>
                <w:szCs w:val="18"/>
              </w:rPr>
              <w:t>超募资金的金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额、用途及使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用进展情况</w:t>
            </w:r>
          </w:p>
        </w:tc>
        <w:tc>
          <w:tcPr>
            <w:tcW w:w="97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859" w:hRule="exact"/>
        </w:trPr>
        <w:tc>
          <w:tcPr>
            <w:tcW w:w="1328" w:type="dxa"/>
            <w:vMerge/>
            <w:tcBorders>
              <w:left w:val="single" w:sz="12" w:space="0" w:color="000000"/>
              <w:bottom w:val="single" w:sz="4" w:space="0" w:color="000000"/>
              <w:right w:val="single" w:sz="4" w:space="0" w:color="000000"/>
            </w:tcBorders>
            <w:shd w:val="clear" w:color="auto" w:fill="D2D2D2"/>
          </w:tcPr>
          <w:p>
            <w:pPr/>
          </w:p>
        </w:tc>
        <w:tc>
          <w:tcPr>
            <w:tcW w:w="97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宋体" w:hAnsi="宋体" w:cs="宋体" w:eastAsia="宋体" w:hint="default"/>
                <w:sz w:val="18"/>
                <w:szCs w:val="18"/>
              </w:rPr>
              <w:t>9</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宋体" w:hAnsi="宋体" w:cs="宋体" w:eastAsia="宋体" w:hint="default"/>
                <w:sz w:val="18"/>
                <w:szCs w:val="18"/>
              </w:rPr>
              <w:t>24</w:t>
            </w:r>
            <w:r>
              <w:rPr>
                <w:rFonts w:ascii="宋体" w:hAnsi="宋体" w:cs="宋体" w:eastAsia="宋体" w:hint="default"/>
                <w:spacing w:val="-37"/>
                <w:sz w:val="18"/>
                <w:szCs w:val="18"/>
              </w:rPr>
              <w:t> </w:t>
            </w:r>
            <w:r>
              <w:rPr>
                <w:rFonts w:ascii="宋体" w:hAnsi="宋体" w:cs="宋体" w:eastAsia="宋体" w:hint="default"/>
                <w:spacing w:val="-3"/>
                <w:sz w:val="18"/>
                <w:szCs w:val="18"/>
              </w:rPr>
              <w:t>日，公司首次公开发行股票募集资金净额为</w:t>
            </w:r>
            <w:r>
              <w:rPr>
                <w:rFonts w:ascii="宋体" w:hAnsi="宋体" w:cs="宋体" w:eastAsia="宋体" w:hint="default"/>
                <w:spacing w:val="-37"/>
                <w:sz w:val="18"/>
                <w:szCs w:val="18"/>
              </w:rPr>
              <w:t> </w:t>
            </w:r>
            <w:r>
              <w:rPr>
                <w:rFonts w:ascii="宋体" w:hAnsi="宋体" w:cs="宋体" w:eastAsia="宋体" w:hint="default"/>
                <w:sz w:val="18"/>
                <w:szCs w:val="18"/>
              </w:rPr>
              <w:t>35,429.12</w:t>
            </w:r>
            <w:r>
              <w:rPr>
                <w:rFonts w:ascii="宋体" w:hAnsi="宋体" w:cs="宋体" w:eastAsia="宋体" w:hint="default"/>
                <w:spacing w:val="-37"/>
                <w:sz w:val="18"/>
                <w:szCs w:val="18"/>
              </w:rPr>
              <w:t> </w:t>
            </w:r>
            <w:r>
              <w:rPr>
                <w:rFonts w:ascii="宋体" w:hAnsi="宋体" w:cs="宋体" w:eastAsia="宋体" w:hint="default"/>
                <w:spacing w:val="-3"/>
                <w:sz w:val="18"/>
                <w:szCs w:val="18"/>
              </w:rPr>
              <w:t>万元，其中超募资金</w:t>
            </w:r>
            <w:r>
              <w:rPr>
                <w:rFonts w:ascii="宋体" w:hAnsi="宋体" w:cs="宋体" w:eastAsia="宋体" w:hint="default"/>
                <w:spacing w:val="-37"/>
                <w:sz w:val="18"/>
                <w:szCs w:val="18"/>
              </w:rPr>
              <w:t> </w:t>
            </w:r>
            <w:r>
              <w:rPr>
                <w:rFonts w:ascii="宋体" w:hAnsi="宋体" w:cs="宋体" w:eastAsia="宋体" w:hint="default"/>
                <w:sz w:val="18"/>
                <w:szCs w:val="18"/>
              </w:rPr>
              <w:t>15,029.12</w:t>
            </w:r>
            <w:r>
              <w:rPr>
                <w:rFonts w:ascii="宋体" w:hAnsi="宋体" w:cs="宋体" w:eastAsia="宋体" w:hint="default"/>
                <w:spacing w:val="-37"/>
                <w:sz w:val="18"/>
                <w:szCs w:val="18"/>
              </w:rPr>
              <w:t> </w:t>
            </w:r>
            <w:r>
              <w:rPr>
                <w:rFonts w:ascii="宋体" w:hAnsi="宋体" w:cs="宋体" w:eastAsia="宋体" w:hint="default"/>
                <w:sz w:val="18"/>
                <w:szCs w:val="18"/>
              </w:rPr>
              <w:t>万元。</w:t>
            </w:r>
          </w:p>
          <w:p>
            <w:pPr>
              <w:pStyle w:val="TableParagraph"/>
              <w:spacing w:line="240" w:lineRule="auto" w:before="115"/>
              <w:ind w:left="101" w:right="0"/>
              <w:jc w:val="left"/>
              <w:rPr>
                <w:rFonts w:ascii="宋体" w:hAnsi="宋体" w:cs="宋体" w:eastAsia="宋体" w:hint="default"/>
                <w:sz w:val="18"/>
                <w:szCs w:val="18"/>
              </w:rPr>
            </w:pPr>
            <w:r>
              <w:rPr>
                <w:rFonts w:ascii="宋体" w:hAnsi="宋体" w:cs="宋体" w:eastAsia="宋体" w:hint="default"/>
                <w:w w:val="101"/>
                <w:sz w:val="18"/>
                <w:szCs w:val="18"/>
              </w:rPr>
              <w:t>①</w:t>
            </w:r>
            <w:r>
              <w:rPr>
                <w:rFonts w:ascii="宋体" w:hAnsi="宋体" w:cs="宋体" w:eastAsia="宋体" w:hint="default"/>
                <w:w w:val="101"/>
                <w:sz w:val="18"/>
                <w:szCs w:val="18"/>
              </w:rPr>
              <w:t>2012</w:t>
            </w:r>
            <w:r>
              <w:rPr>
                <w:rFonts w:ascii="宋体" w:hAnsi="宋体" w:cs="宋体" w:eastAsia="宋体" w:hint="default"/>
                <w:spacing w:val="-47"/>
                <w:sz w:val="18"/>
                <w:szCs w:val="18"/>
              </w:rPr>
              <w:t> </w:t>
            </w:r>
            <w:r>
              <w:rPr>
                <w:rFonts w:ascii="宋体" w:hAnsi="宋体" w:cs="宋体" w:eastAsia="宋体" w:hint="default"/>
                <w:w w:val="101"/>
                <w:sz w:val="18"/>
                <w:szCs w:val="18"/>
              </w:rPr>
              <w:t>年</w:t>
            </w:r>
            <w:r>
              <w:rPr>
                <w:rFonts w:ascii="宋体" w:hAnsi="宋体" w:cs="宋体" w:eastAsia="宋体" w:hint="default"/>
                <w:spacing w:val="-52"/>
                <w:sz w:val="18"/>
                <w:szCs w:val="18"/>
              </w:rPr>
              <w:t> </w:t>
            </w:r>
            <w:r>
              <w:rPr>
                <w:rFonts w:ascii="宋体" w:hAnsi="宋体" w:cs="宋体" w:eastAsia="宋体" w:hint="default"/>
                <w:w w:val="101"/>
                <w:sz w:val="18"/>
                <w:szCs w:val="18"/>
              </w:rPr>
              <w:t>10</w:t>
            </w:r>
            <w:r>
              <w:rPr>
                <w:rFonts w:ascii="宋体" w:hAnsi="宋体" w:cs="宋体" w:eastAsia="宋体" w:hint="default"/>
                <w:spacing w:val="-47"/>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宋体" w:hAnsi="宋体" w:cs="宋体" w:eastAsia="宋体" w:hint="default"/>
                <w:w w:val="101"/>
                <w:sz w:val="18"/>
                <w:szCs w:val="18"/>
              </w:rPr>
              <w:t>30</w:t>
            </w:r>
            <w:r>
              <w:rPr>
                <w:rFonts w:ascii="宋体" w:hAnsi="宋体" w:cs="宋体" w:eastAsia="宋体" w:hint="default"/>
                <w:spacing w:val="-47"/>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披</w:t>
            </w:r>
            <w:r>
              <w:rPr>
                <w:rFonts w:ascii="宋体" w:hAnsi="宋体" w:cs="宋体" w:eastAsia="宋体" w:hint="default"/>
                <w:w w:val="101"/>
                <w:sz w:val="18"/>
                <w:szCs w:val="18"/>
              </w:rPr>
              <w:t>露</w:t>
            </w:r>
            <w:r>
              <w:rPr>
                <w:rFonts w:ascii="宋体" w:hAnsi="宋体" w:cs="宋体" w:eastAsia="宋体" w:hint="default"/>
                <w:spacing w:val="-5"/>
                <w:w w:val="101"/>
                <w:sz w:val="18"/>
                <w:szCs w:val="18"/>
              </w:rPr>
              <w:t>了</w:t>
            </w: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pacing w:val="-5"/>
                <w:w w:val="101"/>
                <w:sz w:val="18"/>
                <w:szCs w:val="18"/>
              </w:rPr>
              <w:t>部</w:t>
            </w:r>
            <w:r>
              <w:rPr>
                <w:rFonts w:ascii="宋体" w:hAnsi="宋体" w:cs="宋体" w:eastAsia="宋体" w:hint="default"/>
                <w:w w:val="101"/>
                <w:sz w:val="18"/>
                <w:szCs w:val="18"/>
              </w:rPr>
              <w:t>分</w:t>
            </w:r>
            <w:r>
              <w:rPr>
                <w:rFonts w:ascii="宋体" w:hAnsi="宋体" w:cs="宋体" w:eastAsia="宋体" w:hint="default"/>
                <w:spacing w:val="-5"/>
                <w:w w:val="101"/>
                <w:sz w:val="18"/>
                <w:szCs w:val="18"/>
              </w:rPr>
              <w:t>超</w:t>
            </w:r>
            <w:r>
              <w:rPr>
                <w:rFonts w:ascii="宋体" w:hAnsi="宋体" w:cs="宋体" w:eastAsia="宋体" w:hint="default"/>
                <w:w w:val="101"/>
                <w:sz w:val="18"/>
                <w:szCs w:val="18"/>
              </w:rPr>
              <w:t>募</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永</w:t>
            </w:r>
            <w:r>
              <w:rPr>
                <w:rFonts w:ascii="宋体" w:hAnsi="宋体" w:cs="宋体" w:eastAsia="宋体" w:hint="default"/>
                <w:w w:val="101"/>
                <w:sz w:val="18"/>
                <w:szCs w:val="18"/>
              </w:rPr>
              <w:t>久</w:t>
            </w:r>
            <w:r>
              <w:rPr>
                <w:rFonts w:ascii="宋体" w:hAnsi="宋体" w:cs="宋体" w:eastAsia="宋体" w:hint="default"/>
                <w:spacing w:val="-5"/>
                <w:w w:val="101"/>
                <w:sz w:val="18"/>
                <w:szCs w:val="18"/>
              </w:rPr>
              <w:t>补</w:t>
            </w:r>
            <w:r>
              <w:rPr>
                <w:rFonts w:ascii="宋体" w:hAnsi="宋体" w:cs="宋体" w:eastAsia="宋体" w:hint="default"/>
                <w:w w:val="101"/>
                <w:sz w:val="18"/>
                <w:szCs w:val="18"/>
              </w:rPr>
              <w:t>充</w:t>
            </w:r>
            <w:r>
              <w:rPr>
                <w:rFonts w:ascii="宋体" w:hAnsi="宋体" w:cs="宋体" w:eastAsia="宋体" w:hint="default"/>
                <w:spacing w:val="-5"/>
                <w:w w:val="101"/>
                <w:sz w:val="18"/>
                <w:szCs w:val="18"/>
              </w:rPr>
              <w:t>流</w:t>
            </w:r>
            <w:r>
              <w:rPr>
                <w:rFonts w:ascii="宋体" w:hAnsi="宋体" w:cs="宋体" w:eastAsia="宋体" w:hint="default"/>
                <w:w w:val="101"/>
                <w:sz w:val="18"/>
                <w:szCs w:val="18"/>
              </w:rPr>
              <w:t>动</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的</w:t>
            </w:r>
            <w:r>
              <w:rPr>
                <w:rFonts w:ascii="宋体" w:hAnsi="宋体" w:cs="宋体" w:eastAsia="宋体" w:hint="default"/>
                <w:w w:val="101"/>
                <w:sz w:val="18"/>
                <w:szCs w:val="18"/>
              </w:rPr>
              <w:t>公告</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5"/>
                <w:w w:val="101"/>
                <w:sz w:val="18"/>
                <w:szCs w:val="18"/>
              </w:rPr>
              <w:t>编</w:t>
            </w:r>
            <w:r>
              <w:rPr>
                <w:rFonts w:ascii="宋体" w:hAnsi="宋体" w:cs="宋体" w:eastAsia="宋体" w:hint="default"/>
                <w:w w:val="101"/>
                <w:sz w:val="18"/>
                <w:szCs w:val="18"/>
              </w:rPr>
              <w:t>号</w:t>
            </w:r>
            <w:r>
              <w:rPr>
                <w:rFonts w:ascii="宋体" w:hAnsi="宋体" w:cs="宋体" w:eastAsia="宋体" w:hint="default"/>
                <w:spacing w:val="-4"/>
                <w:w w:val="101"/>
                <w:sz w:val="18"/>
                <w:szCs w:val="18"/>
              </w:rPr>
              <w:t>（</w:t>
            </w:r>
            <w:r>
              <w:rPr>
                <w:rFonts w:ascii="宋体" w:hAnsi="宋体" w:cs="宋体" w:eastAsia="宋体" w:hint="default"/>
                <w:w w:val="101"/>
                <w:sz w:val="18"/>
                <w:szCs w:val="18"/>
              </w:rPr>
              <w:t>201</w:t>
            </w:r>
            <w:r>
              <w:rPr>
                <w:rFonts w:ascii="宋体" w:hAnsi="宋体" w:cs="宋体" w:eastAsia="宋体" w:hint="default"/>
                <w:spacing w:val="-5"/>
                <w:w w:val="101"/>
                <w:sz w:val="18"/>
                <w:szCs w:val="18"/>
              </w:rPr>
              <w:t>2</w:t>
            </w:r>
            <w:r>
              <w:rPr>
                <w:rFonts w:ascii="宋体" w:hAnsi="宋体" w:cs="宋体" w:eastAsia="宋体" w:hint="default"/>
                <w:w w:val="101"/>
                <w:sz w:val="18"/>
                <w:szCs w:val="18"/>
              </w:rPr>
              <w:t>）</w:t>
            </w:r>
            <w:r>
              <w:rPr>
                <w:rFonts w:ascii="宋体" w:hAnsi="宋体" w:cs="宋体" w:eastAsia="宋体" w:hint="default"/>
                <w:w w:val="101"/>
                <w:sz w:val="18"/>
                <w:szCs w:val="18"/>
              </w:rPr>
              <w:t>1</w:t>
            </w:r>
            <w:r>
              <w:rPr>
                <w:rFonts w:ascii="宋体" w:hAnsi="宋体" w:cs="宋体" w:eastAsia="宋体" w:hint="default"/>
                <w:spacing w:val="-5"/>
                <w:w w:val="101"/>
                <w:sz w:val="18"/>
                <w:szCs w:val="18"/>
              </w:rPr>
              <w:t>0</w:t>
            </w:r>
            <w:r>
              <w:rPr>
                <w:rFonts w:ascii="宋体" w:hAnsi="宋体" w:cs="宋体" w:eastAsia="宋体" w:hint="default"/>
                <w:w w:val="101"/>
                <w:sz w:val="18"/>
                <w:szCs w:val="18"/>
              </w:rPr>
              <w:t>30-</w:t>
            </w:r>
            <w:r>
              <w:rPr>
                <w:rFonts w:ascii="宋体" w:hAnsi="宋体" w:cs="宋体" w:eastAsia="宋体" w:hint="default"/>
                <w:spacing w:val="-5"/>
                <w:w w:val="101"/>
                <w:sz w:val="18"/>
                <w:szCs w:val="18"/>
              </w:rPr>
              <w:t>0</w:t>
            </w:r>
            <w:r>
              <w:rPr>
                <w:rFonts w:ascii="宋体" w:hAnsi="宋体" w:cs="宋体" w:eastAsia="宋体" w:hint="default"/>
                <w:w w:val="101"/>
                <w:sz w:val="18"/>
                <w:szCs w:val="18"/>
              </w:rPr>
              <w:t>1</w:t>
            </w:r>
            <w:r>
              <w:rPr>
                <w:rFonts w:ascii="宋体" w:hAnsi="宋体" w:cs="宋体" w:eastAsia="宋体" w:hint="default"/>
                <w:spacing w:val="-1"/>
                <w:w w:val="101"/>
                <w:sz w:val="18"/>
                <w:szCs w:val="18"/>
              </w:rPr>
              <w:t>0</w:t>
            </w:r>
            <w:r>
              <w:rPr>
                <w:rFonts w:ascii="宋体" w:hAnsi="宋体" w:cs="宋体" w:eastAsia="宋体" w:hint="default"/>
                <w:spacing w:val="-96"/>
                <w:w w:val="101"/>
                <w:sz w:val="18"/>
                <w:szCs w:val="18"/>
              </w:rPr>
              <w:t>），</w:t>
            </w:r>
            <w:r>
              <w:rPr>
                <w:rFonts w:ascii="宋体" w:hAnsi="宋体" w:cs="宋体" w:eastAsia="宋体" w:hint="default"/>
                <w:sz w:val="18"/>
                <w:szCs w:val="18"/>
              </w:rPr>
            </w:r>
          </w:p>
          <w:p>
            <w:pPr>
              <w:pStyle w:val="TableParagraph"/>
              <w:spacing w:line="321" w:lineRule="auto" w:before="76"/>
              <w:ind w:left="101" w:right="91"/>
              <w:jc w:val="left"/>
              <w:rPr>
                <w:rFonts w:ascii="宋体" w:hAnsi="宋体" w:cs="宋体" w:eastAsia="宋体" w:hint="default"/>
                <w:sz w:val="18"/>
                <w:szCs w:val="18"/>
              </w:rPr>
            </w:pPr>
            <w:r>
              <w:rPr>
                <w:rFonts w:ascii="宋体" w:hAnsi="宋体" w:cs="宋体" w:eastAsia="宋体" w:hint="default"/>
                <w:sz w:val="18"/>
                <w:szCs w:val="18"/>
              </w:rPr>
              <w:t>公司使用超募资金 </w:t>
            </w:r>
            <w:r>
              <w:rPr>
                <w:rFonts w:ascii="宋体" w:hAnsi="宋体" w:cs="宋体" w:eastAsia="宋体" w:hint="default"/>
                <w:sz w:val="18"/>
                <w:szCs w:val="18"/>
              </w:rPr>
              <w:t>3,000 </w:t>
            </w:r>
            <w:r>
              <w:rPr>
                <w:rFonts w:ascii="宋体" w:hAnsi="宋体" w:cs="宋体" w:eastAsia="宋体" w:hint="default"/>
                <w:spacing w:val="-4"/>
                <w:sz w:val="18"/>
                <w:szCs w:val="18"/>
              </w:rPr>
              <w:t>万元用于永久补充流动资金，公司承诺在永久补充流动资金后十二个月内不进行证券投资、委托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理财、衍生品投资、创业投资等高风险投资。上述款项公司已划转完成。</w:t>
            </w:r>
          </w:p>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z w:val="18"/>
                <w:szCs w:val="18"/>
              </w:rPr>
              <w:t>2013</w:t>
            </w:r>
            <w:r>
              <w:rPr>
                <w:rFonts w:ascii="宋体" w:hAnsi="宋体" w:cs="宋体" w:eastAsia="宋体"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宋体" w:hAnsi="宋体" w:cs="宋体" w:eastAsia="宋体" w:hint="default"/>
                <w:sz w:val="18"/>
                <w:szCs w:val="18"/>
              </w:rPr>
              <w:t>11</w:t>
            </w:r>
            <w:r>
              <w:rPr>
                <w:rFonts w:ascii="宋体" w:hAnsi="宋体" w:cs="宋体" w:eastAsia="宋体"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18"/>
                <w:sz w:val="18"/>
                <w:szCs w:val="18"/>
              </w:rPr>
              <w:t> </w:t>
            </w:r>
            <w:r>
              <w:rPr>
                <w:rFonts w:ascii="宋体" w:hAnsi="宋体" w:cs="宋体" w:eastAsia="宋体" w:hint="default"/>
                <w:sz w:val="18"/>
                <w:szCs w:val="18"/>
              </w:rPr>
              <w:t>15</w:t>
            </w:r>
            <w:r>
              <w:rPr>
                <w:rFonts w:ascii="宋体" w:hAnsi="宋体" w:cs="宋体" w:eastAsia="宋体" w:hint="default"/>
                <w:spacing w:val="-18"/>
                <w:sz w:val="18"/>
                <w:szCs w:val="18"/>
              </w:rPr>
              <w:t> </w:t>
            </w:r>
            <w:r>
              <w:rPr>
                <w:rFonts w:ascii="宋体" w:hAnsi="宋体" w:cs="宋体" w:eastAsia="宋体" w:hint="default"/>
                <w:spacing w:val="-3"/>
                <w:sz w:val="18"/>
                <w:szCs w:val="18"/>
              </w:rPr>
              <w:t>日，公司披露了《关于使用部分超募资金和自有资金向南京宇能仪表有限公司增资并受让部分股权的</w:t>
            </w:r>
          </w:p>
          <w:p>
            <w:pPr>
              <w:pStyle w:val="TableParagraph"/>
              <w:spacing w:line="319" w:lineRule="auto" w:before="76"/>
              <w:ind w:left="101" w:right="-1"/>
              <w:jc w:val="left"/>
              <w:rPr>
                <w:rFonts w:ascii="宋体" w:hAnsi="宋体" w:cs="宋体" w:eastAsia="宋体" w:hint="default"/>
                <w:sz w:val="18"/>
                <w:szCs w:val="18"/>
              </w:rPr>
            </w:pPr>
            <w:r>
              <w:rPr>
                <w:rFonts w:ascii="宋体" w:hAnsi="宋体" w:cs="宋体" w:eastAsia="宋体" w:hint="default"/>
                <w:spacing w:val="-7"/>
                <w:w w:val="101"/>
                <w:sz w:val="18"/>
                <w:szCs w:val="18"/>
              </w:rPr>
              <w:t>公告》（公告编号（</w:t>
            </w:r>
            <w:r>
              <w:rPr>
                <w:rFonts w:ascii="宋体" w:hAnsi="宋体" w:cs="宋体" w:eastAsia="宋体" w:hint="default"/>
                <w:spacing w:val="-7"/>
                <w:w w:val="101"/>
                <w:sz w:val="18"/>
                <w:szCs w:val="18"/>
              </w:rPr>
              <w:t>2013</w:t>
            </w:r>
            <w:r>
              <w:rPr>
                <w:rFonts w:ascii="宋体" w:hAnsi="宋体" w:cs="宋体" w:eastAsia="宋体" w:hint="default"/>
                <w:spacing w:val="-7"/>
                <w:w w:val="101"/>
                <w:sz w:val="18"/>
                <w:szCs w:val="18"/>
              </w:rPr>
              <w:t>）</w:t>
            </w:r>
            <w:r>
              <w:rPr>
                <w:rFonts w:ascii="宋体" w:hAnsi="宋体" w:cs="宋体" w:eastAsia="宋体" w:hint="default"/>
                <w:spacing w:val="-7"/>
                <w:w w:val="101"/>
                <w:sz w:val="18"/>
                <w:szCs w:val="18"/>
              </w:rPr>
              <w:t>1115</w:t>
            </w:r>
            <w:r>
              <w:rPr>
                <w:rFonts w:ascii="宋体" w:hAnsi="宋体" w:cs="宋体" w:eastAsia="宋体" w:hint="default"/>
                <w:spacing w:val="3"/>
                <w:w w:val="101"/>
                <w:sz w:val="18"/>
                <w:szCs w:val="18"/>
              </w:rPr>
              <w:t> </w:t>
            </w:r>
            <w:r>
              <w:rPr>
                <w:rFonts w:ascii="宋体" w:hAnsi="宋体" w:cs="宋体" w:eastAsia="宋体" w:hint="default"/>
                <w:spacing w:val="-6"/>
                <w:w w:val="101"/>
                <w:sz w:val="18"/>
                <w:szCs w:val="18"/>
              </w:rPr>
              <w:t>-051</w:t>
            </w:r>
            <w:r>
              <w:rPr>
                <w:rFonts w:ascii="宋体" w:hAnsi="宋体" w:cs="宋体" w:eastAsia="宋体" w:hint="default"/>
                <w:spacing w:val="-6"/>
                <w:w w:val="101"/>
                <w:sz w:val="18"/>
                <w:szCs w:val="18"/>
              </w:rPr>
              <w:t>），同意公司使用首次公开发行股票的超募资金</w:t>
            </w:r>
            <w:r>
              <w:rPr>
                <w:rFonts w:ascii="宋体" w:hAnsi="宋体" w:cs="宋体" w:eastAsia="宋体" w:hint="default"/>
                <w:spacing w:val="-46"/>
                <w:w w:val="101"/>
                <w:sz w:val="18"/>
                <w:szCs w:val="18"/>
              </w:rPr>
              <w:t> </w:t>
            </w:r>
            <w:r>
              <w:rPr>
                <w:rFonts w:ascii="宋体" w:hAnsi="宋体" w:cs="宋体" w:eastAsia="宋体" w:hint="default"/>
                <w:spacing w:val="-1"/>
                <w:w w:val="101"/>
                <w:sz w:val="18"/>
                <w:szCs w:val="18"/>
              </w:rPr>
              <w:t>2,250</w:t>
            </w:r>
            <w:r>
              <w:rPr>
                <w:rFonts w:ascii="宋体" w:hAnsi="宋体" w:cs="宋体" w:eastAsia="宋体" w:hint="default"/>
                <w:spacing w:val="-47"/>
                <w:w w:val="101"/>
                <w:sz w:val="18"/>
                <w:szCs w:val="18"/>
              </w:rPr>
              <w:t> </w:t>
            </w:r>
            <w:r>
              <w:rPr>
                <w:rFonts w:ascii="宋体" w:hAnsi="宋体" w:cs="宋体" w:eastAsia="宋体" w:hint="default"/>
                <w:spacing w:val="-3"/>
                <w:w w:val="101"/>
                <w:sz w:val="18"/>
                <w:szCs w:val="18"/>
              </w:rPr>
              <w:t>万元和自有资金</w:t>
            </w:r>
            <w:r>
              <w:rPr>
                <w:rFonts w:ascii="宋体" w:hAnsi="宋体" w:cs="宋体" w:eastAsia="宋体" w:hint="default"/>
                <w:spacing w:val="-47"/>
                <w:w w:val="101"/>
                <w:sz w:val="18"/>
                <w:szCs w:val="18"/>
              </w:rPr>
              <w:t> </w:t>
            </w:r>
            <w:r>
              <w:rPr>
                <w:rFonts w:ascii="宋体" w:hAnsi="宋体" w:cs="宋体" w:eastAsia="宋体" w:hint="default"/>
                <w:spacing w:val="-1"/>
                <w:w w:val="101"/>
                <w:sz w:val="18"/>
                <w:szCs w:val="18"/>
              </w:rPr>
              <w:t>1,967</w:t>
            </w:r>
            <w:r>
              <w:rPr>
                <w:rFonts w:ascii="宋体" w:hAnsi="宋体" w:cs="宋体" w:eastAsia="宋体" w:hint="default"/>
                <w:spacing w:val="-47"/>
                <w:w w:val="101"/>
                <w:sz w:val="18"/>
                <w:szCs w:val="18"/>
              </w:rPr>
              <w:t> </w:t>
            </w:r>
            <w:r>
              <w:rPr>
                <w:rFonts w:ascii="宋体" w:hAnsi="宋体" w:cs="宋体" w:eastAsia="宋体" w:hint="default"/>
                <w:spacing w:val="-2"/>
                <w:w w:val="101"/>
                <w:sz w:val="18"/>
                <w:szCs w:val="18"/>
              </w:rPr>
              <w:t>万元合</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计</w:t>
            </w:r>
            <w:r>
              <w:rPr>
                <w:rFonts w:ascii="宋体" w:hAnsi="宋体" w:cs="宋体" w:eastAsia="宋体" w:hint="default"/>
                <w:spacing w:val="-23"/>
                <w:sz w:val="18"/>
                <w:szCs w:val="18"/>
              </w:rPr>
              <w:t> </w:t>
            </w:r>
            <w:r>
              <w:rPr>
                <w:rFonts w:ascii="宋体" w:hAnsi="宋体" w:cs="宋体" w:eastAsia="宋体" w:hint="default"/>
                <w:sz w:val="18"/>
                <w:szCs w:val="18"/>
              </w:rPr>
              <w:t>4,217</w:t>
            </w:r>
            <w:r>
              <w:rPr>
                <w:rFonts w:ascii="宋体" w:hAnsi="宋体" w:cs="宋体" w:eastAsia="宋体" w:hint="default"/>
                <w:spacing w:val="-30"/>
                <w:sz w:val="18"/>
                <w:szCs w:val="18"/>
              </w:rPr>
              <w:t> </w:t>
            </w:r>
            <w:r>
              <w:rPr>
                <w:rFonts w:ascii="宋体" w:hAnsi="宋体" w:cs="宋体" w:eastAsia="宋体" w:hint="default"/>
                <w:spacing w:val="-3"/>
                <w:sz w:val="18"/>
                <w:szCs w:val="18"/>
              </w:rPr>
              <w:t>万元以增资及受让股权的方式获得南京宇能仪表有限公司</w:t>
            </w:r>
            <w:r>
              <w:rPr>
                <w:rFonts w:ascii="宋体" w:hAnsi="宋体" w:cs="宋体" w:eastAsia="宋体" w:hint="default"/>
                <w:spacing w:val="-21"/>
                <w:sz w:val="18"/>
                <w:szCs w:val="18"/>
              </w:rPr>
              <w:t> </w:t>
            </w:r>
            <w:r>
              <w:rPr>
                <w:rFonts w:ascii="宋体" w:hAnsi="宋体" w:cs="宋体" w:eastAsia="宋体" w:hint="default"/>
                <w:spacing w:val="-3"/>
                <w:sz w:val="18"/>
                <w:szCs w:val="18"/>
              </w:rPr>
              <w:t>55%</w:t>
            </w:r>
            <w:r>
              <w:rPr>
                <w:rFonts w:ascii="宋体" w:hAnsi="宋体" w:cs="宋体" w:eastAsia="宋体" w:hint="default"/>
                <w:spacing w:val="-3"/>
                <w:sz w:val="18"/>
                <w:szCs w:val="18"/>
              </w:rPr>
              <w:t>的股权，其中超募资金部分已划转完成。为降低公</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4"/>
                <w:sz w:val="18"/>
                <w:szCs w:val="18"/>
              </w:rPr>
              <w:t>司对外投资风险、保护公司及股东的合法权益免受损失，维护上市公司和非关联股东特别是中小股东的利益，经公司第二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届董事会第十一次会议及 </w:t>
            </w:r>
            <w:r>
              <w:rPr>
                <w:rFonts w:ascii="宋体" w:hAnsi="宋体" w:cs="宋体" w:eastAsia="宋体" w:hint="default"/>
                <w:sz w:val="18"/>
                <w:szCs w:val="18"/>
              </w:rPr>
              <w:t>2014 </w:t>
            </w:r>
            <w:r>
              <w:rPr>
                <w:rFonts w:ascii="宋体" w:hAnsi="宋体" w:cs="宋体" w:eastAsia="宋体" w:hint="default"/>
                <w:spacing w:val="-5"/>
                <w:sz w:val="18"/>
                <w:szCs w:val="18"/>
              </w:rPr>
              <w:t>年第二次临时股东大会审议批准，将持有的控股子公司南京宇能仪表有限公司 </w:t>
            </w:r>
            <w:r>
              <w:rPr>
                <w:rFonts w:ascii="宋体" w:hAnsi="宋体" w:cs="宋体" w:eastAsia="宋体" w:hint="default"/>
                <w:sz w:val="18"/>
                <w:szCs w:val="18"/>
              </w:rPr>
              <w:t>55%</w:t>
            </w:r>
            <w:r>
              <w:rPr>
                <w:rFonts w:ascii="宋体" w:hAnsi="宋体" w:cs="宋体" w:eastAsia="宋体" w:hint="default"/>
                <w:sz w:val="18"/>
                <w:szCs w:val="18"/>
              </w:rPr>
              <w:t>的股权、</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4"/>
                <w:sz w:val="18"/>
                <w:szCs w:val="18"/>
              </w:rPr>
              <w:t>全部债权及相应权利转让给公司控股股东光一投资。其中使用的超募资金 </w:t>
            </w:r>
            <w:r>
              <w:rPr>
                <w:rFonts w:ascii="宋体" w:hAnsi="宋体" w:cs="宋体" w:eastAsia="宋体" w:hint="default"/>
                <w:sz w:val="18"/>
                <w:szCs w:val="18"/>
              </w:rPr>
              <w:t>2,250 </w:t>
            </w:r>
            <w:r>
              <w:rPr>
                <w:rFonts w:ascii="宋体" w:hAnsi="宋体" w:cs="宋体" w:eastAsia="宋体" w:hint="default"/>
                <w:spacing w:val="-3"/>
                <w:sz w:val="18"/>
                <w:szCs w:val="18"/>
              </w:rPr>
              <w:t>万元公司已收回并存放于超募资金专用账</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户。</w:t>
            </w:r>
          </w:p>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w w:val="101"/>
                <w:sz w:val="18"/>
                <w:szCs w:val="18"/>
              </w:rPr>
              <w:t>③</w:t>
            </w:r>
            <w:r>
              <w:rPr>
                <w:rFonts w:ascii="宋体" w:hAnsi="宋体" w:cs="宋体" w:eastAsia="宋体" w:hint="default"/>
                <w:w w:val="101"/>
                <w:sz w:val="18"/>
                <w:szCs w:val="18"/>
              </w:rPr>
              <w:t>2013</w:t>
            </w:r>
            <w:r>
              <w:rPr>
                <w:rFonts w:ascii="宋体" w:hAnsi="宋体" w:cs="宋体" w:eastAsia="宋体" w:hint="default"/>
                <w:spacing w:val="-47"/>
                <w:sz w:val="18"/>
                <w:szCs w:val="18"/>
              </w:rPr>
              <w:t> </w:t>
            </w:r>
            <w:r>
              <w:rPr>
                <w:rFonts w:ascii="宋体" w:hAnsi="宋体" w:cs="宋体" w:eastAsia="宋体" w:hint="default"/>
                <w:w w:val="101"/>
                <w:sz w:val="18"/>
                <w:szCs w:val="18"/>
              </w:rPr>
              <w:t>年</w:t>
            </w:r>
            <w:r>
              <w:rPr>
                <w:rFonts w:ascii="宋体" w:hAnsi="宋体" w:cs="宋体" w:eastAsia="宋体" w:hint="default"/>
                <w:spacing w:val="-52"/>
                <w:sz w:val="18"/>
                <w:szCs w:val="18"/>
              </w:rPr>
              <w:t> </w:t>
            </w:r>
            <w:r>
              <w:rPr>
                <w:rFonts w:ascii="宋体" w:hAnsi="宋体" w:cs="宋体" w:eastAsia="宋体" w:hint="default"/>
                <w:w w:val="101"/>
                <w:sz w:val="18"/>
                <w:szCs w:val="18"/>
              </w:rPr>
              <w:t>12</w:t>
            </w:r>
            <w:r>
              <w:rPr>
                <w:rFonts w:ascii="宋体" w:hAnsi="宋体" w:cs="宋体" w:eastAsia="宋体" w:hint="default"/>
                <w:spacing w:val="-47"/>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宋体" w:hAnsi="宋体" w:cs="宋体" w:eastAsia="宋体" w:hint="default"/>
                <w:w w:val="101"/>
                <w:sz w:val="18"/>
                <w:szCs w:val="18"/>
              </w:rPr>
              <w:t>3</w:t>
            </w:r>
            <w:r>
              <w:rPr>
                <w:rFonts w:ascii="宋体" w:hAnsi="宋体" w:cs="宋体" w:eastAsia="宋体" w:hint="default"/>
                <w:spacing w:val="-47"/>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披</w:t>
            </w:r>
            <w:r>
              <w:rPr>
                <w:rFonts w:ascii="宋体" w:hAnsi="宋体" w:cs="宋体" w:eastAsia="宋体" w:hint="default"/>
                <w:w w:val="101"/>
                <w:sz w:val="18"/>
                <w:szCs w:val="18"/>
              </w:rPr>
              <w:t>露</w:t>
            </w:r>
            <w:r>
              <w:rPr>
                <w:rFonts w:ascii="宋体" w:hAnsi="宋体" w:cs="宋体" w:eastAsia="宋体" w:hint="default"/>
                <w:spacing w:val="-5"/>
                <w:w w:val="101"/>
                <w:sz w:val="18"/>
                <w:szCs w:val="18"/>
              </w:rPr>
              <w:t>了《</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部</w:t>
            </w:r>
            <w:r>
              <w:rPr>
                <w:rFonts w:ascii="宋体" w:hAnsi="宋体" w:cs="宋体" w:eastAsia="宋体" w:hint="default"/>
                <w:spacing w:val="-5"/>
                <w:w w:val="101"/>
                <w:sz w:val="18"/>
                <w:szCs w:val="18"/>
              </w:rPr>
              <w:t>分</w:t>
            </w:r>
            <w:r>
              <w:rPr>
                <w:rFonts w:ascii="宋体" w:hAnsi="宋体" w:cs="宋体" w:eastAsia="宋体" w:hint="default"/>
                <w:w w:val="101"/>
                <w:sz w:val="18"/>
                <w:szCs w:val="18"/>
              </w:rPr>
              <w:t>超</w:t>
            </w:r>
            <w:r>
              <w:rPr>
                <w:rFonts w:ascii="宋体" w:hAnsi="宋体" w:cs="宋体" w:eastAsia="宋体" w:hint="default"/>
                <w:spacing w:val="-5"/>
                <w:w w:val="101"/>
                <w:sz w:val="18"/>
                <w:szCs w:val="18"/>
              </w:rPr>
              <w:t>募</w:t>
            </w:r>
            <w:r>
              <w:rPr>
                <w:rFonts w:ascii="宋体" w:hAnsi="宋体" w:cs="宋体" w:eastAsia="宋体" w:hint="default"/>
                <w:w w:val="101"/>
                <w:sz w:val="18"/>
                <w:szCs w:val="18"/>
              </w:rPr>
              <w:t>资</w:t>
            </w:r>
            <w:r>
              <w:rPr>
                <w:rFonts w:ascii="宋体" w:hAnsi="宋体" w:cs="宋体" w:eastAsia="宋体" w:hint="default"/>
                <w:spacing w:val="-5"/>
                <w:w w:val="101"/>
                <w:sz w:val="18"/>
                <w:szCs w:val="18"/>
              </w:rPr>
              <w:t>金永</w:t>
            </w:r>
            <w:r>
              <w:rPr>
                <w:rFonts w:ascii="宋体" w:hAnsi="宋体" w:cs="宋体" w:eastAsia="宋体" w:hint="default"/>
                <w:w w:val="101"/>
                <w:sz w:val="18"/>
                <w:szCs w:val="18"/>
              </w:rPr>
              <w:t>久</w:t>
            </w:r>
            <w:r>
              <w:rPr>
                <w:rFonts w:ascii="宋体" w:hAnsi="宋体" w:cs="宋体" w:eastAsia="宋体" w:hint="default"/>
                <w:spacing w:val="-5"/>
                <w:w w:val="101"/>
                <w:sz w:val="18"/>
                <w:szCs w:val="18"/>
              </w:rPr>
              <w:t>补</w:t>
            </w:r>
            <w:r>
              <w:rPr>
                <w:rFonts w:ascii="宋体" w:hAnsi="宋体" w:cs="宋体" w:eastAsia="宋体" w:hint="default"/>
                <w:w w:val="101"/>
                <w:sz w:val="18"/>
                <w:szCs w:val="18"/>
              </w:rPr>
              <w:t>充</w:t>
            </w:r>
            <w:r>
              <w:rPr>
                <w:rFonts w:ascii="宋体" w:hAnsi="宋体" w:cs="宋体" w:eastAsia="宋体" w:hint="default"/>
                <w:spacing w:val="-5"/>
                <w:w w:val="101"/>
                <w:sz w:val="18"/>
                <w:szCs w:val="18"/>
              </w:rPr>
              <w:t>流</w:t>
            </w:r>
            <w:r>
              <w:rPr>
                <w:rFonts w:ascii="宋体" w:hAnsi="宋体" w:cs="宋体" w:eastAsia="宋体" w:hint="default"/>
                <w:w w:val="101"/>
                <w:sz w:val="18"/>
                <w:szCs w:val="18"/>
              </w:rPr>
              <w:t>动</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的</w:t>
            </w:r>
            <w:r>
              <w:rPr>
                <w:rFonts w:ascii="宋体" w:hAnsi="宋体" w:cs="宋体" w:eastAsia="宋体" w:hint="default"/>
                <w:w w:val="101"/>
                <w:sz w:val="18"/>
                <w:szCs w:val="18"/>
              </w:rPr>
              <w:t>公告</w:t>
            </w:r>
            <w:r>
              <w:rPr>
                <w:rFonts w:ascii="宋体" w:hAnsi="宋体" w:cs="宋体" w:eastAsia="宋体" w:hint="default"/>
                <w:spacing w:val="-96"/>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告</w:t>
            </w:r>
            <w:r>
              <w:rPr>
                <w:rFonts w:ascii="宋体" w:hAnsi="宋体" w:cs="宋体" w:eastAsia="宋体" w:hint="default"/>
                <w:w w:val="101"/>
                <w:sz w:val="18"/>
                <w:szCs w:val="18"/>
              </w:rPr>
              <w:t>编</w:t>
            </w:r>
            <w:r>
              <w:rPr>
                <w:rFonts w:ascii="宋体" w:hAnsi="宋体" w:cs="宋体" w:eastAsia="宋体" w:hint="default"/>
                <w:spacing w:val="-5"/>
                <w:w w:val="101"/>
                <w:sz w:val="18"/>
                <w:szCs w:val="18"/>
              </w:rPr>
              <w:t>号</w:t>
            </w:r>
            <w:r>
              <w:rPr>
                <w:rFonts w:ascii="宋体" w:hAnsi="宋体" w:cs="宋体" w:eastAsia="宋体" w:hint="default"/>
                <w:spacing w:val="1"/>
                <w:w w:val="101"/>
                <w:sz w:val="18"/>
                <w:szCs w:val="18"/>
              </w:rPr>
              <w:t>（</w:t>
            </w:r>
            <w:r>
              <w:rPr>
                <w:rFonts w:ascii="宋体" w:hAnsi="宋体" w:cs="宋体" w:eastAsia="宋体" w:hint="default"/>
                <w:spacing w:val="-5"/>
                <w:w w:val="101"/>
                <w:sz w:val="18"/>
                <w:szCs w:val="18"/>
              </w:rPr>
              <w:t>2</w:t>
            </w:r>
            <w:r>
              <w:rPr>
                <w:rFonts w:ascii="宋体" w:hAnsi="宋体" w:cs="宋体" w:eastAsia="宋体" w:hint="default"/>
                <w:w w:val="101"/>
                <w:sz w:val="18"/>
                <w:szCs w:val="18"/>
              </w:rPr>
              <w:t>01</w:t>
            </w:r>
            <w:r>
              <w:rPr>
                <w:rFonts w:ascii="宋体" w:hAnsi="宋体" w:cs="宋体" w:eastAsia="宋体" w:hint="default"/>
                <w:spacing w:val="-5"/>
                <w:w w:val="101"/>
                <w:sz w:val="18"/>
                <w:szCs w:val="18"/>
              </w:rPr>
              <w:t>3</w:t>
            </w:r>
            <w:r>
              <w:rPr>
                <w:rFonts w:ascii="宋体" w:hAnsi="宋体" w:cs="宋体" w:eastAsia="宋体" w:hint="default"/>
                <w:w w:val="101"/>
                <w:sz w:val="18"/>
                <w:szCs w:val="18"/>
              </w:rPr>
              <w:t>）</w:t>
            </w:r>
            <w:r>
              <w:rPr>
                <w:rFonts w:ascii="宋体" w:hAnsi="宋体" w:cs="宋体" w:eastAsia="宋体" w:hint="default"/>
                <w:w w:val="101"/>
                <w:sz w:val="18"/>
                <w:szCs w:val="18"/>
              </w:rPr>
              <w:t>1</w:t>
            </w:r>
            <w:r>
              <w:rPr>
                <w:rFonts w:ascii="宋体" w:hAnsi="宋体" w:cs="宋体" w:eastAsia="宋体" w:hint="default"/>
                <w:spacing w:val="-5"/>
                <w:w w:val="101"/>
                <w:sz w:val="18"/>
                <w:szCs w:val="18"/>
              </w:rPr>
              <w:t>2</w:t>
            </w:r>
            <w:r>
              <w:rPr>
                <w:rFonts w:ascii="宋体" w:hAnsi="宋体" w:cs="宋体" w:eastAsia="宋体" w:hint="default"/>
                <w:w w:val="101"/>
                <w:sz w:val="18"/>
                <w:szCs w:val="18"/>
              </w:rPr>
              <w:t>0</w:t>
            </w:r>
            <w:r>
              <w:rPr>
                <w:rFonts w:ascii="宋体" w:hAnsi="宋体" w:cs="宋体" w:eastAsia="宋体" w:hint="default"/>
                <w:spacing w:val="-1"/>
                <w:w w:val="101"/>
                <w:sz w:val="18"/>
                <w:szCs w:val="18"/>
              </w:rPr>
              <w:t>3</w:t>
            </w:r>
            <w:r>
              <w:rPr>
                <w:rFonts w:ascii="宋体" w:hAnsi="宋体" w:cs="宋体" w:eastAsia="宋体" w:hint="default"/>
                <w:w w:val="101"/>
                <w:sz w:val="18"/>
                <w:szCs w:val="18"/>
              </w:rPr>
              <w:t>-</w:t>
            </w:r>
            <w:r>
              <w:rPr>
                <w:rFonts w:ascii="宋体" w:hAnsi="宋体" w:cs="宋体" w:eastAsia="宋体" w:hint="default"/>
                <w:spacing w:val="-5"/>
                <w:w w:val="101"/>
                <w:sz w:val="18"/>
                <w:szCs w:val="18"/>
              </w:rPr>
              <w:t>0</w:t>
            </w:r>
            <w:r>
              <w:rPr>
                <w:rFonts w:ascii="宋体" w:hAnsi="宋体" w:cs="宋体" w:eastAsia="宋体" w:hint="default"/>
                <w:w w:val="101"/>
                <w:sz w:val="18"/>
                <w:szCs w:val="18"/>
              </w:rPr>
              <w:t>5</w:t>
            </w:r>
            <w:r>
              <w:rPr>
                <w:rFonts w:ascii="宋体" w:hAnsi="宋体" w:cs="宋体" w:eastAsia="宋体" w:hint="default"/>
                <w:spacing w:val="-1"/>
                <w:w w:val="101"/>
                <w:sz w:val="18"/>
                <w:szCs w:val="18"/>
              </w:rPr>
              <w:t>4</w:t>
            </w:r>
            <w:r>
              <w:rPr>
                <w:rFonts w:ascii="宋体" w:hAnsi="宋体" w:cs="宋体" w:eastAsia="宋体" w:hint="default"/>
                <w:spacing w:val="-96"/>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同</w:t>
            </w:r>
            <w:r>
              <w:rPr>
                <w:rFonts w:ascii="宋体" w:hAnsi="宋体" w:cs="宋体" w:eastAsia="宋体" w:hint="default"/>
                <w:sz w:val="18"/>
                <w:szCs w:val="18"/>
              </w:rPr>
            </w:r>
          </w:p>
          <w:p>
            <w:pPr>
              <w:pStyle w:val="TableParagraph"/>
              <w:spacing w:line="321" w:lineRule="auto" w:before="76"/>
              <w:ind w:left="101" w:right="91"/>
              <w:jc w:val="left"/>
              <w:rPr>
                <w:rFonts w:ascii="宋体" w:hAnsi="宋体" w:cs="宋体" w:eastAsia="宋体" w:hint="default"/>
                <w:sz w:val="18"/>
                <w:szCs w:val="18"/>
              </w:rPr>
            </w:pPr>
            <w:r>
              <w:rPr>
                <w:rFonts w:ascii="宋体" w:hAnsi="宋体" w:cs="宋体" w:eastAsia="宋体" w:hint="default"/>
                <w:sz w:val="18"/>
                <w:szCs w:val="18"/>
              </w:rPr>
              <w:t>意公司使用超募资金 </w:t>
            </w:r>
            <w:r>
              <w:rPr>
                <w:rFonts w:ascii="宋体" w:hAnsi="宋体" w:cs="宋体" w:eastAsia="宋体" w:hint="default"/>
                <w:sz w:val="18"/>
                <w:szCs w:val="18"/>
              </w:rPr>
              <w:t>3,000 </w:t>
            </w:r>
            <w:r>
              <w:rPr>
                <w:rFonts w:ascii="宋体" w:hAnsi="宋体" w:cs="宋体" w:eastAsia="宋体" w:hint="default"/>
                <w:spacing w:val="-4"/>
                <w:sz w:val="18"/>
                <w:szCs w:val="18"/>
              </w:rPr>
              <w:t>万元用于永久补充流动资金，公司承诺在永久补充流动资金后十二个月内不进行证券投资、委</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托理财、衍生品投资、创业投资等高风险投资。上述款项公司已划转完成。</w:t>
            </w:r>
          </w:p>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w w:val="101"/>
                <w:sz w:val="18"/>
                <w:szCs w:val="18"/>
              </w:rPr>
              <w:t>④</w:t>
            </w:r>
            <w:r>
              <w:rPr>
                <w:rFonts w:ascii="宋体" w:hAnsi="宋体" w:cs="宋体" w:eastAsia="宋体" w:hint="default"/>
                <w:w w:val="101"/>
                <w:sz w:val="18"/>
                <w:szCs w:val="18"/>
              </w:rPr>
              <w:t>2014</w:t>
            </w:r>
            <w:r>
              <w:rPr>
                <w:rFonts w:ascii="宋体" w:hAnsi="宋体" w:cs="宋体" w:eastAsia="宋体" w:hint="default"/>
                <w:spacing w:val="-47"/>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宋体" w:hAnsi="宋体" w:cs="宋体" w:eastAsia="宋体" w:hint="default"/>
                <w:w w:val="101"/>
                <w:sz w:val="18"/>
                <w:szCs w:val="18"/>
              </w:rPr>
              <w:t>8</w:t>
            </w:r>
            <w:r>
              <w:rPr>
                <w:rFonts w:ascii="宋体" w:hAnsi="宋体" w:cs="宋体" w:eastAsia="宋体" w:hint="default"/>
                <w:spacing w:val="-47"/>
                <w:sz w:val="18"/>
                <w:szCs w:val="18"/>
              </w:rPr>
              <w:t> </w:t>
            </w:r>
            <w:r>
              <w:rPr>
                <w:rFonts w:ascii="宋体" w:hAnsi="宋体" w:cs="宋体" w:eastAsia="宋体" w:hint="default"/>
                <w:w w:val="101"/>
                <w:sz w:val="18"/>
                <w:szCs w:val="18"/>
              </w:rPr>
              <w:t>月</w:t>
            </w:r>
            <w:r>
              <w:rPr>
                <w:rFonts w:ascii="宋体" w:hAnsi="宋体" w:cs="宋体" w:eastAsia="宋体" w:hint="default"/>
                <w:spacing w:val="-52"/>
                <w:sz w:val="18"/>
                <w:szCs w:val="18"/>
              </w:rPr>
              <w:t> </w:t>
            </w:r>
            <w:r>
              <w:rPr>
                <w:rFonts w:ascii="宋体" w:hAnsi="宋体" w:cs="宋体" w:eastAsia="宋体" w:hint="default"/>
                <w:w w:val="101"/>
                <w:sz w:val="18"/>
                <w:szCs w:val="18"/>
              </w:rPr>
              <w:t>20</w:t>
            </w:r>
            <w:r>
              <w:rPr>
                <w:rFonts w:ascii="宋体" w:hAnsi="宋体" w:cs="宋体" w:eastAsia="宋体" w:hint="default"/>
                <w:spacing w:val="-47"/>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了</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使</w:t>
            </w:r>
            <w:r>
              <w:rPr>
                <w:rFonts w:ascii="宋体" w:hAnsi="宋体" w:cs="宋体" w:eastAsia="宋体" w:hint="default"/>
                <w:spacing w:val="-5"/>
                <w:w w:val="101"/>
                <w:sz w:val="18"/>
                <w:szCs w:val="18"/>
              </w:rPr>
              <w:t>用超</w:t>
            </w:r>
            <w:r>
              <w:rPr>
                <w:rFonts w:ascii="宋体" w:hAnsi="宋体" w:cs="宋体" w:eastAsia="宋体" w:hint="default"/>
                <w:w w:val="101"/>
                <w:sz w:val="18"/>
                <w:szCs w:val="18"/>
              </w:rPr>
              <w:t>募</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支</w:t>
            </w:r>
            <w:r>
              <w:rPr>
                <w:rFonts w:ascii="宋体" w:hAnsi="宋体" w:cs="宋体" w:eastAsia="宋体" w:hint="default"/>
                <w:w w:val="101"/>
                <w:sz w:val="18"/>
                <w:szCs w:val="18"/>
              </w:rPr>
              <w:t>付</w:t>
            </w:r>
            <w:r>
              <w:rPr>
                <w:rFonts w:ascii="宋体" w:hAnsi="宋体" w:cs="宋体" w:eastAsia="宋体" w:hint="default"/>
                <w:spacing w:val="-5"/>
                <w:w w:val="101"/>
                <w:sz w:val="18"/>
                <w:szCs w:val="18"/>
              </w:rPr>
              <w:t>收</w:t>
            </w:r>
            <w:r>
              <w:rPr>
                <w:rFonts w:ascii="宋体" w:hAnsi="宋体" w:cs="宋体" w:eastAsia="宋体" w:hint="default"/>
                <w:w w:val="101"/>
                <w:sz w:val="18"/>
                <w:szCs w:val="18"/>
              </w:rPr>
              <w:t>购</w:t>
            </w:r>
            <w:r>
              <w:rPr>
                <w:rFonts w:ascii="宋体" w:hAnsi="宋体" w:cs="宋体" w:eastAsia="宋体" w:hint="default"/>
                <w:spacing w:val="-5"/>
                <w:w w:val="101"/>
                <w:sz w:val="18"/>
                <w:szCs w:val="18"/>
              </w:rPr>
              <w:t>湖</w:t>
            </w:r>
            <w:r>
              <w:rPr>
                <w:rFonts w:ascii="宋体" w:hAnsi="宋体" w:cs="宋体" w:eastAsia="宋体" w:hint="default"/>
                <w:w w:val="101"/>
                <w:sz w:val="18"/>
                <w:szCs w:val="18"/>
              </w:rPr>
              <w:t>北</w:t>
            </w:r>
            <w:r>
              <w:rPr>
                <w:rFonts w:ascii="宋体" w:hAnsi="宋体" w:cs="宋体" w:eastAsia="宋体" w:hint="default"/>
                <w:spacing w:val="-5"/>
                <w:w w:val="101"/>
                <w:sz w:val="18"/>
                <w:szCs w:val="18"/>
              </w:rPr>
              <w:t>索</w:t>
            </w:r>
            <w:r>
              <w:rPr>
                <w:rFonts w:ascii="宋体" w:hAnsi="宋体" w:cs="宋体" w:eastAsia="宋体" w:hint="default"/>
                <w:w w:val="101"/>
                <w:sz w:val="18"/>
                <w:szCs w:val="18"/>
              </w:rPr>
              <w:t>瑞</w:t>
            </w:r>
            <w:r>
              <w:rPr>
                <w:rFonts w:ascii="宋体" w:hAnsi="宋体" w:cs="宋体" w:eastAsia="宋体" w:hint="default"/>
                <w:spacing w:val="-5"/>
                <w:w w:val="101"/>
                <w:sz w:val="18"/>
                <w:szCs w:val="18"/>
              </w:rPr>
              <w:t>电</w:t>
            </w:r>
            <w:r>
              <w:rPr>
                <w:rFonts w:ascii="宋体" w:hAnsi="宋体" w:cs="宋体" w:eastAsia="宋体" w:hint="default"/>
                <w:w w:val="101"/>
                <w:sz w:val="18"/>
                <w:szCs w:val="18"/>
              </w:rPr>
              <w:t>气</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股</w:t>
            </w:r>
            <w:r>
              <w:rPr>
                <w:rFonts w:ascii="宋体" w:hAnsi="宋体" w:cs="宋体" w:eastAsia="宋体" w:hint="default"/>
                <w:w w:val="101"/>
                <w:sz w:val="18"/>
                <w:szCs w:val="18"/>
              </w:rPr>
              <w:t>权</w:t>
            </w:r>
            <w:r>
              <w:rPr>
                <w:rFonts w:ascii="宋体" w:hAnsi="宋体" w:cs="宋体" w:eastAsia="宋体" w:hint="default"/>
                <w:spacing w:val="-5"/>
                <w:w w:val="101"/>
                <w:sz w:val="18"/>
                <w:szCs w:val="18"/>
              </w:rPr>
              <w:t>部</w:t>
            </w:r>
            <w:r>
              <w:rPr>
                <w:rFonts w:ascii="宋体" w:hAnsi="宋体" w:cs="宋体" w:eastAsia="宋体" w:hint="default"/>
                <w:w w:val="101"/>
                <w:sz w:val="18"/>
                <w:szCs w:val="18"/>
              </w:rPr>
              <w:t>分</w:t>
            </w:r>
            <w:r>
              <w:rPr>
                <w:rFonts w:ascii="宋体" w:hAnsi="宋体" w:cs="宋体" w:eastAsia="宋体" w:hint="default"/>
                <w:spacing w:val="-5"/>
                <w:w w:val="101"/>
                <w:sz w:val="18"/>
                <w:szCs w:val="18"/>
              </w:rPr>
              <w:t>现</w:t>
            </w:r>
            <w:r>
              <w:rPr>
                <w:rFonts w:ascii="宋体" w:hAnsi="宋体" w:cs="宋体" w:eastAsia="宋体" w:hint="default"/>
                <w:w w:val="101"/>
                <w:sz w:val="18"/>
                <w:szCs w:val="18"/>
              </w:rPr>
              <w:t>金</w:t>
            </w:r>
            <w:r>
              <w:rPr>
                <w:rFonts w:ascii="宋体" w:hAnsi="宋体" w:cs="宋体" w:eastAsia="宋体" w:hint="default"/>
                <w:spacing w:val="-5"/>
                <w:w w:val="101"/>
                <w:sz w:val="18"/>
                <w:szCs w:val="18"/>
              </w:rPr>
              <w:t>对</w:t>
            </w:r>
            <w:r>
              <w:rPr>
                <w:rFonts w:ascii="宋体" w:hAnsi="宋体" w:cs="宋体" w:eastAsia="宋体" w:hint="default"/>
                <w:w w:val="101"/>
                <w:sz w:val="18"/>
                <w:szCs w:val="18"/>
              </w:rPr>
              <w:t>价</w:t>
            </w:r>
            <w:r>
              <w:rPr>
                <w:rFonts w:ascii="宋体" w:hAnsi="宋体" w:cs="宋体" w:eastAsia="宋体" w:hint="default"/>
                <w:spacing w:val="-5"/>
                <w:w w:val="101"/>
                <w:sz w:val="18"/>
                <w:szCs w:val="18"/>
              </w:rPr>
              <w:t>的</w:t>
            </w:r>
            <w:r>
              <w:rPr>
                <w:rFonts w:ascii="宋体" w:hAnsi="宋体" w:cs="宋体" w:eastAsia="宋体" w:hint="default"/>
                <w:w w:val="101"/>
                <w:sz w:val="18"/>
                <w:szCs w:val="18"/>
              </w:rPr>
              <w:t>公告</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z w:val="18"/>
                <w:szCs w:val="18"/>
              </w:rPr>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w w:val="101"/>
                <w:sz w:val="18"/>
                <w:szCs w:val="18"/>
              </w:rPr>
              <w:t>编</w:t>
            </w:r>
            <w:r>
              <w:rPr>
                <w:rFonts w:ascii="宋体" w:hAnsi="宋体" w:cs="宋体" w:eastAsia="宋体" w:hint="default"/>
                <w:spacing w:val="-5"/>
                <w:w w:val="101"/>
                <w:sz w:val="18"/>
                <w:szCs w:val="18"/>
              </w:rPr>
              <w:t>号</w:t>
            </w:r>
            <w:r>
              <w:rPr>
                <w:rFonts w:ascii="宋体" w:hAnsi="宋体" w:cs="宋体" w:eastAsia="宋体" w:hint="default"/>
                <w:w w:val="101"/>
                <w:sz w:val="18"/>
                <w:szCs w:val="18"/>
              </w:rPr>
              <w:t>（</w:t>
            </w:r>
            <w:r>
              <w:rPr>
                <w:rFonts w:ascii="宋体" w:hAnsi="宋体" w:cs="宋体" w:eastAsia="宋体" w:hint="default"/>
                <w:w w:val="101"/>
                <w:sz w:val="18"/>
                <w:szCs w:val="18"/>
              </w:rPr>
              <w:t>20</w:t>
            </w:r>
            <w:r>
              <w:rPr>
                <w:rFonts w:ascii="宋体" w:hAnsi="宋体" w:cs="宋体" w:eastAsia="宋体" w:hint="default"/>
                <w:spacing w:val="-5"/>
                <w:w w:val="101"/>
                <w:sz w:val="18"/>
                <w:szCs w:val="18"/>
              </w:rPr>
              <w:t>1</w:t>
            </w:r>
            <w:r>
              <w:rPr>
                <w:rFonts w:ascii="宋体" w:hAnsi="宋体" w:cs="宋体" w:eastAsia="宋体" w:hint="default"/>
                <w:spacing w:val="-1"/>
                <w:w w:val="101"/>
                <w:sz w:val="18"/>
                <w:szCs w:val="18"/>
              </w:rPr>
              <w:t>4</w:t>
            </w:r>
            <w:r>
              <w:rPr>
                <w:rFonts w:ascii="宋体" w:hAnsi="宋体" w:cs="宋体" w:eastAsia="宋体" w:hint="default"/>
                <w:w w:val="101"/>
                <w:sz w:val="18"/>
                <w:szCs w:val="18"/>
              </w:rPr>
              <w:t>）</w:t>
            </w:r>
            <w:r>
              <w:rPr>
                <w:rFonts w:ascii="宋体" w:hAnsi="宋体" w:cs="宋体" w:eastAsia="宋体" w:hint="default"/>
                <w:spacing w:val="-5"/>
                <w:w w:val="101"/>
                <w:sz w:val="18"/>
                <w:szCs w:val="18"/>
              </w:rPr>
              <w:t>0</w:t>
            </w:r>
            <w:r>
              <w:rPr>
                <w:rFonts w:ascii="宋体" w:hAnsi="宋体" w:cs="宋体" w:eastAsia="宋体" w:hint="default"/>
                <w:w w:val="101"/>
                <w:sz w:val="18"/>
                <w:szCs w:val="18"/>
              </w:rPr>
              <w:t>820</w:t>
            </w:r>
            <w:r>
              <w:rPr>
                <w:rFonts w:ascii="宋体" w:hAnsi="宋体" w:cs="宋体" w:eastAsia="宋体" w:hint="default"/>
                <w:spacing w:val="-5"/>
                <w:w w:val="101"/>
                <w:sz w:val="18"/>
                <w:szCs w:val="18"/>
              </w:rPr>
              <w:t>-</w:t>
            </w:r>
            <w:r>
              <w:rPr>
                <w:rFonts w:ascii="宋体" w:hAnsi="宋体" w:cs="宋体" w:eastAsia="宋体" w:hint="default"/>
                <w:w w:val="101"/>
                <w:sz w:val="18"/>
                <w:szCs w:val="18"/>
              </w:rPr>
              <w:t>061</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以</w:t>
            </w:r>
            <w:r>
              <w:rPr>
                <w:rFonts w:ascii="宋体" w:hAnsi="宋体" w:cs="宋体" w:eastAsia="宋体" w:hint="default"/>
                <w:w w:val="101"/>
                <w:sz w:val="18"/>
                <w:szCs w:val="18"/>
              </w:rPr>
              <w:t>发</w:t>
            </w:r>
            <w:r>
              <w:rPr>
                <w:rFonts w:ascii="宋体" w:hAnsi="宋体" w:cs="宋体" w:eastAsia="宋体" w:hint="default"/>
                <w:spacing w:val="-5"/>
                <w:w w:val="101"/>
                <w:sz w:val="18"/>
                <w:szCs w:val="18"/>
              </w:rPr>
              <w:t>行</w:t>
            </w:r>
            <w:r>
              <w:rPr>
                <w:rFonts w:ascii="宋体" w:hAnsi="宋体" w:cs="宋体" w:eastAsia="宋体" w:hint="default"/>
                <w:w w:val="101"/>
                <w:sz w:val="18"/>
                <w:szCs w:val="18"/>
              </w:rPr>
              <w:t>股</w:t>
            </w:r>
            <w:r>
              <w:rPr>
                <w:rFonts w:ascii="宋体" w:hAnsi="宋体" w:cs="宋体" w:eastAsia="宋体" w:hint="default"/>
                <w:spacing w:val="-5"/>
                <w:w w:val="101"/>
                <w:sz w:val="18"/>
                <w:szCs w:val="18"/>
              </w:rPr>
              <w:t>份</w:t>
            </w:r>
            <w:r>
              <w:rPr>
                <w:rFonts w:ascii="宋体" w:hAnsi="宋体" w:cs="宋体" w:eastAsia="宋体" w:hint="default"/>
                <w:w w:val="101"/>
                <w:sz w:val="18"/>
                <w:szCs w:val="18"/>
              </w:rPr>
              <w:t>及</w:t>
            </w:r>
            <w:r>
              <w:rPr>
                <w:rFonts w:ascii="宋体" w:hAnsi="宋体" w:cs="宋体" w:eastAsia="宋体" w:hint="default"/>
                <w:spacing w:val="-5"/>
                <w:w w:val="101"/>
                <w:sz w:val="18"/>
                <w:szCs w:val="18"/>
              </w:rPr>
              <w:t>支</w:t>
            </w:r>
            <w:r>
              <w:rPr>
                <w:rFonts w:ascii="宋体" w:hAnsi="宋体" w:cs="宋体" w:eastAsia="宋体" w:hint="default"/>
                <w:w w:val="101"/>
                <w:sz w:val="18"/>
                <w:szCs w:val="18"/>
              </w:rPr>
              <w:t>付</w:t>
            </w:r>
            <w:r>
              <w:rPr>
                <w:rFonts w:ascii="宋体" w:hAnsi="宋体" w:cs="宋体" w:eastAsia="宋体" w:hint="default"/>
                <w:spacing w:val="-5"/>
                <w:w w:val="101"/>
                <w:sz w:val="18"/>
                <w:szCs w:val="18"/>
              </w:rPr>
              <w:t>现</w:t>
            </w:r>
            <w:r>
              <w:rPr>
                <w:rFonts w:ascii="宋体" w:hAnsi="宋体" w:cs="宋体" w:eastAsia="宋体" w:hint="default"/>
                <w:w w:val="101"/>
                <w:sz w:val="18"/>
                <w:szCs w:val="18"/>
              </w:rPr>
              <w:t>金</w:t>
            </w:r>
            <w:r>
              <w:rPr>
                <w:rFonts w:ascii="宋体" w:hAnsi="宋体" w:cs="宋体" w:eastAsia="宋体" w:hint="default"/>
                <w:spacing w:val="-5"/>
                <w:w w:val="101"/>
                <w:sz w:val="18"/>
                <w:szCs w:val="18"/>
              </w:rPr>
              <w:t>的</w:t>
            </w:r>
            <w:r>
              <w:rPr>
                <w:rFonts w:ascii="宋体" w:hAnsi="宋体" w:cs="宋体" w:eastAsia="宋体" w:hint="default"/>
                <w:w w:val="101"/>
                <w:sz w:val="18"/>
                <w:szCs w:val="18"/>
              </w:rPr>
              <w:t>方</w:t>
            </w:r>
            <w:r>
              <w:rPr>
                <w:rFonts w:ascii="宋体" w:hAnsi="宋体" w:cs="宋体" w:eastAsia="宋体" w:hint="default"/>
                <w:spacing w:val="-5"/>
                <w:w w:val="101"/>
                <w:sz w:val="18"/>
                <w:szCs w:val="18"/>
              </w:rPr>
              <w:t>式</w:t>
            </w:r>
            <w:r>
              <w:rPr>
                <w:rFonts w:ascii="宋体" w:hAnsi="宋体" w:cs="宋体" w:eastAsia="宋体" w:hint="default"/>
                <w:w w:val="101"/>
                <w:sz w:val="18"/>
                <w:szCs w:val="18"/>
              </w:rPr>
              <w:t>购</w:t>
            </w:r>
            <w:r>
              <w:rPr>
                <w:rFonts w:ascii="宋体" w:hAnsi="宋体" w:cs="宋体" w:eastAsia="宋体" w:hint="default"/>
                <w:spacing w:val="-5"/>
                <w:w w:val="101"/>
                <w:sz w:val="18"/>
                <w:szCs w:val="18"/>
              </w:rPr>
              <w:t>买</w:t>
            </w:r>
            <w:r>
              <w:rPr>
                <w:rFonts w:ascii="宋体" w:hAnsi="宋体" w:cs="宋体" w:eastAsia="宋体" w:hint="default"/>
                <w:w w:val="101"/>
                <w:sz w:val="18"/>
                <w:szCs w:val="18"/>
              </w:rPr>
              <w:t>任</w:t>
            </w:r>
            <w:r>
              <w:rPr>
                <w:rFonts w:ascii="宋体" w:hAnsi="宋体" w:cs="宋体" w:eastAsia="宋体" w:hint="default"/>
                <w:spacing w:val="-5"/>
                <w:w w:val="101"/>
                <w:sz w:val="18"/>
                <w:szCs w:val="18"/>
              </w:rPr>
              <w:t>昌</w:t>
            </w:r>
            <w:r>
              <w:rPr>
                <w:rFonts w:ascii="宋体" w:hAnsi="宋体" w:cs="宋体" w:eastAsia="宋体" w:hint="default"/>
                <w:w w:val="101"/>
                <w:sz w:val="18"/>
                <w:szCs w:val="18"/>
              </w:rPr>
              <w:t>兆等</w:t>
            </w:r>
            <w:r>
              <w:rPr>
                <w:rFonts w:ascii="宋体" w:hAnsi="宋体" w:cs="宋体" w:eastAsia="宋体" w:hint="default"/>
                <w:spacing w:val="-47"/>
                <w:sz w:val="18"/>
                <w:szCs w:val="18"/>
              </w:rPr>
              <w:t> </w:t>
            </w:r>
            <w:r>
              <w:rPr>
                <w:rFonts w:ascii="宋体" w:hAnsi="宋体" w:cs="宋体" w:eastAsia="宋体" w:hint="default"/>
                <w:w w:val="101"/>
                <w:sz w:val="18"/>
                <w:szCs w:val="18"/>
              </w:rPr>
              <w:t>33</w:t>
            </w:r>
            <w:r>
              <w:rPr>
                <w:rFonts w:ascii="宋体" w:hAnsi="宋体" w:cs="宋体" w:eastAsia="宋体" w:hint="default"/>
                <w:spacing w:val="-47"/>
                <w:sz w:val="18"/>
                <w:szCs w:val="18"/>
              </w:rPr>
              <w:t> </w:t>
            </w:r>
            <w:r>
              <w:rPr>
                <w:rFonts w:ascii="宋体" w:hAnsi="宋体" w:cs="宋体" w:eastAsia="宋体" w:hint="default"/>
                <w:spacing w:val="-5"/>
                <w:w w:val="101"/>
                <w:sz w:val="18"/>
                <w:szCs w:val="18"/>
              </w:rPr>
              <w:t>名</w:t>
            </w:r>
            <w:r>
              <w:rPr>
                <w:rFonts w:ascii="宋体" w:hAnsi="宋体" w:cs="宋体" w:eastAsia="宋体" w:hint="default"/>
                <w:w w:val="101"/>
                <w:sz w:val="18"/>
                <w:szCs w:val="18"/>
              </w:rPr>
              <w:t>交</w:t>
            </w:r>
            <w:r>
              <w:rPr>
                <w:rFonts w:ascii="宋体" w:hAnsi="宋体" w:cs="宋体" w:eastAsia="宋体" w:hint="default"/>
                <w:spacing w:val="-5"/>
                <w:w w:val="101"/>
                <w:sz w:val="18"/>
                <w:szCs w:val="18"/>
              </w:rPr>
              <w:t>易</w:t>
            </w:r>
            <w:r>
              <w:rPr>
                <w:rFonts w:ascii="宋体" w:hAnsi="宋体" w:cs="宋体" w:eastAsia="宋体" w:hint="default"/>
                <w:w w:val="101"/>
                <w:sz w:val="18"/>
                <w:szCs w:val="18"/>
              </w:rPr>
              <w:t>对</w:t>
            </w:r>
            <w:r>
              <w:rPr>
                <w:rFonts w:ascii="宋体" w:hAnsi="宋体" w:cs="宋体" w:eastAsia="宋体" w:hint="default"/>
                <w:spacing w:val="-5"/>
                <w:w w:val="101"/>
                <w:sz w:val="18"/>
                <w:szCs w:val="18"/>
              </w:rPr>
              <w:t>方</w:t>
            </w:r>
            <w:r>
              <w:rPr>
                <w:rFonts w:ascii="宋体" w:hAnsi="宋体" w:cs="宋体" w:eastAsia="宋体" w:hint="default"/>
                <w:w w:val="101"/>
                <w:sz w:val="18"/>
                <w:szCs w:val="18"/>
              </w:rPr>
              <w:t>持</w:t>
            </w:r>
            <w:r>
              <w:rPr>
                <w:rFonts w:ascii="宋体" w:hAnsi="宋体" w:cs="宋体" w:eastAsia="宋体" w:hint="default"/>
                <w:spacing w:val="-5"/>
                <w:w w:val="101"/>
                <w:sz w:val="18"/>
                <w:szCs w:val="18"/>
              </w:rPr>
              <w:t>有</w:t>
            </w:r>
            <w:r>
              <w:rPr>
                <w:rFonts w:ascii="宋体" w:hAnsi="宋体" w:cs="宋体" w:eastAsia="宋体" w:hint="default"/>
                <w:w w:val="101"/>
                <w:sz w:val="18"/>
                <w:szCs w:val="18"/>
              </w:rPr>
              <w:t>的</w:t>
            </w:r>
            <w:r>
              <w:rPr>
                <w:rFonts w:ascii="宋体" w:hAnsi="宋体" w:cs="宋体" w:eastAsia="宋体" w:hint="default"/>
                <w:spacing w:val="-5"/>
                <w:w w:val="101"/>
                <w:sz w:val="18"/>
                <w:szCs w:val="18"/>
              </w:rPr>
              <w:t>湖</w:t>
            </w:r>
            <w:r>
              <w:rPr>
                <w:rFonts w:ascii="宋体" w:hAnsi="宋体" w:cs="宋体" w:eastAsia="宋体" w:hint="default"/>
                <w:w w:val="101"/>
                <w:sz w:val="18"/>
                <w:szCs w:val="18"/>
              </w:rPr>
              <w:t>北</w:t>
            </w:r>
            <w:r>
              <w:rPr>
                <w:rFonts w:ascii="宋体" w:hAnsi="宋体" w:cs="宋体" w:eastAsia="宋体" w:hint="default"/>
                <w:spacing w:val="-5"/>
                <w:w w:val="101"/>
                <w:sz w:val="18"/>
                <w:szCs w:val="18"/>
              </w:rPr>
              <w:t>索</w:t>
            </w:r>
            <w:r>
              <w:rPr>
                <w:rFonts w:ascii="宋体" w:hAnsi="宋体" w:cs="宋体" w:eastAsia="宋体" w:hint="default"/>
                <w:w w:val="101"/>
                <w:sz w:val="18"/>
                <w:szCs w:val="18"/>
              </w:rPr>
              <w:t>瑞</w:t>
            </w:r>
            <w:r>
              <w:rPr>
                <w:rFonts w:ascii="宋体" w:hAnsi="宋体" w:cs="宋体" w:eastAsia="宋体" w:hint="default"/>
                <w:spacing w:val="-5"/>
                <w:w w:val="101"/>
                <w:sz w:val="18"/>
                <w:szCs w:val="18"/>
              </w:rPr>
              <w:t>电</w:t>
            </w:r>
            <w:r>
              <w:rPr>
                <w:rFonts w:ascii="宋体" w:hAnsi="宋体" w:cs="宋体" w:eastAsia="宋体" w:hint="default"/>
                <w:w w:val="101"/>
                <w:sz w:val="18"/>
                <w:szCs w:val="18"/>
              </w:rPr>
              <w:t>气</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z w:val="18"/>
                <w:szCs w:val="18"/>
              </w:rPr>
            </w:r>
          </w:p>
          <w:p>
            <w:pPr>
              <w:pStyle w:val="TableParagraph"/>
              <w:spacing w:line="321" w:lineRule="auto" w:before="76"/>
              <w:ind w:left="101" w:right="123"/>
              <w:jc w:val="left"/>
              <w:rPr>
                <w:rFonts w:ascii="宋体" w:hAnsi="宋体" w:cs="宋体" w:eastAsia="宋体" w:hint="default"/>
                <w:sz w:val="18"/>
                <w:szCs w:val="18"/>
              </w:rPr>
            </w:pPr>
            <w:r>
              <w:rPr>
                <w:rFonts w:ascii="宋体" w:hAnsi="宋体" w:cs="宋体" w:eastAsia="宋体" w:hint="default"/>
                <w:sz w:val="18"/>
                <w:szCs w:val="18"/>
              </w:rPr>
              <w:t>84.82%</w:t>
            </w:r>
            <w:r>
              <w:rPr>
                <w:rFonts w:ascii="宋体" w:hAnsi="宋体" w:cs="宋体" w:eastAsia="宋体" w:hint="default"/>
                <w:sz w:val="18"/>
                <w:szCs w:val="18"/>
              </w:rPr>
              <w:t>股权，其中使用超募资金</w:t>
            </w:r>
            <w:r>
              <w:rPr>
                <w:rFonts w:ascii="宋体" w:hAnsi="宋体" w:cs="宋体" w:eastAsia="宋体" w:hint="default"/>
                <w:spacing w:val="-39"/>
                <w:sz w:val="18"/>
                <w:szCs w:val="18"/>
              </w:rPr>
              <w:t> </w:t>
            </w:r>
            <w:r>
              <w:rPr>
                <w:rFonts w:ascii="宋体" w:hAnsi="宋体" w:cs="宋体" w:eastAsia="宋体" w:hint="default"/>
                <w:sz w:val="18"/>
                <w:szCs w:val="18"/>
              </w:rPr>
              <w:t>6,779.12</w:t>
            </w:r>
            <w:r>
              <w:rPr>
                <w:rFonts w:ascii="宋体" w:hAnsi="宋体" w:cs="宋体" w:eastAsia="宋体" w:hint="default"/>
                <w:spacing w:val="-45"/>
                <w:sz w:val="18"/>
                <w:szCs w:val="18"/>
              </w:rPr>
              <w:t> </w:t>
            </w:r>
            <w:r>
              <w:rPr>
                <w:rFonts w:ascii="宋体" w:hAnsi="宋体" w:cs="宋体" w:eastAsia="宋体" w:hint="default"/>
                <w:sz w:val="18"/>
                <w:szCs w:val="18"/>
              </w:rPr>
              <w:t>万元及超募资金账户利息</w:t>
            </w:r>
            <w:r>
              <w:rPr>
                <w:rFonts w:ascii="宋体" w:hAnsi="宋体" w:cs="宋体" w:eastAsia="宋体" w:hint="default"/>
                <w:spacing w:val="-39"/>
                <w:sz w:val="18"/>
                <w:szCs w:val="18"/>
              </w:rPr>
              <w:t> </w:t>
            </w:r>
            <w:r>
              <w:rPr>
                <w:rFonts w:ascii="宋体" w:hAnsi="宋体" w:cs="宋体" w:eastAsia="宋体" w:hint="default"/>
                <w:sz w:val="18"/>
                <w:szCs w:val="18"/>
              </w:rPr>
              <w:t>517.13</w:t>
            </w:r>
            <w:r>
              <w:rPr>
                <w:rFonts w:ascii="宋体" w:hAnsi="宋体" w:cs="宋体" w:eastAsia="宋体" w:hint="default"/>
                <w:spacing w:val="-45"/>
                <w:sz w:val="18"/>
                <w:szCs w:val="18"/>
              </w:rPr>
              <w:t> </w:t>
            </w:r>
            <w:r>
              <w:rPr>
                <w:rFonts w:ascii="宋体" w:hAnsi="宋体" w:cs="宋体" w:eastAsia="宋体" w:hint="default"/>
                <w:sz w:val="18"/>
                <w:szCs w:val="18"/>
              </w:rPr>
              <w:t>万元合计</w:t>
            </w:r>
            <w:r>
              <w:rPr>
                <w:rFonts w:ascii="宋体" w:hAnsi="宋体" w:cs="宋体" w:eastAsia="宋体" w:hint="default"/>
                <w:spacing w:val="-39"/>
                <w:sz w:val="18"/>
                <w:szCs w:val="18"/>
              </w:rPr>
              <w:t> </w:t>
            </w:r>
            <w:r>
              <w:rPr>
                <w:rFonts w:ascii="宋体" w:hAnsi="宋体" w:cs="宋体" w:eastAsia="宋体" w:hint="default"/>
                <w:sz w:val="18"/>
                <w:szCs w:val="18"/>
              </w:rPr>
              <w:t>7,296.25</w:t>
            </w:r>
            <w:r>
              <w:rPr>
                <w:rFonts w:ascii="宋体" w:hAnsi="宋体" w:cs="宋体" w:eastAsia="宋体" w:hint="default"/>
                <w:spacing w:val="-39"/>
                <w:sz w:val="18"/>
                <w:szCs w:val="18"/>
              </w:rPr>
              <w:t> </w:t>
            </w:r>
            <w:r>
              <w:rPr>
                <w:rFonts w:ascii="宋体" w:hAnsi="宋体" w:cs="宋体" w:eastAsia="宋体" w:hint="default"/>
                <w:spacing w:val="-3"/>
                <w:sz w:val="18"/>
                <w:szCs w:val="18"/>
              </w:rPr>
              <w:t>万元用于支付现金对价部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分，本次重大资产重组已经中国证券监督管理委员会证监许可</w:t>
            </w:r>
            <w:r>
              <w:rPr>
                <w:rFonts w:ascii="宋体" w:hAnsi="宋体" w:cs="宋体" w:eastAsia="宋体" w:hint="default"/>
                <w:spacing w:val="-3"/>
                <w:sz w:val="18"/>
                <w:szCs w:val="18"/>
              </w:rPr>
              <w:t>[2014]1399 </w:t>
            </w:r>
            <w:r>
              <w:rPr>
                <w:rFonts w:ascii="宋体" w:hAnsi="宋体" w:cs="宋体" w:eastAsia="宋体" w:hint="default"/>
                <w:spacing w:val="25"/>
                <w:sz w:val="18"/>
                <w:szCs w:val="18"/>
              </w:rPr>
              <w:t> </w:t>
            </w:r>
            <w:r>
              <w:rPr>
                <w:rFonts w:ascii="宋体" w:hAnsi="宋体" w:cs="宋体" w:eastAsia="宋体" w:hint="default"/>
                <w:spacing w:val="-3"/>
                <w:sz w:val="18"/>
                <w:szCs w:val="18"/>
              </w:rPr>
              <w:t>号核准。上述款项公司已划转完成。</w:t>
            </w:r>
          </w:p>
          <w:p>
            <w:pPr>
              <w:pStyle w:val="TableParagraph"/>
              <w:spacing w:line="321" w:lineRule="auto" w:before="49"/>
              <w:ind w:left="101" w:right="90"/>
              <w:jc w:val="both"/>
              <w:rPr>
                <w:rFonts w:ascii="宋体" w:hAnsi="宋体" w:cs="宋体" w:eastAsia="宋体" w:hint="default"/>
                <w:sz w:val="18"/>
                <w:szCs w:val="18"/>
              </w:rPr>
            </w:pPr>
            <w:r>
              <w:rPr>
                <w:rFonts w:ascii="宋体" w:hAnsi="宋体" w:cs="宋体" w:eastAsia="宋体" w:hint="default"/>
                <w:w w:val="101"/>
                <w:sz w:val="18"/>
                <w:szCs w:val="18"/>
              </w:rPr>
              <w:t>⑤</w:t>
            </w:r>
            <w:r>
              <w:rPr>
                <w:rFonts w:ascii="宋体" w:hAnsi="宋体" w:cs="宋体" w:eastAsia="宋体" w:hint="default"/>
                <w:w w:val="101"/>
                <w:sz w:val="18"/>
                <w:szCs w:val="18"/>
              </w:rPr>
              <w:t>2015</w:t>
            </w:r>
            <w:r>
              <w:rPr>
                <w:rFonts w:ascii="宋体" w:hAnsi="宋体" w:cs="宋体" w:eastAsia="宋体" w:hint="default"/>
                <w:spacing w:val="-47"/>
                <w:w w:val="101"/>
                <w:sz w:val="18"/>
                <w:szCs w:val="18"/>
              </w:rPr>
              <w:t> </w:t>
            </w:r>
            <w:r>
              <w:rPr>
                <w:rFonts w:ascii="宋体" w:hAnsi="宋体" w:cs="宋体" w:eastAsia="宋体" w:hint="default"/>
                <w:w w:val="101"/>
                <w:sz w:val="18"/>
                <w:szCs w:val="18"/>
              </w:rPr>
              <w:t>年</w:t>
            </w:r>
            <w:r>
              <w:rPr>
                <w:rFonts w:ascii="宋体" w:hAnsi="宋体" w:cs="宋体" w:eastAsia="宋体" w:hint="default"/>
                <w:spacing w:val="-47"/>
                <w:w w:val="101"/>
                <w:sz w:val="18"/>
                <w:szCs w:val="18"/>
              </w:rPr>
              <w:t> </w:t>
            </w:r>
            <w:r>
              <w:rPr>
                <w:rFonts w:ascii="宋体" w:hAnsi="宋体" w:cs="宋体" w:eastAsia="宋体" w:hint="default"/>
                <w:w w:val="101"/>
                <w:sz w:val="18"/>
                <w:szCs w:val="18"/>
              </w:rPr>
              <w:t>6</w:t>
            </w:r>
            <w:r>
              <w:rPr>
                <w:rFonts w:ascii="宋体" w:hAnsi="宋体" w:cs="宋体" w:eastAsia="宋体" w:hint="default"/>
                <w:spacing w:val="-47"/>
                <w:w w:val="101"/>
                <w:sz w:val="18"/>
                <w:szCs w:val="18"/>
              </w:rPr>
              <w:t> </w:t>
            </w:r>
            <w:r>
              <w:rPr>
                <w:rFonts w:ascii="宋体" w:hAnsi="宋体" w:cs="宋体" w:eastAsia="宋体" w:hint="default"/>
                <w:w w:val="101"/>
                <w:sz w:val="18"/>
                <w:szCs w:val="18"/>
              </w:rPr>
              <w:t>月</w:t>
            </w:r>
            <w:r>
              <w:rPr>
                <w:rFonts w:ascii="宋体" w:hAnsi="宋体" w:cs="宋体" w:eastAsia="宋体" w:hint="default"/>
                <w:spacing w:val="-47"/>
                <w:w w:val="101"/>
                <w:sz w:val="18"/>
                <w:szCs w:val="18"/>
              </w:rPr>
              <w:t> </w:t>
            </w:r>
            <w:r>
              <w:rPr>
                <w:rFonts w:ascii="宋体" w:hAnsi="宋体" w:cs="宋体" w:eastAsia="宋体" w:hint="default"/>
                <w:w w:val="101"/>
                <w:sz w:val="18"/>
                <w:szCs w:val="18"/>
              </w:rPr>
              <w:t>3</w:t>
            </w:r>
            <w:r>
              <w:rPr>
                <w:rFonts w:ascii="宋体" w:hAnsi="宋体" w:cs="宋体" w:eastAsia="宋体" w:hint="default"/>
                <w:spacing w:val="-52"/>
                <w:w w:val="101"/>
                <w:sz w:val="18"/>
                <w:szCs w:val="18"/>
              </w:rPr>
              <w:t> </w:t>
            </w:r>
            <w:r>
              <w:rPr>
                <w:rFonts w:ascii="宋体" w:hAnsi="宋体" w:cs="宋体" w:eastAsia="宋体" w:hint="default"/>
                <w:spacing w:val="-5"/>
                <w:w w:val="101"/>
                <w:sz w:val="18"/>
                <w:szCs w:val="18"/>
              </w:rPr>
              <w:t>日，公司披露了《关于使用超募资金永久补充流动资金的公告》（公告编号</w:t>
            </w:r>
            <w:r>
              <w:rPr>
                <w:rFonts w:ascii="宋体" w:hAnsi="宋体" w:cs="宋体" w:eastAsia="宋体" w:hint="default"/>
                <w:spacing w:val="-46"/>
                <w:w w:val="101"/>
                <w:sz w:val="18"/>
                <w:szCs w:val="18"/>
              </w:rPr>
              <w:t> </w:t>
            </w:r>
            <w:r>
              <w:rPr>
                <w:rFonts w:ascii="宋体" w:hAnsi="宋体" w:cs="宋体" w:eastAsia="宋体" w:hint="default"/>
                <w:spacing w:val="-8"/>
                <w:w w:val="101"/>
                <w:sz w:val="18"/>
                <w:szCs w:val="18"/>
              </w:rPr>
              <w:t>2015-031</w:t>
            </w:r>
            <w:r>
              <w:rPr>
                <w:rFonts w:ascii="宋体" w:hAnsi="宋体" w:cs="宋体" w:eastAsia="宋体" w:hint="default"/>
                <w:spacing w:val="-8"/>
                <w:w w:val="101"/>
                <w:sz w:val="18"/>
                <w:szCs w:val="18"/>
              </w:rPr>
              <w:t>），公司使用超募资</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金 </w:t>
            </w:r>
            <w:r>
              <w:rPr>
                <w:rFonts w:ascii="宋体" w:hAnsi="宋体" w:cs="宋体" w:eastAsia="宋体" w:hint="default"/>
                <w:sz w:val="18"/>
                <w:szCs w:val="18"/>
              </w:rPr>
              <w:t>2,250 </w:t>
            </w:r>
            <w:r>
              <w:rPr>
                <w:rFonts w:ascii="宋体" w:hAnsi="宋体" w:cs="宋体" w:eastAsia="宋体" w:hint="default"/>
                <w:spacing w:val="-4"/>
                <w:sz w:val="18"/>
                <w:szCs w:val="18"/>
              </w:rPr>
              <w:t>万元用于永久补充流动资金，公司承诺在本次永久补充流动资金后十二个月内不进行高风险投资（包括财务性投</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资）以及为他人提供财务资助。上述款项公司已划转完成。</w:t>
            </w:r>
          </w:p>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7"/>
                <w:sz w:val="18"/>
                <w:szCs w:val="18"/>
              </w:rPr>
              <w:t> </w:t>
            </w:r>
            <w:r>
              <w:rPr>
                <w:rFonts w:ascii="宋体" w:hAnsi="宋体" w:cs="宋体" w:eastAsia="宋体" w:hint="default"/>
                <w:sz w:val="18"/>
                <w:szCs w:val="18"/>
              </w:rPr>
              <w:t>2019</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宋体" w:hAnsi="宋体" w:cs="宋体" w:eastAsia="宋体" w:hint="default"/>
                <w:sz w:val="18"/>
                <w:szCs w:val="18"/>
              </w:rPr>
              <w:t>31</w:t>
            </w:r>
            <w:r>
              <w:rPr>
                <w:rFonts w:ascii="宋体" w:hAnsi="宋体" w:cs="宋体" w:eastAsia="宋体" w:hint="default"/>
                <w:spacing w:val="-37"/>
                <w:sz w:val="18"/>
                <w:szCs w:val="18"/>
              </w:rPr>
              <w:t> </w:t>
            </w:r>
            <w:r>
              <w:rPr>
                <w:rFonts w:ascii="宋体" w:hAnsi="宋体" w:cs="宋体" w:eastAsia="宋体" w:hint="default"/>
                <w:spacing w:val="-3"/>
                <w:sz w:val="18"/>
                <w:szCs w:val="18"/>
              </w:rPr>
              <w:t>日，公司超募资金累计使用</w:t>
            </w:r>
            <w:r>
              <w:rPr>
                <w:rFonts w:ascii="宋体" w:hAnsi="宋体" w:cs="宋体" w:eastAsia="宋体" w:hint="default"/>
                <w:spacing w:val="-37"/>
                <w:sz w:val="18"/>
                <w:szCs w:val="18"/>
              </w:rPr>
              <w:t> </w:t>
            </w:r>
            <w:r>
              <w:rPr>
                <w:rFonts w:ascii="宋体" w:hAnsi="宋体" w:cs="宋体" w:eastAsia="宋体" w:hint="default"/>
                <w:sz w:val="18"/>
                <w:szCs w:val="18"/>
              </w:rPr>
              <w:t>15,546.62</w:t>
            </w:r>
            <w:r>
              <w:rPr>
                <w:rFonts w:ascii="宋体" w:hAnsi="宋体" w:cs="宋体" w:eastAsia="宋体" w:hint="default"/>
                <w:spacing w:val="-37"/>
                <w:sz w:val="18"/>
                <w:szCs w:val="18"/>
              </w:rPr>
              <w:t> </w:t>
            </w:r>
            <w:r>
              <w:rPr>
                <w:rFonts w:ascii="宋体" w:hAnsi="宋体" w:cs="宋体" w:eastAsia="宋体" w:hint="default"/>
                <w:sz w:val="18"/>
                <w:szCs w:val="18"/>
              </w:rPr>
              <w:t>万元，其中超募资金</w:t>
            </w:r>
            <w:r>
              <w:rPr>
                <w:rFonts w:ascii="宋体" w:hAnsi="宋体" w:cs="宋体" w:eastAsia="宋体" w:hint="default"/>
                <w:spacing w:val="-36"/>
                <w:sz w:val="18"/>
                <w:szCs w:val="18"/>
              </w:rPr>
              <w:t> </w:t>
            </w:r>
            <w:r>
              <w:rPr>
                <w:rFonts w:ascii="宋体" w:hAnsi="宋体" w:cs="宋体" w:eastAsia="宋体" w:hint="default"/>
                <w:sz w:val="18"/>
                <w:szCs w:val="18"/>
              </w:rPr>
              <w:t>15,029.12</w:t>
            </w:r>
            <w:r>
              <w:rPr>
                <w:rFonts w:ascii="宋体" w:hAnsi="宋体" w:cs="宋体" w:eastAsia="宋体" w:hint="default"/>
                <w:spacing w:val="-43"/>
                <w:sz w:val="18"/>
                <w:szCs w:val="18"/>
              </w:rPr>
              <w:t> </w:t>
            </w:r>
            <w:r>
              <w:rPr>
                <w:rFonts w:ascii="宋体" w:hAnsi="宋体" w:cs="宋体" w:eastAsia="宋体" w:hint="default"/>
                <w:spacing w:val="-3"/>
                <w:sz w:val="18"/>
                <w:szCs w:val="18"/>
              </w:rPr>
              <w:t>万元已全部使用完毕，使用</w:t>
            </w:r>
          </w:p>
          <w:p>
            <w:pPr>
              <w:pStyle w:val="TableParagraph"/>
              <w:spacing w:line="240" w:lineRule="auto" w:before="81"/>
              <w:ind w:left="101" w:right="0"/>
              <w:jc w:val="left"/>
              <w:rPr>
                <w:rFonts w:ascii="宋体" w:hAnsi="宋体" w:cs="宋体" w:eastAsia="宋体" w:hint="default"/>
                <w:sz w:val="18"/>
                <w:szCs w:val="18"/>
              </w:rPr>
            </w:pPr>
            <w:r>
              <w:rPr>
                <w:rFonts w:ascii="宋体" w:hAnsi="宋体" w:cs="宋体" w:eastAsia="宋体" w:hint="default"/>
                <w:sz w:val="18"/>
                <w:szCs w:val="18"/>
              </w:rPr>
              <w:t>超募资金利息 </w:t>
            </w:r>
            <w:r>
              <w:rPr>
                <w:rFonts w:ascii="宋体" w:hAnsi="宋体" w:cs="宋体" w:eastAsia="宋体" w:hint="default"/>
                <w:sz w:val="18"/>
                <w:szCs w:val="18"/>
              </w:rPr>
              <w:t>517.50</w:t>
            </w:r>
            <w:r>
              <w:rPr>
                <w:rFonts w:ascii="宋体" w:hAnsi="宋体" w:cs="宋体" w:eastAsia="宋体" w:hint="default"/>
                <w:spacing w:val="-42"/>
                <w:sz w:val="18"/>
                <w:szCs w:val="18"/>
              </w:rPr>
              <w:t> </w:t>
            </w:r>
            <w:r>
              <w:rPr>
                <w:rFonts w:ascii="宋体" w:hAnsi="宋体" w:cs="宋体" w:eastAsia="宋体" w:hint="default"/>
                <w:spacing w:val="-3"/>
                <w:sz w:val="18"/>
                <w:szCs w:val="18"/>
              </w:rPr>
              <w:t>万元；超募资金专用账户已注销。</w:t>
            </w:r>
          </w:p>
        </w:tc>
      </w:tr>
      <w:tr>
        <w:trPr>
          <w:trHeight w:val="404" w:hRule="exact"/>
        </w:trPr>
        <w:tc>
          <w:tcPr>
            <w:tcW w:w="1328" w:type="dxa"/>
            <w:vMerge w:val="restart"/>
            <w:tcBorders>
              <w:top w:val="single" w:sz="4" w:space="0" w:color="000000"/>
              <w:left w:val="single" w:sz="12" w:space="0" w:color="000000"/>
              <w:right w:val="single" w:sz="4" w:space="0" w:color="000000"/>
            </w:tcBorders>
            <w:shd w:val="clear" w:color="auto" w:fill="D2D2D2"/>
          </w:tcPr>
          <w:p>
            <w:pPr>
              <w:pStyle w:val="TableParagraph"/>
              <w:spacing w:line="316" w:lineRule="auto" w:before="126"/>
              <w:ind w:left="94" w:right="127"/>
              <w:jc w:val="both"/>
              <w:rPr>
                <w:rFonts w:ascii="宋体" w:hAnsi="宋体" w:cs="宋体" w:eastAsia="宋体" w:hint="default"/>
                <w:sz w:val="18"/>
                <w:szCs w:val="18"/>
              </w:rPr>
            </w:pPr>
            <w:r>
              <w:rPr>
                <w:rFonts w:ascii="宋体" w:hAnsi="宋体" w:cs="宋体" w:eastAsia="宋体" w:hint="default"/>
                <w:sz w:val="18"/>
                <w:szCs w:val="18"/>
              </w:rPr>
              <w:t>募集资金投资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项目实施地点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变更情况</w:t>
            </w:r>
          </w:p>
        </w:tc>
        <w:tc>
          <w:tcPr>
            <w:tcW w:w="97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328" w:type="dxa"/>
            <w:vMerge/>
            <w:tcBorders>
              <w:left w:val="single" w:sz="12" w:space="0" w:color="000000"/>
              <w:right w:val="single" w:sz="4" w:space="0" w:color="000000"/>
            </w:tcBorders>
            <w:shd w:val="clear" w:color="auto" w:fill="D2D2D2"/>
          </w:tcPr>
          <w:p>
            <w:pPr/>
          </w:p>
        </w:tc>
        <w:tc>
          <w:tcPr>
            <w:tcW w:w="97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70" w:hRule="exact"/>
        </w:trPr>
        <w:tc>
          <w:tcPr>
            <w:tcW w:w="1328" w:type="dxa"/>
            <w:vMerge/>
            <w:tcBorders>
              <w:left w:val="single" w:sz="12" w:space="0" w:color="000000"/>
              <w:bottom w:val="single" w:sz="12" w:space="0" w:color="000000"/>
              <w:right w:val="single" w:sz="4" w:space="0" w:color="000000"/>
            </w:tcBorders>
            <w:shd w:val="clear" w:color="auto" w:fill="D2D2D2"/>
          </w:tcPr>
          <w:p>
            <w:pPr/>
          </w:p>
        </w:tc>
        <w:tc>
          <w:tcPr>
            <w:tcW w:w="970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w w:val="101"/>
                <w:sz w:val="18"/>
                <w:szCs w:val="18"/>
              </w:rPr>
              <w:t>2013</w:t>
            </w:r>
            <w:r>
              <w:rPr>
                <w:rFonts w:ascii="宋体" w:hAnsi="宋体" w:cs="宋体" w:eastAsia="宋体" w:hint="default"/>
                <w:spacing w:val="-47"/>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宋体" w:hAnsi="宋体" w:cs="宋体" w:eastAsia="宋体" w:hint="default"/>
                <w:w w:val="101"/>
                <w:sz w:val="18"/>
                <w:szCs w:val="18"/>
              </w:rPr>
              <w:t>1</w:t>
            </w:r>
            <w:r>
              <w:rPr>
                <w:rFonts w:ascii="宋体" w:hAnsi="宋体" w:cs="宋体" w:eastAsia="宋体" w:hint="default"/>
                <w:spacing w:val="-47"/>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宋体" w:hAnsi="宋体" w:cs="宋体" w:eastAsia="宋体" w:hint="default"/>
                <w:w w:val="101"/>
                <w:sz w:val="18"/>
                <w:szCs w:val="18"/>
              </w:rPr>
              <w:t>15</w:t>
            </w:r>
            <w:r>
              <w:rPr>
                <w:rFonts w:ascii="宋体" w:hAnsi="宋体" w:cs="宋体" w:eastAsia="宋体" w:hint="default"/>
                <w:spacing w:val="-47"/>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披</w:t>
            </w:r>
            <w:r>
              <w:rPr>
                <w:rFonts w:ascii="宋体" w:hAnsi="宋体" w:cs="宋体" w:eastAsia="宋体" w:hint="default"/>
                <w:spacing w:val="-5"/>
                <w:w w:val="101"/>
                <w:sz w:val="18"/>
                <w:szCs w:val="18"/>
              </w:rPr>
              <w:t>露了</w:t>
            </w: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变</w:t>
            </w:r>
            <w:r>
              <w:rPr>
                <w:rFonts w:ascii="宋体" w:hAnsi="宋体" w:cs="宋体" w:eastAsia="宋体" w:hint="default"/>
                <w:w w:val="101"/>
                <w:sz w:val="18"/>
                <w:szCs w:val="18"/>
              </w:rPr>
              <w:t>更</w:t>
            </w:r>
            <w:r>
              <w:rPr>
                <w:rFonts w:ascii="宋体" w:hAnsi="宋体" w:cs="宋体" w:eastAsia="宋体" w:hint="default"/>
                <w:spacing w:val="-5"/>
                <w:w w:val="101"/>
                <w:sz w:val="18"/>
                <w:szCs w:val="18"/>
              </w:rPr>
              <w:t>部</w:t>
            </w:r>
            <w:r>
              <w:rPr>
                <w:rFonts w:ascii="宋体" w:hAnsi="宋体" w:cs="宋体" w:eastAsia="宋体" w:hint="default"/>
                <w:w w:val="101"/>
                <w:sz w:val="18"/>
                <w:szCs w:val="18"/>
              </w:rPr>
              <w:t>分</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投资</w:t>
            </w:r>
            <w:r>
              <w:rPr>
                <w:rFonts w:ascii="宋体" w:hAnsi="宋体" w:cs="宋体" w:eastAsia="宋体" w:hint="default"/>
                <w:w w:val="101"/>
                <w:sz w:val="18"/>
                <w:szCs w:val="18"/>
              </w:rPr>
              <w:t>项</w:t>
            </w:r>
            <w:r>
              <w:rPr>
                <w:rFonts w:ascii="宋体" w:hAnsi="宋体" w:cs="宋体" w:eastAsia="宋体" w:hint="default"/>
                <w:spacing w:val="-5"/>
                <w:w w:val="101"/>
                <w:sz w:val="18"/>
                <w:szCs w:val="18"/>
              </w:rPr>
              <w:t>目</w:t>
            </w:r>
            <w:r>
              <w:rPr>
                <w:rFonts w:ascii="宋体" w:hAnsi="宋体" w:cs="宋体" w:eastAsia="宋体" w:hint="default"/>
                <w:w w:val="101"/>
                <w:sz w:val="18"/>
                <w:szCs w:val="18"/>
              </w:rPr>
              <w:t>实</w:t>
            </w:r>
            <w:r>
              <w:rPr>
                <w:rFonts w:ascii="宋体" w:hAnsi="宋体" w:cs="宋体" w:eastAsia="宋体" w:hint="default"/>
                <w:spacing w:val="-5"/>
                <w:w w:val="101"/>
                <w:sz w:val="18"/>
                <w:szCs w:val="18"/>
              </w:rPr>
              <w:t>施</w:t>
            </w:r>
            <w:r>
              <w:rPr>
                <w:rFonts w:ascii="宋体" w:hAnsi="宋体" w:cs="宋体" w:eastAsia="宋体" w:hint="default"/>
                <w:w w:val="101"/>
                <w:sz w:val="18"/>
                <w:szCs w:val="18"/>
              </w:rPr>
              <w:t>地</w:t>
            </w:r>
            <w:r>
              <w:rPr>
                <w:rFonts w:ascii="宋体" w:hAnsi="宋体" w:cs="宋体" w:eastAsia="宋体" w:hint="default"/>
                <w:spacing w:val="-5"/>
                <w:w w:val="101"/>
                <w:sz w:val="18"/>
                <w:szCs w:val="18"/>
              </w:rPr>
              <w:t>点</w:t>
            </w:r>
            <w:r>
              <w:rPr>
                <w:rFonts w:ascii="宋体" w:hAnsi="宋体" w:cs="宋体" w:eastAsia="宋体" w:hint="default"/>
                <w:w w:val="101"/>
                <w:sz w:val="18"/>
                <w:szCs w:val="18"/>
              </w:rPr>
              <w:t>的</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4"/>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5"/>
                <w:w w:val="101"/>
                <w:sz w:val="18"/>
                <w:szCs w:val="18"/>
              </w:rPr>
              <w:t>编号</w:t>
            </w:r>
            <w:r>
              <w:rPr>
                <w:rFonts w:ascii="宋体" w:hAnsi="宋体" w:cs="宋体" w:eastAsia="宋体" w:hint="default"/>
                <w:w w:val="101"/>
                <w:sz w:val="18"/>
                <w:szCs w:val="18"/>
              </w:rPr>
              <w:t>（</w:t>
            </w:r>
            <w:r>
              <w:rPr>
                <w:rFonts w:ascii="宋体" w:hAnsi="宋体" w:cs="宋体" w:eastAsia="宋体" w:hint="default"/>
                <w:w w:val="101"/>
                <w:sz w:val="18"/>
                <w:szCs w:val="18"/>
              </w:rPr>
              <w:t>20</w:t>
            </w:r>
            <w:r>
              <w:rPr>
                <w:rFonts w:ascii="宋体" w:hAnsi="宋体" w:cs="宋体" w:eastAsia="宋体" w:hint="default"/>
                <w:spacing w:val="-5"/>
                <w:w w:val="101"/>
                <w:sz w:val="18"/>
                <w:szCs w:val="18"/>
              </w:rPr>
              <w:t>1</w:t>
            </w:r>
            <w:r>
              <w:rPr>
                <w:rFonts w:ascii="宋体" w:hAnsi="宋体" w:cs="宋体" w:eastAsia="宋体" w:hint="default"/>
                <w:spacing w:val="-1"/>
                <w:w w:val="101"/>
                <w:sz w:val="18"/>
                <w:szCs w:val="18"/>
              </w:rPr>
              <w:t>3</w:t>
            </w:r>
            <w:r>
              <w:rPr>
                <w:rFonts w:ascii="宋体" w:hAnsi="宋体" w:cs="宋体" w:eastAsia="宋体" w:hint="default"/>
                <w:spacing w:val="-5"/>
                <w:w w:val="101"/>
                <w:sz w:val="18"/>
                <w:szCs w:val="18"/>
              </w:rPr>
              <w:t>）</w:t>
            </w:r>
            <w:r>
              <w:rPr>
                <w:rFonts w:ascii="宋体" w:hAnsi="宋体" w:cs="宋体" w:eastAsia="宋体" w:hint="default"/>
                <w:w w:val="101"/>
                <w:sz w:val="18"/>
                <w:szCs w:val="18"/>
              </w:rPr>
              <w:t>011</w:t>
            </w:r>
            <w:r>
              <w:rPr>
                <w:rFonts w:ascii="宋体" w:hAnsi="宋体" w:cs="宋体" w:eastAsia="宋体" w:hint="default"/>
                <w:spacing w:val="-5"/>
                <w:w w:val="101"/>
                <w:sz w:val="18"/>
                <w:szCs w:val="18"/>
              </w:rPr>
              <w:t>1</w:t>
            </w:r>
            <w:r>
              <w:rPr>
                <w:rFonts w:ascii="宋体" w:hAnsi="宋体" w:cs="宋体" w:eastAsia="宋体" w:hint="default"/>
                <w:w w:val="101"/>
                <w:sz w:val="18"/>
                <w:szCs w:val="18"/>
              </w:rPr>
              <w:t>-00</w:t>
            </w:r>
            <w:r>
              <w:rPr>
                <w:rFonts w:ascii="宋体" w:hAnsi="宋体" w:cs="宋体" w:eastAsia="宋体" w:hint="default"/>
                <w:spacing w:val="-5"/>
                <w:w w:val="101"/>
                <w:sz w:val="18"/>
                <w:szCs w:val="18"/>
              </w:rPr>
              <w:t>3</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1037" w:top="1100" w:bottom="1220" w:left="4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1328"/>
        <w:gridCol w:w="9705"/>
      </w:tblGrid>
      <w:tr>
        <w:trPr>
          <w:trHeight w:val="998" w:hRule="exact"/>
        </w:trPr>
        <w:tc>
          <w:tcPr>
            <w:tcW w:w="1328"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9705" w:type="dxa"/>
            <w:tcBorders>
              <w:top w:val="single" w:sz="12" w:space="0" w:color="000000"/>
              <w:left w:val="single" w:sz="4" w:space="0" w:color="000000"/>
              <w:bottom w:val="single" w:sz="4" w:space="0" w:color="000000"/>
              <w:right w:val="single" w:sz="12" w:space="0" w:color="000000"/>
            </w:tcBorders>
          </w:tcPr>
          <w:p>
            <w:pPr>
              <w:pStyle w:val="TableParagraph"/>
              <w:spacing w:line="319" w:lineRule="auto" w:before="10"/>
              <w:ind w:left="101" w:right="91"/>
              <w:jc w:val="both"/>
              <w:rPr>
                <w:rFonts w:ascii="宋体" w:hAnsi="宋体" w:cs="宋体" w:eastAsia="宋体" w:hint="default"/>
                <w:sz w:val="18"/>
                <w:szCs w:val="18"/>
              </w:rPr>
            </w:pPr>
            <w:r>
              <w:rPr>
                <w:rFonts w:ascii="宋体" w:hAnsi="宋体" w:cs="宋体" w:eastAsia="宋体" w:hint="default"/>
                <w:spacing w:val="-4"/>
                <w:sz w:val="18"/>
                <w:szCs w:val="18"/>
              </w:rPr>
              <w:t>募投项目“电力用户用电信息采集系统产能扩大建设项目”的实施地点由南京市江宁开发区将军大道以西，福特研发中心</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以南地块变更为相邻地块，该两宗土地公司均已取得国有土地使用证。实施地点变更后该项目使用募集资金总投资及建设</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内容不变。</w:t>
            </w:r>
          </w:p>
        </w:tc>
      </w:tr>
      <w:tr>
        <w:trPr>
          <w:trHeight w:val="399" w:hRule="exact"/>
        </w:trPr>
        <w:tc>
          <w:tcPr>
            <w:tcW w:w="1328" w:type="dxa"/>
            <w:vMerge w:val="restart"/>
            <w:tcBorders>
              <w:top w:val="single" w:sz="4" w:space="0" w:color="000000"/>
              <w:left w:val="single" w:sz="12" w:space="0" w:color="000000"/>
              <w:right w:val="single" w:sz="4" w:space="0" w:color="000000"/>
            </w:tcBorders>
            <w:shd w:val="clear" w:color="auto" w:fill="D2D2D2"/>
          </w:tcPr>
          <w:p>
            <w:pPr>
              <w:pStyle w:val="TableParagraph"/>
              <w:spacing w:line="319" w:lineRule="auto" w:before="140"/>
              <w:ind w:left="94" w:right="127"/>
              <w:jc w:val="both"/>
              <w:rPr>
                <w:rFonts w:ascii="宋体" w:hAnsi="宋体" w:cs="宋体" w:eastAsia="宋体" w:hint="default"/>
                <w:sz w:val="18"/>
                <w:szCs w:val="18"/>
              </w:rPr>
            </w:pPr>
            <w:r>
              <w:rPr>
                <w:rFonts w:ascii="宋体" w:hAnsi="宋体" w:cs="宋体" w:eastAsia="宋体" w:hint="default"/>
                <w:sz w:val="18"/>
                <w:szCs w:val="18"/>
              </w:rPr>
              <w:t>募集资金投资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项目实施方式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调整情况</w:t>
            </w:r>
          </w:p>
        </w:tc>
        <w:tc>
          <w:tcPr>
            <w:tcW w:w="97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328" w:type="dxa"/>
            <w:vMerge/>
            <w:tcBorders>
              <w:left w:val="single" w:sz="12" w:space="0" w:color="000000"/>
              <w:right w:val="single" w:sz="4" w:space="0" w:color="000000"/>
            </w:tcBorders>
            <w:shd w:val="clear" w:color="auto" w:fill="D2D2D2"/>
          </w:tcPr>
          <w:p>
            <w:pPr/>
          </w:p>
        </w:tc>
        <w:tc>
          <w:tcPr>
            <w:tcW w:w="970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328" w:type="dxa"/>
            <w:vMerge/>
            <w:tcBorders>
              <w:left w:val="single" w:sz="12" w:space="0" w:color="000000"/>
              <w:bottom w:val="single" w:sz="4" w:space="0" w:color="000000"/>
              <w:right w:val="single" w:sz="4" w:space="0" w:color="000000"/>
            </w:tcBorders>
            <w:shd w:val="clear" w:color="auto" w:fill="D2D2D2"/>
          </w:tcPr>
          <w:p>
            <w:pPr/>
          </w:p>
        </w:tc>
        <w:tc>
          <w:tcPr>
            <w:tcW w:w="970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328" w:type="dxa"/>
            <w:vMerge w:val="restart"/>
            <w:tcBorders>
              <w:top w:val="single" w:sz="4" w:space="0" w:color="000000"/>
              <w:left w:val="single" w:sz="12"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9" w:lineRule="auto"/>
              <w:ind w:left="94" w:right="127"/>
              <w:jc w:val="both"/>
              <w:rPr>
                <w:rFonts w:ascii="宋体" w:hAnsi="宋体" w:cs="宋体" w:eastAsia="宋体" w:hint="default"/>
                <w:sz w:val="18"/>
                <w:szCs w:val="18"/>
              </w:rPr>
            </w:pPr>
            <w:r>
              <w:rPr>
                <w:rFonts w:ascii="宋体" w:hAnsi="宋体" w:cs="宋体" w:eastAsia="宋体" w:hint="default"/>
                <w:sz w:val="18"/>
                <w:szCs w:val="18"/>
              </w:rPr>
              <w:t>募集资金投资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项目先期投入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及置换情况</w:t>
            </w:r>
          </w:p>
        </w:tc>
        <w:tc>
          <w:tcPr>
            <w:tcW w:w="97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3" w:hRule="exact"/>
        </w:trPr>
        <w:tc>
          <w:tcPr>
            <w:tcW w:w="1328" w:type="dxa"/>
            <w:vMerge/>
            <w:tcBorders>
              <w:left w:val="single" w:sz="12" w:space="0" w:color="000000"/>
              <w:bottom w:val="single" w:sz="4" w:space="0" w:color="000000"/>
              <w:right w:val="single" w:sz="4" w:space="0" w:color="000000"/>
            </w:tcBorders>
            <w:shd w:val="clear" w:color="auto" w:fill="D2D2D2"/>
          </w:tcPr>
          <w:p>
            <w:pPr/>
          </w:p>
        </w:tc>
        <w:tc>
          <w:tcPr>
            <w:tcW w:w="97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w w:val="101"/>
                <w:sz w:val="18"/>
                <w:szCs w:val="18"/>
              </w:rPr>
              <w:t>2012</w:t>
            </w:r>
            <w:r>
              <w:rPr>
                <w:rFonts w:ascii="宋体" w:hAnsi="宋体" w:cs="宋体" w:eastAsia="宋体" w:hint="default"/>
                <w:spacing w:val="-47"/>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宋体" w:hAnsi="宋体" w:cs="宋体" w:eastAsia="宋体" w:hint="default"/>
                <w:w w:val="101"/>
                <w:sz w:val="18"/>
                <w:szCs w:val="18"/>
              </w:rPr>
              <w:t>10</w:t>
            </w:r>
            <w:r>
              <w:rPr>
                <w:rFonts w:ascii="宋体" w:hAnsi="宋体" w:cs="宋体" w:eastAsia="宋体" w:hint="default"/>
                <w:spacing w:val="-47"/>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宋体" w:hAnsi="宋体" w:cs="宋体" w:eastAsia="宋体" w:hint="default"/>
                <w:w w:val="101"/>
                <w:sz w:val="18"/>
                <w:szCs w:val="18"/>
              </w:rPr>
              <w:t>30</w:t>
            </w:r>
            <w:r>
              <w:rPr>
                <w:rFonts w:ascii="宋体" w:hAnsi="宋体" w:cs="宋体" w:eastAsia="宋体" w:hint="default"/>
                <w:spacing w:val="-52"/>
                <w:sz w:val="18"/>
                <w:szCs w:val="18"/>
              </w:rPr>
              <w:t> </w:t>
            </w:r>
            <w:r>
              <w:rPr>
                <w:rFonts w:ascii="宋体" w:hAnsi="宋体" w:cs="宋体" w:eastAsia="宋体" w:hint="default"/>
                <w:w w:val="101"/>
                <w:sz w:val="18"/>
                <w:szCs w:val="18"/>
              </w:rPr>
              <w:t>日</w:t>
            </w:r>
            <w:r>
              <w:rPr>
                <w:rFonts w:ascii="宋体" w:hAnsi="宋体" w:cs="宋体" w:eastAsia="宋体" w:hint="default"/>
                <w:spacing w:val="-29"/>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spacing w:val="-29"/>
                <w:w w:val="101"/>
                <w:sz w:val="18"/>
                <w:szCs w:val="18"/>
              </w:rPr>
              <w:t>了</w:t>
            </w: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以</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置</w:t>
            </w:r>
            <w:r>
              <w:rPr>
                <w:rFonts w:ascii="宋体" w:hAnsi="宋体" w:cs="宋体" w:eastAsia="宋体" w:hint="default"/>
                <w:spacing w:val="-5"/>
                <w:w w:val="101"/>
                <w:sz w:val="18"/>
                <w:szCs w:val="18"/>
              </w:rPr>
              <w:t>换</w:t>
            </w:r>
            <w:r>
              <w:rPr>
                <w:rFonts w:ascii="宋体" w:hAnsi="宋体" w:cs="宋体" w:eastAsia="宋体" w:hint="default"/>
                <w:w w:val="101"/>
                <w:sz w:val="18"/>
                <w:szCs w:val="18"/>
              </w:rPr>
              <w:t>预</w:t>
            </w:r>
            <w:r>
              <w:rPr>
                <w:rFonts w:ascii="宋体" w:hAnsi="宋体" w:cs="宋体" w:eastAsia="宋体" w:hint="default"/>
                <w:spacing w:val="-5"/>
                <w:w w:val="101"/>
                <w:sz w:val="18"/>
                <w:szCs w:val="18"/>
              </w:rPr>
              <w:t>先投</w:t>
            </w:r>
            <w:r>
              <w:rPr>
                <w:rFonts w:ascii="宋体" w:hAnsi="宋体" w:cs="宋体" w:eastAsia="宋体" w:hint="default"/>
                <w:w w:val="101"/>
                <w:sz w:val="18"/>
                <w:szCs w:val="18"/>
              </w:rPr>
              <w:t>入</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投</w:t>
            </w:r>
            <w:r>
              <w:rPr>
                <w:rFonts w:ascii="宋体" w:hAnsi="宋体" w:cs="宋体" w:eastAsia="宋体" w:hint="default"/>
                <w:w w:val="101"/>
                <w:sz w:val="18"/>
                <w:szCs w:val="18"/>
              </w:rPr>
              <w:t>资</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的</w:t>
            </w:r>
            <w:r>
              <w:rPr>
                <w:rFonts w:ascii="宋体" w:hAnsi="宋体" w:cs="宋体" w:eastAsia="宋体" w:hint="default"/>
                <w:w w:val="101"/>
                <w:sz w:val="18"/>
                <w:szCs w:val="18"/>
              </w:rPr>
              <w:t>自</w:t>
            </w:r>
            <w:r>
              <w:rPr>
                <w:rFonts w:ascii="宋体" w:hAnsi="宋体" w:cs="宋体" w:eastAsia="宋体" w:hint="default"/>
                <w:spacing w:val="-5"/>
                <w:w w:val="101"/>
                <w:sz w:val="18"/>
                <w:szCs w:val="18"/>
              </w:rPr>
              <w:t>筹</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的</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120"/>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5"/>
                <w:w w:val="101"/>
                <w:sz w:val="18"/>
                <w:szCs w:val="18"/>
              </w:rPr>
              <w:t>编</w:t>
            </w:r>
            <w:r>
              <w:rPr>
                <w:rFonts w:ascii="宋体" w:hAnsi="宋体" w:cs="宋体" w:eastAsia="宋体" w:hint="default"/>
                <w:spacing w:val="-25"/>
                <w:w w:val="101"/>
                <w:sz w:val="18"/>
                <w:szCs w:val="18"/>
              </w:rPr>
              <w:t>号</w:t>
            </w:r>
            <w:r>
              <w:rPr>
                <w:rFonts w:ascii="宋体" w:hAnsi="宋体" w:cs="宋体" w:eastAsia="宋体" w:hint="default"/>
                <w:spacing w:val="-3"/>
                <w:w w:val="101"/>
                <w:sz w:val="18"/>
                <w:szCs w:val="18"/>
              </w:rPr>
              <w:t>（</w:t>
            </w:r>
            <w:r>
              <w:rPr>
                <w:rFonts w:ascii="宋体" w:hAnsi="宋体" w:cs="宋体" w:eastAsia="宋体" w:hint="default"/>
                <w:w w:val="101"/>
                <w:sz w:val="18"/>
                <w:szCs w:val="18"/>
              </w:rPr>
              <w:t>201</w:t>
            </w:r>
            <w:r>
              <w:rPr>
                <w:rFonts w:ascii="宋体" w:hAnsi="宋体" w:cs="宋体" w:eastAsia="宋体" w:hint="default"/>
                <w:spacing w:val="-5"/>
                <w:w w:val="101"/>
                <w:sz w:val="18"/>
                <w:szCs w:val="18"/>
              </w:rPr>
              <w:t>2</w:t>
            </w: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321" w:lineRule="auto" w:before="71"/>
              <w:ind w:left="101" w:right="172"/>
              <w:jc w:val="left"/>
              <w:rPr>
                <w:rFonts w:ascii="宋体" w:hAnsi="宋体" w:cs="宋体" w:eastAsia="宋体" w:hint="default"/>
                <w:sz w:val="18"/>
                <w:szCs w:val="18"/>
              </w:rPr>
            </w:pPr>
            <w:r>
              <w:rPr>
                <w:rFonts w:ascii="宋体" w:hAnsi="宋体" w:cs="宋体" w:eastAsia="宋体" w:hint="default"/>
                <w:spacing w:val="-7"/>
                <w:w w:val="101"/>
                <w:sz w:val="18"/>
                <w:szCs w:val="18"/>
              </w:rPr>
              <w:t>1030-009</w:t>
            </w:r>
            <w:r>
              <w:rPr>
                <w:rFonts w:ascii="宋体" w:hAnsi="宋体" w:cs="宋体" w:eastAsia="宋体" w:hint="default"/>
                <w:spacing w:val="-7"/>
                <w:w w:val="101"/>
                <w:sz w:val="18"/>
                <w:szCs w:val="18"/>
              </w:rPr>
              <w:t>），公司使用募集资金</w:t>
            </w:r>
            <w:r>
              <w:rPr>
                <w:rFonts w:ascii="宋体" w:hAnsi="宋体" w:cs="宋体" w:eastAsia="宋体" w:hint="default"/>
                <w:spacing w:val="-45"/>
                <w:w w:val="101"/>
                <w:sz w:val="18"/>
                <w:szCs w:val="18"/>
              </w:rPr>
              <w:t> </w:t>
            </w:r>
            <w:r>
              <w:rPr>
                <w:rFonts w:ascii="宋体" w:hAnsi="宋体" w:cs="宋体" w:eastAsia="宋体" w:hint="default"/>
                <w:spacing w:val="-1"/>
                <w:w w:val="101"/>
                <w:sz w:val="18"/>
                <w:szCs w:val="18"/>
              </w:rPr>
              <w:t>1,189.82</w:t>
            </w:r>
            <w:r>
              <w:rPr>
                <w:rFonts w:ascii="宋体" w:hAnsi="宋体" w:cs="宋体" w:eastAsia="宋体" w:hint="default"/>
                <w:spacing w:val="11"/>
                <w:w w:val="101"/>
                <w:sz w:val="18"/>
                <w:szCs w:val="18"/>
              </w:rPr>
              <w:t> </w:t>
            </w:r>
            <w:r>
              <w:rPr>
                <w:rFonts w:ascii="宋体" w:hAnsi="宋体" w:cs="宋体" w:eastAsia="宋体" w:hint="default"/>
                <w:spacing w:val="-3"/>
                <w:w w:val="101"/>
                <w:sz w:val="18"/>
                <w:szCs w:val="18"/>
              </w:rPr>
              <w:t>万元置换预先已投入募集资金投资项目的自筹资金，上海众华沪银会计师事务</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z w:val="18"/>
                <w:szCs w:val="18"/>
              </w:rPr>
              <w:t>所有限公司出具了沪众会字（</w:t>
            </w:r>
            <w:r>
              <w:rPr>
                <w:rFonts w:ascii="宋体" w:hAnsi="宋体" w:cs="宋体" w:eastAsia="宋体" w:hint="default"/>
                <w:sz w:val="18"/>
                <w:szCs w:val="18"/>
              </w:rPr>
              <w:t>2012</w:t>
            </w:r>
            <w:r>
              <w:rPr>
                <w:rFonts w:ascii="宋体" w:hAnsi="宋体" w:cs="宋体" w:eastAsia="宋体" w:hint="default"/>
                <w:sz w:val="18"/>
                <w:szCs w:val="18"/>
              </w:rPr>
              <w:t>）</w:t>
            </w:r>
            <w:r>
              <w:rPr>
                <w:rFonts w:ascii="宋体" w:hAnsi="宋体" w:cs="宋体" w:eastAsia="宋体" w:hint="default"/>
                <w:sz w:val="18"/>
                <w:szCs w:val="18"/>
              </w:rPr>
              <w:t>3221</w:t>
            </w:r>
            <w:r>
              <w:rPr>
                <w:rFonts w:ascii="宋体" w:hAnsi="宋体" w:cs="宋体" w:eastAsia="宋体" w:hint="default"/>
                <w:spacing w:val="42"/>
                <w:sz w:val="18"/>
                <w:szCs w:val="18"/>
              </w:rPr>
              <w:t> </w:t>
            </w:r>
            <w:r>
              <w:rPr>
                <w:rFonts w:ascii="宋体" w:hAnsi="宋体" w:cs="宋体" w:eastAsia="宋体" w:hint="default"/>
                <w:spacing w:val="-3"/>
                <w:sz w:val="18"/>
                <w:szCs w:val="18"/>
              </w:rPr>
              <w:t>号鉴证报告，对该项情况进行了审验。该项置换工作已划转完成。</w:t>
            </w:r>
          </w:p>
        </w:tc>
      </w:tr>
      <w:tr>
        <w:trPr>
          <w:trHeight w:val="403" w:hRule="exact"/>
        </w:trPr>
        <w:tc>
          <w:tcPr>
            <w:tcW w:w="1328" w:type="dxa"/>
            <w:vMerge w:val="restart"/>
            <w:tcBorders>
              <w:top w:val="single" w:sz="4" w:space="0" w:color="000000"/>
              <w:left w:val="single" w:sz="12"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94" w:right="127"/>
              <w:jc w:val="both"/>
              <w:rPr>
                <w:rFonts w:ascii="宋体" w:hAnsi="宋体" w:cs="宋体" w:eastAsia="宋体" w:hint="default"/>
                <w:sz w:val="18"/>
                <w:szCs w:val="18"/>
              </w:rPr>
            </w:pPr>
            <w:r>
              <w:rPr>
                <w:rFonts w:ascii="宋体" w:hAnsi="宋体" w:cs="宋体" w:eastAsia="宋体" w:hint="default"/>
                <w:sz w:val="18"/>
                <w:szCs w:val="18"/>
              </w:rPr>
              <w:t>用闲置募集资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金暂时补充流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动资金情况</w:t>
            </w:r>
          </w:p>
        </w:tc>
        <w:tc>
          <w:tcPr>
            <w:tcW w:w="97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9421" w:hRule="exact"/>
        </w:trPr>
        <w:tc>
          <w:tcPr>
            <w:tcW w:w="1328" w:type="dxa"/>
            <w:vMerge/>
            <w:tcBorders>
              <w:left w:val="single" w:sz="12" w:space="0" w:color="000000"/>
              <w:bottom w:val="single" w:sz="4" w:space="0" w:color="000000"/>
              <w:right w:val="single" w:sz="4" w:space="0" w:color="000000"/>
            </w:tcBorders>
            <w:shd w:val="clear" w:color="auto" w:fill="D2D2D2"/>
          </w:tcPr>
          <w:p>
            <w:pPr/>
          </w:p>
        </w:tc>
        <w:tc>
          <w:tcPr>
            <w:tcW w:w="97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w w:val="101"/>
                <w:sz w:val="18"/>
                <w:szCs w:val="18"/>
              </w:rPr>
              <w:t>①</w:t>
            </w:r>
            <w:r>
              <w:rPr>
                <w:rFonts w:ascii="宋体" w:hAnsi="宋体" w:cs="宋体" w:eastAsia="宋体" w:hint="default"/>
                <w:w w:val="101"/>
                <w:sz w:val="18"/>
                <w:szCs w:val="18"/>
              </w:rPr>
              <w:t>20</w:t>
            </w:r>
            <w:r>
              <w:rPr>
                <w:rFonts w:ascii="宋体" w:hAnsi="宋体" w:cs="宋体" w:eastAsia="宋体" w:hint="default"/>
                <w:spacing w:val="-5"/>
                <w:w w:val="101"/>
                <w:sz w:val="18"/>
                <w:szCs w:val="18"/>
              </w:rPr>
              <w:t>1</w:t>
            </w:r>
            <w:r>
              <w:rPr>
                <w:rFonts w:ascii="宋体" w:hAnsi="宋体" w:cs="宋体" w:eastAsia="宋体" w:hint="default"/>
                <w:w w:val="101"/>
                <w:sz w:val="18"/>
                <w:szCs w:val="18"/>
              </w:rPr>
              <w:t>2</w:t>
            </w:r>
            <w:r>
              <w:rPr>
                <w:rFonts w:ascii="宋体" w:hAnsi="宋体" w:cs="宋体" w:eastAsia="宋体" w:hint="default"/>
                <w:spacing w:val="1"/>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宋体" w:hAnsi="宋体" w:cs="宋体" w:eastAsia="宋体" w:hint="default"/>
                <w:w w:val="101"/>
                <w:sz w:val="18"/>
                <w:szCs w:val="18"/>
              </w:rPr>
              <w:t>10</w:t>
            </w:r>
            <w:r>
              <w:rPr>
                <w:rFonts w:ascii="宋体" w:hAnsi="宋体" w:cs="宋体" w:eastAsia="宋体" w:hint="default"/>
                <w:spacing w:val="-47"/>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宋体" w:hAnsi="宋体" w:cs="宋体" w:eastAsia="宋体" w:hint="default"/>
                <w:w w:val="101"/>
                <w:sz w:val="18"/>
                <w:szCs w:val="18"/>
              </w:rPr>
              <w:t>30</w:t>
            </w:r>
            <w:r>
              <w:rPr>
                <w:rFonts w:ascii="宋体" w:hAnsi="宋体" w:cs="宋体" w:eastAsia="宋体" w:hint="default"/>
                <w:spacing w:val="-52"/>
                <w:sz w:val="18"/>
                <w:szCs w:val="18"/>
              </w:rPr>
              <w:t> </w:t>
            </w:r>
            <w:r>
              <w:rPr>
                <w:rFonts w:ascii="宋体" w:hAnsi="宋体" w:cs="宋体" w:eastAsia="宋体" w:hint="default"/>
                <w:w w:val="101"/>
                <w:sz w:val="18"/>
                <w:szCs w:val="18"/>
              </w:rPr>
              <w:t>日</w:t>
            </w:r>
            <w:r>
              <w:rPr>
                <w:rFonts w:ascii="宋体" w:hAnsi="宋体" w:cs="宋体" w:eastAsia="宋体" w:hint="default"/>
                <w:spacing w:val="-53"/>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spacing w:val="-48"/>
                <w:w w:val="101"/>
                <w:sz w:val="18"/>
                <w:szCs w:val="18"/>
              </w:rPr>
              <w:t>了</w:t>
            </w:r>
            <w:r>
              <w:rPr>
                <w:rFonts w:ascii="宋体" w:hAnsi="宋体" w:cs="宋体" w:eastAsia="宋体" w:hint="default"/>
                <w:w w:val="101"/>
                <w:sz w:val="18"/>
                <w:szCs w:val="18"/>
              </w:rPr>
              <w:t>《</w:t>
            </w:r>
            <w:r>
              <w:rPr>
                <w:rFonts w:ascii="宋体" w:hAnsi="宋体" w:cs="宋体" w:eastAsia="宋体" w:hint="default"/>
                <w:spacing w:val="-5"/>
                <w:w w:val="101"/>
                <w:sz w:val="18"/>
                <w:szCs w:val="18"/>
              </w:rPr>
              <w:t>关</w:t>
            </w:r>
            <w:r>
              <w:rPr>
                <w:rFonts w:ascii="宋体" w:hAnsi="宋体" w:cs="宋体" w:eastAsia="宋体" w:hint="default"/>
                <w:w w:val="101"/>
                <w:sz w:val="18"/>
                <w:szCs w:val="18"/>
              </w:rPr>
              <w:t>于</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pacing w:val="-5"/>
                <w:w w:val="101"/>
                <w:sz w:val="18"/>
                <w:szCs w:val="18"/>
              </w:rPr>
              <w:t>部</w:t>
            </w:r>
            <w:r>
              <w:rPr>
                <w:rFonts w:ascii="宋体" w:hAnsi="宋体" w:cs="宋体" w:eastAsia="宋体" w:hint="default"/>
                <w:w w:val="101"/>
                <w:sz w:val="18"/>
                <w:szCs w:val="18"/>
              </w:rPr>
              <w:t>分</w:t>
            </w:r>
            <w:r>
              <w:rPr>
                <w:rFonts w:ascii="宋体" w:hAnsi="宋体" w:cs="宋体" w:eastAsia="宋体" w:hint="default"/>
                <w:spacing w:val="-5"/>
                <w:w w:val="101"/>
                <w:sz w:val="18"/>
                <w:szCs w:val="18"/>
              </w:rPr>
              <w:t>闲</w:t>
            </w:r>
            <w:r>
              <w:rPr>
                <w:rFonts w:ascii="宋体" w:hAnsi="宋体" w:cs="宋体" w:eastAsia="宋体" w:hint="default"/>
                <w:w w:val="101"/>
                <w:sz w:val="18"/>
                <w:szCs w:val="18"/>
              </w:rPr>
              <w:t>置</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暂</w:t>
            </w:r>
            <w:r>
              <w:rPr>
                <w:rFonts w:ascii="宋体" w:hAnsi="宋体" w:cs="宋体" w:eastAsia="宋体" w:hint="default"/>
                <w:w w:val="101"/>
                <w:sz w:val="18"/>
                <w:szCs w:val="18"/>
              </w:rPr>
              <w:t>时</w:t>
            </w:r>
            <w:r>
              <w:rPr>
                <w:rFonts w:ascii="宋体" w:hAnsi="宋体" w:cs="宋体" w:eastAsia="宋体" w:hint="default"/>
                <w:spacing w:val="-5"/>
                <w:w w:val="101"/>
                <w:sz w:val="18"/>
                <w:szCs w:val="18"/>
              </w:rPr>
              <w:t>补</w:t>
            </w:r>
            <w:r>
              <w:rPr>
                <w:rFonts w:ascii="宋体" w:hAnsi="宋体" w:cs="宋体" w:eastAsia="宋体" w:hint="default"/>
                <w:w w:val="101"/>
                <w:sz w:val="18"/>
                <w:szCs w:val="18"/>
              </w:rPr>
              <w:t>充</w:t>
            </w:r>
            <w:r>
              <w:rPr>
                <w:rFonts w:ascii="宋体" w:hAnsi="宋体" w:cs="宋体" w:eastAsia="宋体" w:hint="default"/>
                <w:spacing w:val="-5"/>
                <w:w w:val="101"/>
                <w:sz w:val="18"/>
                <w:szCs w:val="18"/>
              </w:rPr>
              <w:t>流</w:t>
            </w:r>
            <w:r>
              <w:rPr>
                <w:rFonts w:ascii="宋体" w:hAnsi="宋体" w:cs="宋体" w:eastAsia="宋体" w:hint="default"/>
                <w:w w:val="101"/>
                <w:sz w:val="18"/>
                <w:szCs w:val="18"/>
              </w:rPr>
              <w:t>动</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的</w:t>
            </w:r>
            <w:r>
              <w:rPr>
                <w:rFonts w:ascii="宋体" w:hAnsi="宋体" w:cs="宋体" w:eastAsia="宋体" w:hint="default"/>
                <w:w w:val="101"/>
                <w:sz w:val="18"/>
                <w:szCs w:val="18"/>
              </w:rPr>
              <w:t>公告</w:t>
            </w:r>
            <w:r>
              <w:rPr>
                <w:rFonts w:ascii="宋体" w:hAnsi="宋体" w:cs="宋体" w:eastAsia="宋体" w:hint="default"/>
                <w:spacing w:val="-144"/>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5"/>
                <w:w w:val="101"/>
                <w:sz w:val="18"/>
                <w:szCs w:val="18"/>
              </w:rPr>
              <w:t>编</w:t>
            </w:r>
            <w:r>
              <w:rPr>
                <w:rFonts w:ascii="宋体" w:hAnsi="宋体" w:cs="宋体" w:eastAsia="宋体" w:hint="default"/>
                <w:spacing w:val="-48"/>
                <w:w w:val="101"/>
                <w:sz w:val="18"/>
                <w:szCs w:val="18"/>
              </w:rPr>
              <w:t>号</w:t>
            </w:r>
            <w:r>
              <w:rPr>
                <w:rFonts w:ascii="宋体" w:hAnsi="宋体" w:cs="宋体" w:eastAsia="宋体" w:hint="default"/>
                <w:spacing w:val="1"/>
                <w:w w:val="101"/>
                <w:sz w:val="18"/>
                <w:szCs w:val="18"/>
              </w:rPr>
              <w:t>（</w:t>
            </w:r>
            <w:r>
              <w:rPr>
                <w:rFonts w:ascii="宋体" w:hAnsi="宋体" w:cs="宋体" w:eastAsia="宋体" w:hint="default"/>
                <w:w w:val="101"/>
                <w:sz w:val="18"/>
                <w:szCs w:val="18"/>
              </w:rPr>
              <w:t>2</w:t>
            </w:r>
            <w:r>
              <w:rPr>
                <w:rFonts w:ascii="宋体" w:hAnsi="宋体" w:cs="宋体" w:eastAsia="宋体" w:hint="default"/>
                <w:spacing w:val="-5"/>
                <w:w w:val="101"/>
                <w:sz w:val="18"/>
                <w:szCs w:val="18"/>
              </w:rPr>
              <w:t>0</w:t>
            </w:r>
            <w:r>
              <w:rPr>
                <w:rFonts w:ascii="宋体" w:hAnsi="宋体" w:cs="宋体" w:eastAsia="宋体" w:hint="default"/>
                <w:w w:val="101"/>
                <w:sz w:val="18"/>
                <w:szCs w:val="18"/>
              </w:rPr>
              <w:t>1</w:t>
            </w:r>
            <w:r>
              <w:rPr>
                <w:rFonts w:ascii="宋体" w:hAnsi="宋体" w:cs="宋体" w:eastAsia="宋体" w:hint="default"/>
                <w:spacing w:val="-1"/>
                <w:w w:val="101"/>
                <w:sz w:val="18"/>
                <w:szCs w:val="18"/>
              </w:rPr>
              <w:t>2</w:t>
            </w:r>
            <w:r>
              <w:rPr>
                <w:rFonts w:ascii="宋体" w:hAnsi="宋体" w:cs="宋体" w:eastAsia="宋体" w:hint="default"/>
                <w:spacing w:val="-48"/>
                <w:w w:val="101"/>
                <w:sz w:val="18"/>
                <w:szCs w:val="18"/>
              </w:rPr>
              <w:t>）</w:t>
            </w:r>
            <w:r>
              <w:rPr>
                <w:rFonts w:ascii="宋体" w:hAnsi="宋体" w:cs="宋体" w:eastAsia="宋体" w:hint="default"/>
                <w:spacing w:val="-5"/>
                <w:w w:val="101"/>
                <w:sz w:val="18"/>
                <w:szCs w:val="18"/>
              </w:rPr>
              <w:t>1</w:t>
            </w:r>
            <w:r>
              <w:rPr>
                <w:rFonts w:ascii="宋体" w:hAnsi="宋体" w:cs="宋体" w:eastAsia="宋体" w:hint="default"/>
                <w:w w:val="101"/>
                <w:sz w:val="18"/>
                <w:szCs w:val="18"/>
              </w:rPr>
              <w:t>03</w:t>
            </w:r>
            <w:r>
              <w:rPr>
                <w:rFonts w:ascii="宋体" w:hAnsi="宋体" w:cs="宋体" w:eastAsia="宋体" w:hint="default"/>
                <w:spacing w:val="-5"/>
                <w:w w:val="101"/>
                <w:sz w:val="18"/>
                <w:szCs w:val="18"/>
              </w:rPr>
              <w:t>0</w:t>
            </w:r>
            <w:r>
              <w:rPr>
                <w:rFonts w:ascii="宋体" w:hAnsi="宋体" w:cs="宋体" w:eastAsia="宋体" w:hint="default"/>
                <w:w w:val="101"/>
                <w:sz w:val="18"/>
                <w:szCs w:val="18"/>
              </w:rPr>
              <w:t>-01</w:t>
            </w:r>
            <w:r>
              <w:rPr>
                <w:rFonts w:ascii="宋体" w:hAnsi="宋体" w:cs="宋体" w:eastAsia="宋体" w:hint="default"/>
                <w:spacing w:val="-5"/>
                <w:w w:val="101"/>
                <w:sz w:val="18"/>
                <w:szCs w:val="18"/>
              </w:rPr>
              <w:t>1</w:t>
            </w:r>
            <w:r>
              <w:rPr>
                <w:rFonts w:ascii="宋体" w:hAnsi="宋体" w:cs="宋体" w:eastAsia="宋体" w:hint="default"/>
                <w:spacing w:val="-92"/>
                <w:w w:val="101"/>
                <w:sz w:val="18"/>
                <w:szCs w:val="18"/>
              </w:rPr>
              <w:t>），</w:t>
            </w:r>
            <w:r>
              <w:rPr>
                <w:rFonts w:ascii="宋体" w:hAnsi="宋体" w:cs="宋体" w:eastAsia="宋体" w:hint="default"/>
                <w:sz w:val="18"/>
                <w:szCs w:val="18"/>
              </w:rPr>
            </w:r>
          </w:p>
          <w:p>
            <w:pPr>
              <w:pStyle w:val="TableParagraph"/>
              <w:spacing w:line="240" w:lineRule="auto" w:before="72"/>
              <w:ind w:left="101" w:right="0"/>
              <w:jc w:val="left"/>
              <w:rPr>
                <w:rFonts w:ascii="宋体" w:hAnsi="宋体" w:cs="宋体" w:eastAsia="宋体" w:hint="default"/>
                <w:sz w:val="18"/>
                <w:szCs w:val="18"/>
              </w:rPr>
            </w:pPr>
            <w:r>
              <w:rPr>
                <w:rFonts w:ascii="宋体" w:hAnsi="宋体" w:cs="宋体" w:eastAsia="宋体" w:hint="default"/>
                <w:spacing w:val="-4"/>
                <w:sz w:val="18"/>
                <w:szCs w:val="18"/>
              </w:rPr>
              <w:t>公司从“电力用户用电信息采集系统产能扩大建设项目”尚未使用的闲置募集资金中，使用 </w:t>
            </w:r>
            <w:r>
              <w:rPr>
                <w:rFonts w:ascii="宋体" w:hAnsi="宋体" w:cs="宋体" w:eastAsia="宋体" w:hint="default"/>
                <w:sz w:val="18"/>
                <w:szCs w:val="18"/>
              </w:rPr>
              <w:t>3,000</w:t>
            </w:r>
            <w:r>
              <w:rPr>
                <w:rFonts w:ascii="宋体" w:hAnsi="宋体" w:cs="宋体" w:eastAsia="宋体" w:hint="default"/>
                <w:spacing w:val="47"/>
                <w:sz w:val="18"/>
                <w:szCs w:val="18"/>
              </w:rPr>
              <w:t> </w:t>
            </w:r>
            <w:r>
              <w:rPr>
                <w:rFonts w:ascii="宋体" w:hAnsi="宋体" w:cs="宋体" w:eastAsia="宋体" w:hint="default"/>
                <w:spacing w:val="-3"/>
                <w:sz w:val="18"/>
                <w:szCs w:val="18"/>
              </w:rPr>
              <w:t>万元用于暂时补充流动</w:t>
            </w:r>
          </w:p>
          <w:p>
            <w:pPr>
              <w:pStyle w:val="TableParagraph"/>
              <w:spacing w:line="321" w:lineRule="auto" w:before="76"/>
              <w:ind w:left="101" w:right="89"/>
              <w:jc w:val="left"/>
              <w:rPr>
                <w:rFonts w:ascii="宋体" w:hAnsi="宋体" w:cs="宋体" w:eastAsia="宋体" w:hint="default"/>
                <w:sz w:val="18"/>
                <w:szCs w:val="18"/>
              </w:rPr>
            </w:pPr>
            <w:r>
              <w:rPr>
                <w:rFonts w:ascii="宋体" w:hAnsi="宋体" w:cs="宋体" w:eastAsia="宋体" w:hint="default"/>
                <w:spacing w:val="-4"/>
                <w:sz w:val="18"/>
                <w:szCs w:val="18"/>
              </w:rPr>
              <w:t>资金，期限不超过董事会批准之日起</w:t>
            </w:r>
            <w:r>
              <w:rPr>
                <w:rFonts w:ascii="宋体" w:hAnsi="宋体" w:cs="宋体" w:eastAsia="宋体" w:hint="default"/>
                <w:spacing w:val="-33"/>
                <w:sz w:val="18"/>
                <w:szCs w:val="18"/>
              </w:rPr>
              <w:t> </w:t>
            </w:r>
            <w:r>
              <w:rPr>
                <w:rFonts w:ascii="宋体" w:hAnsi="宋体" w:cs="宋体" w:eastAsia="宋体" w:hint="default"/>
                <w:sz w:val="18"/>
                <w:szCs w:val="18"/>
              </w:rPr>
              <w:t>6</w:t>
            </w:r>
            <w:r>
              <w:rPr>
                <w:rFonts w:ascii="宋体" w:hAnsi="宋体" w:cs="宋体" w:eastAsia="宋体" w:hint="default"/>
                <w:spacing w:val="-33"/>
                <w:sz w:val="18"/>
                <w:szCs w:val="18"/>
              </w:rPr>
              <w:t> </w:t>
            </w:r>
            <w:r>
              <w:rPr>
                <w:rFonts w:ascii="宋体" w:hAnsi="宋体" w:cs="宋体" w:eastAsia="宋体" w:hint="default"/>
                <w:spacing w:val="-4"/>
                <w:sz w:val="18"/>
                <w:szCs w:val="18"/>
              </w:rPr>
              <w:t>个月，到期将归还至募集资金专户。上述募集资金已于</w:t>
            </w:r>
            <w:r>
              <w:rPr>
                <w:rFonts w:ascii="宋体" w:hAnsi="宋体" w:cs="宋体" w:eastAsia="宋体" w:hint="default"/>
                <w:spacing w:val="-33"/>
                <w:sz w:val="18"/>
                <w:szCs w:val="18"/>
              </w:rPr>
              <w:t> </w:t>
            </w:r>
            <w:r>
              <w:rPr>
                <w:rFonts w:ascii="宋体" w:hAnsi="宋体" w:cs="宋体" w:eastAsia="宋体" w:hint="default"/>
                <w:sz w:val="18"/>
                <w:szCs w:val="18"/>
              </w:rPr>
              <w:t>2013</w:t>
            </w:r>
            <w:r>
              <w:rPr>
                <w:rFonts w:ascii="宋体" w:hAnsi="宋体" w:cs="宋体" w:eastAsia="宋体"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4</w:t>
            </w:r>
            <w:r>
              <w:rPr>
                <w:rFonts w:ascii="宋体" w:hAnsi="宋体" w:cs="宋体" w:eastAsia="宋体" w:hint="default"/>
                <w:spacing w:val="-33"/>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18</w:t>
            </w:r>
            <w:r>
              <w:rPr>
                <w:rFonts w:ascii="宋体" w:hAnsi="宋体" w:cs="宋体" w:eastAsia="宋体" w:hint="default"/>
                <w:spacing w:val="-33"/>
                <w:sz w:val="18"/>
                <w:szCs w:val="18"/>
              </w:rPr>
              <w:t> </w:t>
            </w:r>
            <w:r>
              <w:rPr>
                <w:rFonts w:ascii="宋体" w:hAnsi="宋体" w:cs="宋体" w:eastAsia="宋体" w:hint="default"/>
                <w:sz w:val="18"/>
                <w:szCs w:val="18"/>
              </w:rPr>
              <w:t>日全部归还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w w:val="101"/>
                <w:sz w:val="18"/>
                <w:szCs w:val="18"/>
              </w:rPr>
              <w:t>并存入公司募集资金专用账户，并披露了《关于归还募集资金的公告》（公告编号（</w:t>
            </w:r>
            <w:r>
              <w:rPr>
                <w:rFonts w:ascii="宋体" w:hAnsi="宋体" w:cs="宋体" w:eastAsia="宋体" w:hint="default"/>
                <w:spacing w:val="-8"/>
                <w:w w:val="101"/>
                <w:sz w:val="18"/>
                <w:szCs w:val="18"/>
              </w:rPr>
              <w:t>2013</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0418-018</w:t>
            </w:r>
            <w:r>
              <w:rPr>
                <w:rFonts w:ascii="宋体" w:hAnsi="宋体" w:cs="宋体" w:eastAsia="宋体" w:hint="default"/>
                <w:spacing w:val="-8"/>
                <w:w w:val="101"/>
                <w:sz w:val="18"/>
                <w:szCs w:val="18"/>
              </w:rPr>
              <w:t>）。</w:t>
            </w:r>
            <w:r>
              <w:rPr>
                <w:rFonts w:ascii="宋体" w:hAnsi="宋体" w:cs="宋体" w:eastAsia="宋体" w:hint="default"/>
                <w:sz w:val="18"/>
                <w:szCs w:val="18"/>
              </w:rPr>
            </w:r>
          </w:p>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w w:val="101"/>
                <w:sz w:val="18"/>
                <w:szCs w:val="18"/>
              </w:rPr>
              <w:t>②</w:t>
            </w:r>
            <w:r>
              <w:rPr>
                <w:rFonts w:ascii="宋体" w:hAnsi="宋体" w:cs="宋体" w:eastAsia="宋体" w:hint="default"/>
                <w:w w:val="101"/>
                <w:sz w:val="18"/>
                <w:szCs w:val="18"/>
              </w:rPr>
              <w:t>20</w:t>
            </w:r>
            <w:r>
              <w:rPr>
                <w:rFonts w:ascii="宋体" w:hAnsi="宋体" w:cs="宋体" w:eastAsia="宋体" w:hint="default"/>
                <w:spacing w:val="-5"/>
                <w:w w:val="101"/>
                <w:sz w:val="18"/>
                <w:szCs w:val="18"/>
              </w:rPr>
              <w:t>1</w:t>
            </w:r>
            <w:r>
              <w:rPr>
                <w:rFonts w:ascii="宋体" w:hAnsi="宋体" w:cs="宋体" w:eastAsia="宋体" w:hint="default"/>
                <w:w w:val="101"/>
                <w:sz w:val="18"/>
                <w:szCs w:val="18"/>
              </w:rPr>
              <w:t>3</w:t>
            </w:r>
            <w:r>
              <w:rPr>
                <w:rFonts w:ascii="宋体" w:hAnsi="宋体" w:cs="宋体" w:eastAsia="宋体" w:hint="default"/>
                <w:spacing w:val="-47"/>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宋体" w:hAnsi="宋体" w:cs="宋体" w:eastAsia="宋体" w:hint="default"/>
                <w:w w:val="101"/>
                <w:sz w:val="18"/>
                <w:szCs w:val="18"/>
              </w:rPr>
              <w:t>4</w:t>
            </w:r>
            <w:r>
              <w:rPr>
                <w:rFonts w:ascii="宋体" w:hAnsi="宋体" w:cs="宋体" w:eastAsia="宋体" w:hint="default"/>
                <w:spacing w:val="-5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宋体" w:hAnsi="宋体" w:cs="宋体" w:eastAsia="宋体" w:hint="default"/>
                <w:spacing w:val="-5"/>
                <w:w w:val="101"/>
                <w:sz w:val="18"/>
                <w:szCs w:val="18"/>
              </w:rPr>
              <w:t>2</w:t>
            </w:r>
            <w:r>
              <w:rPr>
                <w:rFonts w:ascii="宋体" w:hAnsi="宋体" w:cs="宋体" w:eastAsia="宋体" w:hint="default"/>
                <w:w w:val="101"/>
                <w:sz w:val="18"/>
                <w:szCs w:val="18"/>
              </w:rPr>
              <w:t>2</w:t>
            </w:r>
            <w:r>
              <w:rPr>
                <w:rFonts w:ascii="宋体" w:hAnsi="宋体" w:cs="宋体" w:eastAsia="宋体" w:hint="default"/>
                <w:spacing w:val="-47"/>
                <w:sz w:val="18"/>
                <w:szCs w:val="18"/>
              </w:rPr>
              <w:t> </w:t>
            </w:r>
            <w:r>
              <w:rPr>
                <w:rFonts w:ascii="宋体" w:hAnsi="宋体" w:cs="宋体" w:eastAsia="宋体" w:hint="default"/>
                <w:w w:val="101"/>
                <w:sz w:val="18"/>
                <w:szCs w:val="18"/>
              </w:rPr>
              <w:t>日</w:t>
            </w:r>
            <w:r>
              <w:rPr>
                <w:rFonts w:ascii="宋体" w:hAnsi="宋体" w:cs="宋体" w:eastAsia="宋体" w:hint="default"/>
                <w:spacing w:val="-96"/>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spacing w:val="-92"/>
                <w:w w:val="101"/>
                <w:sz w:val="18"/>
                <w:szCs w:val="18"/>
              </w:rPr>
              <w:t>了</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继</w:t>
            </w:r>
            <w:r>
              <w:rPr>
                <w:rFonts w:ascii="宋体" w:hAnsi="宋体" w:cs="宋体" w:eastAsia="宋体" w:hint="default"/>
                <w:spacing w:val="-5"/>
                <w:w w:val="101"/>
                <w:sz w:val="18"/>
                <w:szCs w:val="18"/>
              </w:rPr>
              <w:t>续</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部</w:t>
            </w:r>
            <w:r>
              <w:rPr>
                <w:rFonts w:ascii="宋体" w:hAnsi="宋体" w:cs="宋体" w:eastAsia="宋体" w:hint="default"/>
                <w:spacing w:val="-5"/>
                <w:w w:val="101"/>
                <w:sz w:val="18"/>
                <w:szCs w:val="18"/>
              </w:rPr>
              <w:t>分</w:t>
            </w:r>
            <w:r>
              <w:rPr>
                <w:rFonts w:ascii="宋体" w:hAnsi="宋体" w:cs="宋体" w:eastAsia="宋体" w:hint="default"/>
                <w:w w:val="101"/>
                <w:sz w:val="18"/>
                <w:szCs w:val="18"/>
              </w:rPr>
              <w:t>闲</w:t>
            </w:r>
            <w:r>
              <w:rPr>
                <w:rFonts w:ascii="宋体" w:hAnsi="宋体" w:cs="宋体" w:eastAsia="宋体" w:hint="default"/>
                <w:spacing w:val="-5"/>
                <w:w w:val="101"/>
                <w:sz w:val="18"/>
                <w:szCs w:val="18"/>
              </w:rPr>
              <w:t>置</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暂</w:t>
            </w:r>
            <w:r>
              <w:rPr>
                <w:rFonts w:ascii="宋体" w:hAnsi="宋体" w:cs="宋体" w:eastAsia="宋体" w:hint="default"/>
                <w:spacing w:val="-5"/>
                <w:w w:val="101"/>
                <w:sz w:val="18"/>
                <w:szCs w:val="18"/>
              </w:rPr>
              <w:t>时</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流</w:t>
            </w:r>
            <w:r>
              <w:rPr>
                <w:rFonts w:ascii="宋体" w:hAnsi="宋体" w:cs="宋体" w:eastAsia="宋体" w:hint="default"/>
                <w:spacing w:val="-5"/>
                <w:w w:val="101"/>
                <w:sz w:val="18"/>
                <w:szCs w:val="18"/>
              </w:rPr>
              <w:t>动</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的</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183"/>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告</w:t>
            </w:r>
            <w:r>
              <w:rPr>
                <w:rFonts w:ascii="宋体" w:hAnsi="宋体" w:cs="宋体" w:eastAsia="宋体" w:hint="default"/>
                <w:w w:val="101"/>
                <w:sz w:val="18"/>
                <w:szCs w:val="18"/>
              </w:rPr>
              <w:t>编</w:t>
            </w:r>
            <w:r>
              <w:rPr>
                <w:rFonts w:ascii="宋体" w:hAnsi="宋体" w:cs="宋体" w:eastAsia="宋体" w:hint="default"/>
                <w:spacing w:val="-92"/>
                <w:w w:val="101"/>
                <w:sz w:val="18"/>
                <w:szCs w:val="18"/>
              </w:rPr>
              <w:t>号</w:t>
            </w:r>
            <w:r>
              <w:rPr>
                <w:rFonts w:ascii="宋体" w:hAnsi="宋体" w:cs="宋体" w:eastAsia="宋体" w:hint="default"/>
                <w:spacing w:val="-4"/>
                <w:w w:val="101"/>
                <w:sz w:val="18"/>
                <w:szCs w:val="18"/>
              </w:rPr>
              <w:t>（</w:t>
            </w:r>
            <w:r>
              <w:rPr>
                <w:rFonts w:ascii="宋体" w:hAnsi="宋体" w:cs="宋体" w:eastAsia="宋体" w:hint="default"/>
                <w:w w:val="101"/>
                <w:sz w:val="18"/>
                <w:szCs w:val="18"/>
              </w:rPr>
              <w:t>201</w:t>
            </w:r>
            <w:r>
              <w:rPr>
                <w:rFonts w:ascii="宋体" w:hAnsi="宋体" w:cs="宋体" w:eastAsia="宋体" w:hint="default"/>
                <w:spacing w:val="-5"/>
                <w:w w:val="101"/>
                <w:sz w:val="18"/>
                <w:szCs w:val="18"/>
              </w:rPr>
              <w:t>3</w:t>
            </w:r>
            <w:r>
              <w:rPr>
                <w:rFonts w:ascii="宋体" w:hAnsi="宋体" w:cs="宋体" w:eastAsia="宋体" w:hint="default"/>
                <w:spacing w:val="-92"/>
                <w:w w:val="101"/>
                <w:sz w:val="18"/>
                <w:szCs w:val="18"/>
              </w:rPr>
              <w:t>）</w:t>
            </w:r>
            <w:r>
              <w:rPr>
                <w:rFonts w:ascii="宋体" w:hAnsi="宋体" w:cs="宋体" w:eastAsia="宋体" w:hint="default"/>
                <w:w w:val="101"/>
                <w:sz w:val="18"/>
                <w:szCs w:val="18"/>
              </w:rPr>
              <w:t>04</w:t>
            </w:r>
            <w:r>
              <w:rPr>
                <w:rFonts w:ascii="宋体" w:hAnsi="宋体" w:cs="宋体" w:eastAsia="宋体" w:hint="default"/>
                <w:spacing w:val="-5"/>
                <w:w w:val="101"/>
                <w:sz w:val="18"/>
                <w:szCs w:val="18"/>
              </w:rPr>
              <w:t>2</w:t>
            </w:r>
            <w:r>
              <w:rPr>
                <w:rFonts w:ascii="宋体" w:hAnsi="宋体" w:cs="宋体" w:eastAsia="宋体" w:hint="default"/>
                <w:w w:val="101"/>
                <w:sz w:val="18"/>
                <w:szCs w:val="18"/>
              </w:rPr>
              <w:t>2-0</w:t>
            </w:r>
            <w:r>
              <w:rPr>
                <w:rFonts w:ascii="宋体" w:hAnsi="宋体" w:cs="宋体" w:eastAsia="宋体" w:hint="default"/>
                <w:spacing w:val="-5"/>
                <w:w w:val="101"/>
                <w:sz w:val="18"/>
                <w:szCs w:val="18"/>
              </w:rPr>
              <w:t>2</w:t>
            </w:r>
            <w:r>
              <w:rPr>
                <w:rFonts w:ascii="宋体" w:hAnsi="宋体" w:cs="宋体" w:eastAsia="宋体" w:hint="default"/>
                <w:spacing w:val="-1"/>
                <w:w w:val="101"/>
                <w:sz w:val="18"/>
                <w:szCs w:val="18"/>
              </w:rPr>
              <w:t>1</w:t>
            </w:r>
            <w:r>
              <w:rPr>
                <w:rFonts w:ascii="宋体" w:hAnsi="宋体" w:cs="宋体" w:eastAsia="宋体" w:hint="default"/>
                <w:spacing w:val="-92"/>
                <w:w w:val="101"/>
                <w:sz w:val="18"/>
                <w:szCs w:val="18"/>
              </w:rPr>
              <w:t>），</w:t>
            </w:r>
            <w:r>
              <w:rPr>
                <w:rFonts w:ascii="宋体" w:hAnsi="宋体" w:cs="宋体" w:eastAsia="宋体" w:hint="default"/>
                <w:sz w:val="18"/>
                <w:szCs w:val="18"/>
              </w:rPr>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pacing w:val="-4"/>
                <w:sz w:val="18"/>
                <w:szCs w:val="18"/>
              </w:rPr>
              <w:t>公司从“电力用户用电信息采集系统产能扩大建设项目”尚未使用的闲置募集资金中，使用 </w:t>
            </w:r>
            <w:r>
              <w:rPr>
                <w:rFonts w:ascii="宋体" w:hAnsi="宋体" w:cs="宋体" w:eastAsia="宋体" w:hint="default"/>
                <w:sz w:val="18"/>
                <w:szCs w:val="18"/>
              </w:rPr>
              <w:t>3,000</w:t>
            </w:r>
            <w:r>
              <w:rPr>
                <w:rFonts w:ascii="宋体" w:hAnsi="宋体" w:cs="宋体" w:eastAsia="宋体" w:hint="default"/>
                <w:spacing w:val="47"/>
                <w:sz w:val="18"/>
                <w:szCs w:val="18"/>
              </w:rPr>
              <w:t> </w:t>
            </w:r>
            <w:r>
              <w:rPr>
                <w:rFonts w:ascii="宋体" w:hAnsi="宋体" w:cs="宋体" w:eastAsia="宋体" w:hint="default"/>
                <w:spacing w:val="-3"/>
                <w:sz w:val="18"/>
                <w:szCs w:val="18"/>
              </w:rPr>
              <w:t>万元用于暂时补充流动</w:t>
            </w:r>
          </w:p>
          <w:p>
            <w:pPr>
              <w:pStyle w:val="TableParagraph"/>
              <w:spacing w:line="321" w:lineRule="auto" w:before="77"/>
              <w:ind w:left="101" w:right="89"/>
              <w:jc w:val="left"/>
              <w:rPr>
                <w:rFonts w:ascii="宋体" w:hAnsi="宋体" w:cs="宋体" w:eastAsia="宋体" w:hint="default"/>
                <w:sz w:val="18"/>
                <w:szCs w:val="18"/>
              </w:rPr>
            </w:pPr>
            <w:r>
              <w:rPr>
                <w:rFonts w:ascii="宋体" w:hAnsi="宋体" w:cs="宋体" w:eastAsia="宋体" w:hint="default"/>
                <w:spacing w:val="-4"/>
                <w:sz w:val="18"/>
                <w:szCs w:val="18"/>
              </w:rPr>
              <w:t>资金，期限不超过董事会批准之日起</w:t>
            </w:r>
            <w:r>
              <w:rPr>
                <w:rFonts w:ascii="宋体" w:hAnsi="宋体" w:cs="宋体" w:eastAsia="宋体" w:hint="default"/>
                <w:spacing w:val="-33"/>
                <w:sz w:val="18"/>
                <w:szCs w:val="18"/>
              </w:rPr>
              <w:t> </w:t>
            </w:r>
            <w:r>
              <w:rPr>
                <w:rFonts w:ascii="宋体" w:hAnsi="宋体" w:cs="宋体" w:eastAsia="宋体" w:hint="default"/>
                <w:sz w:val="18"/>
                <w:szCs w:val="18"/>
              </w:rPr>
              <w:t>6</w:t>
            </w:r>
            <w:r>
              <w:rPr>
                <w:rFonts w:ascii="宋体" w:hAnsi="宋体" w:cs="宋体" w:eastAsia="宋体" w:hint="default"/>
                <w:spacing w:val="-33"/>
                <w:sz w:val="18"/>
                <w:szCs w:val="18"/>
              </w:rPr>
              <w:t> </w:t>
            </w:r>
            <w:r>
              <w:rPr>
                <w:rFonts w:ascii="宋体" w:hAnsi="宋体" w:cs="宋体" w:eastAsia="宋体" w:hint="default"/>
                <w:spacing w:val="-4"/>
                <w:sz w:val="18"/>
                <w:szCs w:val="18"/>
              </w:rPr>
              <w:t>个月，到期将归还至募集资金专户。上述募集资金已于</w:t>
            </w:r>
            <w:r>
              <w:rPr>
                <w:rFonts w:ascii="宋体" w:hAnsi="宋体" w:cs="宋体" w:eastAsia="宋体" w:hint="default"/>
                <w:spacing w:val="-33"/>
                <w:sz w:val="18"/>
                <w:szCs w:val="18"/>
              </w:rPr>
              <w:t> </w:t>
            </w:r>
            <w:r>
              <w:rPr>
                <w:rFonts w:ascii="宋体" w:hAnsi="宋体" w:cs="宋体" w:eastAsia="宋体" w:hint="default"/>
                <w:sz w:val="18"/>
                <w:szCs w:val="18"/>
              </w:rPr>
              <w:t>2013</w:t>
            </w:r>
            <w:r>
              <w:rPr>
                <w:rFonts w:ascii="宋体" w:hAnsi="宋体" w:cs="宋体" w:eastAsia="宋体"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10</w:t>
            </w:r>
            <w:r>
              <w:rPr>
                <w:rFonts w:ascii="宋体" w:hAnsi="宋体" w:cs="宋体" w:eastAsia="宋体" w:hint="default"/>
                <w:spacing w:val="-33"/>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z w:val="18"/>
                <w:szCs w:val="18"/>
              </w:rPr>
              <w:t>9</w:t>
            </w:r>
            <w:r>
              <w:rPr>
                <w:rFonts w:ascii="宋体" w:hAnsi="宋体" w:cs="宋体" w:eastAsia="宋体" w:hint="default"/>
                <w:spacing w:val="-33"/>
                <w:sz w:val="18"/>
                <w:szCs w:val="18"/>
              </w:rPr>
              <w:t> </w:t>
            </w:r>
            <w:r>
              <w:rPr>
                <w:rFonts w:ascii="宋体" w:hAnsi="宋体" w:cs="宋体" w:eastAsia="宋体" w:hint="default"/>
                <w:sz w:val="18"/>
                <w:szCs w:val="18"/>
              </w:rPr>
              <w:t>日全部归还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w w:val="101"/>
                <w:sz w:val="18"/>
                <w:szCs w:val="18"/>
              </w:rPr>
              <w:t>并存入公司募集资金专用账户，并披露了《关于归还募集资金的公告》（公告编号（</w:t>
            </w:r>
            <w:r>
              <w:rPr>
                <w:rFonts w:ascii="宋体" w:hAnsi="宋体" w:cs="宋体" w:eastAsia="宋体" w:hint="default"/>
                <w:spacing w:val="-8"/>
                <w:w w:val="101"/>
                <w:sz w:val="18"/>
                <w:szCs w:val="18"/>
              </w:rPr>
              <w:t>2013</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1009-043</w:t>
            </w:r>
            <w:r>
              <w:rPr>
                <w:rFonts w:ascii="宋体" w:hAnsi="宋体" w:cs="宋体" w:eastAsia="宋体" w:hint="default"/>
                <w:spacing w:val="-8"/>
                <w:w w:val="101"/>
                <w:sz w:val="18"/>
                <w:szCs w:val="18"/>
              </w:rPr>
              <w:t>）。</w:t>
            </w:r>
            <w:r>
              <w:rPr>
                <w:rFonts w:ascii="宋体" w:hAnsi="宋体" w:cs="宋体" w:eastAsia="宋体" w:hint="default"/>
                <w:sz w:val="18"/>
                <w:szCs w:val="18"/>
              </w:rPr>
            </w:r>
          </w:p>
          <w:p>
            <w:pPr>
              <w:pStyle w:val="TableParagraph"/>
              <w:spacing w:line="316" w:lineRule="auto" w:before="49"/>
              <w:ind w:left="101" w:right="89"/>
              <w:jc w:val="left"/>
              <w:rPr>
                <w:rFonts w:ascii="宋体" w:hAnsi="宋体" w:cs="宋体" w:eastAsia="宋体" w:hint="default"/>
                <w:sz w:val="18"/>
                <w:szCs w:val="18"/>
              </w:rPr>
            </w:pPr>
            <w:r>
              <w:rPr>
                <w:rFonts w:ascii="宋体" w:hAnsi="宋体" w:cs="宋体" w:eastAsia="宋体" w:hint="default"/>
                <w:w w:val="101"/>
                <w:sz w:val="18"/>
                <w:szCs w:val="18"/>
              </w:rPr>
              <w:t>③</w:t>
            </w:r>
            <w:r>
              <w:rPr>
                <w:rFonts w:ascii="宋体" w:hAnsi="宋体" w:cs="宋体" w:eastAsia="宋体" w:hint="default"/>
                <w:w w:val="101"/>
                <w:sz w:val="18"/>
                <w:szCs w:val="18"/>
              </w:rPr>
              <w:t>2013</w:t>
            </w:r>
            <w:r>
              <w:rPr>
                <w:rFonts w:ascii="宋体" w:hAnsi="宋体" w:cs="宋体" w:eastAsia="宋体" w:hint="default"/>
                <w:spacing w:val="-68"/>
                <w:w w:val="101"/>
                <w:sz w:val="18"/>
                <w:szCs w:val="18"/>
              </w:rPr>
              <w:t> </w:t>
            </w:r>
            <w:r>
              <w:rPr>
                <w:rFonts w:ascii="宋体" w:hAnsi="宋体" w:cs="宋体" w:eastAsia="宋体" w:hint="default"/>
                <w:w w:val="101"/>
                <w:sz w:val="18"/>
                <w:szCs w:val="18"/>
              </w:rPr>
              <w:t>年</w:t>
            </w:r>
            <w:r>
              <w:rPr>
                <w:rFonts w:ascii="宋体" w:hAnsi="宋体" w:cs="宋体" w:eastAsia="宋体" w:hint="default"/>
                <w:spacing w:val="-62"/>
                <w:w w:val="101"/>
                <w:sz w:val="18"/>
                <w:szCs w:val="18"/>
              </w:rPr>
              <w:t> </w:t>
            </w:r>
            <w:r>
              <w:rPr>
                <w:rFonts w:ascii="宋体" w:hAnsi="宋体" w:cs="宋体" w:eastAsia="宋体" w:hint="default"/>
                <w:w w:val="101"/>
                <w:sz w:val="18"/>
                <w:szCs w:val="18"/>
              </w:rPr>
              <w:t>10</w:t>
            </w:r>
            <w:r>
              <w:rPr>
                <w:rFonts w:ascii="宋体" w:hAnsi="宋体" w:cs="宋体" w:eastAsia="宋体" w:hint="default"/>
                <w:spacing w:val="-62"/>
                <w:w w:val="101"/>
                <w:sz w:val="18"/>
                <w:szCs w:val="18"/>
              </w:rPr>
              <w:t> </w:t>
            </w:r>
            <w:r>
              <w:rPr>
                <w:rFonts w:ascii="宋体" w:hAnsi="宋体" w:cs="宋体" w:eastAsia="宋体" w:hint="default"/>
                <w:w w:val="101"/>
                <w:sz w:val="18"/>
                <w:szCs w:val="18"/>
              </w:rPr>
              <w:t>月</w:t>
            </w:r>
            <w:r>
              <w:rPr>
                <w:rFonts w:ascii="宋体" w:hAnsi="宋体" w:cs="宋体" w:eastAsia="宋体" w:hint="default"/>
                <w:spacing w:val="-62"/>
                <w:w w:val="101"/>
                <w:sz w:val="18"/>
                <w:szCs w:val="18"/>
              </w:rPr>
              <w:t> </w:t>
            </w:r>
            <w:r>
              <w:rPr>
                <w:rFonts w:ascii="宋体" w:hAnsi="宋体" w:cs="宋体" w:eastAsia="宋体" w:hint="default"/>
                <w:spacing w:val="-3"/>
                <w:w w:val="101"/>
                <w:sz w:val="18"/>
                <w:szCs w:val="18"/>
              </w:rPr>
              <w:t>15</w:t>
            </w:r>
            <w:r>
              <w:rPr>
                <w:rFonts w:ascii="宋体" w:hAnsi="宋体" w:cs="宋体" w:eastAsia="宋体" w:hint="default"/>
                <w:spacing w:val="-62"/>
                <w:w w:val="101"/>
                <w:sz w:val="18"/>
                <w:szCs w:val="18"/>
              </w:rPr>
              <w:t> </w:t>
            </w:r>
            <w:r>
              <w:rPr>
                <w:rFonts w:ascii="宋体" w:hAnsi="宋体" w:cs="宋体" w:eastAsia="宋体" w:hint="default"/>
                <w:spacing w:val="-16"/>
                <w:w w:val="101"/>
                <w:sz w:val="18"/>
                <w:szCs w:val="18"/>
              </w:rPr>
              <w:t>日，公司披露了《关于继续使用部分闲置募集资金暂时补充流动资金的公告》（公告编号（</w:t>
            </w:r>
            <w:r>
              <w:rPr>
                <w:rFonts w:ascii="宋体" w:hAnsi="宋体" w:cs="宋体" w:eastAsia="宋体" w:hint="default"/>
                <w:spacing w:val="-16"/>
                <w:w w:val="101"/>
                <w:sz w:val="18"/>
                <w:szCs w:val="18"/>
              </w:rPr>
              <w:t>2013</w:t>
            </w:r>
            <w:r>
              <w:rPr>
                <w:rFonts w:ascii="宋体" w:hAnsi="宋体" w:cs="宋体" w:eastAsia="宋体" w:hint="default"/>
                <w:spacing w:val="-16"/>
                <w:w w:val="101"/>
                <w:sz w:val="18"/>
                <w:szCs w:val="18"/>
              </w:rPr>
              <w:t>）</w:t>
            </w:r>
            <w:r>
              <w:rPr>
                <w:rFonts w:ascii="宋体" w:hAnsi="宋体" w:cs="宋体" w:eastAsia="宋体" w:hint="default"/>
                <w:spacing w:val="-16"/>
                <w:w w:val="101"/>
                <w:sz w:val="18"/>
                <w:szCs w:val="18"/>
              </w:rPr>
              <w:t>1015-046</w:t>
            </w:r>
            <w:r>
              <w:rPr>
                <w:rFonts w:ascii="宋体" w:hAnsi="宋体" w:cs="宋体" w:eastAsia="宋体" w:hint="default"/>
                <w:spacing w:val="-16"/>
                <w:w w:val="101"/>
                <w:sz w:val="18"/>
                <w:szCs w:val="18"/>
              </w:rPr>
              <w:t>），</w:t>
            </w:r>
            <w:r>
              <w:rPr>
                <w:rFonts w:ascii="宋体" w:hAnsi="宋体" w:cs="宋体" w:eastAsia="宋体" w:hint="default"/>
                <w:spacing w:val="-91"/>
                <w:w w:val="101"/>
                <w:sz w:val="18"/>
                <w:szCs w:val="18"/>
              </w:rPr>
              <w:t> </w:t>
            </w:r>
            <w:r>
              <w:rPr>
                <w:rFonts w:ascii="宋体" w:hAnsi="宋体" w:cs="宋体" w:eastAsia="宋体" w:hint="default"/>
                <w:spacing w:val="-4"/>
                <w:sz w:val="18"/>
                <w:szCs w:val="18"/>
              </w:rPr>
              <w:t>公司继续从“电力用户用电信息采集系统产能扩大建设项目”尚未使用的闲置募集资金中，使用 </w:t>
            </w:r>
            <w:r>
              <w:rPr>
                <w:rFonts w:ascii="宋体" w:hAnsi="宋体" w:cs="宋体" w:eastAsia="宋体" w:hint="default"/>
                <w:sz w:val="18"/>
                <w:szCs w:val="18"/>
              </w:rPr>
              <w:t>3,000</w:t>
            </w:r>
            <w:r>
              <w:rPr>
                <w:rFonts w:ascii="宋体" w:hAnsi="宋体" w:cs="宋体" w:eastAsia="宋体" w:hint="default"/>
                <w:spacing w:val="49"/>
                <w:sz w:val="18"/>
                <w:szCs w:val="18"/>
              </w:rPr>
              <w:t> </w:t>
            </w:r>
            <w:r>
              <w:rPr>
                <w:rFonts w:ascii="宋体" w:hAnsi="宋体" w:cs="宋体" w:eastAsia="宋体" w:hint="default"/>
                <w:spacing w:val="-3"/>
                <w:sz w:val="18"/>
                <w:szCs w:val="18"/>
              </w:rPr>
              <w:t>万元用于暂时补充</w:t>
            </w:r>
          </w:p>
          <w:p>
            <w:pPr>
              <w:pStyle w:val="TableParagraph"/>
              <w:spacing w:line="324" w:lineRule="auto" w:before="19"/>
              <w:ind w:left="101" w:right="127"/>
              <w:jc w:val="left"/>
              <w:rPr>
                <w:rFonts w:ascii="宋体" w:hAnsi="宋体" w:cs="宋体" w:eastAsia="宋体" w:hint="default"/>
                <w:sz w:val="18"/>
                <w:szCs w:val="18"/>
              </w:rPr>
            </w:pPr>
            <w:r>
              <w:rPr>
                <w:rFonts w:ascii="宋体" w:hAnsi="宋体" w:cs="宋体" w:eastAsia="宋体" w:hint="default"/>
                <w:spacing w:val="-3"/>
                <w:sz w:val="18"/>
                <w:szCs w:val="18"/>
              </w:rPr>
              <w:t>流动资金，期限不超过董事会批准之日起</w:t>
            </w:r>
            <w:r>
              <w:rPr>
                <w:rFonts w:ascii="宋体" w:hAnsi="宋体" w:cs="宋体" w:eastAsia="宋体" w:hint="default"/>
                <w:spacing w:val="-31"/>
                <w:sz w:val="18"/>
                <w:szCs w:val="18"/>
              </w:rPr>
              <w:t> </w:t>
            </w:r>
            <w:r>
              <w:rPr>
                <w:rFonts w:ascii="宋体" w:hAnsi="宋体" w:cs="宋体" w:eastAsia="宋体" w:hint="default"/>
                <w:sz w:val="18"/>
                <w:szCs w:val="18"/>
              </w:rPr>
              <w:t>6</w:t>
            </w:r>
            <w:r>
              <w:rPr>
                <w:rFonts w:ascii="宋体" w:hAnsi="宋体" w:cs="宋体" w:eastAsia="宋体" w:hint="default"/>
                <w:spacing w:val="-31"/>
                <w:sz w:val="18"/>
                <w:szCs w:val="18"/>
              </w:rPr>
              <w:t> </w:t>
            </w:r>
            <w:r>
              <w:rPr>
                <w:rFonts w:ascii="宋体" w:hAnsi="宋体" w:cs="宋体" w:eastAsia="宋体" w:hint="default"/>
                <w:spacing w:val="-3"/>
                <w:sz w:val="18"/>
                <w:szCs w:val="18"/>
              </w:rPr>
              <w:t>个月，到期将归还至募集资金专户。上述募集资金已于</w:t>
            </w:r>
            <w:r>
              <w:rPr>
                <w:rFonts w:ascii="宋体" w:hAnsi="宋体" w:cs="宋体" w:eastAsia="宋体" w:hint="default"/>
                <w:spacing w:val="-30"/>
                <w:sz w:val="18"/>
                <w:szCs w:val="18"/>
              </w:rPr>
              <w:t> </w:t>
            </w:r>
            <w:r>
              <w:rPr>
                <w:rFonts w:ascii="宋体" w:hAnsi="宋体" w:cs="宋体" w:eastAsia="宋体" w:hint="default"/>
                <w:sz w:val="18"/>
                <w:szCs w:val="18"/>
              </w:rPr>
              <w:t>2014</w:t>
            </w:r>
            <w:r>
              <w:rPr>
                <w:rFonts w:ascii="宋体" w:hAnsi="宋体" w:cs="宋体" w:eastAsia="宋体"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4</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宋体" w:hAnsi="宋体" w:cs="宋体" w:eastAsia="宋体" w:hint="default"/>
                <w:sz w:val="18"/>
                <w:szCs w:val="18"/>
              </w:rPr>
              <w:t>4</w:t>
            </w:r>
            <w:r>
              <w:rPr>
                <w:rFonts w:ascii="宋体" w:hAnsi="宋体" w:cs="宋体" w:eastAsia="宋体" w:hint="default"/>
                <w:spacing w:val="-31"/>
                <w:sz w:val="18"/>
                <w:szCs w:val="18"/>
              </w:rPr>
              <w:t> </w:t>
            </w:r>
            <w:r>
              <w:rPr>
                <w:rFonts w:ascii="宋体" w:hAnsi="宋体" w:cs="宋体" w:eastAsia="宋体" w:hint="default"/>
                <w:sz w:val="18"/>
                <w:szCs w:val="18"/>
              </w:rPr>
              <w:t>日全部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8"/>
                <w:w w:val="101"/>
                <w:sz w:val="18"/>
                <w:szCs w:val="18"/>
              </w:rPr>
              <w:t>归还并存入公司募集资金专用账户，并披露了《关于归还募集资金的公告》（公告编号（</w:t>
            </w:r>
            <w:r>
              <w:rPr>
                <w:rFonts w:ascii="宋体" w:hAnsi="宋体" w:cs="宋体" w:eastAsia="宋体" w:hint="default"/>
                <w:spacing w:val="-8"/>
                <w:w w:val="101"/>
                <w:sz w:val="18"/>
                <w:szCs w:val="18"/>
              </w:rPr>
              <w:t>2014</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0404-013</w:t>
            </w:r>
            <w:r>
              <w:rPr>
                <w:rFonts w:ascii="宋体" w:hAnsi="宋体" w:cs="宋体" w:eastAsia="宋体" w:hint="default"/>
                <w:spacing w:val="-8"/>
                <w:w w:val="101"/>
                <w:sz w:val="18"/>
                <w:szCs w:val="18"/>
              </w:rPr>
              <w:t>）。</w:t>
            </w:r>
            <w:r>
              <w:rPr>
                <w:rFonts w:ascii="宋体" w:hAnsi="宋体" w:cs="宋体" w:eastAsia="宋体" w:hint="default"/>
                <w:sz w:val="18"/>
                <w:szCs w:val="18"/>
              </w:rPr>
            </w:r>
          </w:p>
          <w:p>
            <w:pPr>
              <w:pStyle w:val="TableParagraph"/>
              <w:spacing w:line="240" w:lineRule="auto" w:before="47"/>
              <w:ind w:left="101" w:right="0"/>
              <w:jc w:val="left"/>
              <w:rPr>
                <w:rFonts w:ascii="宋体" w:hAnsi="宋体" w:cs="宋体" w:eastAsia="宋体" w:hint="default"/>
                <w:sz w:val="18"/>
                <w:szCs w:val="18"/>
              </w:rPr>
            </w:pPr>
            <w:r>
              <w:rPr>
                <w:rFonts w:ascii="宋体" w:hAnsi="宋体" w:cs="宋体" w:eastAsia="宋体" w:hint="default"/>
                <w:w w:val="101"/>
                <w:sz w:val="18"/>
                <w:szCs w:val="18"/>
              </w:rPr>
              <w:t>④</w:t>
            </w:r>
            <w:r>
              <w:rPr>
                <w:rFonts w:ascii="宋体" w:hAnsi="宋体" w:cs="宋体" w:eastAsia="宋体" w:hint="default"/>
                <w:w w:val="101"/>
                <w:sz w:val="18"/>
                <w:szCs w:val="18"/>
              </w:rPr>
              <w:t>20</w:t>
            </w:r>
            <w:r>
              <w:rPr>
                <w:rFonts w:ascii="宋体" w:hAnsi="宋体" w:cs="宋体" w:eastAsia="宋体" w:hint="default"/>
                <w:spacing w:val="-5"/>
                <w:w w:val="101"/>
                <w:sz w:val="18"/>
                <w:szCs w:val="18"/>
              </w:rPr>
              <w:t>1</w:t>
            </w:r>
            <w:r>
              <w:rPr>
                <w:rFonts w:ascii="宋体" w:hAnsi="宋体" w:cs="宋体" w:eastAsia="宋体" w:hint="default"/>
                <w:w w:val="101"/>
                <w:sz w:val="18"/>
                <w:szCs w:val="18"/>
              </w:rPr>
              <w:t>4</w:t>
            </w:r>
            <w:r>
              <w:rPr>
                <w:rFonts w:ascii="宋体" w:hAnsi="宋体" w:cs="宋体" w:eastAsia="宋体" w:hint="default"/>
                <w:spacing w:val="-47"/>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宋体" w:hAnsi="宋体" w:cs="宋体" w:eastAsia="宋体" w:hint="default"/>
                <w:w w:val="101"/>
                <w:sz w:val="18"/>
                <w:szCs w:val="18"/>
              </w:rPr>
              <w:t>4</w:t>
            </w:r>
            <w:r>
              <w:rPr>
                <w:rFonts w:ascii="宋体" w:hAnsi="宋体" w:cs="宋体" w:eastAsia="宋体" w:hint="default"/>
                <w:spacing w:val="-5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宋体" w:hAnsi="宋体" w:cs="宋体" w:eastAsia="宋体" w:hint="default"/>
                <w:spacing w:val="-5"/>
                <w:w w:val="101"/>
                <w:sz w:val="18"/>
                <w:szCs w:val="18"/>
              </w:rPr>
              <w:t>1</w:t>
            </w:r>
            <w:r>
              <w:rPr>
                <w:rFonts w:ascii="宋体" w:hAnsi="宋体" w:cs="宋体" w:eastAsia="宋体" w:hint="default"/>
                <w:w w:val="101"/>
                <w:sz w:val="18"/>
                <w:szCs w:val="18"/>
              </w:rPr>
              <w:t>0</w:t>
            </w:r>
            <w:r>
              <w:rPr>
                <w:rFonts w:ascii="宋体" w:hAnsi="宋体" w:cs="宋体" w:eastAsia="宋体" w:hint="default"/>
                <w:spacing w:val="-47"/>
                <w:sz w:val="18"/>
                <w:szCs w:val="18"/>
              </w:rPr>
              <w:t> </w:t>
            </w:r>
            <w:r>
              <w:rPr>
                <w:rFonts w:ascii="宋体" w:hAnsi="宋体" w:cs="宋体" w:eastAsia="宋体" w:hint="default"/>
                <w:w w:val="101"/>
                <w:sz w:val="18"/>
                <w:szCs w:val="18"/>
              </w:rPr>
              <w:t>日</w:t>
            </w:r>
            <w:r>
              <w:rPr>
                <w:rFonts w:ascii="宋体" w:hAnsi="宋体" w:cs="宋体" w:eastAsia="宋体" w:hint="default"/>
                <w:spacing w:val="-96"/>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spacing w:val="-92"/>
                <w:w w:val="101"/>
                <w:sz w:val="18"/>
                <w:szCs w:val="18"/>
              </w:rPr>
              <w:t>了</w:t>
            </w:r>
            <w:r>
              <w:rPr>
                <w:rFonts w:ascii="宋体" w:hAnsi="宋体" w:cs="宋体" w:eastAsia="宋体" w:hint="default"/>
                <w:spacing w:val="-5"/>
                <w:w w:val="101"/>
                <w:sz w:val="18"/>
                <w:szCs w:val="18"/>
              </w:rPr>
              <w:t>《</w:t>
            </w:r>
            <w:r>
              <w:rPr>
                <w:rFonts w:ascii="宋体" w:hAnsi="宋体" w:cs="宋体" w:eastAsia="宋体" w:hint="default"/>
                <w:w w:val="101"/>
                <w:sz w:val="18"/>
                <w:szCs w:val="18"/>
              </w:rPr>
              <w:t>关</w:t>
            </w:r>
            <w:r>
              <w:rPr>
                <w:rFonts w:ascii="宋体" w:hAnsi="宋体" w:cs="宋体" w:eastAsia="宋体" w:hint="default"/>
                <w:spacing w:val="-5"/>
                <w:w w:val="101"/>
                <w:sz w:val="18"/>
                <w:szCs w:val="18"/>
              </w:rPr>
              <w:t>于</w:t>
            </w:r>
            <w:r>
              <w:rPr>
                <w:rFonts w:ascii="宋体" w:hAnsi="宋体" w:cs="宋体" w:eastAsia="宋体" w:hint="default"/>
                <w:w w:val="101"/>
                <w:sz w:val="18"/>
                <w:szCs w:val="18"/>
              </w:rPr>
              <w:t>继</w:t>
            </w:r>
            <w:r>
              <w:rPr>
                <w:rFonts w:ascii="宋体" w:hAnsi="宋体" w:cs="宋体" w:eastAsia="宋体" w:hint="default"/>
                <w:spacing w:val="-5"/>
                <w:w w:val="101"/>
                <w:sz w:val="18"/>
                <w:szCs w:val="18"/>
              </w:rPr>
              <w:t>续</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部</w:t>
            </w:r>
            <w:r>
              <w:rPr>
                <w:rFonts w:ascii="宋体" w:hAnsi="宋体" w:cs="宋体" w:eastAsia="宋体" w:hint="default"/>
                <w:spacing w:val="-5"/>
                <w:w w:val="101"/>
                <w:sz w:val="18"/>
                <w:szCs w:val="18"/>
              </w:rPr>
              <w:t>分</w:t>
            </w:r>
            <w:r>
              <w:rPr>
                <w:rFonts w:ascii="宋体" w:hAnsi="宋体" w:cs="宋体" w:eastAsia="宋体" w:hint="default"/>
                <w:w w:val="101"/>
                <w:sz w:val="18"/>
                <w:szCs w:val="18"/>
              </w:rPr>
              <w:t>闲</w:t>
            </w:r>
            <w:r>
              <w:rPr>
                <w:rFonts w:ascii="宋体" w:hAnsi="宋体" w:cs="宋体" w:eastAsia="宋体" w:hint="default"/>
                <w:spacing w:val="-5"/>
                <w:w w:val="101"/>
                <w:sz w:val="18"/>
                <w:szCs w:val="18"/>
              </w:rPr>
              <w:t>置</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暂</w:t>
            </w:r>
            <w:r>
              <w:rPr>
                <w:rFonts w:ascii="宋体" w:hAnsi="宋体" w:cs="宋体" w:eastAsia="宋体" w:hint="default"/>
                <w:spacing w:val="-5"/>
                <w:w w:val="101"/>
                <w:sz w:val="18"/>
                <w:szCs w:val="18"/>
              </w:rPr>
              <w:t>时</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流</w:t>
            </w:r>
            <w:r>
              <w:rPr>
                <w:rFonts w:ascii="宋体" w:hAnsi="宋体" w:cs="宋体" w:eastAsia="宋体" w:hint="default"/>
                <w:spacing w:val="-5"/>
                <w:w w:val="101"/>
                <w:sz w:val="18"/>
                <w:szCs w:val="18"/>
              </w:rPr>
              <w:t>动</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的</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183"/>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告</w:t>
            </w:r>
            <w:r>
              <w:rPr>
                <w:rFonts w:ascii="宋体" w:hAnsi="宋体" w:cs="宋体" w:eastAsia="宋体" w:hint="default"/>
                <w:w w:val="101"/>
                <w:sz w:val="18"/>
                <w:szCs w:val="18"/>
              </w:rPr>
              <w:t>编</w:t>
            </w:r>
            <w:r>
              <w:rPr>
                <w:rFonts w:ascii="宋体" w:hAnsi="宋体" w:cs="宋体" w:eastAsia="宋体" w:hint="default"/>
                <w:spacing w:val="-92"/>
                <w:w w:val="101"/>
                <w:sz w:val="18"/>
                <w:szCs w:val="18"/>
              </w:rPr>
              <w:t>号</w:t>
            </w:r>
            <w:r>
              <w:rPr>
                <w:rFonts w:ascii="宋体" w:hAnsi="宋体" w:cs="宋体" w:eastAsia="宋体" w:hint="default"/>
                <w:spacing w:val="-4"/>
                <w:w w:val="101"/>
                <w:sz w:val="18"/>
                <w:szCs w:val="18"/>
              </w:rPr>
              <w:t>（</w:t>
            </w:r>
            <w:r>
              <w:rPr>
                <w:rFonts w:ascii="宋体" w:hAnsi="宋体" w:cs="宋体" w:eastAsia="宋体" w:hint="default"/>
                <w:w w:val="101"/>
                <w:sz w:val="18"/>
                <w:szCs w:val="18"/>
              </w:rPr>
              <w:t>201</w:t>
            </w:r>
            <w:r>
              <w:rPr>
                <w:rFonts w:ascii="宋体" w:hAnsi="宋体" w:cs="宋体" w:eastAsia="宋体" w:hint="default"/>
                <w:spacing w:val="-5"/>
                <w:w w:val="101"/>
                <w:sz w:val="18"/>
                <w:szCs w:val="18"/>
              </w:rPr>
              <w:t>4</w:t>
            </w:r>
            <w:r>
              <w:rPr>
                <w:rFonts w:ascii="宋体" w:hAnsi="宋体" w:cs="宋体" w:eastAsia="宋体" w:hint="default"/>
                <w:spacing w:val="-92"/>
                <w:w w:val="101"/>
                <w:sz w:val="18"/>
                <w:szCs w:val="18"/>
              </w:rPr>
              <w:t>）</w:t>
            </w:r>
            <w:r>
              <w:rPr>
                <w:rFonts w:ascii="宋体" w:hAnsi="宋体" w:cs="宋体" w:eastAsia="宋体" w:hint="default"/>
                <w:w w:val="101"/>
                <w:sz w:val="18"/>
                <w:szCs w:val="18"/>
              </w:rPr>
              <w:t>04</w:t>
            </w:r>
            <w:r>
              <w:rPr>
                <w:rFonts w:ascii="宋体" w:hAnsi="宋体" w:cs="宋体" w:eastAsia="宋体" w:hint="default"/>
                <w:spacing w:val="-5"/>
                <w:w w:val="101"/>
                <w:sz w:val="18"/>
                <w:szCs w:val="18"/>
              </w:rPr>
              <w:t>1</w:t>
            </w:r>
            <w:r>
              <w:rPr>
                <w:rFonts w:ascii="宋体" w:hAnsi="宋体" w:cs="宋体" w:eastAsia="宋体" w:hint="default"/>
                <w:w w:val="101"/>
                <w:sz w:val="18"/>
                <w:szCs w:val="18"/>
              </w:rPr>
              <w:t>0-0</w:t>
            </w:r>
            <w:r>
              <w:rPr>
                <w:rFonts w:ascii="宋体" w:hAnsi="宋体" w:cs="宋体" w:eastAsia="宋体" w:hint="default"/>
                <w:spacing w:val="-5"/>
                <w:w w:val="101"/>
                <w:sz w:val="18"/>
                <w:szCs w:val="18"/>
              </w:rPr>
              <w:t>1</w:t>
            </w:r>
            <w:r>
              <w:rPr>
                <w:rFonts w:ascii="宋体" w:hAnsi="宋体" w:cs="宋体" w:eastAsia="宋体" w:hint="default"/>
                <w:spacing w:val="-1"/>
                <w:w w:val="101"/>
                <w:sz w:val="18"/>
                <w:szCs w:val="18"/>
              </w:rPr>
              <w:t>9</w:t>
            </w:r>
            <w:r>
              <w:rPr>
                <w:rFonts w:ascii="宋体" w:hAnsi="宋体" w:cs="宋体" w:eastAsia="宋体" w:hint="default"/>
                <w:spacing w:val="-92"/>
                <w:w w:val="101"/>
                <w:sz w:val="18"/>
                <w:szCs w:val="18"/>
              </w:rPr>
              <w:t>），</w:t>
            </w:r>
            <w:r>
              <w:rPr>
                <w:rFonts w:ascii="宋体" w:hAnsi="宋体" w:cs="宋体" w:eastAsia="宋体" w:hint="default"/>
                <w:sz w:val="18"/>
                <w:szCs w:val="18"/>
              </w:rPr>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pacing w:val="-4"/>
                <w:sz w:val="18"/>
                <w:szCs w:val="18"/>
              </w:rPr>
              <w:t>公司继续从“电力用户用电信息采集系统产能扩大建设项目”尚未使用的闲置募集资金中，使用 </w:t>
            </w:r>
            <w:r>
              <w:rPr>
                <w:rFonts w:ascii="宋体" w:hAnsi="宋体" w:cs="宋体" w:eastAsia="宋体" w:hint="default"/>
                <w:sz w:val="18"/>
                <w:szCs w:val="18"/>
              </w:rPr>
              <w:t>3,000</w:t>
            </w:r>
            <w:r>
              <w:rPr>
                <w:rFonts w:ascii="宋体" w:hAnsi="宋体" w:cs="宋体" w:eastAsia="宋体" w:hint="default"/>
                <w:spacing w:val="49"/>
                <w:sz w:val="18"/>
                <w:szCs w:val="18"/>
              </w:rPr>
              <w:t> </w:t>
            </w:r>
            <w:r>
              <w:rPr>
                <w:rFonts w:ascii="宋体" w:hAnsi="宋体" w:cs="宋体" w:eastAsia="宋体" w:hint="default"/>
                <w:spacing w:val="-3"/>
                <w:sz w:val="18"/>
                <w:szCs w:val="18"/>
              </w:rPr>
              <w:t>万元用于暂时补充</w:t>
            </w:r>
          </w:p>
          <w:p>
            <w:pPr>
              <w:pStyle w:val="TableParagraph"/>
              <w:spacing w:line="321" w:lineRule="auto" w:before="76"/>
              <w:ind w:left="101" w:right="89"/>
              <w:jc w:val="left"/>
              <w:rPr>
                <w:rFonts w:ascii="宋体" w:hAnsi="宋体" w:cs="宋体" w:eastAsia="宋体" w:hint="default"/>
                <w:sz w:val="18"/>
                <w:szCs w:val="18"/>
              </w:rPr>
            </w:pPr>
            <w:r>
              <w:rPr>
                <w:rFonts w:ascii="宋体" w:hAnsi="宋体" w:cs="宋体" w:eastAsia="宋体" w:hint="default"/>
                <w:spacing w:val="-4"/>
                <w:sz w:val="18"/>
                <w:szCs w:val="18"/>
              </w:rPr>
              <w:t>流动资金，期限不超过董事会批准之日起</w:t>
            </w:r>
            <w:r>
              <w:rPr>
                <w:rFonts w:ascii="宋体" w:hAnsi="宋体" w:cs="宋体" w:eastAsia="宋体" w:hint="default"/>
                <w:spacing w:val="-32"/>
                <w:sz w:val="18"/>
                <w:szCs w:val="18"/>
              </w:rPr>
              <w:t> </w:t>
            </w:r>
            <w:r>
              <w:rPr>
                <w:rFonts w:ascii="宋体" w:hAnsi="宋体" w:cs="宋体" w:eastAsia="宋体" w:hint="default"/>
                <w:sz w:val="18"/>
                <w:szCs w:val="18"/>
              </w:rPr>
              <w:t>6</w:t>
            </w:r>
            <w:r>
              <w:rPr>
                <w:rFonts w:ascii="宋体" w:hAnsi="宋体" w:cs="宋体" w:eastAsia="宋体" w:hint="default"/>
                <w:spacing w:val="-32"/>
                <w:sz w:val="18"/>
                <w:szCs w:val="18"/>
              </w:rPr>
              <w:t> </w:t>
            </w:r>
            <w:r>
              <w:rPr>
                <w:rFonts w:ascii="宋体" w:hAnsi="宋体" w:cs="宋体" w:eastAsia="宋体" w:hint="default"/>
                <w:spacing w:val="-4"/>
                <w:sz w:val="18"/>
                <w:szCs w:val="18"/>
              </w:rPr>
              <w:t>个月，到期将归还至募集资金专户。上述募集资金已于</w:t>
            </w:r>
            <w:r>
              <w:rPr>
                <w:rFonts w:ascii="宋体" w:hAnsi="宋体" w:cs="宋体" w:eastAsia="宋体" w:hint="default"/>
                <w:spacing w:val="-31"/>
                <w:sz w:val="18"/>
                <w:szCs w:val="18"/>
              </w:rPr>
              <w:t> </w:t>
            </w:r>
            <w:r>
              <w:rPr>
                <w:rFonts w:ascii="宋体" w:hAnsi="宋体" w:cs="宋体" w:eastAsia="宋体" w:hint="default"/>
                <w:sz w:val="18"/>
                <w:szCs w:val="18"/>
              </w:rPr>
              <w:t>2014</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10</w:t>
            </w:r>
            <w:r>
              <w:rPr>
                <w:rFonts w:ascii="宋体" w:hAnsi="宋体" w:cs="宋体" w:eastAsia="宋体"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宋体" w:hAnsi="宋体" w:cs="宋体" w:eastAsia="宋体" w:hint="default"/>
                <w:sz w:val="18"/>
                <w:szCs w:val="18"/>
              </w:rPr>
              <w:t>8</w:t>
            </w:r>
            <w:r>
              <w:rPr>
                <w:rFonts w:ascii="宋体" w:hAnsi="宋体" w:cs="宋体" w:eastAsia="宋体" w:hint="default"/>
                <w:spacing w:val="-32"/>
                <w:sz w:val="18"/>
                <w:szCs w:val="18"/>
              </w:rPr>
              <w:t> </w:t>
            </w:r>
            <w:r>
              <w:rPr>
                <w:rFonts w:ascii="宋体" w:hAnsi="宋体" w:cs="宋体" w:eastAsia="宋体" w:hint="default"/>
                <w:sz w:val="18"/>
                <w:szCs w:val="18"/>
              </w:rPr>
              <w:t>日全部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8"/>
                <w:w w:val="101"/>
                <w:sz w:val="18"/>
                <w:szCs w:val="18"/>
              </w:rPr>
              <w:t>归还并存入公司募集资金专用账户，并披露了《关于归还募集资金的公告》（公告编号（</w:t>
            </w:r>
            <w:r>
              <w:rPr>
                <w:rFonts w:ascii="宋体" w:hAnsi="宋体" w:cs="宋体" w:eastAsia="宋体" w:hint="default"/>
                <w:spacing w:val="-8"/>
                <w:w w:val="101"/>
                <w:sz w:val="18"/>
                <w:szCs w:val="18"/>
              </w:rPr>
              <w:t>2014</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1008-075</w:t>
            </w:r>
            <w:r>
              <w:rPr>
                <w:rFonts w:ascii="宋体" w:hAnsi="宋体" w:cs="宋体" w:eastAsia="宋体" w:hint="default"/>
                <w:spacing w:val="-8"/>
                <w:w w:val="101"/>
                <w:sz w:val="18"/>
                <w:szCs w:val="18"/>
              </w:rPr>
              <w:t>）。</w:t>
            </w:r>
            <w:r>
              <w:rPr>
                <w:rFonts w:ascii="宋体" w:hAnsi="宋体" w:cs="宋体" w:eastAsia="宋体" w:hint="default"/>
                <w:sz w:val="18"/>
                <w:szCs w:val="18"/>
              </w:rPr>
            </w:r>
          </w:p>
          <w:p>
            <w:pPr>
              <w:pStyle w:val="TableParagraph"/>
              <w:spacing w:line="319" w:lineRule="auto" w:before="53"/>
              <w:ind w:left="101" w:right="89"/>
              <w:jc w:val="left"/>
              <w:rPr>
                <w:rFonts w:ascii="宋体" w:hAnsi="宋体" w:cs="宋体" w:eastAsia="宋体" w:hint="default"/>
                <w:sz w:val="18"/>
                <w:szCs w:val="18"/>
              </w:rPr>
            </w:pPr>
            <w:r>
              <w:rPr>
                <w:rFonts w:ascii="宋体" w:hAnsi="宋体" w:cs="宋体" w:eastAsia="宋体" w:hint="default"/>
                <w:w w:val="101"/>
                <w:sz w:val="18"/>
                <w:szCs w:val="18"/>
              </w:rPr>
              <w:t>⑤</w:t>
            </w:r>
            <w:r>
              <w:rPr>
                <w:rFonts w:ascii="宋体" w:hAnsi="宋体" w:cs="宋体" w:eastAsia="宋体" w:hint="default"/>
                <w:w w:val="101"/>
                <w:sz w:val="18"/>
                <w:szCs w:val="18"/>
              </w:rPr>
              <w:t>2014</w:t>
            </w:r>
            <w:r>
              <w:rPr>
                <w:rFonts w:ascii="宋体" w:hAnsi="宋体" w:cs="宋体" w:eastAsia="宋体" w:hint="default"/>
                <w:spacing w:val="-68"/>
                <w:w w:val="101"/>
                <w:sz w:val="18"/>
                <w:szCs w:val="18"/>
              </w:rPr>
              <w:t> </w:t>
            </w:r>
            <w:r>
              <w:rPr>
                <w:rFonts w:ascii="宋体" w:hAnsi="宋体" w:cs="宋体" w:eastAsia="宋体" w:hint="default"/>
                <w:w w:val="101"/>
                <w:sz w:val="18"/>
                <w:szCs w:val="18"/>
              </w:rPr>
              <w:t>年</w:t>
            </w:r>
            <w:r>
              <w:rPr>
                <w:rFonts w:ascii="宋体" w:hAnsi="宋体" w:cs="宋体" w:eastAsia="宋体" w:hint="default"/>
                <w:spacing w:val="-62"/>
                <w:w w:val="101"/>
                <w:sz w:val="18"/>
                <w:szCs w:val="18"/>
              </w:rPr>
              <w:t> </w:t>
            </w:r>
            <w:r>
              <w:rPr>
                <w:rFonts w:ascii="宋体" w:hAnsi="宋体" w:cs="宋体" w:eastAsia="宋体" w:hint="default"/>
                <w:w w:val="101"/>
                <w:sz w:val="18"/>
                <w:szCs w:val="18"/>
              </w:rPr>
              <w:t>10</w:t>
            </w:r>
            <w:r>
              <w:rPr>
                <w:rFonts w:ascii="宋体" w:hAnsi="宋体" w:cs="宋体" w:eastAsia="宋体" w:hint="default"/>
                <w:spacing w:val="-62"/>
                <w:w w:val="101"/>
                <w:sz w:val="18"/>
                <w:szCs w:val="18"/>
              </w:rPr>
              <w:t> </w:t>
            </w:r>
            <w:r>
              <w:rPr>
                <w:rFonts w:ascii="宋体" w:hAnsi="宋体" w:cs="宋体" w:eastAsia="宋体" w:hint="default"/>
                <w:w w:val="101"/>
                <w:sz w:val="18"/>
                <w:szCs w:val="18"/>
              </w:rPr>
              <w:t>月</w:t>
            </w:r>
            <w:r>
              <w:rPr>
                <w:rFonts w:ascii="宋体" w:hAnsi="宋体" w:cs="宋体" w:eastAsia="宋体" w:hint="default"/>
                <w:spacing w:val="-62"/>
                <w:w w:val="101"/>
                <w:sz w:val="18"/>
                <w:szCs w:val="18"/>
              </w:rPr>
              <w:t> </w:t>
            </w:r>
            <w:r>
              <w:rPr>
                <w:rFonts w:ascii="宋体" w:hAnsi="宋体" w:cs="宋体" w:eastAsia="宋体" w:hint="default"/>
                <w:spacing w:val="-3"/>
                <w:w w:val="101"/>
                <w:sz w:val="18"/>
                <w:szCs w:val="18"/>
              </w:rPr>
              <w:t>10</w:t>
            </w:r>
            <w:r>
              <w:rPr>
                <w:rFonts w:ascii="宋体" w:hAnsi="宋体" w:cs="宋体" w:eastAsia="宋体" w:hint="default"/>
                <w:spacing w:val="-62"/>
                <w:w w:val="101"/>
                <w:sz w:val="18"/>
                <w:szCs w:val="18"/>
              </w:rPr>
              <w:t> </w:t>
            </w:r>
            <w:r>
              <w:rPr>
                <w:rFonts w:ascii="宋体" w:hAnsi="宋体" w:cs="宋体" w:eastAsia="宋体" w:hint="default"/>
                <w:spacing w:val="-16"/>
                <w:w w:val="101"/>
                <w:sz w:val="18"/>
                <w:szCs w:val="18"/>
              </w:rPr>
              <w:t>日，公司披露了《关于继续使用部分闲置募集资金暂时补充流动资金的公告》（公告编号（</w:t>
            </w:r>
            <w:r>
              <w:rPr>
                <w:rFonts w:ascii="宋体" w:hAnsi="宋体" w:cs="宋体" w:eastAsia="宋体" w:hint="default"/>
                <w:spacing w:val="-16"/>
                <w:w w:val="101"/>
                <w:sz w:val="18"/>
                <w:szCs w:val="18"/>
              </w:rPr>
              <w:t>2014</w:t>
            </w:r>
            <w:r>
              <w:rPr>
                <w:rFonts w:ascii="宋体" w:hAnsi="宋体" w:cs="宋体" w:eastAsia="宋体" w:hint="default"/>
                <w:spacing w:val="-16"/>
                <w:w w:val="101"/>
                <w:sz w:val="18"/>
                <w:szCs w:val="18"/>
              </w:rPr>
              <w:t>）</w:t>
            </w:r>
            <w:r>
              <w:rPr>
                <w:rFonts w:ascii="宋体" w:hAnsi="宋体" w:cs="宋体" w:eastAsia="宋体" w:hint="default"/>
                <w:spacing w:val="-16"/>
                <w:w w:val="101"/>
                <w:sz w:val="18"/>
                <w:szCs w:val="18"/>
              </w:rPr>
              <w:t>1010-077</w:t>
            </w:r>
            <w:r>
              <w:rPr>
                <w:rFonts w:ascii="宋体" w:hAnsi="宋体" w:cs="宋体" w:eastAsia="宋体" w:hint="default"/>
                <w:spacing w:val="-16"/>
                <w:w w:val="101"/>
                <w:sz w:val="18"/>
                <w:szCs w:val="18"/>
              </w:rPr>
              <w:t>），</w:t>
            </w:r>
            <w:r>
              <w:rPr>
                <w:rFonts w:ascii="宋体" w:hAnsi="宋体" w:cs="宋体" w:eastAsia="宋体" w:hint="default"/>
                <w:spacing w:val="-91"/>
                <w:w w:val="101"/>
                <w:sz w:val="18"/>
                <w:szCs w:val="18"/>
              </w:rPr>
              <w:t> </w:t>
            </w:r>
            <w:r>
              <w:rPr>
                <w:rFonts w:ascii="宋体" w:hAnsi="宋体" w:cs="宋体" w:eastAsia="宋体" w:hint="default"/>
                <w:spacing w:val="-4"/>
                <w:sz w:val="18"/>
                <w:szCs w:val="18"/>
              </w:rPr>
              <w:t>公司继续从“电力用户用电信息采集系统产能扩大建设项目”尚未使用的闲置募集资金中，使用 </w:t>
            </w:r>
            <w:r>
              <w:rPr>
                <w:rFonts w:ascii="宋体" w:hAnsi="宋体" w:cs="宋体" w:eastAsia="宋体" w:hint="default"/>
                <w:sz w:val="18"/>
                <w:szCs w:val="18"/>
              </w:rPr>
              <w:t>3,000</w:t>
            </w:r>
            <w:r>
              <w:rPr>
                <w:rFonts w:ascii="宋体" w:hAnsi="宋体" w:cs="宋体" w:eastAsia="宋体" w:hint="default"/>
                <w:spacing w:val="49"/>
                <w:sz w:val="18"/>
                <w:szCs w:val="18"/>
              </w:rPr>
              <w:t> </w:t>
            </w:r>
            <w:r>
              <w:rPr>
                <w:rFonts w:ascii="宋体" w:hAnsi="宋体" w:cs="宋体" w:eastAsia="宋体" w:hint="default"/>
                <w:spacing w:val="-3"/>
                <w:sz w:val="18"/>
                <w:szCs w:val="18"/>
              </w:rPr>
              <w:t>万元用于暂时补充</w:t>
            </w:r>
          </w:p>
          <w:p>
            <w:pPr>
              <w:pStyle w:val="TableParagraph"/>
              <w:spacing w:line="321" w:lineRule="auto" w:before="17"/>
              <w:ind w:left="101" w:right="127"/>
              <w:jc w:val="left"/>
              <w:rPr>
                <w:rFonts w:ascii="宋体" w:hAnsi="宋体" w:cs="宋体" w:eastAsia="宋体" w:hint="default"/>
                <w:sz w:val="18"/>
                <w:szCs w:val="18"/>
              </w:rPr>
            </w:pPr>
            <w:r>
              <w:rPr>
                <w:rFonts w:ascii="宋体" w:hAnsi="宋体" w:cs="宋体" w:eastAsia="宋体" w:hint="default"/>
                <w:spacing w:val="-3"/>
                <w:sz w:val="18"/>
                <w:szCs w:val="18"/>
              </w:rPr>
              <w:t>流动资金，期限不超过董事会批准之日起</w:t>
            </w:r>
            <w:r>
              <w:rPr>
                <w:rFonts w:ascii="宋体" w:hAnsi="宋体" w:cs="宋体" w:eastAsia="宋体" w:hint="default"/>
                <w:spacing w:val="-31"/>
                <w:sz w:val="18"/>
                <w:szCs w:val="18"/>
              </w:rPr>
              <w:t> </w:t>
            </w:r>
            <w:r>
              <w:rPr>
                <w:rFonts w:ascii="宋体" w:hAnsi="宋体" w:cs="宋体" w:eastAsia="宋体" w:hint="default"/>
                <w:sz w:val="18"/>
                <w:szCs w:val="18"/>
              </w:rPr>
              <w:t>6</w:t>
            </w:r>
            <w:r>
              <w:rPr>
                <w:rFonts w:ascii="宋体" w:hAnsi="宋体" w:cs="宋体" w:eastAsia="宋体" w:hint="default"/>
                <w:spacing w:val="-31"/>
                <w:sz w:val="18"/>
                <w:szCs w:val="18"/>
              </w:rPr>
              <w:t> </w:t>
            </w:r>
            <w:r>
              <w:rPr>
                <w:rFonts w:ascii="宋体" w:hAnsi="宋体" w:cs="宋体" w:eastAsia="宋体" w:hint="default"/>
                <w:spacing w:val="-3"/>
                <w:sz w:val="18"/>
                <w:szCs w:val="18"/>
              </w:rPr>
              <w:t>个月，到期将归还至募集资金专户。上述募集资金已于</w:t>
            </w:r>
            <w:r>
              <w:rPr>
                <w:rFonts w:ascii="宋体" w:hAnsi="宋体" w:cs="宋体" w:eastAsia="宋体" w:hint="default"/>
                <w:spacing w:val="-30"/>
                <w:sz w:val="18"/>
                <w:szCs w:val="18"/>
              </w:rPr>
              <w:t> </w:t>
            </w:r>
            <w:r>
              <w:rPr>
                <w:rFonts w:ascii="宋体" w:hAnsi="宋体" w:cs="宋体" w:eastAsia="宋体" w:hint="default"/>
                <w:sz w:val="18"/>
                <w:szCs w:val="18"/>
              </w:rPr>
              <w:t>2015</w:t>
            </w:r>
            <w:r>
              <w:rPr>
                <w:rFonts w:ascii="宋体" w:hAnsi="宋体" w:cs="宋体" w:eastAsia="宋体"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宋体" w:hAnsi="宋体" w:cs="宋体" w:eastAsia="宋体" w:hint="default"/>
                <w:sz w:val="18"/>
                <w:szCs w:val="18"/>
              </w:rPr>
              <w:t>4</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宋体" w:hAnsi="宋体" w:cs="宋体" w:eastAsia="宋体" w:hint="default"/>
                <w:sz w:val="18"/>
                <w:szCs w:val="18"/>
              </w:rPr>
              <w:t>1</w:t>
            </w:r>
            <w:r>
              <w:rPr>
                <w:rFonts w:ascii="宋体" w:hAnsi="宋体" w:cs="宋体" w:eastAsia="宋体" w:hint="default"/>
                <w:spacing w:val="-31"/>
                <w:sz w:val="18"/>
                <w:szCs w:val="18"/>
              </w:rPr>
              <w:t> </w:t>
            </w:r>
            <w:r>
              <w:rPr>
                <w:rFonts w:ascii="宋体" w:hAnsi="宋体" w:cs="宋体" w:eastAsia="宋体" w:hint="default"/>
                <w:sz w:val="18"/>
                <w:szCs w:val="18"/>
              </w:rPr>
              <w:t>日全部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w w:val="101"/>
                <w:sz w:val="18"/>
                <w:szCs w:val="18"/>
              </w:rPr>
              <w:t>归还并存入公司募集资金专用账户，并披露了《关于归还募集资金的公告》（公告编号</w:t>
            </w:r>
            <w:r>
              <w:rPr>
                <w:rFonts w:ascii="宋体" w:hAnsi="宋体" w:cs="宋体" w:eastAsia="宋体" w:hint="default"/>
                <w:spacing w:val="-33"/>
                <w:w w:val="101"/>
                <w:sz w:val="18"/>
                <w:szCs w:val="18"/>
              </w:rPr>
              <w:t> </w:t>
            </w:r>
            <w:r>
              <w:rPr>
                <w:rFonts w:ascii="宋体" w:hAnsi="宋体" w:cs="宋体" w:eastAsia="宋体" w:hint="default"/>
                <w:spacing w:val="-21"/>
                <w:w w:val="101"/>
                <w:sz w:val="18"/>
                <w:szCs w:val="18"/>
              </w:rPr>
              <w:t>2015-013</w:t>
            </w:r>
            <w:r>
              <w:rPr>
                <w:rFonts w:ascii="宋体" w:hAnsi="宋体" w:cs="宋体" w:eastAsia="宋体" w:hint="default"/>
                <w:spacing w:val="-21"/>
                <w:w w:val="101"/>
                <w:sz w:val="18"/>
                <w:szCs w:val="18"/>
              </w:rPr>
              <w:t>）。</w:t>
            </w:r>
            <w:r>
              <w:rPr>
                <w:rFonts w:ascii="宋体" w:hAnsi="宋体" w:cs="宋体" w:eastAsia="宋体" w:hint="default"/>
                <w:sz w:val="18"/>
                <w:szCs w:val="18"/>
              </w:rPr>
            </w:r>
          </w:p>
          <w:p>
            <w:pPr>
              <w:pStyle w:val="TableParagraph"/>
              <w:spacing w:line="316" w:lineRule="auto" w:before="49"/>
              <w:ind w:left="101" w:right="95"/>
              <w:jc w:val="left"/>
              <w:rPr>
                <w:rFonts w:ascii="宋体" w:hAnsi="宋体" w:cs="宋体" w:eastAsia="宋体" w:hint="default"/>
                <w:sz w:val="18"/>
                <w:szCs w:val="18"/>
              </w:rPr>
            </w:pPr>
            <w:r>
              <w:rPr>
                <w:rFonts w:ascii="宋体" w:hAnsi="宋体" w:cs="宋体" w:eastAsia="宋体" w:hint="default"/>
                <w:w w:val="101"/>
                <w:sz w:val="18"/>
                <w:szCs w:val="18"/>
              </w:rPr>
              <w:t>⑥</w:t>
            </w:r>
            <w:r>
              <w:rPr>
                <w:rFonts w:ascii="宋体" w:hAnsi="宋体" w:cs="宋体" w:eastAsia="宋体" w:hint="default"/>
                <w:w w:val="101"/>
                <w:sz w:val="18"/>
                <w:szCs w:val="18"/>
              </w:rPr>
              <w:t>2015</w:t>
            </w:r>
            <w:r>
              <w:rPr>
                <w:rFonts w:ascii="宋体" w:hAnsi="宋体" w:cs="宋体" w:eastAsia="宋体" w:hint="default"/>
                <w:spacing w:val="-46"/>
                <w:w w:val="101"/>
                <w:sz w:val="18"/>
                <w:szCs w:val="18"/>
              </w:rPr>
              <w:t> </w:t>
            </w:r>
            <w:r>
              <w:rPr>
                <w:rFonts w:ascii="宋体" w:hAnsi="宋体" w:cs="宋体" w:eastAsia="宋体" w:hint="default"/>
                <w:w w:val="101"/>
                <w:sz w:val="18"/>
                <w:szCs w:val="18"/>
              </w:rPr>
              <w:t>年</w:t>
            </w:r>
            <w:r>
              <w:rPr>
                <w:rFonts w:ascii="宋体" w:hAnsi="宋体" w:cs="宋体" w:eastAsia="宋体" w:hint="default"/>
                <w:spacing w:val="-46"/>
                <w:w w:val="101"/>
                <w:sz w:val="18"/>
                <w:szCs w:val="18"/>
              </w:rPr>
              <w:t> </w:t>
            </w:r>
            <w:r>
              <w:rPr>
                <w:rFonts w:ascii="宋体" w:hAnsi="宋体" w:cs="宋体" w:eastAsia="宋体" w:hint="default"/>
                <w:w w:val="101"/>
                <w:sz w:val="18"/>
                <w:szCs w:val="18"/>
              </w:rPr>
              <w:t>4</w:t>
            </w:r>
            <w:r>
              <w:rPr>
                <w:rFonts w:ascii="宋体" w:hAnsi="宋体" w:cs="宋体" w:eastAsia="宋体" w:hint="default"/>
                <w:spacing w:val="-46"/>
                <w:w w:val="101"/>
                <w:sz w:val="18"/>
                <w:szCs w:val="18"/>
              </w:rPr>
              <w:t> </w:t>
            </w:r>
            <w:r>
              <w:rPr>
                <w:rFonts w:ascii="宋体" w:hAnsi="宋体" w:cs="宋体" w:eastAsia="宋体" w:hint="default"/>
                <w:w w:val="101"/>
                <w:sz w:val="18"/>
                <w:szCs w:val="18"/>
              </w:rPr>
              <w:t>月</w:t>
            </w:r>
            <w:r>
              <w:rPr>
                <w:rFonts w:ascii="宋体" w:hAnsi="宋体" w:cs="宋体" w:eastAsia="宋体" w:hint="default"/>
                <w:spacing w:val="-46"/>
                <w:w w:val="101"/>
                <w:sz w:val="18"/>
                <w:szCs w:val="18"/>
              </w:rPr>
              <w:t> </w:t>
            </w:r>
            <w:r>
              <w:rPr>
                <w:rFonts w:ascii="宋体" w:hAnsi="宋体" w:cs="宋体" w:eastAsia="宋体" w:hint="default"/>
                <w:w w:val="101"/>
                <w:sz w:val="18"/>
                <w:szCs w:val="18"/>
              </w:rPr>
              <w:t>4</w:t>
            </w:r>
            <w:r>
              <w:rPr>
                <w:rFonts w:ascii="宋体" w:hAnsi="宋体" w:cs="宋体" w:eastAsia="宋体" w:hint="default"/>
                <w:spacing w:val="-52"/>
                <w:w w:val="101"/>
                <w:sz w:val="18"/>
                <w:szCs w:val="18"/>
              </w:rPr>
              <w:t> </w:t>
            </w:r>
            <w:r>
              <w:rPr>
                <w:rFonts w:ascii="宋体" w:hAnsi="宋体" w:cs="宋体" w:eastAsia="宋体" w:hint="default"/>
                <w:spacing w:val="-5"/>
                <w:w w:val="101"/>
                <w:sz w:val="18"/>
                <w:szCs w:val="18"/>
              </w:rPr>
              <w:t>日，公司披露了《关于继续使用部分闲置募集资金暂时补充流动资金的公告》（公告编号</w:t>
            </w:r>
            <w:r>
              <w:rPr>
                <w:rFonts w:ascii="宋体" w:hAnsi="宋体" w:cs="宋体" w:eastAsia="宋体" w:hint="default"/>
                <w:spacing w:val="-45"/>
                <w:w w:val="101"/>
                <w:sz w:val="18"/>
                <w:szCs w:val="18"/>
              </w:rPr>
              <w:t> </w:t>
            </w:r>
            <w:r>
              <w:rPr>
                <w:rFonts w:ascii="宋体" w:hAnsi="宋体" w:cs="宋体" w:eastAsia="宋体" w:hint="default"/>
                <w:spacing w:val="-10"/>
                <w:w w:val="101"/>
                <w:sz w:val="18"/>
                <w:szCs w:val="18"/>
              </w:rPr>
              <w:t>2015-015</w:t>
            </w:r>
            <w:r>
              <w:rPr>
                <w:rFonts w:ascii="宋体" w:hAnsi="宋体" w:cs="宋体" w:eastAsia="宋体" w:hint="default"/>
                <w:spacing w:val="-10"/>
                <w:w w:val="101"/>
                <w:sz w:val="18"/>
                <w:szCs w:val="18"/>
              </w:rPr>
              <w:t>），公</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4"/>
                <w:sz w:val="18"/>
                <w:szCs w:val="18"/>
              </w:rPr>
              <w:t>司继续从“电力用户用电信息采集系统产能扩大建设项目”尚未使用的闲置募集资金中，使用 </w:t>
            </w:r>
            <w:r>
              <w:rPr>
                <w:rFonts w:ascii="宋体" w:hAnsi="宋体" w:cs="宋体" w:eastAsia="宋体" w:hint="default"/>
                <w:sz w:val="18"/>
                <w:szCs w:val="18"/>
              </w:rPr>
              <w:t>3,000</w:t>
            </w:r>
            <w:r>
              <w:rPr>
                <w:rFonts w:ascii="宋体" w:hAnsi="宋体" w:cs="宋体" w:eastAsia="宋体" w:hint="default"/>
                <w:spacing w:val="43"/>
                <w:sz w:val="18"/>
                <w:szCs w:val="18"/>
              </w:rPr>
              <w:t> </w:t>
            </w:r>
            <w:r>
              <w:rPr>
                <w:rFonts w:ascii="宋体" w:hAnsi="宋体" w:cs="宋体" w:eastAsia="宋体" w:hint="default"/>
                <w:spacing w:val="-3"/>
                <w:sz w:val="18"/>
                <w:szCs w:val="18"/>
              </w:rPr>
              <w:t>万元用于暂时补充流</w:t>
            </w:r>
            <w:r>
              <w:rPr>
                <w:rFonts w:ascii="宋体" w:hAnsi="宋体" w:cs="宋体" w:eastAsia="宋体" w:hint="default"/>
                <w:sz w:val="18"/>
                <w:szCs w:val="18"/>
              </w:rPr>
            </w:r>
          </w:p>
          <w:p>
            <w:pPr>
              <w:pStyle w:val="TableParagraph"/>
              <w:spacing w:line="321" w:lineRule="auto" w:before="19"/>
              <w:ind w:left="101" w:right="98"/>
              <w:jc w:val="left"/>
              <w:rPr>
                <w:rFonts w:ascii="宋体" w:hAnsi="宋体" w:cs="宋体" w:eastAsia="宋体" w:hint="default"/>
                <w:sz w:val="18"/>
                <w:szCs w:val="18"/>
              </w:rPr>
            </w:pPr>
            <w:r>
              <w:rPr>
                <w:rFonts w:ascii="宋体" w:hAnsi="宋体" w:cs="宋体" w:eastAsia="宋体" w:hint="default"/>
                <w:spacing w:val="-4"/>
                <w:sz w:val="18"/>
                <w:szCs w:val="18"/>
              </w:rPr>
              <w:t>动资金，使用期限不超过董事会批准之日起</w:t>
            </w:r>
            <w:r>
              <w:rPr>
                <w:rFonts w:ascii="宋体" w:hAnsi="宋体" w:cs="宋体" w:eastAsia="宋体" w:hint="default"/>
                <w:spacing w:val="-32"/>
                <w:sz w:val="18"/>
                <w:szCs w:val="18"/>
              </w:rPr>
              <w:t> </w:t>
            </w:r>
            <w:r>
              <w:rPr>
                <w:rFonts w:ascii="宋体" w:hAnsi="宋体" w:cs="宋体" w:eastAsia="宋体" w:hint="default"/>
                <w:sz w:val="18"/>
                <w:szCs w:val="18"/>
              </w:rPr>
              <w:t>12</w:t>
            </w:r>
            <w:r>
              <w:rPr>
                <w:rFonts w:ascii="宋体" w:hAnsi="宋体" w:cs="宋体" w:eastAsia="宋体" w:hint="default"/>
                <w:spacing w:val="-39"/>
                <w:sz w:val="18"/>
                <w:szCs w:val="18"/>
              </w:rPr>
              <w:t> </w:t>
            </w:r>
            <w:r>
              <w:rPr>
                <w:rFonts w:ascii="宋体" w:hAnsi="宋体" w:cs="宋体" w:eastAsia="宋体" w:hint="default"/>
                <w:spacing w:val="-4"/>
                <w:sz w:val="18"/>
                <w:szCs w:val="18"/>
              </w:rPr>
              <w:t>个月，到期将归还至募集资金专户。上述募集资金已于</w:t>
            </w:r>
            <w:r>
              <w:rPr>
                <w:rFonts w:ascii="宋体" w:hAnsi="宋体" w:cs="宋体" w:eastAsia="宋体" w:hint="default"/>
                <w:spacing w:val="-31"/>
                <w:sz w:val="18"/>
                <w:szCs w:val="18"/>
              </w:rPr>
              <w:t> </w:t>
            </w:r>
            <w:r>
              <w:rPr>
                <w:rFonts w:ascii="宋体" w:hAnsi="宋体" w:cs="宋体" w:eastAsia="宋体" w:hint="default"/>
                <w:sz w:val="18"/>
                <w:szCs w:val="18"/>
              </w:rPr>
              <w:t>2016</w:t>
            </w:r>
            <w:r>
              <w:rPr>
                <w:rFonts w:ascii="宋体" w:hAnsi="宋体" w:cs="宋体" w:eastAsia="宋体" w:hint="default"/>
                <w:spacing w:val="-32"/>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宋体" w:hAnsi="宋体" w:cs="宋体" w:eastAsia="宋体" w:hint="default"/>
                <w:sz w:val="18"/>
                <w:szCs w:val="18"/>
              </w:rPr>
              <w:t>4</w:t>
            </w:r>
            <w:r>
              <w:rPr>
                <w:rFonts w:ascii="宋体" w:hAnsi="宋体" w:cs="宋体" w:eastAsia="宋体" w:hint="default"/>
                <w:spacing w:val="-32"/>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宋体" w:hAnsi="宋体" w:cs="宋体" w:eastAsia="宋体" w:hint="default"/>
                <w:sz w:val="18"/>
                <w:szCs w:val="18"/>
              </w:rPr>
              <w:t>1</w:t>
            </w:r>
            <w:r>
              <w:rPr>
                <w:rFonts w:ascii="宋体" w:hAnsi="宋体" w:cs="宋体" w:eastAsia="宋体" w:hint="default"/>
                <w:spacing w:val="-32"/>
                <w:sz w:val="18"/>
                <w:szCs w:val="18"/>
              </w:rPr>
              <w:t> </w:t>
            </w:r>
            <w:r>
              <w:rPr>
                <w:rFonts w:ascii="宋体" w:hAnsi="宋体" w:cs="宋体" w:eastAsia="宋体" w:hint="default"/>
                <w:spacing w:val="-5"/>
                <w:sz w:val="18"/>
                <w:szCs w:val="18"/>
              </w:rPr>
              <w:t>日全</w:t>
            </w:r>
            <w:r>
              <w:rPr>
                <w:rFonts w:ascii="宋体" w:hAnsi="宋体" w:cs="宋体" w:eastAsia="宋体" w:hint="default"/>
                <w:spacing w:val="-78"/>
                <w:sz w:val="18"/>
                <w:szCs w:val="18"/>
              </w:rPr>
              <w:t> </w:t>
            </w:r>
            <w:r>
              <w:rPr>
                <w:rFonts w:ascii="宋体" w:hAnsi="宋体" w:cs="宋体" w:eastAsia="宋体" w:hint="default"/>
                <w:spacing w:val="-5"/>
                <w:w w:val="101"/>
                <w:sz w:val="18"/>
                <w:szCs w:val="18"/>
              </w:rPr>
              <w:t>部归还并存入公司募集资金专用账户，并披露了《关于归还募集资金的公告》（公告编号</w:t>
            </w:r>
            <w:r>
              <w:rPr>
                <w:rFonts w:ascii="宋体" w:hAnsi="宋体" w:cs="宋体" w:eastAsia="宋体" w:hint="default"/>
                <w:spacing w:val="-33"/>
                <w:w w:val="101"/>
                <w:sz w:val="18"/>
                <w:szCs w:val="18"/>
              </w:rPr>
              <w:t> </w:t>
            </w:r>
            <w:r>
              <w:rPr>
                <w:rFonts w:ascii="宋体" w:hAnsi="宋体" w:cs="宋体" w:eastAsia="宋体" w:hint="default"/>
                <w:spacing w:val="-20"/>
                <w:w w:val="101"/>
                <w:sz w:val="18"/>
                <w:szCs w:val="18"/>
              </w:rPr>
              <w:t>2016-012</w:t>
            </w:r>
            <w:r>
              <w:rPr>
                <w:rFonts w:ascii="宋体" w:hAnsi="宋体" w:cs="宋体" w:eastAsia="宋体" w:hint="default"/>
                <w:spacing w:val="-20"/>
                <w:w w:val="101"/>
                <w:sz w:val="18"/>
                <w:szCs w:val="18"/>
              </w:rPr>
              <w:t>）。</w:t>
            </w:r>
            <w:r>
              <w:rPr>
                <w:rFonts w:ascii="宋体" w:hAnsi="宋体" w:cs="宋体" w:eastAsia="宋体" w:hint="default"/>
                <w:sz w:val="18"/>
                <w:szCs w:val="18"/>
              </w:rPr>
            </w:r>
          </w:p>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w w:val="101"/>
                <w:sz w:val="18"/>
                <w:szCs w:val="18"/>
              </w:rPr>
              <w:t>⑦</w:t>
            </w:r>
            <w:r>
              <w:rPr>
                <w:rFonts w:ascii="宋体" w:hAnsi="宋体" w:cs="宋体" w:eastAsia="宋体" w:hint="default"/>
                <w:w w:val="101"/>
                <w:sz w:val="18"/>
                <w:szCs w:val="18"/>
              </w:rPr>
              <w:t>2</w:t>
            </w:r>
            <w:r>
              <w:rPr>
                <w:rFonts w:ascii="宋体" w:hAnsi="宋体" w:cs="宋体" w:eastAsia="宋体" w:hint="default"/>
                <w:spacing w:val="-5"/>
                <w:w w:val="101"/>
                <w:sz w:val="18"/>
                <w:szCs w:val="18"/>
              </w:rPr>
              <w:t>0</w:t>
            </w:r>
            <w:r>
              <w:rPr>
                <w:rFonts w:ascii="宋体" w:hAnsi="宋体" w:cs="宋体" w:eastAsia="宋体" w:hint="default"/>
                <w:w w:val="101"/>
                <w:sz w:val="18"/>
                <w:szCs w:val="18"/>
              </w:rPr>
              <w:t>16</w:t>
            </w:r>
            <w:r>
              <w:rPr>
                <w:rFonts w:ascii="宋体" w:hAnsi="宋体" w:cs="宋体" w:eastAsia="宋体" w:hint="default"/>
                <w:spacing w:val="-47"/>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宋体" w:hAnsi="宋体" w:cs="宋体" w:eastAsia="宋体" w:hint="default"/>
                <w:w w:val="101"/>
                <w:sz w:val="18"/>
                <w:szCs w:val="18"/>
              </w:rPr>
              <w:t>4</w:t>
            </w:r>
            <w:r>
              <w:rPr>
                <w:rFonts w:ascii="宋体" w:hAnsi="宋体" w:cs="宋体" w:eastAsia="宋体" w:hint="default"/>
                <w:spacing w:val="-47"/>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宋体" w:hAnsi="宋体" w:cs="宋体" w:eastAsia="宋体" w:hint="default"/>
                <w:w w:val="101"/>
                <w:sz w:val="18"/>
                <w:szCs w:val="18"/>
              </w:rPr>
              <w:t>14</w:t>
            </w:r>
            <w:r>
              <w:rPr>
                <w:rFonts w:ascii="宋体" w:hAnsi="宋体" w:cs="宋体" w:eastAsia="宋体" w:hint="default"/>
                <w:spacing w:val="-47"/>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披</w:t>
            </w:r>
            <w:r>
              <w:rPr>
                <w:rFonts w:ascii="宋体" w:hAnsi="宋体" w:cs="宋体" w:eastAsia="宋体" w:hint="default"/>
                <w:w w:val="101"/>
                <w:sz w:val="18"/>
                <w:szCs w:val="18"/>
              </w:rPr>
              <w:t>露</w:t>
            </w:r>
            <w:r>
              <w:rPr>
                <w:rFonts w:ascii="宋体" w:hAnsi="宋体" w:cs="宋体" w:eastAsia="宋体" w:hint="default"/>
                <w:spacing w:val="-5"/>
                <w:w w:val="101"/>
                <w:sz w:val="18"/>
                <w:szCs w:val="18"/>
              </w:rPr>
              <w:t>了</w:t>
            </w:r>
            <w:r>
              <w:rPr>
                <w:rFonts w:ascii="宋体" w:hAnsi="宋体" w:cs="宋体" w:eastAsia="宋体" w:hint="default"/>
                <w:w w:val="101"/>
                <w:sz w:val="18"/>
                <w:szCs w:val="18"/>
              </w:rPr>
              <w:t>《</w:t>
            </w:r>
            <w:r>
              <w:rPr>
                <w:rFonts w:ascii="宋体" w:hAnsi="宋体" w:cs="宋体" w:eastAsia="宋体" w:hint="default"/>
                <w:spacing w:val="-5"/>
                <w:w w:val="101"/>
                <w:sz w:val="18"/>
                <w:szCs w:val="18"/>
              </w:rPr>
              <w:t>于</w:t>
            </w:r>
            <w:r>
              <w:rPr>
                <w:rFonts w:ascii="宋体" w:hAnsi="宋体" w:cs="宋体" w:eastAsia="宋体" w:hint="default"/>
                <w:w w:val="101"/>
                <w:sz w:val="18"/>
                <w:szCs w:val="18"/>
              </w:rPr>
              <w:t>继</w:t>
            </w:r>
            <w:r>
              <w:rPr>
                <w:rFonts w:ascii="宋体" w:hAnsi="宋体" w:cs="宋体" w:eastAsia="宋体" w:hint="default"/>
                <w:spacing w:val="-5"/>
                <w:w w:val="101"/>
                <w:sz w:val="18"/>
                <w:szCs w:val="18"/>
              </w:rPr>
              <w:t>续</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部</w:t>
            </w:r>
            <w:r>
              <w:rPr>
                <w:rFonts w:ascii="宋体" w:hAnsi="宋体" w:cs="宋体" w:eastAsia="宋体" w:hint="default"/>
                <w:spacing w:val="-5"/>
                <w:w w:val="101"/>
                <w:sz w:val="18"/>
                <w:szCs w:val="18"/>
              </w:rPr>
              <w:t>分</w:t>
            </w:r>
            <w:r>
              <w:rPr>
                <w:rFonts w:ascii="宋体" w:hAnsi="宋体" w:cs="宋体" w:eastAsia="宋体" w:hint="default"/>
                <w:w w:val="101"/>
                <w:sz w:val="18"/>
                <w:szCs w:val="18"/>
              </w:rPr>
              <w:t>闲</w:t>
            </w:r>
            <w:r>
              <w:rPr>
                <w:rFonts w:ascii="宋体" w:hAnsi="宋体" w:cs="宋体" w:eastAsia="宋体" w:hint="default"/>
                <w:spacing w:val="-5"/>
                <w:w w:val="101"/>
                <w:sz w:val="18"/>
                <w:szCs w:val="18"/>
              </w:rPr>
              <w:t>置</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暂</w:t>
            </w:r>
            <w:r>
              <w:rPr>
                <w:rFonts w:ascii="宋体" w:hAnsi="宋体" w:cs="宋体" w:eastAsia="宋体" w:hint="default"/>
                <w:spacing w:val="-5"/>
                <w:w w:val="101"/>
                <w:sz w:val="18"/>
                <w:szCs w:val="18"/>
              </w:rPr>
              <w:t>时</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流</w:t>
            </w:r>
            <w:r>
              <w:rPr>
                <w:rFonts w:ascii="宋体" w:hAnsi="宋体" w:cs="宋体" w:eastAsia="宋体" w:hint="default"/>
                <w:spacing w:val="-5"/>
                <w:w w:val="101"/>
                <w:sz w:val="18"/>
                <w:szCs w:val="18"/>
              </w:rPr>
              <w:t>动</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的</w:t>
            </w:r>
            <w:r>
              <w:rPr>
                <w:rFonts w:ascii="宋体" w:hAnsi="宋体" w:cs="宋体" w:eastAsia="宋体" w:hint="default"/>
                <w:spacing w:val="-5"/>
                <w:w w:val="101"/>
                <w:sz w:val="18"/>
                <w:szCs w:val="18"/>
              </w:rPr>
              <w:t>公</w:t>
            </w:r>
            <w:r>
              <w:rPr>
                <w:rFonts w:ascii="宋体" w:hAnsi="宋体" w:cs="宋体" w:eastAsia="宋体" w:hint="default"/>
                <w:w w:val="101"/>
                <w:sz w:val="18"/>
                <w:szCs w:val="18"/>
              </w:rPr>
              <w:t>告</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告</w:t>
            </w:r>
            <w:r>
              <w:rPr>
                <w:rFonts w:ascii="宋体" w:hAnsi="宋体" w:cs="宋体" w:eastAsia="宋体" w:hint="default"/>
                <w:w w:val="101"/>
                <w:sz w:val="18"/>
                <w:szCs w:val="18"/>
              </w:rPr>
              <w:t>编号</w:t>
            </w:r>
            <w:r>
              <w:rPr>
                <w:rFonts w:ascii="宋体" w:hAnsi="宋体" w:cs="宋体" w:eastAsia="宋体" w:hint="default"/>
                <w:spacing w:val="-46"/>
                <w:sz w:val="18"/>
                <w:szCs w:val="18"/>
              </w:rPr>
              <w:t> </w:t>
            </w:r>
            <w:r>
              <w:rPr>
                <w:rFonts w:ascii="宋体" w:hAnsi="宋体" w:cs="宋体" w:eastAsia="宋体" w:hint="default"/>
                <w:w w:val="101"/>
                <w:sz w:val="18"/>
                <w:szCs w:val="18"/>
              </w:rPr>
              <w:t>2</w:t>
            </w:r>
            <w:r>
              <w:rPr>
                <w:rFonts w:ascii="宋体" w:hAnsi="宋体" w:cs="宋体" w:eastAsia="宋体" w:hint="default"/>
                <w:spacing w:val="-5"/>
                <w:w w:val="101"/>
                <w:sz w:val="18"/>
                <w:szCs w:val="18"/>
              </w:rPr>
              <w:t>0</w:t>
            </w:r>
            <w:r>
              <w:rPr>
                <w:rFonts w:ascii="宋体" w:hAnsi="宋体" w:cs="宋体" w:eastAsia="宋体" w:hint="default"/>
                <w:w w:val="101"/>
                <w:sz w:val="18"/>
                <w:szCs w:val="18"/>
              </w:rPr>
              <w:t>1</w:t>
            </w:r>
            <w:r>
              <w:rPr>
                <w:rFonts w:ascii="宋体" w:hAnsi="宋体" w:cs="宋体" w:eastAsia="宋体" w:hint="default"/>
                <w:spacing w:val="-1"/>
                <w:w w:val="101"/>
                <w:sz w:val="18"/>
                <w:szCs w:val="18"/>
              </w:rPr>
              <w:t>6</w:t>
            </w:r>
            <w:r>
              <w:rPr>
                <w:rFonts w:ascii="宋体" w:hAnsi="宋体" w:cs="宋体" w:eastAsia="宋体" w:hint="default"/>
                <w:spacing w:val="-5"/>
                <w:w w:val="101"/>
                <w:sz w:val="18"/>
                <w:szCs w:val="18"/>
              </w:rPr>
              <w:t>-</w:t>
            </w:r>
            <w:r>
              <w:rPr>
                <w:rFonts w:ascii="宋体" w:hAnsi="宋体" w:cs="宋体" w:eastAsia="宋体" w:hint="default"/>
                <w:w w:val="101"/>
                <w:sz w:val="18"/>
                <w:szCs w:val="18"/>
              </w:rPr>
              <w:t>019</w:t>
            </w:r>
            <w:r>
              <w:rPr>
                <w:rFonts w:ascii="宋体" w:hAnsi="宋体" w:cs="宋体" w:eastAsia="宋体" w:hint="default"/>
                <w:spacing w:val="-47"/>
                <w:sz w:val="18"/>
                <w:szCs w:val="18"/>
              </w:rPr>
              <w:t> </w:t>
            </w:r>
            <w:r>
              <w:rPr>
                <w:rFonts w:ascii="宋体" w:hAnsi="宋体" w:cs="宋体" w:eastAsia="宋体" w:hint="default"/>
                <w:w w:val="101"/>
                <w:sz w:val="18"/>
                <w:szCs w:val="18"/>
              </w:rPr>
              <w:t>号</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pacing w:val="-4"/>
                <w:sz w:val="18"/>
                <w:szCs w:val="18"/>
              </w:rPr>
              <w:t>公司继续从“电力用户用电信息采集系统产能扩大建设项目”尚未使用的闲置募集资金中，使用 </w:t>
            </w:r>
            <w:r>
              <w:rPr>
                <w:rFonts w:ascii="宋体" w:hAnsi="宋体" w:cs="宋体" w:eastAsia="宋体" w:hint="default"/>
                <w:sz w:val="18"/>
                <w:szCs w:val="18"/>
              </w:rPr>
              <w:t>3,000</w:t>
            </w:r>
            <w:r>
              <w:rPr>
                <w:rFonts w:ascii="宋体" w:hAnsi="宋体" w:cs="宋体" w:eastAsia="宋体" w:hint="default"/>
                <w:spacing w:val="49"/>
                <w:sz w:val="18"/>
                <w:szCs w:val="18"/>
              </w:rPr>
              <w:t> </w:t>
            </w:r>
            <w:r>
              <w:rPr>
                <w:rFonts w:ascii="宋体" w:hAnsi="宋体" w:cs="宋体" w:eastAsia="宋体" w:hint="default"/>
                <w:spacing w:val="-3"/>
                <w:sz w:val="18"/>
                <w:szCs w:val="18"/>
              </w:rPr>
              <w:t>万元用于暂时补充</w:t>
            </w:r>
          </w:p>
          <w:p>
            <w:pPr>
              <w:pStyle w:val="TableParagraph"/>
              <w:spacing w:line="324" w:lineRule="auto" w:before="76"/>
              <w:ind w:left="101" w:right="175"/>
              <w:jc w:val="left"/>
              <w:rPr>
                <w:rFonts w:ascii="宋体" w:hAnsi="宋体" w:cs="宋体" w:eastAsia="宋体" w:hint="default"/>
                <w:sz w:val="18"/>
                <w:szCs w:val="18"/>
              </w:rPr>
            </w:pPr>
            <w:r>
              <w:rPr>
                <w:rFonts w:ascii="宋体" w:hAnsi="宋体" w:cs="宋体" w:eastAsia="宋体" w:hint="default"/>
                <w:spacing w:val="-3"/>
                <w:sz w:val="18"/>
                <w:szCs w:val="18"/>
              </w:rPr>
              <w:t>流动资金，使用期限不超过董事会批准之日起</w:t>
            </w:r>
            <w:r>
              <w:rPr>
                <w:rFonts w:ascii="宋体" w:hAnsi="宋体" w:cs="宋体" w:eastAsia="宋体" w:hint="default"/>
                <w:spacing w:val="-28"/>
                <w:sz w:val="18"/>
                <w:szCs w:val="18"/>
              </w:rPr>
              <w:t> </w:t>
            </w:r>
            <w:r>
              <w:rPr>
                <w:rFonts w:ascii="宋体" w:hAnsi="宋体" w:cs="宋体" w:eastAsia="宋体" w:hint="default"/>
                <w:sz w:val="18"/>
                <w:szCs w:val="18"/>
              </w:rPr>
              <w:t>12</w:t>
            </w:r>
            <w:r>
              <w:rPr>
                <w:rFonts w:ascii="宋体" w:hAnsi="宋体" w:cs="宋体" w:eastAsia="宋体" w:hint="default"/>
                <w:spacing w:val="-28"/>
                <w:sz w:val="18"/>
                <w:szCs w:val="18"/>
              </w:rPr>
              <w:t> </w:t>
            </w:r>
            <w:r>
              <w:rPr>
                <w:rFonts w:ascii="宋体" w:hAnsi="宋体" w:cs="宋体" w:eastAsia="宋体" w:hint="default"/>
                <w:spacing w:val="-3"/>
                <w:sz w:val="18"/>
                <w:szCs w:val="18"/>
              </w:rPr>
              <w:t>个月，到期将归还至募集资金专户。上述募集资金已于</w:t>
            </w:r>
            <w:r>
              <w:rPr>
                <w:rFonts w:ascii="宋体" w:hAnsi="宋体" w:cs="宋体" w:eastAsia="宋体" w:hint="default"/>
                <w:spacing w:val="-28"/>
                <w:sz w:val="18"/>
                <w:szCs w:val="18"/>
              </w:rPr>
              <w:t> </w:t>
            </w:r>
            <w:r>
              <w:rPr>
                <w:rFonts w:ascii="宋体" w:hAnsi="宋体" w:cs="宋体" w:eastAsia="宋体" w:hint="default"/>
                <w:sz w:val="18"/>
                <w:szCs w:val="18"/>
              </w:rPr>
              <w:t>2017</w:t>
            </w:r>
            <w:r>
              <w:rPr>
                <w:rFonts w:ascii="宋体" w:hAnsi="宋体" w:cs="宋体" w:eastAsia="宋体"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宋体" w:hAnsi="宋体" w:cs="宋体" w:eastAsia="宋体" w:hint="default"/>
                <w:sz w:val="18"/>
                <w:szCs w:val="18"/>
              </w:rPr>
              <w:t>4</w:t>
            </w:r>
            <w:r>
              <w:rPr>
                <w:rFonts w:ascii="宋体" w:hAnsi="宋体" w:cs="宋体" w:eastAsia="宋体" w:hint="default"/>
                <w:spacing w:val="-28"/>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宋体" w:hAnsi="宋体" w:cs="宋体" w:eastAsia="宋体" w:hint="default"/>
                <w:spacing w:val="-5"/>
                <w:sz w:val="18"/>
                <w:szCs w:val="18"/>
              </w:rPr>
              <w:t>10</w:t>
            </w:r>
            <w:r>
              <w:rPr>
                <w:rFonts w:ascii="宋体" w:hAnsi="宋体" w:cs="宋体" w:eastAsia="宋体" w:hint="default"/>
                <w:spacing w:val="-76"/>
                <w:sz w:val="18"/>
                <w:szCs w:val="18"/>
              </w:rPr>
              <w:t> </w:t>
            </w:r>
            <w:r>
              <w:rPr>
                <w:rFonts w:ascii="宋体" w:hAnsi="宋体" w:cs="宋体" w:eastAsia="宋体" w:hint="default"/>
                <w:spacing w:val="-5"/>
                <w:w w:val="101"/>
                <w:sz w:val="18"/>
                <w:szCs w:val="18"/>
              </w:rPr>
              <w:t>日全部归还并存入公司募集资金专用账户，并披露了《关于归还募集资金的公告》（公告编号</w:t>
            </w:r>
            <w:r>
              <w:rPr>
                <w:rFonts w:ascii="宋体" w:hAnsi="宋体" w:cs="宋体" w:eastAsia="宋体" w:hint="default"/>
                <w:spacing w:val="-28"/>
                <w:w w:val="101"/>
                <w:sz w:val="18"/>
                <w:szCs w:val="18"/>
              </w:rPr>
              <w:t> </w:t>
            </w:r>
            <w:r>
              <w:rPr>
                <w:rFonts w:ascii="宋体" w:hAnsi="宋体" w:cs="宋体" w:eastAsia="宋体" w:hint="default"/>
                <w:spacing w:val="-20"/>
                <w:w w:val="101"/>
                <w:sz w:val="18"/>
                <w:szCs w:val="18"/>
              </w:rPr>
              <w:t>2017-015</w:t>
            </w:r>
            <w:r>
              <w:rPr>
                <w:rFonts w:ascii="宋体" w:hAnsi="宋体" w:cs="宋体" w:eastAsia="宋体" w:hint="default"/>
                <w:spacing w:val="-20"/>
                <w:w w:val="101"/>
                <w:sz w:val="18"/>
                <w:szCs w:val="18"/>
              </w:rPr>
              <w:t>）。</w:t>
            </w:r>
            <w:r>
              <w:rPr>
                <w:rFonts w:ascii="宋体" w:hAnsi="宋体" w:cs="宋体" w:eastAsia="宋体" w:hint="default"/>
                <w:sz w:val="18"/>
                <w:szCs w:val="18"/>
              </w:rPr>
            </w:r>
          </w:p>
        </w:tc>
      </w:tr>
      <w:tr>
        <w:trPr>
          <w:trHeight w:val="413" w:hRule="exact"/>
        </w:trPr>
        <w:tc>
          <w:tcPr>
            <w:tcW w:w="132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73"/>
              <w:ind w:left="94" w:right="0"/>
              <w:jc w:val="left"/>
              <w:rPr>
                <w:rFonts w:ascii="宋体" w:hAnsi="宋体" w:cs="宋体" w:eastAsia="宋体" w:hint="default"/>
                <w:sz w:val="18"/>
                <w:szCs w:val="18"/>
              </w:rPr>
            </w:pPr>
            <w:r>
              <w:rPr>
                <w:rFonts w:ascii="宋体" w:hAnsi="宋体" w:cs="宋体" w:eastAsia="宋体" w:hint="default"/>
                <w:sz w:val="18"/>
                <w:szCs w:val="18"/>
              </w:rPr>
              <w:t>项目实施出现</w:t>
            </w:r>
          </w:p>
        </w:tc>
        <w:tc>
          <w:tcPr>
            <w:tcW w:w="970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871" w:footer="1037" w:top="1100" w:bottom="1220" w:left="40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1328"/>
        <w:gridCol w:w="9705"/>
      </w:tblGrid>
      <w:tr>
        <w:trPr>
          <w:trHeight w:val="3303" w:hRule="exact"/>
        </w:trPr>
        <w:tc>
          <w:tcPr>
            <w:tcW w:w="132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10"/>
              <w:ind w:left="94" w:right="127"/>
              <w:jc w:val="left"/>
              <w:rPr>
                <w:rFonts w:ascii="宋体" w:hAnsi="宋体" w:cs="宋体" w:eastAsia="宋体" w:hint="default"/>
                <w:sz w:val="18"/>
                <w:szCs w:val="18"/>
              </w:rPr>
            </w:pPr>
            <w:r>
              <w:rPr>
                <w:rFonts w:ascii="宋体" w:hAnsi="宋体" w:cs="宋体" w:eastAsia="宋体" w:hint="default"/>
                <w:sz w:val="18"/>
                <w:szCs w:val="18"/>
              </w:rPr>
              <w:t>募集资金结余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的金额及原因</w:t>
            </w:r>
          </w:p>
        </w:tc>
        <w:tc>
          <w:tcPr>
            <w:tcW w:w="9705" w:type="dxa"/>
            <w:tcBorders>
              <w:top w:val="single" w:sz="12" w:space="0" w:color="000000"/>
              <w:left w:val="single" w:sz="4" w:space="0" w:color="000000"/>
              <w:bottom w:val="single" w:sz="4" w:space="0" w:color="000000"/>
              <w:right w:val="single" w:sz="12" w:space="0" w:color="000000"/>
            </w:tcBorders>
          </w:tcPr>
          <w:p>
            <w:pPr>
              <w:pStyle w:val="TableParagraph"/>
              <w:spacing w:line="316" w:lineRule="auto" w:before="53"/>
              <w:ind w:left="101" w:right="90"/>
              <w:jc w:val="both"/>
              <w:rPr>
                <w:rFonts w:ascii="宋体" w:hAnsi="宋体" w:cs="宋体" w:eastAsia="宋体" w:hint="default"/>
                <w:sz w:val="18"/>
                <w:szCs w:val="18"/>
              </w:rPr>
            </w:pPr>
            <w:r>
              <w:rPr>
                <w:rFonts w:ascii="宋体" w:hAnsi="宋体" w:cs="宋体" w:eastAsia="宋体" w:hint="default"/>
                <w:spacing w:val="-3"/>
                <w:sz w:val="18"/>
                <w:szCs w:val="18"/>
              </w:rPr>
              <w:t>①“电力用户用电信息采集系统产能扩大建设项目” 在项目实施过程中，公司严格按照募集资金使用的有关规定，从项</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4"/>
                <w:sz w:val="18"/>
                <w:szCs w:val="18"/>
              </w:rPr>
              <w:t>目的实际情况出发，本着合理、有效、节约的原则谨慎使用募集资金，在确保项目质量及顺利建设的前提下，合理配置资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4"/>
                <w:sz w:val="18"/>
                <w:szCs w:val="18"/>
              </w:rPr>
              <w:t>源，严格控制各项支出，节约部分设备采购成本。截止</w:t>
            </w:r>
            <w:r>
              <w:rPr>
                <w:rFonts w:ascii="宋体" w:hAnsi="宋体" w:cs="宋体" w:eastAsia="宋体" w:hint="default"/>
                <w:spacing w:val="-22"/>
                <w:sz w:val="18"/>
                <w:szCs w:val="18"/>
              </w:rPr>
              <w:t> </w:t>
            </w:r>
            <w:r>
              <w:rPr>
                <w:rFonts w:ascii="宋体" w:hAnsi="宋体" w:cs="宋体" w:eastAsia="宋体" w:hint="default"/>
                <w:sz w:val="18"/>
                <w:szCs w:val="18"/>
              </w:rPr>
              <w:t>2017</w:t>
            </w:r>
            <w:r>
              <w:rPr>
                <w:rFonts w:ascii="宋体" w:hAnsi="宋体" w:cs="宋体" w:eastAsia="宋体" w:hint="default"/>
                <w:spacing w:val="-31"/>
                <w:sz w:val="18"/>
                <w:szCs w:val="18"/>
              </w:rPr>
              <w:t> </w:t>
            </w:r>
            <w:r>
              <w:rPr>
                <w:rFonts w:ascii="宋体" w:hAnsi="宋体" w:cs="宋体" w:eastAsia="宋体" w:hint="default"/>
                <w:sz w:val="18"/>
                <w:szCs w:val="18"/>
              </w:rPr>
              <w:t>年</w:t>
            </w:r>
            <w:r>
              <w:rPr>
                <w:rFonts w:ascii="宋体" w:hAnsi="宋体" w:cs="宋体" w:eastAsia="宋体" w:hint="default"/>
                <w:spacing w:val="-23"/>
                <w:sz w:val="18"/>
                <w:szCs w:val="18"/>
              </w:rPr>
              <w:t> </w:t>
            </w:r>
            <w:r>
              <w:rPr>
                <w:rFonts w:ascii="宋体" w:hAnsi="宋体" w:cs="宋体" w:eastAsia="宋体" w:hint="default"/>
                <w:sz w:val="18"/>
                <w:szCs w:val="18"/>
              </w:rPr>
              <w:t>3</w:t>
            </w:r>
            <w:r>
              <w:rPr>
                <w:rFonts w:ascii="宋体" w:hAnsi="宋体" w:cs="宋体" w:eastAsia="宋体"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23"/>
                <w:sz w:val="18"/>
                <w:szCs w:val="18"/>
              </w:rPr>
              <w:t> </w:t>
            </w:r>
            <w:r>
              <w:rPr>
                <w:rFonts w:ascii="宋体" w:hAnsi="宋体" w:cs="宋体" w:eastAsia="宋体" w:hint="default"/>
                <w:sz w:val="18"/>
                <w:szCs w:val="18"/>
              </w:rPr>
              <w:t>31</w:t>
            </w:r>
            <w:r>
              <w:rPr>
                <w:rFonts w:ascii="宋体" w:hAnsi="宋体" w:cs="宋体" w:eastAsia="宋体" w:hint="default"/>
                <w:spacing w:val="-23"/>
                <w:sz w:val="18"/>
                <w:szCs w:val="18"/>
              </w:rPr>
              <w:t> </w:t>
            </w:r>
            <w:r>
              <w:rPr>
                <w:rFonts w:ascii="宋体" w:hAnsi="宋体" w:cs="宋体" w:eastAsia="宋体" w:hint="default"/>
                <w:spacing w:val="-4"/>
                <w:sz w:val="18"/>
                <w:szCs w:val="18"/>
              </w:rPr>
              <w:t>日，该项目已达到预定可使用状态，经第三届董事</w:t>
            </w:r>
          </w:p>
          <w:p>
            <w:pPr>
              <w:pStyle w:val="TableParagraph"/>
              <w:spacing w:line="321" w:lineRule="auto" w:before="19"/>
              <w:ind w:left="101" w:right="89"/>
              <w:jc w:val="both"/>
              <w:rPr>
                <w:rFonts w:ascii="宋体" w:hAnsi="宋体" w:cs="宋体" w:eastAsia="宋体" w:hint="default"/>
                <w:sz w:val="18"/>
                <w:szCs w:val="18"/>
              </w:rPr>
            </w:pPr>
            <w:r>
              <w:rPr>
                <w:rFonts w:ascii="宋体" w:hAnsi="宋体" w:cs="宋体" w:eastAsia="宋体" w:hint="default"/>
                <w:spacing w:val="-3"/>
                <w:sz w:val="18"/>
                <w:szCs w:val="18"/>
              </w:rPr>
              <w:t>会第十二次会议审议通过，同意公司将该项目结余资金及超募资金结余利息合计 </w:t>
            </w:r>
            <w:r>
              <w:rPr>
                <w:rFonts w:ascii="宋体" w:hAnsi="宋体" w:cs="宋体" w:eastAsia="宋体" w:hint="default"/>
                <w:sz w:val="18"/>
                <w:szCs w:val="18"/>
              </w:rPr>
              <w:t>3,898.63 </w:t>
            </w:r>
            <w:r>
              <w:rPr>
                <w:rFonts w:ascii="宋体" w:hAnsi="宋体" w:cs="宋体" w:eastAsia="宋体" w:hint="default"/>
                <w:spacing w:val="-6"/>
                <w:sz w:val="18"/>
                <w:szCs w:val="18"/>
              </w:rPr>
              <w:t>万元（含利息收入）永久性补</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充流动资金。</w:t>
            </w:r>
          </w:p>
          <w:p>
            <w:pPr>
              <w:pStyle w:val="TableParagraph"/>
              <w:spacing w:line="316" w:lineRule="auto" w:before="49"/>
              <w:ind w:left="101" w:right="91"/>
              <w:jc w:val="both"/>
              <w:rPr>
                <w:rFonts w:ascii="宋体" w:hAnsi="宋体" w:cs="宋体" w:eastAsia="宋体" w:hint="default"/>
                <w:sz w:val="18"/>
                <w:szCs w:val="18"/>
              </w:rPr>
            </w:pPr>
            <w:r>
              <w:rPr>
                <w:rFonts w:ascii="宋体" w:hAnsi="宋体" w:cs="宋体" w:eastAsia="宋体" w:hint="default"/>
                <w:spacing w:val="-3"/>
                <w:sz w:val="18"/>
                <w:szCs w:val="18"/>
              </w:rPr>
              <w:t>②“研发中心建设项目” 在项目实施过程中，公司严格按照募集资金使用的有关规定，从项目的实际情况出发，本着合</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4"/>
                <w:sz w:val="18"/>
                <w:szCs w:val="18"/>
              </w:rPr>
              <w:t>理、有效、节约的原则谨慎使用募集资金，在确保项目质量及顺利建设的前提下，合理配置资源，严格控制各项支出，节</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约部分设备采购成本。截止</w:t>
            </w:r>
            <w:r>
              <w:rPr>
                <w:rFonts w:ascii="宋体" w:hAnsi="宋体" w:cs="宋体" w:eastAsia="宋体" w:hint="default"/>
                <w:spacing w:val="-22"/>
                <w:sz w:val="18"/>
                <w:szCs w:val="18"/>
              </w:rPr>
              <w:t> </w:t>
            </w:r>
            <w:r>
              <w:rPr>
                <w:rFonts w:ascii="宋体" w:hAnsi="宋体" w:cs="宋体" w:eastAsia="宋体" w:hint="default"/>
                <w:sz w:val="18"/>
                <w:szCs w:val="18"/>
              </w:rPr>
              <w:t>2017</w:t>
            </w:r>
            <w:r>
              <w:rPr>
                <w:rFonts w:ascii="宋体" w:hAnsi="宋体" w:cs="宋体" w:eastAsia="宋体"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宋体" w:hAnsi="宋体" w:cs="宋体" w:eastAsia="宋体" w:hint="default"/>
                <w:sz w:val="18"/>
                <w:szCs w:val="18"/>
              </w:rPr>
              <w:t>12</w:t>
            </w:r>
            <w:r>
              <w:rPr>
                <w:rFonts w:ascii="宋体" w:hAnsi="宋体" w:cs="宋体" w:eastAsia="宋体"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22"/>
                <w:sz w:val="18"/>
                <w:szCs w:val="18"/>
              </w:rPr>
              <w:t> </w:t>
            </w:r>
            <w:r>
              <w:rPr>
                <w:rFonts w:ascii="宋体" w:hAnsi="宋体" w:cs="宋体" w:eastAsia="宋体" w:hint="default"/>
                <w:sz w:val="18"/>
                <w:szCs w:val="18"/>
              </w:rPr>
              <w:t>31</w:t>
            </w:r>
            <w:r>
              <w:rPr>
                <w:rFonts w:ascii="宋体" w:hAnsi="宋体" w:cs="宋体" w:eastAsia="宋体" w:hint="default"/>
                <w:spacing w:val="-22"/>
                <w:sz w:val="18"/>
                <w:szCs w:val="18"/>
              </w:rPr>
              <w:t> </w:t>
            </w:r>
            <w:r>
              <w:rPr>
                <w:rFonts w:ascii="宋体" w:hAnsi="宋体" w:cs="宋体" w:eastAsia="宋体" w:hint="default"/>
                <w:spacing w:val="-3"/>
                <w:sz w:val="18"/>
                <w:szCs w:val="18"/>
              </w:rPr>
              <w:t>日，该项目已达到预定可使用状态，经第三届董事会第二十二次会议审议通</w:t>
            </w:r>
          </w:p>
          <w:p>
            <w:pPr>
              <w:pStyle w:val="TableParagraph"/>
              <w:spacing w:line="240" w:lineRule="auto" w:before="24"/>
              <w:ind w:left="101" w:right="0"/>
              <w:jc w:val="both"/>
              <w:rPr>
                <w:rFonts w:ascii="宋体" w:hAnsi="宋体" w:cs="宋体" w:eastAsia="宋体" w:hint="default"/>
                <w:sz w:val="18"/>
                <w:szCs w:val="18"/>
              </w:rPr>
            </w:pPr>
            <w:r>
              <w:rPr>
                <w:rFonts w:ascii="宋体" w:hAnsi="宋体" w:cs="宋体" w:eastAsia="宋体" w:hint="default"/>
                <w:spacing w:val="-3"/>
                <w:sz w:val="18"/>
                <w:szCs w:val="18"/>
              </w:rPr>
              <w:t>过，同意公司将该项目结余资金及超募资金结余利息合计 </w:t>
            </w:r>
            <w:r>
              <w:rPr>
                <w:rFonts w:ascii="宋体" w:hAnsi="宋体" w:cs="宋体" w:eastAsia="宋体" w:hint="default"/>
                <w:sz w:val="18"/>
                <w:szCs w:val="18"/>
              </w:rPr>
              <w:t>1,428.95</w:t>
            </w:r>
            <w:r>
              <w:rPr>
                <w:rFonts w:ascii="宋体" w:hAnsi="宋体" w:cs="宋体" w:eastAsia="宋体" w:hint="default"/>
                <w:spacing w:val="47"/>
                <w:sz w:val="18"/>
                <w:szCs w:val="18"/>
              </w:rPr>
              <w:t> </w:t>
            </w:r>
            <w:r>
              <w:rPr>
                <w:rFonts w:ascii="宋体" w:hAnsi="宋体" w:cs="宋体" w:eastAsia="宋体" w:hint="default"/>
                <w:spacing w:val="-3"/>
                <w:sz w:val="18"/>
                <w:szCs w:val="18"/>
              </w:rPr>
              <w:t>万元（含利息收入）永久性补充流动资金。</w:t>
            </w:r>
          </w:p>
        </w:tc>
      </w:tr>
      <w:tr>
        <w:trPr>
          <w:trHeight w:val="1022" w:hRule="exact"/>
        </w:trPr>
        <w:tc>
          <w:tcPr>
            <w:tcW w:w="1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4" w:right="127"/>
              <w:jc w:val="both"/>
              <w:rPr>
                <w:rFonts w:ascii="宋体" w:hAnsi="宋体" w:cs="宋体" w:eastAsia="宋体" w:hint="default"/>
                <w:sz w:val="18"/>
                <w:szCs w:val="18"/>
              </w:rPr>
            </w:pPr>
            <w:r>
              <w:rPr>
                <w:rFonts w:ascii="宋体" w:hAnsi="宋体" w:cs="宋体" w:eastAsia="宋体" w:hint="default"/>
                <w:sz w:val="18"/>
                <w:szCs w:val="18"/>
              </w:rPr>
              <w:t>尚未使用的募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集资金用途及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去向</w:t>
            </w:r>
          </w:p>
        </w:tc>
        <w:tc>
          <w:tcPr>
            <w:tcW w:w="97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1" w:right="0"/>
              <w:jc w:val="left"/>
              <w:rPr>
                <w:rFonts w:ascii="宋体" w:hAnsi="宋体" w:cs="宋体" w:eastAsia="宋体" w:hint="default"/>
                <w:sz w:val="18"/>
                <w:szCs w:val="18"/>
              </w:rPr>
            </w:pPr>
            <w:r>
              <w:rPr>
                <w:rFonts w:ascii="宋体" w:hAnsi="宋体" w:cs="宋体" w:eastAsia="宋体" w:hint="default"/>
                <w:spacing w:val="-3"/>
                <w:sz w:val="18"/>
                <w:szCs w:val="18"/>
              </w:rPr>
              <w:t>公司尚未使用的募集资金将用于募投项目后续资金支付，募集资金存放于募集资金专用账户。</w:t>
            </w:r>
          </w:p>
        </w:tc>
      </w:tr>
      <w:tr>
        <w:trPr>
          <w:trHeight w:val="1349" w:hRule="exact"/>
        </w:trPr>
        <w:tc>
          <w:tcPr>
            <w:tcW w:w="132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9" w:lineRule="auto" w:before="54"/>
              <w:ind w:left="94" w:right="127"/>
              <w:jc w:val="both"/>
              <w:rPr>
                <w:rFonts w:ascii="宋体" w:hAnsi="宋体" w:cs="宋体" w:eastAsia="宋体" w:hint="default"/>
                <w:sz w:val="18"/>
                <w:szCs w:val="18"/>
              </w:rPr>
            </w:pPr>
            <w:r>
              <w:rPr>
                <w:rFonts w:ascii="宋体" w:hAnsi="宋体" w:cs="宋体" w:eastAsia="宋体" w:hint="default"/>
                <w:sz w:val="18"/>
                <w:szCs w:val="18"/>
              </w:rPr>
              <w:t>募集资金使用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及披露中存在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的问题或其他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情况</w:t>
            </w:r>
          </w:p>
        </w:tc>
        <w:tc>
          <w:tcPr>
            <w:tcW w:w="970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1" w:right="0"/>
              <w:jc w:val="left"/>
              <w:rPr>
                <w:rFonts w:ascii="宋体" w:hAnsi="宋体" w:cs="宋体" w:eastAsia="宋体" w:hint="default"/>
                <w:sz w:val="18"/>
                <w:szCs w:val="18"/>
              </w:rPr>
            </w:pPr>
            <w:r>
              <w:rPr>
                <w:rFonts w:ascii="宋体" w:hAnsi="宋体" w:cs="宋体" w:eastAsia="宋体" w:hint="default"/>
                <w:spacing w:val="-3"/>
                <w:sz w:val="18"/>
                <w:szCs w:val="18"/>
              </w:rPr>
              <w:t>报告期内，公司募集资金不存在未按规定使用以及相关信息未及时、真实、准确、完整披露的情况</w:t>
            </w:r>
          </w:p>
        </w:tc>
      </w:tr>
    </w:tbl>
    <w:p>
      <w:pPr>
        <w:spacing w:line="240" w:lineRule="auto" w:before="1"/>
        <w:rPr>
          <w:rFonts w:ascii="Times New Roman" w:hAnsi="Times New Roman" w:cs="Times New Roman" w:eastAsia="Times New Roman" w:hint="default"/>
          <w:sz w:val="16"/>
          <w:szCs w:val="16"/>
        </w:rPr>
      </w:pPr>
    </w:p>
    <w:p>
      <w:pPr>
        <w:pStyle w:val="Heading4"/>
        <w:spacing w:line="240" w:lineRule="auto"/>
        <w:ind w:left="733" w:right="0"/>
        <w:jc w:val="left"/>
        <w:rPr>
          <w:b w:val="0"/>
          <w:bCs w:val="0"/>
        </w:rPr>
      </w:pPr>
      <w:bookmarkStart w:name="（3）募集资金变更项目情况" w:id="53"/>
      <w:bookmarkEnd w:id="53"/>
      <w:r>
        <w:rPr>
          <w:b w:val="0"/>
          <w:bCs w:val="0"/>
        </w:rPr>
      </w:r>
      <w:r>
        <w:rPr/>
        <w:t>（</w:t>
      </w:r>
      <w:r>
        <w:rPr>
          <w:rFonts w:ascii="宋体" w:hAnsi="宋体" w:cs="宋体" w:eastAsia="宋体" w:hint="default"/>
        </w:rPr>
        <w:t>3</w:t>
      </w:r>
      <w:r>
        <w:rPr/>
        <w:t>）募集资金变更项目情况</w:t>
      </w:r>
      <w:r>
        <w:rPr>
          <w:b w:val="0"/>
          <w:bCs w:val="0"/>
        </w:rPr>
      </w:r>
    </w:p>
    <w:p>
      <w:pPr>
        <w:spacing w:line="240" w:lineRule="auto" w:before="12"/>
        <w:rPr>
          <w:rFonts w:ascii="宋体" w:hAnsi="宋体" w:cs="宋体" w:eastAsia="宋体" w:hint="default"/>
          <w:b/>
          <w:bCs/>
          <w:sz w:val="14"/>
          <w:szCs w:val="14"/>
        </w:rPr>
      </w:pPr>
    </w:p>
    <w:p>
      <w:pPr>
        <w:spacing w:line="408" w:lineRule="auto" w:before="0"/>
        <w:ind w:left="733" w:right="8431"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六、重大资产和股权出售" w:id="54"/>
      <w:bookmarkEnd w:id="54"/>
      <w:r>
        <w:rPr>
          <w:rFonts w:ascii="宋体" w:hAnsi="宋体" w:cs="宋体" w:eastAsia="宋体" w:hint="default"/>
          <w:spacing w:val="-101"/>
          <w:sz w:val="21"/>
          <w:szCs w:val="21"/>
        </w:rPr>
      </w:r>
      <w:r>
        <w:rPr>
          <w:rFonts w:ascii="宋体" w:hAnsi="宋体" w:cs="宋体" w:eastAsia="宋体" w:hint="default"/>
          <w:b/>
          <w:bCs/>
          <w:sz w:val="21"/>
          <w:szCs w:val="21"/>
        </w:rPr>
        <w:t>六、重大资产和股权出售</w:t>
      </w:r>
      <w:r>
        <w:rPr>
          <w:rFonts w:ascii="宋体" w:hAnsi="宋体" w:cs="宋体" w:eastAsia="宋体" w:hint="default"/>
          <w:b/>
          <w:bCs/>
          <w:spacing w:val="-102"/>
          <w:sz w:val="21"/>
          <w:szCs w:val="21"/>
        </w:rPr>
        <w:t> </w:t>
      </w:r>
      <w:bookmarkStart w:name="1、出售重大资产情况" w:id="55"/>
      <w:bookmarkEnd w:id="55"/>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405" w:lineRule="auto" w:before="49"/>
        <w:ind w:left="733" w:right="8747"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2、 出售重大股权情况" w:id="56"/>
      <w:bookmarkEnd w:id="56"/>
      <w:r>
        <w:rPr>
          <w:rFonts w:ascii="宋体" w:hAnsi="宋体" w:cs="宋体" w:eastAsia="宋体" w:hint="default"/>
          <w:spacing w:val="-101"/>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30" w:lineRule="exact"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tbl>
      <w:tblPr>
        <w:tblW w:w="0" w:type="auto"/>
        <w:jc w:val="left"/>
        <w:tblInd w:w="190" w:type="dxa"/>
        <w:tblLayout w:type="fixed"/>
        <w:tblCellMar>
          <w:top w:w="0" w:type="dxa"/>
          <w:left w:w="0" w:type="dxa"/>
          <w:bottom w:w="0" w:type="dxa"/>
          <w:right w:w="0" w:type="dxa"/>
        </w:tblCellMar>
        <w:tblLook w:val="01E0"/>
      </w:tblPr>
      <w:tblGrid>
        <w:gridCol w:w="605"/>
        <w:gridCol w:w="600"/>
        <w:gridCol w:w="673"/>
        <w:gridCol w:w="754"/>
        <w:gridCol w:w="902"/>
        <w:gridCol w:w="1273"/>
        <w:gridCol w:w="778"/>
        <w:gridCol w:w="888"/>
        <w:gridCol w:w="504"/>
        <w:gridCol w:w="625"/>
        <w:gridCol w:w="662"/>
        <w:gridCol w:w="946"/>
        <w:gridCol w:w="710"/>
        <w:gridCol w:w="646"/>
      </w:tblGrid>
      <w:tr>
        <w:trPr>
          <w:trHeight w:val="2910" w:hRule="exact"/>
        </w:trPr>
        <w:tc>
          <w:tcPr>
            <w:tcW w:w="60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106" w:right="113"/>
              <w:jc w:val="left"/>
              <w:rPr>
                <w:rFonts w:ascii="宋体" w:hAnsi="宋体" w:cs="宋体" w:eastAsia="宋体" w:hint="default"/>
                <w:sz w:val="18"/>
                <w:szCs w:val="18"/>
              </w:rPr>
            </w:pPr>
            <w:r>
              <w:rPr>
                <w:rFonts w:ascii="宋体" w:hAnsi="宋体" w:cs="宋体" w:eastAsia="宋体" w:hint="default"/>
                <w:sz w:val="18"/>
                <w:szCs w:val="18"/>
              </w:rPr>
              <w:t>交易</w:t>
            </w:r>
            <w:r>
              <w:rPr>
                <w:rFonts w:ascii="宋体" w:hAnsi="宋体" w:cs="宋体" w:eastAsia="宋体" w:hint="default"/>
                <w:spacing w:val="-86"/>
                <w:sz w:val="18"/>
                <w:szCs w:val="18"/>
              </w:rPr>
              <w:t> </w:t>
            </w:r>
            <w:r>
              <w:rPr>
                <w:rFonts w:ascii="宋体" w:hAnsi="宋体" w:cs="宋体" w:eastAsia="宋体" w:hint="default"/>
                <w:sz w:val="18"/>
                <w:szCs w:val="18"/>
              </w:rPr>
              <w:t>对方</w:t>
            </w:r>
          </w:p>
        </w:tc>
        <w:tc>
          <w:tcPr>
            <w:tcW w:w="60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110" w:right="113"/>
              <w:jc w:val="both"/>
              <w:rPr>
                <w:rFonts w:ascii="宋体" w:hAnsi="宋体" w:cs="宋体" w:eastAsia="宋体" w:hint="default"/>
                <w:sz w:val="18"/>
                <w:szCs w:val="18"/>
              </w:rPr>
            </w:pPr>
            <w:r>
              <w:rPr>
                <w:rFonts w:ascii="宋体" w:hAnsi="宋体" w:cs="宋体" w:eastAsia="宋体" w:hint="default"/>
                <w:sz w:val="18"/>
                <w:szCs w:val="18"/>
              </w:rPr>
              <w:t>被出</w:t>
            </w:r>
            <w:r>
              <w:rPr>
                <w:rFonts w:ascii="宋体" w:hAnsi="宋体" w:cs="宋体" w:eastAsia="宋体" w:hint="default"/>
                <w:spacing w:val="-86"/>
                <w:sz w:val="18"/>
                <w:szCs w:val="18"/>
              </w:rPr>
              <w:t> </w:t>
            </w:r>
            <w:r>
              <w:rPr>
                <w:rFonts w:ascii="宋体" w:hAnsi="宋体" w:cs="宋体" w:eastAsia="宋体" w:hint="default"/>
                <w:sz w:val="18"/>
                <w:szCs w:val="18"/>
              </w:rPr>
              <w:t>售股</w:t>
            </w:r>
            <w:r>
              <w:rPr>
                <w:rFonts w:ascii="宋体" w:hAnsi="宋体" w:cs="宋体" w:eastAsia="宋体" w:hint="default"/>
                <w:spacing w:val="-86"/>
                <w:sz w:val="18"/>
                <w:szCs w:val="18"/>
              </w:rPr>
              <w:t> </w:t>
            </w:r>
            <w:r>
              <w:rPr>
                <w:rFonts w:ascii="宋体" w:hAnsi="宋体" w:cs="宋体" w:eastAsia="宋体" w:hint="default"/>
                <w:sz w:val="18"/>
                <w:szCs w:val="18"/>
              </w:rPr>
              <w:t>权</w:t>
            </w:r>
          </w:p>
        </w:tc>
        <w:tc>
          <w:tcPr>
            <w:tcW w:w="67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240" w:right="146" w:hanging="92"/>
              <w:jc w:val="left"/>
              <w:rPr>
                <w:rFonts w:ascii="宋体" w:hAnsi="宋体" w:cs="宋体" w:eastAsia="宋体" w:hint="default"/>
                <w:sz w:val="18"/>
                <w:szCs w:val="18"/>
              </w:rPr>
            </w:pPr>
            <w:r>
              <w:rPr>
                <w:rFonts w:ascii="宋体" w:hAnsi="宋体" w:cs="宋体" w:eastAsia="宋体" w:hint="default"/>
                <w:sz w:val="18"/>
                <w:szCs w:val="18"/>
              </w:rPr>
              <w:t>出售</w:t>
            </w:r>
            <w:r>
              <w:rPr>
                <w:rFonts w:ascii="宋体" w:hAnsi="宋体" w:cs="宋体" w:eastAsia="宋体" w:hint="default"/>
                <w:spacing w:val="-86"/>
                <w:sz w:val="18"/>
                <w:szCs w:val="18"/>
              </w:rPr>
              <w:t> </w:t>
            </w:r>
            <w:r>
              <w:rPr>
                <w:rFonts w:ascii="宋体" w:hAnsi="宋体" w:cs="宋体" w:eastAsia="宋体" w:hint="default"/>
                <w:sz w:val="18"/>
                <w:szCs w:val="18"/>
              </w:rPr>
              <w:t>日</w:t>
            </w:r>
          </w:p>
        </w:tc>
        <w:tc>
          <w:tcPr>
            <w:tcW w:w="7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283" w:right="99" w:hanging="183"/>
              <w:jc w:val="left"/>
              <w:rPr>
                <w:rFonts w:ascii="宋体" w:hAnsi="宋体" w:cs="宋体" w:eastAsia="宋体" w:hint="default"/>
                <w:sz w:val="18"/>
                <w:szCs w:val="18"/>
              </w:rPr>
            </w:pPr>
            <w:r>
              <w:rPr>
                <w:rFonts w:ascii="宋体" w:hAnsi="宋体" w:cs="宋体" w:eastAsia="宋体" w:hint="default"/>
                <w:sz w:val="18"/>
                <w:szCs w:val="18"/>
              </w:rPr>
              <w:t>交易价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w:t>
            </w:r>
          </w:p>
        </w:tc>
        <w:tc>
          <w:tcPr>
            <w:tcW w:w="9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72" w:right="175"/>
              <w:jc w:val="center"/>
              <w:rPr>
                <w:rFonts w:ascii="宋体" w:hAnsi="宋体" w:cs="宋体" w:eastAsia="宋体" w:hint="default"/>
                <w:sz w:val="18"/>
                <w:szCs w:val="18"/>
              </w:rPr>
            </w:pPr>
            <w:r>
              <w:rPr>
                <w:rFonts w:ascii="宋体" w:hAnsi="宋体" w:cs="宋体" w:eastAsia="宋体" w:hint="default"/>
                <w:spacing w:val="-2"/>
                <w:sz w:val="18"/>
                <w:szCs w:val="18"/>
              </w:rPr>
              <w:t>本期初</w:t>
            </w:r>
            <w:r>
              <w:rPr>
                <w:rFonts w:ascii="宋体" w:hAnsi="宋体" w:cs="宋体" w:eastAsia="宋体" w:hint="default"/>
                <w:w w:val="101"/>
                <w:sz w:val="18"/>
                <w:szCs w:val="18"/>
              </w:rPr>
              <w:t> </w:t>
            </w:r>
            <w:r>
              <w:rPr>
                <w:rFonts w:ascii="宋体" w:hAnsi="宋体" w:cs="宋体" w:eastAsia="宋体" w:hint="default"/>
                <w:spacing w:val="-2"/>
                <w:sz w:val="18"/>
                <w:szCs w:val="18"/>
              </w:rPr>
              <w:t>起至出</w:t>
            </w:r>
            <w:r>
              <w:rPr>
                <w:rFonts w:ascii="宋体" w:hAnsi="宋体" w:cs="宋体" w:eastAsia="宋体" w:hint="default"/>
                <w:w w:val="101"/>
                <w:sz w:val="18"/>
                <w:szCs w:val="18"/>
              </w:rPr>
              <w:t> </w:t>
            </w:r>
            <w:r>
              <w:rPr>
                <w:rFonts w:ascii="宋体" w:hAnsi="宋体" w:cs="宋体" w:eastAsia="宋体" w:hint="default"/>
                <w:spacing w:val="-2"/>
                <w:sz w:val="18"/>
                <w:szCs w:val="18"/>
              </w:rPr>
              <w:t>售日该</w:t>
            </w:r>
            <w:r>
              <w:rPr>
                <w:rFonts w:ascii="宋体" w:hAnsi="宋体" w:cs="宋体" w:eastAsia="宋体" w:hint="default"/>
                <w:w w:val="101"/>
                <w:sz w:val="18"/>
                <w:szCs w:val="18"/>
              </w:rPr>
              <w:t> </w:t>
            </w:r>
            <w:r>
              <w:rPr>
                <w:rFonts w:ascii="宋体" w:hAnsi="宋体" w:cs="宋体" w:eastAsia="宋体" w:hint="default"/>
                <w:spacing w:val="-2"/>
                <w:sz w:val="18"/>
                <w:szCs w:val="18"/>
              </w:rPr>
              <w:t>股权为</w:t>
            </w:r>
            <w:r>
              <w:rPr>
                <w:rFonts w:ascii="宋体" w:hAnsi="宋体" w:cs="宋体" w:eastAsia="宋体" w:hint="default"/>
                <w:w w:val="101"/>
                <w:sz w:val="18"/>
                <w:szCs w:val="18"/>
              </w:rPr>
              <w:t> </w:t>
            </w:r>
            <w:r>
              <w:rPr>
                <w:rFonts w:ascii="宋体" w:hAnsi="宋体" w:cs="宋体" w:eastAsia="宋体" w:hint="default"/>
                <w:spacing w:val="-2"/>
                <w:sz w:val="18"/>
                <w:szCs w:val="18"/>
              </w:rPr>
              <w:t>上市公</w:t>
            </w:r>
            <w:r>
              <w:rPr>
                <w:rFonts w:ascii="宋体" w:hAnsi="宋体" w:cs="宋体" w:eastAsia="宋体" w:hint="default"/>
                <w:w w:val="101"/>
                <w:sz w:val="18"/>
                <w:szCs w:val="18"/>
              </w:rPr>
              <w:t> </w:t>
            </w:r>
            <w:r>
              <w:rPr>
                <w:rFonts w:ascii="宋体" w:hAnsi="宋体" w:cs="宋体" w:eastAsia="宋体" w:hint="default"/>
                <w:spacing w:val="-2"/>
                <w:sz w:val="18"/>
                <w:szCs w:val="18"/>
              </w:rPr>
              <w:t>司贡献</w:t>
            </w:r>
            <w:r>
              <w:rPr>
                <w:rFonts w:ascii="宋体" w:hAnsi="宋体" w:cs="宋体" w:eastAsia="宋体" w:hint="default"/>
                <w:w w:val="101"/>
                <w:sz w:val="18"/>
                <w:szCs w:val="18"/>
              </w:rPr>
              <w:t> </w:t>
            </w:r>
            <w:r>
              <w:rPr>
                <w:rFonts w:ascii="宋体" w:hAnsi="宋体" w:cs="宋体" w:eastAsia="宋体" w:hint="default"/>
                <w:spacing w:val="-2"/>
                <w:sz w:val="18"/>
                <w:szCs w:val="18"/>
              </w:rPr>
              <w:t>的净利</w:t>
            </w:r>
            <w:r>
              <w:rPr>
                <w:rFonts w:ascii="宋体" w:hAnsi="宋体" w:cs="宋体" w:eastAsia="宋体" w:hint="default"/>
                <w:w w:val="101"/>
                <w:sz w:val="18"/>
                <w:szCs w:val="18"/>
              </w:rPr>
              <w:t> </w:t>
            </w:r>
            <w:r>
              <w:rPr>
                <w:rFonts w:ascii="宋体" w:hAnsi="宋体" w:cs="宋体" w:eastAsia="宋体" w:hint="default"/>
                <w:sz w:val="18"/>
                <w:szCs w:val="18"/>
              </w:rPr>
              <w:t>润</w:t>
            </w:r>
          </w:p>
        </w:tc>
        <w:tc>
          <w:tcPr>
            <w:tcW w:w="127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360" w:right="180" w:hanging="183"/>
              <w:jc w:val="left"/>
              <w:rPr>
                <w:rFonts w:ascii="宋体" w:hAnsi="宋体" w:cs="宋体" w:eastAsia="宋体" w:hint="default"/>
                <w:sz w:val="18"/>
                <w:szCs w:val="18"/>
              </w:rPr>
            </w:pPr>
            <w:r>
              <w:rPr>
                <w:rFonts w:ascii="宋体" w:hAnsi="宋体" w:cs="宋体" w:eastAsia="宋体" w:hint="default"/>
                <w:spacing w:val="-2"/>
                <w:sz w:val="18"/>
                <w:szCs w:val="18"/>
              </w:rPr>
              <w:t>出售对公司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的影响</w:t>
            </w:r>
          </w:p>
        </w:tc>
        <w:tc>
          <w:tcPr>
            <w:tcW w:w="77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0" w:right="113"/>
              <w:jc w:val="both"/>
              <w:rPr>
                <w:rFonts w:ascii="宋体" w:hAnsi="宋体" w:cs="宋体" w:eastAsia="宋体" w:hint="default"/>
                <w:sz w:val="18"/>
                <w:szCs w:val="18"/>
              </w:rPr>
            </w:pPr>
            <w:r>
              <w:rPr>
                <w:rFonts w:ascii="宋体" w:hAnsi="宋体" w:cs="宋体" w:eastAsia="宋体" w:hint="default"/>
                <w:sz w:val="18"/>
                <w:szCs w:val="18"/>
              </w:rPr>
              <w:t>股权出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售为上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贡献的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净利润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占净利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润总额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的比例</w:t>
            </w:r>
          </w:p>
        </w:tc>
        <w:tc>
          <w:tcPr>
            <w:tcW w:w="88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167" w:right="166"/>
              <w:jc w:val="both"/>
              <w:rPr>
                <w:rFonts w:ascii="宋体" w:hAnsi="宋体" w:cs="宋体" w:eastAsia="宋体" w:hint="default"/>
                <w:sz w:val="18"/>
                <w:szCs w:val="18"/>
              </w:rPr>
            </w:pPr>
            <w:r>
              <w:rPr>
                <w:rFonts w:ascii="宋体" w:hAnsi="宋体" w:cs="宋体" w:eastAsia="宋体" w:hint="default"/>
                <w:sz w:val="18"/>
                <w:szCs w:val="18"/>
              </w:rPr>
              <w:t>股权出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售定价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原则</w:t>
            </w:r>
          </w:p>
        </w:tc>
        <w:tc>
          <w:tcPr>
            <w:tcW w:w="5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53" w:right="156"/>
              <w:jc w:val="both"/>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88"/>
                <w:sz w:val="18"/>
                <w:szCs w:val="18"/>
              </w:rPr>
              <w:t> </w:t>
            </w:r>
            <w:r>
              <w:rPr>
                <w:rFonts w:ascii="宋体" w:hAnsi="宋体" w:cs="宋体" w:eastAsia="宋体" w:hint="default"/>
                <w:sz w:val="18"/>
                <w:szCs w:val="18"/>
              </w:rPr>
              <w:t>否</w:t>
            </w:r>
            <w:r>
              <w:rPr>
                <w:rFonts w:ascii="宋体" w:hAnsi="宋体" w:cs="宋体" w:eastAsia="宋体" w:hint="default"/>
                <w:spacing w:val="-88"/>
                <w:sz w:val="18"/>
                <w:szCs w:val="18"/>
              </w:rPr>
              <w:t> </w:t>
            </w:r>
            <w:r>
              <w:rPr>
                <w:rFonts w:ascii="宋体" w:hAnsi="宋体" w:cs="宋体" w:eastAsia="宋体" w:hint="default"/>
                <w:sz w:val="18"/>
                <w:szCs w:val="18"/>
              </w:rPr>
              <w:t>为</w:t>
            </w:r>
            <w:r>
              <w:rPr>
                <w:rFonts w:ascii="宋体" w:hAnsi="宋体" w:cs="宋体" w:eastAsia="宋体" w:hint="default"/>
                <w:spacing w:val="-88"/>
                <w:sz w:val="18"/>
                <w:szCs w:val="18"/>
              </w:rPr>
              <w:t> </w:t>
            </w:r>
            <w:r>
              <w:rPr>
                <w:rFonts w:ascii="宋体" w:hAnsi="宋体" w:cs="宋体" w:eastAsia="宋体" w:hint="default"/>
                <w:sz w:val="18"/>
                <w:szCs w:val="18"/>
              </w:rPr>
              <w:t>关</w:t>
            </w:r>
            <w:r>
              <w:rPr>
                <w:rFonts w:ascii="宋体" w:hAnsi="宋体" w:cs="宋体" w:eastAsia="宋体" w:hint="default"/>
                <w:spacing w:val="-88"/>
                <w:sz w:val="18"/>
                <w:szCs w:val="18"/>
              </w:rPr>
              <w:t> </w:t>
            </w:r>
            <w:r>
              <w:rPr>
                <w:rFonts w:ascii="宋体" w:hAnsi="宋体" w:cs="宋体" w:eastAsia="宋体" w:hint="default"/>
                <w:sz w:val="18"/>
                <w:szCs w:val="18"/>
              </w:rPr>
              <w:t>联</w:t>
            </w:r>
            <w:r>
              <w:rPr>
                <w:rFonts w:ascii="宋体" w:hAnsi="宋体" w:cs="宋体" w:eastAsia="宋体" w:hint="default"/>
                <w:spacing w:val="-88"/>
                <w:sz w:val="18"/>
                <w:szCs w:val="18"/>
              </w:rPr>
              <w:t> </w:t>
            </w:r>
            <w:r>
              <w:rPr>
                <w:rFonts w:ascii="宋体" w:hAnsi="宋体" w:cs="宋体" w:eastAsia="宋体" w:hint="default"/>
                <w:sz w:val="18"/>
                <w:szCs w:val="18"/>
              </w:rPr>
              <w:t>交</w:t>
            </w:r>
            <w:r>
              <w:rPr>
                <w:rFonts w:ascii="宋体" w:hAnsi="宋体" w:cs="宋体" w:eastAsia="宋体" w:hint="default"/>
                <w:spacing w:val="-88"/>
                <w:sz w:val="18"/>
                <w:szCs w:val="18"/>
              </w:rPr>
              <w:t> </w:t>
            </w:r>
            <w:r>
              <w:rPr>
                <w:rFonts w:ascii="宋体" w:hAnsi="宋体" w:cs="宋体" w:eastAsia="宋体" w:hint="default"/>
                <w:sz w:val="18"/>
                <w:szCs w:val="18"/>
              </w:rPr>
              <w:t>易</w:t>
            </w:r>
          </w:p>
        </w:tc>
        <w:tc>
          <w:tcPr>
            <w:tcW w:w="62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124" w:right="123"/>
              <w:jc w:val="both"/>
              <w:rPr>
                <w:rFonts w:ascii="宋体" w:hAnsi="宋体" w:cs="宋体" w:eastAsia="宋体" w:hint="default"/>
                <w:sz w:val="18"/>
                <w:szCs w:val="18"/>
              </w:rPr>
            </w:pPr>
            <w:r>
              <w:rPr>
                <w:rFonts w:ascii="宋体" w:hAnsi="宋体" w:cs="宋体" w:eastAsia="宋体" w:hint="default"/>
                <w:sz w:val="18"/>
                <w:szCs w:val="18"/>
              </w:rPr>
              <w:t>与交</w:t>
            </w:r>
            <w:r>
              <w:rPr>
                <w:rFonts w:ascii="宋体" w:hAnsi="宋体" w:cs="宋体" w:eastAsia="宋体" w:hint="default"/>
                <w:spacing w:val="-86"/>
                <w:sz w:val="18"/>
                <w:szCs w:val="18"/>
              </w:rPr>
              <w:t> </w:t>
            </w:r>
            <w:r>
              <w:rPr>
                <w:rFonts w:ascii="宋体" w:hAnsi="宋体" w:cs="宋体" w:eastAsia="宋体" w:hint="default"/>
                <w:sz w:val="18"/>
                <w:szCs w:val="18"/>
              </w:rPr>
              <w:t>易对</w:t>
            </w:r>
            <w:r>
              <w:rPr>
                <w:rFonts w:ascii="宋体" w:hAnsi="宋体" w:cs="宋体" w:eastAsia="宋体" w:hint="default"/>
                <w:spacing w:val="-86"/>
                <w:sz w:val="18"/>
                <w:szCs w:val="18"/>
              </w:rPr>
              <w:t> </w:t>
            </w:r>
            <w:r>
              <w:rPr>
                <w:rFonts w:ascii="宋体" w:hAnsi="宋体" w:cs="宋体" w:eastAsia="宋体" w:hint="default"/>
                <w:sz w:val="18"/>
                <w:szCs w:val="18"/>
              </w:rPr>
              <w:t>方的</w:t>
            </w:r>
            <w:r>
              <w:rPr>
                <w:rFonts w:ascii="宋体" w:hAnsi="宋体" w:cs="宋体" w:eastAsia="宋体" w:hint="default"/>
                <w:spacing w:val="-86"/>
                <w:sz w:val="18"/>
                <w:szCs w:val="18"/>
              </w:rPr>
              <w:t> </w:t>
            </w:r>
            <w:r>
              <w:rPr>
                <w:rFonts w:ascii="宋体" w:hAnsi="宋体" w:cs="宋体" w:eastAsia="宋体" w:hint="default"/>
                <w:sz w:val="18"/>
                <w:szCs w:val="18"/>
              </w:rPr>
              <w:t>关联</w:t>
            </w:r>
            <w:r>
              <w:rPr>
                <w:rFonts w:ascii="宋体" w:hAnsi="宋体" w:cs="宋体" w:eastAsia="宋体" w:hint="default"/>
                <w:spacing w:val="-86"/>
                <w:sz w:val="18"/>
                <w:szCs w:val="18"/>
              </w:rPr>
              <w:t> </w:t>
            </w:r>
            <w:r>
              <w:rPr>
                <w:rFonts w:ascii="宋体" w:hAnsi="宋体" w:cs="宋体" w:eastAsia="宋体" w:hint="default"/>
                <w:sz w:val="18"/>
                <w:szCs w:val="18"/>
              </w:rPr>
              <w:t>关系</w:t>
            </w:r>
          </w:p>
        </w:tc>
        <w:tc>
          <w:tcPr>
            <w:tcW w:w="66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39" w:right="146"/>
              <w:jc w:val="both"/>
              <w:rPr>
                <w:rFonts w:ascii="宋体" w:hAnsi="宋体" w:cs="宋体" w:eastAsia="宋体" w:hint="default"/>
                <w:sz w:val="18"/>
                <w:szCs w:val="18"/>
              </w:rPr>
            </w:pPr>
            <w:r>
              <w:rPr>
                <w:rFonts w:ascii="宋体" w:hAnsi="宋体" w:cs="宋体" w:eastAsia="宋体" w:hint="default"/>
                <w:sz w:val="18"/>
                <w:szCs w:val="18"/>
              </w:rPr>
              <w:t>所涉</w:t>
            </w:r>
            <w:r>
              <w:rPr>
                <w:rFonts w:ascii="宋体" w:hAnsi="宋体" w:cs="宋体" w:eastAsia="宋体" w:hint="default"/>
                <w:spacing w:val="-86"/>
                <w:sz w:val="18"/>
                <w:szCs w:val="18"/>
              </w:rPr>
              <w:t> </w:t>
            </w:r>
            <w:r>
              <w:rPr>
                <w:rFonts w:ascii="宋体" w:hAnsi="宋体" w:cs="宋体" w:eastAsia="宋体" w:hint="default"/>
                <w:sz w:val="18"/>
                <w:szCs w:val="18"/>
              </w:rPr>
              <w:t>及的</w:t>
            </w:r>
            <w:r>
              <w:rPr>
                <w:rFonts w:ascii="宋体" w:hAnsi="宋体" w:cs="宋体" w:eastAsia="宋体" w:hint="default"/>
                <w:spacing w:val="-86"/>
                <w:sz w:val="18"/>
                <w:szCs w:val="18"/>
              </w:rPr>
              <w:t> </w:t>
            </w:r>
            <w:r>
              <w:rPr>
                <w:rFonts w:ascii="宋体" w:hAnsi="宋体" w:cs="宋体" w:eastAsia="宋体" w:hint="default"/>
                <w:sz w:val="18"/>
                <w:szCs w:val="18"/>
              </w:rPr>
              <w:t>股权</w:t>
            </w:r>
            <w:r>
              <w:rPr>
                <w:rFonts w:ascii="宋体" w:hAnsi="宋体" w:cs="宋体" w:eastAsia="宋体" w:hint="default"/>
                <w:spacing w:val="-86"/>
                <w:sz w:val="18"/>
                <w:szCs w:val="18"/>
              </w:rPr>
              <w:t> </w:t>
            </w: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已全</w:t>
            </w:r>
            <w:r>
              <w:rPr>
                <w:rFonts w:ascii="宋体" w:hAnsi="宋体" w:cs="宋体" w:eastAsia="宋体" w:hint="default"/>
                <w:spacing w:val="-86"/>
                <w:sz w:val="18"/>
                <w:szCs w:val="18"/>
              </w:rPr>
              <w:t> </w:t>
            </w:r>
            <w:r>
              <w:rPr>
                <w:rFonts w:ascii="宋体" w:hAnsi="宋体" w:cs="宋体" w:eastAsia="宋体" w:hint="default"/>
                <w:sz w:val="18"/>
                <w:szCs w:val="18"/>
              </w:rPr>
              <w:t>部过</w:t>
            </w:r>
            <w:r>
              <w:rPr>
                <w:rFonts w:ascii="宋体" w:hAnsi="宋体" w:cs="宋体" w:eastAsia="宋体" w:hint="default"/>
                <w:spacing w:val="-86"/>
                <w:sz w:val="18"/>
                <w:szCs w:val="18"/>
              </w:rPr>
              <w:t> </w:t>
            </w:r>
            <w:r>
              <w:rPr>
                <w:rFonts w:ascii="宋体" w:hAnsi="宋体" w:cs="宋体" w:eastAsia="宋体" w:hint="default"/>
                <w:sz w:val="18"/>
                <w:szCs w:val="18"/>
              </w:rPr>
              <w:t>户</w:t>
            </w:r>
          </w:p>
        </w:tc>
        <w:tc>
          <w:tcPr>
            <w:tcW w:w="9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3"/>
              <w:jc w:val="center"/>
              <w:rPr>
                <w:rFonts w:ascii="宋体" w:hAnsi="宋体" w:cs="宋体" w:eastAsia="宋体" w:hint="default"/>
                <w:sz w:val="18"/>
                <w:szCs w:val="18"/>
              </w:rPr>
            </w:pPr>
            <w:r>
              <w:rPr>
                <w:rFonts w:ascii="宋体" w:hAnsi="宋体" w:cs="宋体" w:eastAsia="宋体" w:hint="default"/>
                <w:spacing w:val="-2"/>
                <w:sz w:val="18"/>
                <w:szCs w:val="18"/>
              </w:rPr>
              <w:t>是否按计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划如期实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施，如未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按计划实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施，应当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说明原因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及公司已</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采取的措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施</w:t>
            </w:r>
          </w:p>
        </w:tc>
        <w:tc>
          <w:tcPr>
            <w:tcW w:w="71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167" w:right="167"/>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pacing w:val="-86"/>
                <w:sz w:val="18"/>
                <w:szCs w:val="18"/>
              </w:rPr>
              <w:t> </w:t>
            </w:r>
            <w:r>
              <w:rPr>
                <w:rFonts w:ascii="宋体" w:hAnsi="宋体" w:cs="宋体" w:eastAsia="宋体" w:hint="default"/>
                <w:sz w:val="18"/>
                <w:szCs w:val="18"/>
              </w:rPr>
              <w:t>日期</w:t>
            </w:r>
          </w:p>
        </w:tc>
        <w:tc>
          <w:tcPr>
            <w:tcW w:w="64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134" w:right="125"/>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pacing w:val="-86"/>
                <w:sz w:val="18"/>
                <w:szCs w:val="18"/>
              </w:rPr>
              <w:t> </w:t>
            </w:r>
            <w:r>
              <w:rPr>
                <w:rFonts w:ascii="宋体" w:hAnsi="宋体" w:cs="宋体" w:eastAsia="宋体" w:hint="default"/>
                <w:sz w:val="18"/>
                <w:szCs w:val="18"/>
              </w:rPr>
              <w:t>索引</w:t>
            </w:r>
          </w:p>
        </w:tc>
      </w:tr>
      <w:tr>
        <w:trPr>
          <w:trHeight w:val="994" w:hRule="exact"/>
        </w:trPr>
        <w:tc>
          <w:tcPr>
            <w:tcW w:w="605" w:type="dxa"/>
            <w:tcBorders>
              <w:top w:val="single" w:sz="4" w:space="0" w:color="000000"/>
              <w:left w:val="single" w:sz="12" w:space="0" w:color="000000"/>
              <w:bottom w:val="single" w:sz="12" w:space="0" w:color="000000"/>
              <w:right w:val="single" w:sz="4" w:space="0" w:color="000000"/>
            </w:tcBorders>
          </w:tcPr>
          <w:p>
            <w:pPr>
              <w:pStyle w:val="TableParagraph"/>
              <w:spacing w:line="314" w:lineRule="auto" w:before="54"/>
              <w:ind w:left="96" w:right="122"/>
              <w:jc w:val="both"/>
              <w:rPr>
                <w:rFonts w:ascii="宋体" w:hAnsi="宋体" w:cs="宋体" w:eastAsia="宋体" w:hint="default"/>
                <w:sz w:val="18"/>
                <w:szCs w:val="18"/>
              </w:rPr>
            </w:pPr>
            <w:r>
              <w:rPr>
                <w:rFonts w:ascii="宋体" w:hAnsi="宋体" w:cs="宋体" w:eastAsia="宋体" w:hint="default"/>
                <w:sz w:val="18"/>
                <w:szCs w:val="18"/>
              </w:rPr>
              <w:t>佛山</w:t>
            </w:r>
            <w:r>
              <w:rPr>
                <w:rFonts w:ascii="宋体" w:hAnsi="宋体" w:cs="宋体" w:eastAsia="宋体" w:hint="default"/>
                <w:spacing w:val="-86"/>
                <w:sz w:val="18"/>
                <w:szCs w:val="18"/>
              </w:rPr>
              <w:t> </w:t>
            </w:r>
            <w:r>
              <w:rPr>
                <w:rFonts w:ascii="宋体" w:hAnsi="宋体" w:cs="宋体" w:eastAsia="宋体" w:hint="default"/>
                <w:sz w:val="18"/>
                <w:szCs w:val="18"/>
              </w:rPr>
              <w:t>晓邦</w:t>
            </w:r>
            <w:r>
              <w:rPr>
                <w:rFonts w:ascii="宋体" w:hAnsi="宋体" w:cs="宋体" w:eastAsia="宋体" w:hint="default"/>
                <w:spacing w:val="-86"/>
                <w:sz w:val="18"/>
                <w:szCs w:val="18"/>
              </w:rPr>
              <w:t> </w:t>
            </w:r>
            <w:r>
              <w:rPr>
                <w:rFonts w:ascii="宋体" w:hAnsi="宋体" w:cs="宋体" w:eastAsia="宋体" w:hint="default"/>
                <w:sz w:val="18"/>
                <w:szCs w:val="18"/>
              </w:rPr>
              <w:t>股权</w:t>
            </w:r>
          </w:p>
        </w:tc>
        <w:tc>
          <w:tcPr>
            <w:tcW w:w="600" w:type="dxa"/>
            <w:tcBorders>
              <w:top w:val="single" w:sz="4" w:space="0" w:color="000000"/>
              <w:left w:val="single" w:sz="4" w:space="0" w:color="000000"/>
              <w:bottom w:val="single" w:sz="12" w:space="0" w:color="000000"/>
              <w:right w:val="single" w:sz="4" w:space="0" w:color="000000"/>
            </w:tcBorders>
          </w:tcPr>
          <w:p>
            <w:pPr>
              <w:pStyle w:val="TableParagraph"/>
              <w:spacing w:line="314" w:lineRule="auto" w:before="54"/>
              <w:ind w:left="100" w:right="122"/>
              <w:jc w:val="both"/>
              <w:rPr>
                <w:rFonts w:ascii="宋体" w:hAnsi="宋体" w:cs="宋体" w:eastAsia="宋体" w:hint="default"/>
                <w:sz w:val="18"/>
                <w:szCs w:val="18"/>
              </w:rPr>
            </w:pPr>
            <w:r>
              <w:rPr>
                <w:rFonts w:ascii="宋体" w:hAnsi="宋体" w:cs="宋体" w:eastAsia="宋体" w:hint="default"/>
                <w:sz w:val="18"/>
                <w:szCs w:val="18"/>
              </w:rPr>
              <w:t>广东</w:t>
            </w:r>
            <w:r>
              <w:rPr>
                <w:rFonts w:ascii="宋体" w:hAnsi="宋体" w:cs="宋体" w:eastAsia="宋体" w:hint="default"/>
                <w:spacing w:val="-86"/>
                <w:sz w:val="18"/>
                <w:szCs w:val="18"/>
              </w:rPr>
              <w:t> </w:t>
            </w:r>
            <w:r>
              <w:rPr>
                <w:rFonts w:ascii="宋体" w:hAnsi="宋体" w:cs="宋体" w:eastAsia="宋体" w:hint="default"/>
                <w:sz w:val="18"/>
                <w:szCs w:val="18"/>
              </w:rPr>
              <w:t>九联</w:t>
            </w:r>
            <w:r>
              <w:rPr>
                <w:rFonts w:ascii="宋体" w:hAnsi="宋体" w:cs="宋体" w:eastAsia="宋体" w:hint="default"/>
                <w:spacing w:val="-86"/>
                <w:sz w:val="18"/>
                <w:szCs w:val="18"/>
              </w:rPr>
              <w:t> </w:t>
            </w:r>
            <w:r>
              <w:rPr>
                <w:rFonts w:ascii="宋体" w:hAnsi="宋体" w:cs="宋体" w:eastAsia="宋体" w:hint="default"/>
                <w:sz w:val="18"/>
                <w:szCs w:val="18"/>
              </w:rPr>
              <w:t>科技</w:t>
            </w:r>
          </w:p>
        </w:tc>
        <w:tc>
          <w:tcPr>
            <w:tcW w:w="6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101" w:right="0"/>
              <w:jc w:val="left"/>
              <w:rPr>
                <w:rFonts w:ascii="宋体" w:hAnsi="宋体" w:cs="宋体" w:eastAsia="宋体" w:hint="default"/>
                <w:sz w:val="18"/>
                <w:szCs w:val="18"/>
              </w:rPr>
            </w:pPr>
            <w:r>
              <w:rPr>
                <w:rFonts w:ascii="宋体"/>
                <w:sz w:val="18"/>
              </w:rPr>
              <w:t>2019</w:t>
            </w:r>
          </w:p>
          <w:p>
            <w:pPr>
              <w:pStyle w:val="TableParagraph"/>
              <w:spacing w:line="240" w:lineRule="auto" w:before="71"/>
              <w:ind w:left="10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04</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19</w:t>
            </w:r>
          </w:p>
        </w:tc>
        <w:tc>
          <w:tcPr>
            <w:tcW w:w="7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91" w:right="0"/>
              <w:jc w:val="left"/>
              <w:rPr>
                <w:rFonts w:ascii="宋体" w:hAnsi="宋体" w:cs="宋体" w:eastAsia="宋体" w:hint="default"/>
                <w:sz w:val="18"/>
                <w:szCs w:val="18"/>
              </w:rPr>
            </w:pPr>
            <w:r>
              <w:rPr>
                <w:rFonts w:ascii="宋体"/>
                <w:sz w:val="18"/>
              </w:rPr>
              <w:t>3,000</w:t>
            </w:r>
          </w:p>
        </w:tc>
        <w:tc>
          <w:tcPr>
            <w:tcW w:w="9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513" w:right="0"/>
              <w:jc w:val="left"/>
              <w:rPr>
                <w:rFonts w:ascii="宋体" w:hAnsi="宋体" w:cs="宋体" w:eastAsia="宋体" w:hint="default"/>
                <w:sz w:val="18"/>
                <w:szCs w:val="18"/>
              </w:rPr>
            </w:pPr>
            <w:r>
              <w:rPr>
                <w:rFonts w:ascii="宋体"/>
                <w:sz w:val="18"/>
              </w:rPr>
              <w:t>660</w:t>
            </w:r>
          </w:p>
        </w:tc>
        <w:tc>
          <w:tcPr>
            <w:tcW w:w="1273" w:type="dxa"/>
            <w:tcBorders>
              <w:top w:val="single" w:sz="4" w:space="0" w:color="000000"/>
              <w:left w:val="single" w:sz="4" w:space="0" w:color="000000"/>
              <w:bottom w:val="single" w:sz="12" w:space="0" w:color="000000"/>
              <w:right w:val="single" w:sz="4" w:space="0" w:color="000000"/>
            </w:tcBorders>
          </w:tcPr>
          <w:p>
            <w:pPr>
              <w:pStyle w:val="TableParagraph"/>
              <w:spacing w:line="314" w:lineRule="auto" w:before="54"/>
              <w:ind w:left="100" w:right="99"/>
              <w:jc w:val="left"/>
              <w:rPr>
                <w:rFonts w:ascii="宋体" w:hAnsi="宋体" w:cs="宋体" w:eastAsia="宋体" w:hint="default"/>
                <w:sz w:val="18"/>
                <w:szCs w:val="18"/>
              </w:rPr>
            </w:pPr>
            <w:r>
              <w:rPr>
                <w:rFonts w:ascii="宋体" w:hAnsi="宋体" w:cs="宋体" w:eastAsia="宋体" w:hint="default"/>
                <w:sz w:val="18"/>
                <w:szCs w:val="18"/>
              </w:rPr>
              <w:t>为集中精力</w:t>
            </w:r>
            <w:r>
              <w:rPr>
                <w:rFonts w:ascii="宋体" w:hAnsi="宋体" w:cs="宋体" w:eastAsia="宋体" w:hint="default"/>
                <w:w w:val="101"/>
                <w:sz w:val="18"/>
                <w:szCs w:val="18"/>
              </w:rPr>
              <w:t> </w:t>
            </w:r>
            <w:r>
              <w:rPr>
                <w:rFonts w:ascii="宋体" w:hAnsi="宋体" w:cs="宋体" w:eastAsia="宋体" w:hint="default"/>
                <w:sz w:val="18"/>
                <w:szCs w:val="18"/>
              </w:rPr>
              <w:t>和资源做强</w:t>
            </w:r>
            <w:r>
              <w:rPr>
                <w:rFonts w:ascii="宋体" w:hAnsi="宋体" w:cs="宋体" w:eastAsia="宋体" w:hint="default"/>
                <w:w w:val="101"/>
                <w:sz w:val="18"/>
                <w:szCs w:val="18"/>
              </w:rPr>
              <w:t> </w:t>
            </w:r>
            <w:r>
              <w:rPr>
                <w:rFonts w:ascii="宋体" w:hAnsi="宋体" w:cs="宋体" w:eastAsia="宋体" w:hint="default"/>
                <w:spacing w:val="-6"/>
                <w:sz w:val="18"/>
                <w:szCs w:val="18"/>
              </w:rPr>
              <w:t>主营业务，增</w:t>
            </w:r>
          </w:p>
        </w:tc>
        <w:tc>
          <w:tcPr>
            <w:tcW w:w="7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sz w:val="18"/>
              </w:rPr>
              <w:t>23.75%</w:t>
            </w:r>
          </w:p>
        </w:tc>
        <w:tc>
          <w:tcPr>
            <w:tcW w:w="888" w:type="dxa"/>
            <w:tcBorders>
              <w:top w:val="single" w:sz="4" w:space="0" w:color="000000"/>
              <w:left w:val="single" w:sz="4" w:space="0" w:color="000000"/>
              <w:bottom w:val="single" w:sz="12" w:space="0" w:color="000000"/>
              <w:right w:val="single" w:sz="4" w:space="0" w:color="000000"/>
            </w:tcBorders>
          </w:tcPr>
          <w:p>
            <w:pPr>
              <w:pStyle w:val="TableParagraph"/>
              <w:spacing w:line="314" w:lineRule="auto" w:before="54"/>
              <w:ind w:left="100" w:right="233"/>
              <w:jc w:val="both"/>
              <w:rPr>
                <w:rFonts w:ascii="宋体" w:hAnsi="宋体" w:cs="宋体" w:eastAsia="宋体" w:hint="default"/>
                <w:sz w:val="18"/>
                <w:szCs w:val="18"/>
              </w:rPr>
            </w:pPr>
            <w:r>
              <w:rPr>
                <w:rFonts w:ascii="宋体" w:hAnsi="宋体" w:cs="宋体" w:eastAsia="宋体" w:hint="default"/>
                <w:sz w:val="18"/>
                <w:szCs w:val="18"/>
              </w:rPr>
              <w:t>以账面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每股净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资产为</w:t>
            </w:r>
          </w:p>
        </w:tc>
        <w:tc>
          <w:tcPr>
            <w:tcW w:w="5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100" w:right="147"/>
              <w:jc w:val="left"/>
              <w:rPr>
                <w:rFonts w:ascii="宋体" w:hAnsi="宋体" w:cs="宋体" w:eastAsia="宋体" w:hint="default"/>
                <w:sz w:val="18"/>
                <w:szCs w:val="18"/>
              </w:rPr>
            </w:pPr>
            <w:r>
              <w:rPr>
                <w:rFonts w:ascii="宋体" w:hAnsi="宋体" w:cs="宋体" w:eastAsia="宋体" w:hint="default"/>
                <w:sz w:val="18"/>
                <w:szCs w:val="18"/>
              </w:rPr>
              <w:t>不适</w:t>
            </w:r>
            <w:r>
              <w:rPr>
                <w:rFonts w:ascii="宋体" w:hAnsi="宋体" w:cs="宋体" w:eastAsia="宋体" w:hint="default"/>
                <w:spacing w:val="-86"/>
                <w:sz w:val="18"/>
                <w:szCs w:val="18"/>
              </w:rPr>
              <w:t> </w:t>
            </w:r>
            <w:r>
              <w:rPr>
                <w:rFonts w:ascii="宋体" w:hAnsi="宋体" w:cs="宋体" w:eastAsia="宋体" w:hint="default"/>
                <w:sz w:val="18"/>
                <w:szCs w:val="18"/>
              </w:rPr>
              <w:t>用</w:t>
            </w:r>
          </w:p>
        </w:tc>
        <w:tc>
          <w:tcPr>
            <w:tcW w:w="6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9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sz w:val="18"/>
              </w:rPr>
              <w:t>2019</w:t>
            </w:r>
          </w:p>
          <w:p>
            <w:pPr>
              <w:pStyle w:val="TableParagraph"/>
              <w:spacing w:line="240" w:lineRule="auto" w:before="71"/>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04</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20</w:t>
            </w:r>
          </w:p>
        </w:tc>
        <w:tc>
          <w:tcPr>
            <w:tcW w:w="64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sz w:val="18"/>
              </w:rPr>
              <w:t>2019</w:t>
            </w:r>
          </w:p>
          <w:p>
            <w:pPr>
              <w:pStyle w:val="TableParagraph"/>
              <w:spacing w:line="240" w:lineRule="auto" w:before="71"/>
              <w:ind w:left="100" w:right="0"/>
              <w:jc w:val="left"/>
              <w:rPr>
                <w:rFonts w:ascii="宋体" w:hAnsi="宋体" w:cs="宋体" w:eastAsia="宋体" w:hint="default"/>
                <w:sz w:val="18"/>
                <w:szCs w:val="18"/>
              </w:rPr>
            </w:pPr>
            <w:r>
              <w:rPr>
                <w:rFonts w:ascii="宋体"/>
                <w:sz w:val="18"/>
              </w:rPr>
              <w:t>-045</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光一</w:t>
            </w:r>
          </w:p>
        </w:tc>
      </w:tr>
    </w:tbl>
    <w:p>
      <w:pPr>
        <w:spacing w:after="0" w:line="240" w:lineRule="auto"/>
        <w:jc w:val="left"/>
        <w:rPr>
          <w:rFonts w:ascii="宋体" w:hAnsi="宋体" w:cs="宋体" w:eastAsia="宋体" w:hint="default"/>
          <w:sz w:val="18"/>
          <w:szCs w:val="18"/>
        </w:rPr>
        <w:sectPr>
          <w:pgSz w:w="11910" w:h="16840"/>
          <w:pgMar w:header="871" w:footer="1037" w:top="1100" w:bottom="1220" w:left="400" w:right="0"/>
        </w:sectPr>
      </w:pPr>
    </w:p>
    <w:p>
      <w:pPr>
        <w:spacing w:line="240" w:lineRule="auto" w:before="8"/>
        <w:rPr>
          <w:rFonts w:ascii="宋体" w:hAnsi="宋体" w:cs="宋体" w:eastAsia="宋体" w:hint="default"/>
          <w:sz w:val="24"/>
          <w:szCs w:val="24"/>
        </w:rPr>
      </w:pPr>
    </w:p>
    <w:tbl>
      <w:tblPr>
        <w:tblW w:w="0" w:type="auto"/>
        <w:jc w:val="left"/>
        <w:tblInd w:w="310" w:type="dxa"/>
        <w:tblLayout w:type="fixed"/>
        <w:tblCellMar>
          <w:top w:w="0" w:type="dxa"/>
          <w:left w:w="0" w:type="dxa"/>
          <w:bottom w:w="0" w:type="dxa"/>
          <w:right w:w="0" w:type="dxa"/>
        </w:tblCellMar>
        <w:tblLook w:val="01E0"/>
      </w:tblPr>
      <w:tblGrid>
        <w:gridCol w:w="605"/>
        <w:gridCol w:w="600"/>
        <w:gridCol w:w="673"/>
        <w:gridCol w:w="754"/>
        <w:gridCol w:w="902"/>
        <w:gridCol w:w="1273"/>
        <w:gridCol w:w="778"/>
        <w:gridCol w:w="888"/>
        <w:gridCol w:w="504"/>
        <w:gridCol w:w="625"/>
        <w:gridCol w:w="662"/>
        <w:gridCol w:w="946"/>
        <w:gridCol w:w="710"/>
        <w:gridCol w:w="649"/>
      </w:tblGrid>
      <w:tr>
        <w:trPr>
          <w:trHeight w:val="5056" w:hRule="exact"/>
        </w:trPr>
        <w:tc>
          <w:tcPr>
            <w:tcW w:w="605"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10"/>
              <w:ind w:left="96" w:right="122"/>
              <w:jc w:val="both"/>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pacing w:val="-86"/>
                <w:sz w:val="18"/>
                <w:szCs w:val="18"/>
              </w:rPr>
              <w:t> </w:t>
            </w:r>
            <w:r>
              <w:rPr>
                <w:rFonts w:ascii="宋体" w:hAnsi="宋体" w:cs="宋体" w:eastAsia="宋体" w:hint="default"/>
                <w:sz w:val="18"/>
                <w:szCs w:val="18"/>
              </w:rPr>
              <w:t>合伙</w:t>
            </w:r>
            <w:r>
              <w:rPr>
                <w:rFonts w:ascii="宋体" w:hAnsi="宋体" w:cs="宋体" w:eastAsia="宋体" w:hint="default"/>
                <w:spacing w:val="-86"/>
                <w:sz w:val="18"/>
                <w:szCs w:val="18"/>
              </w:rPr>
              <w:t> </w:t>
            </w:r>
            <w:r>
              <w:rPr>
                <w:rFonts w:ascii="宋体" w:hAnsi="宋体" w:cs="宋体" w:eastAsia="宋体" w:hint="default"/>
                <w:sz w:val="18"/>
                <w:szCs w:val="18"/>
              </w:rPr>
              <w:t>企业</w:t>
            </w:r>
          </w:p>
          <w:p>
            <w:pPr>
              <w:pStyle w:val="TableParagraph"/>
              <w:spacing w:line="319" w:lineRule="auto" w:before="19"/>
              <w:ind w:left="96" w:right="122"/>
              <w:jc w:val="both"/>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86"/>
                <w:sz w:val="18"/>
                <w:szCs w:val="18"/>
              </w:rPr>
              <w:t> </w:t>
            </w:r>
            <w:r>
              <w:rPr>
                <w:rFonts w:ascii="宋体" w:hAnsi="宋体" w:cs="宋体" w:eastAsia="宋体" w:hint="default"/>
                <w:sz w:val="18"/>
                <w:szCs w:val="18"/>
              </w:rPr>
              <w:t>限合</w:t>
            </w:r>
            <w:r>
              <w:rPr>
                <w:rFonts w:ascii="宋体" w:hAnsi="宋体" w:cs="宋体" w:eastAsia="宋体" w:hint="default"/>
                <w:spacing w:val="-86"/>
                <w:sz w:val="18"/>
                <w:szCs w:val="18"/>
              </w:rPr>
              <w:t> </w:t>
            </w:r>
            <w:r>
              <w:rPr>
                <w:rFonts w:ascii="宋体" w:hAnsi="宋体" w:cs="宋体" w:eastAsia="宋体" w:hint="default"/>
                <w:sz w:val="18"/>
                <w:szCs w:val="18"/>
              </w:rPr>
              <w:t>伙）</w:t>
            </w:r>
          </w:p>
        </w:tc>
        <w:tc>
          <w:tcPr>
            <w:tcW w:w="600" w:type="dxa"/>
            <w:tcBorders>
              <w:top w:val="single" w:sz="4" w:space="0" w:color="000000"/>
              <w:left w:val="single" w:sz="4" w:space="0" w:color="000000"/>
              <w:bottom w:val="single" w:sz="12" w:space="0" w:color="000000"/>
              <w:right w:val="single" w:sz="4" w:space="0" w:color="000000"/>
            </w:tcBorders>
          </w:tcPr>
          <w:p>
            <w:pPr>
              <w:pStyle w:val="TableParagraph"/>
              <w:spacing w:line="319" w:lineRule="auto" w:before="10"/>
              <w:ind w:left="100" w:right="122"/>
              <w:jc w:val="both"/>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6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54" w:type="dxa"/>
            <w:tcBorders>
              <w:top w:val="single" w:sz="4" w:space="0" w:color="000000"/>
              <w:left w:val="single" w:sz="4" w:space="0" w:color="000000"/>
              <w:bottom w:val="single" w:sz="12" w:space="0" w:color="000000"/>
              <w:right w:val="single" w:sz="4" w:space="0" w:color="000000"/>
            </w:tcBorders>
          </w:tcPr>
          <w:p>
            <w:pPr/>
          </w:p>
        </w:tc>
        <w:tc>
          <w:tcPr>
            <w:tcW w:w="902" w:type="dxa"/>
            <w:tcBorders>
              <w:top w:val="single" w:sz="4" w:space="0" w:color="000000"/>
              <w:left w:val="single" w:sz="4" w:space="0" w:color="000000"/>
              <w:bottom w:val="single" w:sz="12" w:space="0" w:color="000000"/>
              <w:right w:val="single" w:sz="4" w:space="0" w:color="000000"/>
            </w:tcBorders>
          </w:tcPr>
          <w:p>
            <w:pPr/>
          </w:p>
        </w:tc>
        <w:tc>
          <w:tcPr>
            <w:tcW w:w="1273" w:type="dxa"/>
            <w:tcBorders>
              <w:top w:val="single" w:sz="4" w:space="0" w:color="000000"/>
              <w:left w:val="single" w:sz="4" w:space="0" w:color="000000"/>
              <w:bottom w:val="single" w:sz="12" w:space="0" w:color="000000"/>
              <w:right w:val="single" w:sz="4" w:space="0" w:color="000000"/>
            </w:tcBorders>
          </w:tcPr>
          <w:p>
            <w:pPr>
              <w:pStyle w:val="TableParagraph"/>
              <w:spacing w:line="319" w:lineRule="auto" w:before="10"/>
              <w:ind w:left="100" w:right="75"/>
              <w:jc w:val="left"/>
              <w:rPr>
                <w:rFonts w:ascii="宋体" w:hAnsi="宋体" w:cs="宋体" w:eastAsia="宋体" w:hint="default"/>
                <w:sz w:val="18"/>
                <w:szCs w:val="18"/>
              </w:rPr>
            </w:pPr>
            <w:r>
              <w:rPr>
                <w:rFonts w:ascii="宋体" w:hAnsi="宋体" w:cs="宋体" w:eastAsia="宋体" w:hint="default"/>
                <w:sz w:val="18"/>
                <w:szCs w:val="18"/>
              </w:rPr>
              <w:t>强公司可持</w:t>
            </w:r>
            <w:r>
              <w:rPr>
                <w:rFonts w:ascii="宋体" w:hAnsi="宋体" w:cs="宋体" w:eastAsia="宋体" w:hint="default"/>
                <w:w w:val="101"/>
                <w:sz w:val="18"/>
                <w:szCs w:val="18"/>
              </w:rPr>
              <w:t> </w:t>
            </w:r>
            <w:r>
              <w:rPr>
                <w:rFonts w:ascii="宋体" w:hAnsi="宋体" w:cs="宋体" w:eastAsia="宋体" w:hint="default"/>
                <w:spacing w:val="-2"/>
                <w:sz w:val="18"/>
                <w:szCs w:val="18"/>
              </w:rPr>
              <w:t>续发展能力，</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公司拟收缩</w:t>
            </w:r>
            <w:r>
              <w:rPr>
                <w:rFonts w:ascii="宋体" w:hAnsi="宋体" w:cs="宋体" w:eastAsia="宋体" w:hint="default"/>
                <w:w w:val="101"/>
                <w:sz w:val="18"/>
                <w:szCs w:val="18"/>
              </w:rPr>
              <w:t> </w:t>
            </w:r>
            <w:r>
              <w:rPr>
                <w:rFonts w:ascii="宋体" w:hAnsi="宋体" w:cs="宋体" w:eastAsia="宋体" w:hint="default"/>
                <w:sz w:val="18"/>
                <w:szCs w:val="18"/>
              </w:rPr>
              <w:t>对外财务性</w:t>
            </w:r>
            <w:r>
              <w:rPr>
                <w:rFonts w:ascii="宋体" w:hAnsi="宋体" w:cs="宋体" w:eastAsia="宋体" w:hint="default"/>
                <w:w w:val="101"/>
                <w:sz w:val="18"/>
                <w:szCs w:val="18"/>
              </w:rPr>
              <w:t> </w:t>
            </w:r>
            <w:r>
              <w:rPr>
                <w:rFonts w:ascii="宋体" w:hAnsi="宋体" w:cs="宋体" w:eastAsia="宋体" w:hint="default"/>
                <w:spacing w:val="-6"/>
                <w:sz w:val="18"/>
                <w:szCs w:val="18"/>
              </w:rPr>
              <w:t>投资，快速回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笼资金，提高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整体抗风险</w:t>
            </w:r>
            <w:r>
              <w:rPr>
                <w:rFonts w:ascii="宋体" w:hAnsi="宋体" w:cs="宋体" w:eastAsia="宋体" w:hint="default"/>
                <w:w w:val="101"/>
                <w:sz w:val="18"/>
                <w:szCs w:val="18"/>
              </w:rPr>
              <w:t> </w:t>
            </w:r>
            <w:r>
              <w:rPr>
                <w:rFonts w:ascii="宋体" w:hAnsi="宋体" w:cs="宋体" w:eastAsia="宋体" w:hint="default"/>
                <w:spacing w:val="-6"/>
                <w:sz w:val="18"/>
                <w:szCs w:val="18"/>
              </w:rPr>
              <w:t>能力。本次转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让九联科技</w:t>
            </w:r>
            <w:r>
              <w:rPr>
                <w:rFonts w:ascii="宋体" w:hAnsi="宋体" w:cs="宋体" w:eastAsia="宋体" w:hint="default"/>
                <w:w w:val="101"/>
                <w:sz w:val="18"/>
                <w:szCs w:val="18"/>
              </w:rPr>
              <w:t> </w:t>
            </w:r>
            <w:r>
              <w:rPr>
                <w:rFonts w:ascii="宋体" w:hAnsi="宋体" w:cs="宋体" w:eastAsia="宋体" w:hint="default"/>
                <w:sz w:val="18"/>
                <w:szCs w:val="18"/>
              </w:rPr>
              <w:t>股权所得款</w:t>
            </w:r>
            <w:r>
              <w:rPr>
                <w:rFonts w:ascii="宋体" w:hAnsi="宋体" w:cs="宋体" w:eastAsia="宋体" w:hint="default"/>
                <w:w w:val="101"/>
                <w:sz w:val="18"/>
                <w:szCs w:val="18"/>
              </w:rPr>
              <w:t> </w:t>
            </w:r>
            <w:r>
              <w:rPr>
                <w:rFonts w:ascii="宋体" w:hAnsi="宋体" w:cs="宋体" w:eastAsia="宋体" w:hint="default"/>
                <w:sz w:val="18"/>
                <w:szCs w:val="18"/>
              </w:rPr>
              <w:t>项将用于补</w:t>
            </w:r>
            <w:r>
              <w:rPr>
                <w:rFonts w:ascii="宋体" w:hAnsi="宋体" w:cs="宋体" w:eastAsia="宋体" w:hint="default"/>
                <w:w w:val="101"/>
                <w:sz w:val="18"/>
                <w:szCs w:val="18"/>
              </w:rPr>
              <w:t> </w:t>
            </w:r>
            <w:r>
              <w:rPr>
                <w:rFonts w:ascii="宋体" w:hAnsi="宋体" w:cs="宋体" w:eastAsia="宋体" w:hint="default"/>
                <w:spacing w:val="-2"/>
                <w:sz w:val="18"/>
                <w:szCs w:val="18"/>
              </w:rPr>
              <w:t>充流动资金，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对公司财务</w:t>
            </w:r>
            <w:r>
              <w:rPr>
                <w:rFonts w:ascii="宋体" w:hAnsi="宋体" w:cs="宋体" w:eastAsia="宋体" w:hint="default"/>
                <w:w w:val="101"/>
                <w:sz w:val="18"/>
                <w:szCs w:val="18"/>
              </w:rPr>
              <w:t> </w:t>
            </w:r>
            <w:r>
              <w:rPr>
                <w:rFonts w:ascii="宋体" w:hAnsi="宋体" w:cs="宋体" w:eastAsia="宋体" w:hint="default"/>
                <w:sz w:val="18"/>
                <w:szCs w:val="18"/>
              </w:rPr>
              <w:t>状况和经营</w:t>
            </w:r>
            <w:r>
              <w:rPr>
                <w:rFonts w:ascii="宋体" w:hAnsi="宋体" w:cs="宋体" w:eastAsia="宋体" w:hint="default"/>
                <w:w w:val="101"/>
                <w:sz w:val="18"/>
                <w:szCs w:val="18"/>
              </w:rPr>
              <w:t> </w:t>
            </w:r>
            <w:r>
              <w:rPr>
                <w:rFonts w:ascii="宋体" w:hAnsi="宋体" w:cs="宋体" w:eastAsia="宋体" w:hint="default"/>
                <w:sz w:val="18"/>
                <w:szCs w:val="18"/>
              </w:rPr>
              <w:t>成果产生积</w:t>
            </w:r>
            <w:r>
              <w:rPr>
                <w:rFonts w:ascii="宋体" w:hAnsi="宋体" w:cs="宋体" w:eastAsia="宋体" w:hint="default"/>
                <w:w w:val="101"/>
                <w:sz w:val="18"/>
                <w:szCs w:val="18"/>
              </w:rPr>
              <w:t> </w:t>
            </w:r>
            <w:r>
              <w:rPr>
                <w:rFonts w:ascii="宋体" w:hAnsi="宋体" w:cs="宋体" w:eastAsia="宋体" w:hint="default"/>
                <w:sz w:val="18"/>
                <w:szCs w:val="18"/>
              </w:rPr>
              <w:t>极影响</w:t>
            </w:r>
          </w:p>
        </w:tc>
        <w:tc>
          <w:tcPr>
            <w:tcW w:w="778" w:type="dxa"/>
            <w:tcBorders>
              <w:top w:val="single" w:sz="4" w:space="0" w:color="000000"/>
              <w:left w:val="single" w:sz="4" w:space="0" w:color="000000"/>
              <w:bottom w:val="single" w:sz="12" w:space="0" w:color="000000"/>
              <w:right w:val="single" w:sz="4" w:space="0" w:color="000000"/>
            </w:tcBorders>
          </w:tcPr>
          <w:p>
            <w:pPr/>
          </w:p>
        </w:tc>
        <w:tc>
          <w:tcPr>
            <w:tcW w:w="888" w:type="dxa"/>
            <w:tcBorders>
              <w:top w:val="single" w:sz="4" w:space="0" w:color="000000"/>
              <w:left w:val="single" w:sz="4" w:space="0" w:color="000000"/>
              <w:bottom w:val="single" w:sz="12" w:space="0" w:color="000000"/>
              <w:right w:val="single" w:sz="4" w:space="0" w:color="000000"/>
            </w:tcBorders>
          </w:tcPr>
          <w:p>
            <w:pPr>
              <w:pStyle w:val="TableParagraph"/>
              <w:spacing w:line="319" w:lineRule="auto" w:before="10"/>
              <w:ind w:left="100" w:right="99"/>
              <w:jc w:val="left"/>
              <w:rPr>
                <w:rFonts w:ascii="宋体" w:hAnsi="宋体" w:cs="宋体" w:eastAsia="宋体" w:hint="default"/>
                <w:sz w:val="18"/>
                <w:szCs w:val="18"/>
              </w:rPr>
            </w:pPr>
            <w:r>
              <w:rPr>
                <w:rFonts w:ascii="宋体" w:hAnsi="宋体" w:cs="宋体" w:eastAsia="宋体" w:hint="default"/>
                <w:spacing w:val="-14"/>
                <w:sz w:val="18"/>
                <w:szCs w:val="18"/>
              </w:rPr>
              <w:t>参考，经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双方协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商确定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标的股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价格</w:t>
            </w:r>
          </w:p>
        </w:tc>
        <w:tc>
          <w:tcPr>
            <w:tcW w:w="504" w:type="dxa"/>
            <w:tcBorders>
              <w:top w:val="single" w:sz="4" w:space="0" w:color="000000"/>
              <w:left w:val="single" w:sz="4" w:space="0" w:color="000000"/>
              <w:bottom w:val="single" w:sz="12" w:space="0" w:color="000000"/>
              <w:right w:val="single" w:sz="4" w:space="0" w:color="000000"/>
            </w:tcBorders>
          </w:tcPr>
          <w:p>
            <w:pPr/>
          </w:p>
        </w:tc>
        <w:tc>
          <w:tcPr>
            <w:tcW w:w="625" w:type="dxa"/>
            <w:tcBorders>
              <w:top w:val="single" w:sz="4" w:space="0" w:color="000000"/>
              <w:left w:val="single" w:sz="4" w:space="0" w:color="000000"/>
              <w:bottom w:val="single" w:sz="12" w:space="0" w:color="000000"/>
              <w:right w:val="single" w:sz="4" w:space="0" w:color="000000"/>
            </w:tcBorders>
          </w:tcPr>
          <w:p>
            <w:pPr/>
          </w:p>
        </w:tc>
        <w:tc>
          <w:tcPr>
            <w:tcW w:w="662" w:type="dxa"/>
            <w:tcBorders>
              <w:top w:val="single" w:sz="4" w:space="0" w:color="000000"/>
              <w:left w:val="single" w:sz="4" w:space="0" w:color="000000"/>
              <w:bottom w:val="single" w:sz="12" w:space="0" w:color="000000"/>
              <w:right w:val="single" w:sz="4" w:space="0" w:color="000000"/>
            </w:tcBorders>
          </w:tcPr>
          <w:p>
            <w:pPr/>
          </w:p>
        </w:tc>
        <w:tc>
          <w:tcPr>
            <w:tcW w:w="946" w:type="dxa"/>
            <w:tcBorders>
              <w:top w:val="single" w:sz="4" w:space="0" w:color="000000"/>
              <w:left w:val="single" w:sz="4" w:space="0" w:color="000000"/>
              <w:bottom w:val="single" w:sz="12" w:space="0" w:color="000000"/>
              <w:right w:val="single" w:sz="4" w:space="0" w:color="000000"/>
            </w:tcBorders>
          </w:tcPr>
          <w:p>
            <w:pPr/>
          </w:p>
        </w:tc>
        <w:tc>
          <w:tcPr>
            <w:tcW w:w="7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9" w:type="dxa"/>
            <w:tcBorders>
              <w:top w:val="single" w:sz="4" w:space="0" w:color="000000"/>
              <w:left w:val="single" w:sz="4" w:space="0" w:color="000000"/>
              <w:bottom w:val="single" w:sz="12" w:space="0" w:color="000000"/>
              <w:right w:val="single" w:sz="12" w:space="0" w:color="000000"/>
            </w:tcBorders>
          </w:tcPr>
          <w:p>
            <w:pPr>
              <w:pStyle w:val="TableParagraph"/>
              <w:spacing w:line="319" w:lineRule="auto" w:before="10"/>
              <w:ind w:left="100" w:right="161"/>
              <w:jc w:val="both"/>
              <w:rPr>
                <w:rFonts w:ascii="宋体" w:hAnsi="宋体" w:cs="宋体" w:eastAsia="宋体" w:hint="default"/>
                <w:sz w:val="18"/>
                <w:szCs w:val="18"/>
              </w:rPr>
            </w:pPr>
            <w:r>
              <w:rPr>
                <w:rFonts w:ascii="宋体" w:hAnsi="宋体" w:cs="宋体" w:eastAsia="宋体" w:hint="default"/>
                <w:sz w:val="18"/>
                <w:szCs w:val="18"/>
              </w:rPr>
              <w:t>科技</w:t>
            </w:r>
            <w:r>
              <w:rPr>
                <w:rFonts w:ascii="宋体" w:hAnsi="宋体" w:cs="宋体" w:eastAsia="宋体" w:hint="default"/>
                <w:spacing w:val="-86"/>
                <w:sz w:val="18"/>
                <w:szCs w:val="18"/>
              </w:rPr>
              <w:t> </w:t>
            </w: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关于</w:t>
            </w:r>
            <w:r>
              <w:rPr>
                <w:rFonts w:ascii="宋体" w:hAnsi="宋体" w:cs="宋体" w:eastAsia="宋体" w:hint="default"/>
                <w:spacing w:val="-86"/>
                <w:sz w:val="18"/>
                <w:szCs w:val="18"/>
              </w:rPr>
              <w:t> </w:t>
            </w:r>
            <w:r>
              <w:rPr>
                <w:rFonts w:ascii="宋体" w:hAnsi="宋体" w:cs="宋体" w:eastAsia="宋体" w:hint="default"/>
                <w:sz w:val="18"/>
                <w:szCs w:val="18"/>
              </w:rPr>
              <w:t>转让</w:t>
            </w:r>
            <w:r>
              <w:rPr>
                <w:rFonts w:ascii="宋体" w:hAnsi="宋体" w:cs="宋体" w:eastAsia="宋体" w:hint="default"/>
                <w:spacing w:val="-86"/>
                <w:sz w:val="18"/>
                <w:szCs w:val="18"/>
              </w:rPr>
              <w:t> </w:t>
            </w:r>
            <w:r>
              <w:rPr>
                <w:rFonts w:ascii="宋体" w:hAnsi="宋体" w:cs="宋体" w:eastAsia="宋体" w:hint="default"/>
                <w:sz w:val="18"/>
                <w:szCs w:val="18"/>
              </w:rPr>
              <w:t>参股</w:t>
            </w:r>
            <w:r>
              <w:rPr>
                <w:rFonts w:ascii="宋体" w:hAnsi="宋体" w:cs="宋体" w:eastAsia="宋体" w:hint="default"/>
                <w:spacing w:val="-86"/>
                <w:sz w:val="18"/>
                <w:szCs w:val="18"/>
              </w:rPr>
              <w:t> </w:t>
            </w: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股权</w:t>
            </w:r>
            <w:r>
              <w:rPr>
                <w:rFonts w:ascii="宋体" w:hAnsi="宋体" w:cs="宋体" w:eastAsia="宋体" w:hint="default"/>
                <w:spacing w:val="-86"/>
                <w:sz w:val="18"/>
                <w:szCs w:val="18"/>
              </w:rPr>
              <w:t> </w:t>
            </w:r>
            <w:r>
              <w:rPr>
                <w:rFonts w:ascii="宋体" w:hAnsi="宋体" w:cs="宋体" w:eastAsia="宋体" w:hint="default"/>
                <w:sz w:val="18"/>
                <w:szCs w:val="18"/>
              </w:rPr>
              <w:t>的公</w:t>
            </w:r>
            <w:r>
              <w:rPr>
                <w:rFonts w:ascii="宋体" w:hAnsi="宋体" w:cs="宋体" w:eastAsia="宋体" w:hint="default"/>
                <w:spacing w:val="-86"/>
                <w:sz w:val="18"/>
                <w:szCs w:val="18"/>
              </w:rPr>
              <w:t> </w:t>
            </w:r>
            <w:r>
              <w:rPr>
                <w:rFonts w:ascii="宋体" w:hAnsi="宋体" w:cs="宋体" w:eastAsia="宋体" w:hint="default"/>
                <w:sz w:val="18"/>
                <w:szCs w:val="18"/>
              </w:rPr>
              <w:t>告</w:t>
            </w:r>
          </w:p>
        </w:tc>
      </w:tr>
    </w:tbl>
    <w:p>
      <w:pPr>
        <w:pStyle w:val="Heading2"/>
        <w:spacing w:line="240" w:lineRule="auto" w:before="41"/>
        <w:ind w:left="853" w:right="1114"/>
        <w:jc w:val="left"/>
        <w:rPr>
          <w:b w:val="0"/>
          <w:bCs w:val="0"/>
        </w:rPr>
      </w:pPr>
      <w:bookmarkStart w:name="七、主要控股参股公司分析" w:id="57"/>
      <w:bookmarkEnd w:id="57"/>
      <w:r>
        <w:rPr>
          <w:b w:val="0"/>
          <w:bCs w:val="0"/>
        </w:rPr>
      </w:r>
      <w:r>
        <w:rPr/>
        <w:t>七、主要控股参股公司分析</w:t>
      </w:r>
      <w:r>
        <w:rPr>
          <w:b w:val="0"/>
          <w:bCs w:val="0"/>
        </w:rPr>
      </w:r>
    </w:p>
    <w:p>
      <w:pPr>
        <w:pStyle w:val="BodyText"/>
        <w:spacing w:line="240" w:lineRule="auto" w:before="177"/>
        <w:ind w:left="853" w:right="1114"/>
        <w:jc w:val="left"/>
      </w:pPr>
      <w:r>
        <w:rPr/>
        <w:t>√ 适用 □</w:t>
      </w:r>
      <w:r>
        <w:rPr>
          <w:spacing w:val="4"/>
        </w:rPr>
        <w:t> </w:t>
      </w:r>
      <w:r>
        <w:rPr/>
        <w:t>不适用</w:t>
      </w:r>
    </w:p>
    <w:p>
      <w:pPr>
        <w:spacing w:line="240" w:lineRule="auto" w:before="13"/>
        <w:rPr>
          <w:rFonts w:ascii="宋体" w:hAnsi="宋体" w:cs="宋体" w:eastAsia="宋体" w:hint="default"/>
          <w:sz w:val="14"/>
          <w:szCs w:val="14"/>
        </w:rPr>
      </w:pPr>
    </w:p>
    <w:p>
      <w:pPr>
        <w:pStyle w:val="BodyText"/>
        <w:spacing w:line="240" w:lineRule="auto"/>
        <w:ind w:left="853" w:right="1114"/>
        <w:jc w:val="left"/>
      </w:pPr>
      <w:r>
        <w:rPr/>
        <w:t>主要子公司及对公司净利润影响达</w:t>
      </w:r>
      <w:r>
        <w:rPr>
          <w:spacing w:val="-52"/>
        </w:rPr>
        <w:t> </w:t>
      </w:r>
      <w:r>
        <w:rPr>
          <w:rFonts w:ascii="宋体" w:hAnsi="宋体" w:cs="宋体" w:eastAsia="宋体" w:hint="default"/>
        </w:rPr>
        <w:t>10%</w:t>
      </w:r>
      <w:r>
        <w:rPr/>
        <w:t>以上的参股公司情况</w:t>
      </w:r>
    </w:p>
    <w:p>
      <w:pPr>
        <w:spacing w:line="240" w:lineRule="auto" w:before="0"/>
        <w:rPr>
          <w:rFonts w:ascii="宋体" w:hAnsi="宋体" w:cs="宋体" w:eastAsia="宋体" w:hint="default"/>
          <w:sz w:val="10"/>
          <w:szCs w:val="10"/>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600"/>
        <w:gridCol w:w="374"/>
        <w:gridCol w:w="1657"/>
        <w:gridCol w:w="1104"/>
        <w:gridCol w:w="1547"/>
        <w:gridCol w:w="1551"/>
        <w:gridCol w:w="1594"/>
        <w:gridCol w:w="1344"/>
        <w:gridCol w:w="1335"/>
      </w:tblGrid>
      <w:tr>
        <w:trPr>
          <w:trHeight w:val="1349" w:hRule="exact"/>
        </w:trPr>
        <w:tc>
          <w:tcPr>
            <w:tcW w:w="60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5" w:right="108"/>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86"/>
                <w:sz w:val="18"/>
                <w:szCs w:val="18"/>
              </w:rPr>
              <w:t> </w:t>
            </w:r>
            <w:r>
              <w:rPr>
                <w:rFonts w:ascii="宋体" w:hAnsi="宋体" w:cs="宋体" w:eastAsia="宋体" w:hint="default"/>
                <w:sz w:val="18"/>
                <w:szCs w:val="18"/>
              </w:rPr>
              <w:t>名称</w:t>
            </w:r>
          </w:p>
        </w:tc>
        <w:tc>
          <w:tcPr>
            <w:tcW w:w="37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74"/>
              <w:jc w:val="both"/>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r>
              <w:rPr>
                <w:rFonts w:ascii="宋体" w:hAnsi="宋体" w:cs="宋体" w:eastAsia="宋体" w:hint="default"/>
                <w:spacing w:val="-88"/>
                <w:sz w:val="18"/>
                <w:szCs w:val="18"/>
              </w:rPr>
              <w:t> </w:t>
            </w:r>
            <w:r>
              <w:rPr>
                <w:rFonts w:ascii="宋体" w:hAnsi="宋体" w:cs="宋体" w:eastAsia="宋体" w:hint="default"/>
                <w:sz w:val="18"/>
                <w:szCs w:val="18"/>
              </w:rPr>
              <w:t>类</w:t>
            </w:r>
            <w:r>
              <w:rPr>
                <w:rFonts w:ascii="宋体" w:hAnsi="宋体" w:cs="宋体" w:eastAsia="宋体" w:hint="default"/>
                <w:spacing w:val="-88"/>
                <w:sz w:val="18"/>
                <w:szCs w:val="18"/>
              </w:rPr>
              <w:t> </w:t>
            </w:r>
            <w:r>
              <w:rPr>
                <w:rFonts w:ascii="宋体" w:hAnsi="宋体" w:cs="宋体" w:eastAsia="宋体" w:hint="default"/>
                <w:sz w:val="18"/>
                <w:szCs w:val="18"/>
              </w:rPr>
              <w:t>型</w:t>
            </w:r>
          </w:p>
        </w:tc>
        <w:tc>
          <w:tcPr>
            <w:tcW w:w="165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4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55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4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33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2895" w:hRule="exact"/>
        </w:trPr>
        <w:tc>
          <w:tcPr>
            <w:tcW w:w="60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96" w:right="118"/>
              <w:jc w:val="both"/>
              <w:rPr>
                <w:rFonts w:ascii="宋体" w:hAnsi="宋体" w:cs="宋体" w:eastAsia="宋体" w:hint="default"/>
                <w:sz w:val="18"/>
                <w:szCs w:val="18"/>
              </w:rPr>
            </w:pPr>
            <w:r>
              <w:rPr>
                <w:rFonts w:ascii="宋体" w:hAnsi="宋体" w:cs="宋体" w:eastAsia="宋体" w:hint="default"/>
                <w:sz w:val="18"/>
                <w:szCs w:val="18"/>
              </w:rPr>
              <w:t>湖北</w:t>
            </w:r>
            <w:r>
              <w:rPr>
                <w:rFonts w:ascii="宋体" w:hAnsi="宋体" w:cs="宋体" w:eastAsia="宋体" w:hint="default"/>
                <w:spacing w:val="-86"/>
                <w:sz w:val="18"/>
                <w:szCs w:val="18"/>
              </w:rPr>
              <w:t> </w:t>
            </w:r>
            <w:r>
              <w:rPr>
                <w:rFonts w:ascii="宋体" w:hAnsi="宋体" w:cs="宋体" w:eastAsia="宋体" w:hint="default"/>
                <w:sz w:val="18"/>
                <w:szCs w:val="18"/>
              </w:rPr>
              <w:t>索瑞</w:t>
            </w:r>
            <w:r>
              <w:rPr>
                <w:rFonts w:ascii="宋体" w:hAnsi="宋体" w:cs="宋体" w:eastAsia="宋体" w:hint="default"/>
                <w:spacing w:val="-86"/>
                <w:sz w:val="18"/>
                <w:szCs w:val="18"/>
              </w:rPr>
              <w:t> </w:t>
            </w:r>
            <w:r>
              <w:rPr>
                <w:rFonts w:ascii="宋体" w:hAnsi="宋体" w:cs="宋体" w:eastAsia="宋体" w:hint="default"/>
                <w:sz w:val="18"/>
                <w:szCs w:val="18"/>
              </w:rPr>
              <w:t>电气</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105" w:right="74"/>
              <w:jc w:val="both"/>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99"/>
              <w:jc w:val="left"/>
              <w:rPr>
                <w:rFonts w:ascii="宋体" w:hAnsi="宋体" w:cs="宋体" w:eastAsia="宋体" w:hint="default"/>
                <w:sz w:val="18"/>
                <w:szCs w:val="18"/>
              </w:rPr>
            </w:pPr>
            <w:r>
              <w:rPr>
                <w:rFonts w:ascii="宋体" w:hAnsi="宋体" w:cs="宋体" w:eastAsia="宋体" w:hint="default"/>
                <w:spacing w:val="-3"/>
                <w:sz w:val="18"/>
                <w:szCs w:val="18"/>
              </w:rPr>
              <w:t>电能计量箱的设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计、生产和销售，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高低压电气成套开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关设备及控制设备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的设计、生产和销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售，电力电子产品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技术开发、应用、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销售，电力工程安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装服务</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1" w:right="0"/>
              <w:jc w:val="left"/>
              <w:rPr>
                <w:rFonts w:ascii="宋体" w:hAnsi="宋体" w:cs="宋体" w:eastAsia="宋体" w:hint="default"/>
                <w:sz w:val="18"/>
                <w:szCs w:val="18"/>
              </w:rPr>
            </w:pPr>
            <w:r>
              <w:rPr>
                <w:rFonts w:ascii="宋体"/>
                <w:sz w:val="18"/>
              </w:rPr>
              <w:t>101000000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80" w:right="0"/>
              <w:jc w:val="center"/>
              <w:rPr>
                <w:rFonts w:ascii="宋体" w:hAnsi="宋体" w:cs="宋体" w:eastAsia="宋体" w:hint="default"/>
                <w:sz w:val="18"/>
                <w:szCs w:val="18"/>
              </w:rPr>
            </w:pPr>
            <w:r>
              <w:rPr>
                <w:rFonts w:ascii="宋体"/>
                <w:sz w:val="18"/>
              </w:rPr>
              <w:t>601,960,948.35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4"/>
              <w:jc w:val="right"/>
              <w:rPr>
                <w:rFonts w:ascii="宋体" w:hAnsi="宋体" w:cs="宋体" w:eastAsia="宋体" w:hint="default"/>
                <w:sz w:val="18"/>
                <w:szCs w:val="18"/>
              </w:rPr>
            </w:pPr>
            <w:r>
              <w:rPr>
                <w:rFonts w:ascii="宋体"/>
                <w:spacing w:val="-2"/>
                <w:sz w:val="18"/>
              </w:rPr>
              <w:t>560,993,814.66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29" w:right="0"/>
              <w:jc w:val="center"/>
              <w:rPr>
                <w:rFonts w:ascii="宋体" w:hAnsi="宋体" w:cs="宋体" w:eastAsia="宋体" w:hint="default"/>
                <w:sz w:val="18"/>
                <w:szCs w:val="18"/>
              </w:rPr>
            </w:pPr>
            <w:r>
              <w:rPr>
                <w:rFonts w:ascii="宋体"/>
                <w:sz w:val="18"/>
              </w:rPr>
              <w:t>120,727,555.92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7" w:right="0"/>
              <w:jc w:val="center"/>
              <w:rPr>
                <w:rFonts w:ascii="宋体" w:hAnsi="宋体" w:cs="宋体" w:eastAsia="宋体" w:hint="default"/>
                <w:sz w:val="18"/>
                <w:szCs w:val="18"/>
              </w:rPr>
            </w:pPr>
            <w:r>
              <w:rPr>
                <w:rFonts w:ascii="宋体"/>
                <w:sz w:val="18"/>
              </w:rPr>
              <w:t>5,411,608.45</w:t>
            </w:r>
          </w:p>
        </w:tc>
        <w:tc>
          <w:tcPr>
            <w:tcW w:w="133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7" w:right="0"/>
              <w:jc w:val="center"/>
              <w:rPr>
                <w:rFonts w:ascii="宋体" w:hAnsi="宋体" w:cs="宋体" w:eastAsia="宋体" w:hint="default"/>
                <w:sz w:val="18"/>
                <w:szCs w:val="18"/>
              </w:rPr>
            </w:pPr>
            <w:r>
              <w:rPr>
                <w:rFonts w:ascii="宋体"/>
                <w:sz w:val="18"/>
              </w:rPr>
              <w:t>5,457,820.61</w:t>
            </w:r>
          </w:p>
        </w:tc>
      </w:tr>
      <w:tr>
        <w:trPr>
          <w:trHeight w:val="1964" w:hRule="exact"/>
        </w:trPr>
        <w:tc>
          <w:tcPr>
            <w:tcW w:w="600"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9"/>
              <w:ind w:left="96" w:right="118"/>
              <w:jc w:val="both"/>
              <w:rPr>
                <w:rFonts w:ascii="宋体" w:hAnsi="宋体" w:cs="宋体" w:eastAsia="宋体" w:hint="default"/>
                <w:sz w:val="18"/>
                <w:szCs w:val="18"/>
              </w:rPr>
            </w:pPr>
            <w:r>
              <w:rPr>
                <w:rFonts w:ascii="宋体" w:hAnsi="宋体" w:cs="宋体" w:eastAsia="宋体" w:hint="default"/>
                <w:sz w:val="18"/>
                <w:szCs w:val="18"/>
              </w:rPr>
              <w:t>江苏</w:t>
            </w:r>
            <w:r>
              <w:rPr>
                <w:rFonts w:ascii="宋体" w:hAnsi="宋体" w:cs="宋体" w:eastAsia="宋体" w:hint="default"/>
                <w:spacing w:val="-86"/>
                <w:sz w:val="18"/>
                <w:szCs w:val="18"/>
              </w:rPr>
              <w:t> </w:t>
            </w:r>
            <w:r>
              <w:rPr>
                <w:rFonts w:ascii="宋体" w:hAnsi="宋体" w:cs="宋体" w:eastAsia="宋体" w:hint="default"/>
                <w:sz w:val="18"/>
                <w:szCs w:val="18"/>
              </w:rPr>
              <w:t>苏源</w:t>
            </w:r>
            <w:r>
              <w:rPr>
                <w:rFonts w:ascii="宋体" w:hAnsi="宋体" w:cs="宋体" w:eastAsia="宋体" w:hint="default"/>
                <w:spacing w:val="-86"/>
                <w:sz w:val="18"/>
                <w:szCs w:val="18"/>
              </w:rPr>
              <w:t> </w:t>
            </w:r>
            <w:r>
              <w:rPr>
                <w:rFonts w:ascii="宋体" w:hAnsi="宋体" w:cs="宋体" w:eastAsia="宋体" w:hint="default"/>
                <w:sz w:val="18"/>
                <w:szCs w:val="18"/>
              </w:rPr>
              <w:t>光一</w:t>
            </w:r>
            <w:r>
              <w:rPr>
                <w:rFonts w:ascii="宋体" w:hAnsi="宋体" w:cs="宋体" w:eastAsia="宋体" w:hint="default"/>
                <w:spacing w:val="-86"/>
                <w:sz w:val="18"/>
                <w:szCs w:val="18"/>
              </w:rPr>
              <w:t> </w:t>
            </w:r>
            <w:r>
              <w:rPr>
                <w:rFonts w:ascii="宋体" w:hAnsi="宋体" w:cs="宋体" w:eastAsia="宋体" w:hint="default"/>
                <w:sz w:val="18"/>
                <w:szCs w:val="18"/>
              </w:rPr>
              <w:t>科技</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05" w:right="74"/>
              <w:jc w:val="both"/>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pacing w:val="-88"/>
                <w:sz w:val="18"/>
                <w:szCs w:val="18"/>
              </w:rPr>
              <w:t> </w:t>
            </w:r>
            <w:r>
              <w:rPr>
                <w:rFonts w:ascii="宋体" w:hAnsi="宋体" w:cs="宋体" w:eastAsia="宋体" w:hint="default"/>
                <w:sz w:val="18"/>
                <w:szCs w:val="18"/>
              </w:rPr>
              <w:t>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0" w:right="99"/>
              <w:jc w:val="both"/>
              <w:rPr>
                <w:rFonts w:ascii="宋体" w:hAnsi="宋体" w:cs="宋体" w:eastAsia="宋体" w:hint="default"/>
                <w:sz w:val="18"/>
                <w:szCs w:val="18"/>
              </w:rPr>
            </w:pPr>
            <w:r>
              <w:rPr>
                <w:rFonts w:ascii="宋体" w:hAnsi="宋体" w:cs="宋体" w:eastAsia="宋体" w:hint="default"/>
                <w:spacing w:val="-2"/>
                <w:sz w:val="18"/>
                <w:szCs w:val="18"/>
              </w:rPr>
              <w:t>电子计算机软件系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统开发、生产和销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售；能源管理；设</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备开发、生产、销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售</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1" w:right="0"/>
              <w:jc w:val="left"/>
              <w:rPr>
                <w:rFonts w:ascii="宋体" w:hAnsi="宋体" w:cs="宋体" w:eastAsia="宋体" w:hint="default"/>
                <w:sz w:val="18"/>
                <w:szCs w:val="18"/>
              </w:rPr>
            </w:pPr>
            <w:r>
              <w:rPr>
                <w:rFonts w:ascii="宋体"/>
                <w:sz w:val="18"/>
              </w:rPr>
              <w:t>30000000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80" w:right="0"/>
              <w:jc w:val="center"/>
              <w:rPr>
                <w:rFonts w:ascii="宋体" w:hAnsi="宋体" w:cs="宋体" w:eastAsia="宋体" w:hint="default"/>
                <w:sz w:val="18"/>
                <w:szCs w:val="18"/>
              </w:rPr>
            </w:pPr>
            <w:r>
              <w:rPr>
                <w:rFonts w:ascii="宋体"/>
                <w:sz w:val="18"/>
              </w:rPr>
              <w:t>168,881,018.01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4"/>
              <w:jc w:val="right"/>
              <w:rPr>
                <w:rFonts w:ascii="宋体" w:hAnsi="宋体" w:cs="宋体" w:eastAsia="宋体" w:hint="default"/>
                <w:sz w:val="18"/>
                <w:szCs w:val="18"/>
              </w:rPr>
            </w:pPr>
            <w:r>
              <w:rPr>
                <w:rFonts w:ascii="宋体"/>
                <w:spacing w:val="-2"/>
                <w:sz w:val="18"/>
              </w:rPr>
              <w:t>131,293,402.72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5" w:right="0"/>
              <w:jc w:val="center"/>
              <w:rPr>
                <w:rFonts w:ascii="宋体" w:hAnsi="宋体" w:cs="宋体" w:eastAsia="宋体" w:hint="default"/>
                <w:sz w:val="18"/>
                <w:szCs w:val="18"/>
              </w:rPr>
            </w:pPr>
            <w:r>
              <w:rPr>
                <w:rFonts w:ascii="宋体"/>
                <w:sz w:val="18"/>
              </w:rPr>
              <w:t>29,369,327.68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7" w:right="0"/>
              <w:jc w:val="center"/>
              <w:rPr>
                <w:rFonts w:ascii="宋体" w:hAnsi="宋体" w:cs="宋体" w:eastAsia="宋体" w:hint="default"/>
                <w:sz w:val="18"/>
                <w:szCs w:val="18"/>
              </w:rPr>
            </w:pPr>
            <w:r>
              <w:rPr>
                <w:rFonts w:ascii="宋体"/>
                <w:sz w:val="18"/>
              </w:rPr>
              <w:t>2,709,855.69</w:t>
            </w:r>
          </w:p>
        </w:tc>
        <w:tc>
          <w:tcPr>
            <w:tcW w:w="133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7" w:right="0"/>
              <w:jc w:val="center"/>
              <w:rPr>
                <w:rFonts w:ascii="宋体" w:hAnsi="宋体" w:cs="宋体" w:eastAsia="宋体" w:hint="default"/>
                <w:sz w:val="18"/>
                <w:szCs w:val="18"/>
              </w:rPr>
            </w:pPr>
            <w:r>
              <w:rPr>
                <w:rFonts w:ascii="宋体"/>
                <w:sz w:val="18"/>
              </w:rPr>
              <w:t>2,708,883.26</w:t>
            </w:r>
          </w:p>
        </w:tc>
      </w:tr>
      <w:tr>
        <w:trPr>
          <w:trHeight w:val="686" w:hRule="exact"/>
        </w:trPr>
        <w:tc>
          <w:tcPr>
            <w:tcW w:w="600"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3"/>
              <w:ind w:left="96" w:right="118"/>
              <w:jc w:val="left"/>
              <w:rPr>
                <w:rFonts w:ascii="宋体" w:hAnsi="宋体" w:cs="宋体" w:eastAsia="宋体" w:hint="default"/>
                <w:sz w:val="18"/>
                <w:szCs w:val="18"/>
              </w:rPr>
            </w:pPr>
            <w:r>
              <w:rPr>
                <w:rFonts w:ascii="宋体" w:hAnsi="宋体" w:cs="宋体" w:eastAsia="宋体" w:hint="default"/>
                <w:sz w:val="18"/>
                <w:szCs w:val="18"/>
              </w:rPr>
              <w:t>江苏</w:t>
            </w:r>
            <w:r>
              <w:rPr>
                <w:rFonts w:ascii="宋体" w:hAnsi="宋体" w:cs="宋体" w:eastAsia="宋体" w:hint="default"/>
                <w:spacing w:val="-86"/>
                <w:sz w:val="18"/>
                <w:szCs w:val="18"/>
              </w:rPr>
              <w:t> </w:t>
            </w:r>
            <w:r>
              <w:rPr>
                <w:rFonts w:ascii="宋体" w:hAnsi="宋体" w:cs="宋体" w:eastAsia="宋体" w:hint="default"/>
                <w:sz w:val="18"/>
                <w:szCs w:val="18"/>
              </w:rPr>
              <w:t>光一</w:t>
            </w:r>
          </w:p>
        </w:tc>
        <w:tc>
          <w:tcPr>
            <w:tcW w:w="374"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3"/>
              <w:ind w:left="105" w:right="74"/>
              <w:jc w:val="left"/>
              <w:rPr>
                <w:rFonts w:ascii="宋体" w:hAnsi="宋体" w:cs="宋体" w:eastAsia="宋体" w:hint="default"/>
                <w:sz w:val="18"/>
                <w:szCs w:val="18"/>
              </w:rPr>
            </w:pPr>
            <w:r>
              <w:rPr>
                <w:rFonts w:ascii="宋体" w:hAnsi="宋体" w:cs="宋体" w:eastAsia="宋体" w:hint="default"/>
                <w:sz w:val="18"/>
                <w:szCs w:val="18"/>
              </w:rPr>
              <w:t>子</w:t>
            </w:r>
            <w:r>
              <w:rPr>
                <w:rFonts w:ascii="宋体" w:hAnsi="宋体" w:cs="宋体" w:eastAsia="宋体" w:hint="default"/>
                <w:spacing w:val="-88"/>
                <w:sz w:val="18"/>
                <w:szCs w:val="18"/>
              </w:rPr>
              <w:t> </w:t>
            </w:r>
            <w:r>
              <w:rPr>
                <w:rFonts w:ascii="宋体" w:hAnsi="宋体" w:cs="宋体" w:eastAsia="宋体" w:hint="default"/>
                <w:sz w:val="18"/>
                <w:szCs w:val="18"/>
              </w:rPr>
              <w:t>公</w:t>
            </w:r>
          </w:p>
        </w:tc>
        <w:tc>
          <w:tcPr>
            <w:tcW w:w="1657"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承装</w:t>
            </w:r>
            <w:r>
              <w:rPr>
                <w:rFonts w:ascii="宋体" w:hAnsi="宋体" w:cs="宋体" w:eastAsia="宋体" w:hint="default"/>
                <w:sz w:val="18"/>
                <w:szCs w:val="18"/>
              </w:rPr>
              <w:t>(</w:t>
            </w:r>
            <w:r>
              <w:rPr>
                <w:rFonts w:ascii="宋体" w:hAnsi="宋体" w:cs="宋体" w:eastAsia="宋体" w:hint="default"/>
                <w:sz w:val="18"/>
                <w:szCs w:val="18"/>
              </w:rPr>
              <w:t>修</w:t>
            </w:r>
            <w:r>
              <w:rPr>
                <w:rFonts w:ascii="宋体" w:hAnsi="宋体" w:cs="宋体" w:eastAsia="宋体" w:hint="default"/>
                <w:sz w:val="18"/>
                <w:szCs w:val="18"/>
              </w:rPr>
              <w:t>)</w:t>
            </w:r>
            <w:r>
              <w:rPr>
                <w:rFonts w:ascii="宋体" w:hAnsi="宋体" w:cs="宋体" w:eastAsia="宋体" w:hint="default"/>
                <w:sz w:val="18"/>
                <w:szCs w:val="18"/>
              </w:rPr>
              <w:t>电力设</w:t>
            </w:r>
            <w:r>
              <w:rPr>
                <w:rFonts w:ascii="宋体" w:hAnsi="宋体" w:cs="宋体" w:eastAsia="宋体" w:hint="default"/>
                <w:w w:val="101"/>
                <w:sz w:val="18"/>
                <w:szCs w:val="18"/>
              </w:rPr>
              <w:t> </w:t>
            </w:r>
            <w:r>
              <w:rPr>
                <w:rFonts w:ascii="宋体" w:hAnsi="宋体" w:cs="宋体" w:eastAsia="宋体" w:hint="default"/>
                <w:spacing w:val="-12"/>
                <w:w w:val="101"/>
                <w:sz w:val="18"/>
                <w:szCs w:val="18"/>
              </w:rPr>
              <w:t>施</w:t>
            </w:r>
            <w:r>
              <w:rPr>
                <w:rFonts w:ascii="宋体" w:hAnsi="宋体" w:cs="宋体" w:eastAsia="宋体" w:hint="default"/>
                <w:spacing w:val="-12"/>
                <w:w w:val="101"/>
                <w:sz w:val="18"/>
                <w:szCs w:val="18"/>
              </w:rPr>
              <w:t>,</w:t>
            </w:r>
            <w:r>
              <w:rPr>
                <w:rFonts w:ascii="宋体" w:hAnsi="宋体" w:cs="宋体" w:eastAsia="宋体" w:hint="default"/>
                <w:spacing w:val="-12"/>
                <w:w w:val="101"/>
                <w:sz w:val="18"/>
                <w:szCs w:val="18"/>
              </w:rPr>
              <w:t>电气工程、送变</w:t>
            </w:r>
            <w:r>
              <w:rPr>
                <w:rFonts w:ascii="宋体" w:hAnsi="宋体" w:cs="宋体" w:eastAsia="宋体" w:hint="default"/>
                <w:spacing w:val="-12"/>
                <w:sz w:val="18"/>
                <w:szCs w:val="18"/>
              </w:rPr>
            </w:r>
          </w:p>
        </w:tc>
        <w:tc>
          <w:tcPr>
            <w:tcW w:w="11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sz w:val="18"/>
              </w:rPr>
              <w:t>10000000</w:t>
            </w:r>
          </w:p>
        </w:tc>
        <w:tc>
          <w:tcPr>
            <w:tcW w:w="15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0" w:right="0"/>
              <w:jc w:val="center"/>
              <w:rPr>
                <w:rFonts w:ascii="宋体" w:hAnsi="宋体" w:cs="宋体" w:eastAsia="宋体" w:hint="default"/>
                <w:sz w:val="18"/>
                <w:szCs w:val="18"/>
              </w:rPr>
            </w:pPr>
            <w:r>
              <w:rPr>
                <w:rFonts w:ascii="宋体"/>
                <w:sz w:val="18"/>
              </w:rPr>
              <w:t>166,750,460.42</w:t>
            </w:r>
          </w:p>
        </w:tc>
        <w:tc>
          <w:tcPr>
            <w:tcW w:w="15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15,469,489.97</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5" w:right="0"/>
              <w:jc w:val="center"/>
              <w:rPr>
                <w:rFonts w:ascii="宋体" w:hAnsi="宋体" w:cs="宋体" w:eastAsia="宋体" w:hint="default"/>
                <w:sz w:val="18"/>
                <w:szCs w:val="18"/>
              </w:rPr>
            </w:pPr>
            <w:r>
              <w:rPr>
                <w:rFonts w:ascii="宋体"/>
                <w:sz w:val="18"/>
              </w:rPr>
              <w:t>58,038,400.99</w:t>
            </w: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7" w:right="0"/>
              <w:jc w:val="center"/>
              <w:rPr>
                <w:rFonts w:ascii="宋体" w:hAnsi="宋体" w:cs="宋体" w:eastAsia="宋体" w:hint="default"/>
                <w:sz w:val="18"/>
                <w:szCs w:val="18"/>
              </w:rPr>
            </w:pPr>
            <w:r>
              <w:rPr>
                <w:rFonts w:ascii="宋体"/>
                <w:sz w:val="18"/>
              </w:rPr>
              <w:t>2,720,009.70</w:t>
            </w:r>
          </w:p>
        </w:tc>
        <w:tc>
          <w:tcPr>
            <w:tcW w:w="133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7" w:right="0"/>
              <w:jc w:val="center"/>
              <w:rPr>
                <w:rFonts w:ascii="宋体" w:hAnsi="宋体" w:cs="宋体" w:eastAsia="宋体" w:hint="default"/>
                <w:sz w:val="18"/>
                <w:szCs w:val="18"/>
              </w:rPr>
            </w:pPr>
            <w:r>
              <w:rPr>
                <w:rFonts w:ascii="宋体"/>
                <w:sz w:val="18"/>
              </w:rPr>
              <w:t>2,715,500.64</w:t>
            </w:r>
          </w:p>
        </w:tc>
      </w:tr>
    </w:tbl>
    <w:p>
      <w:pPr>
        <w:spacing w:after="0" w:line="240" w:lineRule="auto"/>
        <w:jc w:val="center"/>
        <w:rPr>
          <w:rFonts w:ascii="宋体" w:hAnsi="宋体" w:cs="宋体" w:eastAsia="宋体" w:hint="default"/>
          <w:sz w:val="18"/>
          <w:szCs w:val="18"/>
        </w:rPr>
        <w:sectPr>
          <w:pgSz w:w="11910" w:h="16840"/>
          <w:pgMar w:header="871" w:footer="1037" w:top="1100" w:bottom="1220" w:left="280" w:right="0"/>
        </w:sectPr>
      </w:pPr>
    </w:p>
    <w:p>
      <w:pPr>
        <w:spacing w:line="240" w:lineRule="auto" w:before="8"/>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600"/>
        <w:gridCol w:w="374"/>
        <w:gridCol w:w="1657"/>
        <w:gridCol w:w="1104"/>
        <w:gridCol w:w="1547"/>
        <w:gridCol w:w="1551"/>
        <w:gridCol w:w="1594"/>
        <w:gridCol w:w="1344"/>
        <w:gridCol w:w="1335"/>
      </w:tblGrid>
      <w:tr>
        <w:trPr>
          <w:trHeight w:val="1633" w:hRule="exact"/>
        </w:trPr>
        <w:tc>
          <w:tcPr>
            <w:tcW w:w="600" w:type="dxa"/>
            <w:tcBorders>
              <w:top w:val="single" w:sz="12" w:space="0" w:color="000000"/>
              <w:left w:val="single" w:sz="12" w:space="0" w:color="000000"/>
              <w:bottom w:val="single" w:sz="12" w:space="0" w:color="000000"/>
              <w:right w:val="single" w:sz="4" w:space="0" w:color="000000"/>
            </w:tcBorders>
          </w:tcPr>
          <w:p>
            <w:pPr>
              <w:pStyle w:val="TableParagraph"/>
              <w:spacing w:line="319" w:lineRule="auto" w:before="10"/>
              <w:ind w:left="96" w:right="118"/>
              <w:jc w:val="both"/>
              <w:rPr>
                <w:rFonts w:ascii="宋体" w:hAnsi="宋体" w:cs="宋体" w:eastAsia="宋体" w:hint="default"/>
                <w:sz w:val="18"/>
                <w:szCs w:val="18"/>
              </w:rPr>
            </w:pPr>
            <w:r>
              <w:rPr>
                <w:rFonts w:ascii="宋体" w:hAnsi="宋体" w:cs="宋体" w:eastAsia="宋体" w:hint="default"/>
                <w:sz w:val="18"/>
                <w:szCs w:val="18"/>
              </w:rPr>
              <w:t>德能</w:t>
            </w:r>
            <w:r>
              <w:rPr>
                <w:rFonts w:ascii="宋体" w:hAnsi="宋体" w:cs="宋体" w:eastAsia="宋体" w:hint="default"/>
                <w:spacing w:val="-86"/>
                <w:sz w:val="18"/>
                <w:szCs w:val="18"/>
              </w:rPr>
              <w:t> </w:t>
            </w:r>
            <w:r>
              <w:rPr>
                <w:rFonts w:ascii="宋体" w:hAnsi="宋体" w:cs="宋体" w:eastAsia="宋体" w:hint="default"/>
                <w:sz w:val="18"/>
                <w:szCs w:val="18"/>
              </w:rPr>
              <w:t>电气</w:t>
            </w:r>
            <w:r>
              <w:rPr>
                <w:rFonts w:ascii="宋体" w:hAnsi="宋体" w:cs="宋体" w:eastAsia="宋体" w:hint="default"/>
                <w:spacing w:val="-86"/>
                <w:sz w:val="18"/>
                <w:szCs w:val="18"/>
              </w:rPr>
              <w:t> </w:t>
            </w:r>
            <w:r>
              <w:rPr>
                <w:rFonts w:ascii="宋体" w:hAnsi="宋体" w:cs="宋体" w:eastAsia="宋体" w:hint="default"/>
                <w:sz w:val="18"/>
                <w:szCs w:val="18"/>
              </w:rPr>
              <w:t>工程</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374"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657" w:type="dxa"/>
            <w:tcBorders>
              <w:top w:val="single" w:sz="12" w:space="0" w:color="000000"/>
              <w:left w:val="single" w:sz="4" w:space="0" w:color="000000"/>
              <w:bottom w:val="single" w:sz="12" w:space="0" w:color="000000"/>
              <w:right w:val="single" w:sz="4" w:space="0" w:color="000000"/>
            </w:tcBorders>
          </w:tcPr>
          <w:p>
            <w:pPr>
              <w:pStyle w:val="TableParagraph"/>
              <w:spacing w:line="319" w:lineRule="auto" w:before="10"/>
              <w:ind w:left="100" w:right="99"/>
              <w:jc w:val="left"/>
              <w:rPr>
                <w:rFonts w:ascii="宋体" w:hAnsi="宋体" w:cs="宋体" w:eastAsia="宋体" w:hint="default"/>
                <w:sz w:val="18"/>
                <w:szCs w:val="18"/>
              </w:rPr>
            </w:pPr>
            <w:r>
              <w:rPr>
                <w:rFonts w:ascii="宋体" w:hAnsi="宋体" w:cs="宋体" w:eastAsia="宋体" w:hint="default"/>
                <w:spacing w:val="-2"/>
                <w:sz w:val="18"/>
                <w:szCs w:val="18"/>
              </w:rPr>
              <w:t>电工程、机电设备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安装工程的施工</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电力技术咨询</w:t>
            </w:r>
          </w:p>
        </w:tc>
        <w:tc>
          <w:tcPr>
            <w:tcW w:w="1104" w:type="dxa"/>
            <w:tcBorders>
              <w:top w:val="single" w:sz="12" w:space="0" w:color="000000"/>
              <w:left w:val="single" w:sz="4" w:space="0" w:color="000000"/>
              <w:bottom w:val="single" w:sz="12" w:space="0" w:color="000000"/>
              <w:right w:val="single" w:sz="4" w:space="0" w:color="000000"/>
            </w:tcBorders>
          </w:tcPr>
          <w:p>
            <w:pPr/>
          </w:p>
        </w:tc>
        <w:tc>
          <w:tcPr>
            <w:tcW w:w="1547" w:type="dxa"/>
            <w:tcBorders>
              <w:top w:val="single" w:sz="12" w:space="0" w:color="000000"/>
              <w:left w:val="single" w:sz="4" w:space="0" w:color="000000"/>
              <w:bottom w:val="single" w:sz="12" w:space="0" w:color="000000"/>
              <w:right w:val="single" w:sz="4" w:space="0" w:color="000000"/>
            </w:tcBorders>
          </w:tcPr>
          <w:p>
            <w:pPr/>
          </w:p>
        </w:tc>
        <w:tc>
          <w:tcPr>
            <w:tcW w:w="1551" w:type="dxa"/>
            <w:tcBorders>
              <w:top w:val="single" w:sz="12" w:space="0" w:color="000000"/>
              <w:left w:val="single" w:sz="4" w:space="0" w:color="000000"/>
              <w:bottom w:val="single" w:sz="12" w:space="0" w:color="000000"/>
              <w:right w:val="single" w:sz="4" w:space="0" w:color="000000"/>
            </w:tcBorders>
          </w:tcPr>
          <w:p>
            <w:pPr/>
          </w:p>
        </w:tc>
        <w:tc>
          <w:tcPr>
            <w:tcW w:w="1594" w:type="dxa"/>
            <w:tcBorders>
              <w:top w:val="single" w:sz="12" w:space="0" w:color="000000"/>
              <w:left w:val="single" w:sz="4" w:space="0" w:color="000000"/>
              <w:bottom w:val="single" w:sz="12" w:space="0" w:color="000000"/>
              <w:right w:val="single" w:sz="4" w:space="0" w:color="000000"/>
            </w:tcBorders>
          </w:tcPr>
          <w:p>
            <w:pPr/>
          </w:p>
        </w:tc>
        <w:tc>
          <w:tcPr>
            <w:tcW w:w="1344" w:type="dxa"/>
            <w:tcBorders>
              <w:top w:val="single" w:sz="12" w:space="0" w:color="000000"/>
              <w:left w:val="single" w:sz="4" w:space="0" w:color="000000"/>
              <w:bottom w:val="single" w:sz="12" w:space="0" w:color="000000"/>
              <w:right w:val="single" w:sz="4" w:space="0" w:color="000000"/>
            </w:tcBorders>
          </w:tcPr>
          <w:p>
            <w:pPr/>
          </w:p>
        </w:tc>
        <w:tc>
          <w:tcPr>
            <w:tcW w:w="1335" w:type="dxa"/>
            <w:tcBorders>
              <w:top w:val="single" w:sz="12" w:space="0" w:color="000000"/>
              <w:left w:val="single" w:sz="4" w:space="0" w:color="000000"/>
              <w:bottom w:val="single" w:sz="12" w:space="0" w:color="000000"/>
              <w:right w:val="single" w:sz="12" w:space="0" w:color="000000"/>
            </w:tcBorders>
          </w:tcPr>
          <w:p>
            <w:pPr/>
          </w:p>
        </w:tc>
      </w:tr>
    </w:tbl>
    <w:p>
      <w:pPr>
        <w:pStyle w:val="BodyText"/>
        <w:spacing w:line="240" w:lineRule="auto" w:before="66"/>
        <w:ind w:left="853" w:right="1114"/>
        <w:jc w:val="left"/>
      </w:pPr>
      <w:r>
        <w:rPr/>
        <w:t>报告期内取得和处置子公司的情况</w:t>
      </w:r>
    </w:p>
    <w:p>
      <w:pPr>
        <w:spacing w:line="240" w:lineRule="auto" w:before="8"/>
        <w:rPr>
          <w:rFonts w:ascii="宋体" w:hAnsi="宋体" w:cs="宋体" w:eastAsia="宋体" w:hint="default"/>
          <w:sz w:val="14"/>
          <w:szCs w:val="14"/>
        </w:rPr>
      </w:pPr>
    </w:p>
    <w:p>
      <w:pPr>
        <w:pStyle w:val="BodyText"/>
        <w:spacing w:line="240" w:lineRule="auto"/>
        <w:ind w:left="853" w:right="1114"/>
        <w:jc w:val="left"/>
      </w:pPr>
      <w:r>
        <w:rPr/>
        <w:t>√ 适用 □</w:t>
      </w:r>
      <w:r>
        <w:rPr>
          <w:spacing w:val="4"/>
        </w:rPr>
        <w:t> </w:t>
      </w:r>
      <w:r>
        <w:rPr/>
        <w:t>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tbl>
      <w:tblPr>
        <w:tblW w:w="0" w:type="auto"/>
        <w:jc w:val="left"/>
        <w:tblInd w:w="838" w:type="dxa"/>
        <w:tblLayout w:type="fixed"/>
        <w:tblCellMar>
          <w:top w:w="0" w:type="dxa"/>
          <w:left w:w="0" w:type="dxa"/>
          <w:bottom w:w="0" w:type="dxa"/>
          <w:right w:w="0" w:type="dxa"/>
        </w:tblCellMar>
        <w:tblLook w:val="01E0"/>
      </w:tblPr>
      <w:tblGrid>
        <w:gridCol w:w="3188"/>
        <w:gridCol w:w="3193"/>
        <w:gridCol w:w="3193"/>
      </w:tblGrid>
      <w:tr>
        <w:trPr>
          <w:trHeight w:val="410"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417"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江苏德能电力设计咨询有限公司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光一数道（北京）科技有限公司</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3193" w:type="dxa"/>
            <w:tcBorders>
              <w:top w:val="single" w:sz="4" w:space="0" w:color="000000"/>
              <w:left w:val="single" w:sz="4" w:space="0" w:color="000000"/>
              <w:bottom w:val="single" w:sz="12" w:space="0" w:color="000000"/>
              <w:right w:val="single" w:sz="12" w:space="0" w:color="000000"/>
            </w:tcBorders>
          </w:tcPr>
          <w:p>
            <w:pPr/>
          </w:p>
        </w:tc>
      </w:tr>
    </w:tbl>
    <w:p>
      <w:pPr>
        <w:pStyle w:val="Heading2"/>
        <w:spacing w:line="240" w:lineRule="auto" w:before="42"/>
        <w:ind w:left="853" w:right="1114"/>
        <w:jc w:val="left"/>
        <w:rPr>
          <w:b w:val="0"/>
          <w:bCs w:val="0"/>
        </w:rPr>
      </w:pPr>
      <w:bookmarkStart w:name="八、公司控制的结构化主体情况" w:id="58"/>
      <w:bookmarkEnd w:id="58"/>
      <w:r>
        <w:rPr>
          <w:b w:val="0"/>
          <w:bCs w:val="0"/>
        </w:rPr>
      </w:r>
      <w:r>
        <w:rPr/>
        <w:t>八、公司控制的结构化主体情况</w:t>
      </w:r>
      <w:r>
        <w:rPr>
          <w:b w:val="0"/>
          <w:bCs w:val="0"/>
        </w:rPr>
      </w:r>
    </w:p>
    <w:p>
      <w:pPr>
        <w:pStyle w:val="BodyText"/>
        <w:spacing w:line="240" w:lineRule="auto" w:before="177"/>
        <w:ind w:left="958" w:right="1114"/>
        <w:jc w:val="left"/>
      </w:pPr>
      <w:r>
        <w:rPr/>
        <w:t>√适用 □</w:t>
      </w:r>
      <w:r>
        <w:rPr>
          <w:spacing w:val="4"/>
        </w:rPr>
        <w:t> </w:t>
      </w:r>
      <w:r>
        <w:rPr/>
        <w:t>不适用</w:t>
      </w:r>
    </w:p>
    <w:p>
      <w:pPr>
        <w:spacing w:line="240" w:lineRule="auto" w:before="12"/>
        <w:rPr>
          <w:rFonts w:ascii="宋体" w:hAnsi="宋体" w:cs="宋体" w:eastAsia="宋体" w:hint="default"/>
          <w:sz w:val="14"/>
          <w:szCs w:val="14"/>
        </w:rPr>
      </w:pPr>
    </w:p>
    <w:p>
      <w:pPr>
        <w:pStyle w:val="BodyText"/>
        <w:spacing w:line="408" w:lineRule="auto"/>
        <w:ind w:left="853" w:right="1114" w:firstLine="422"/>
        <w:jc w:val="left"/>
      </w:pPr>
      <w:r>
        <w:rPr>
          <w:rFonts w:ascii="宋体" w:hAnsi="宋体" w:cs="宋体" w:eastAsia="宋体" w:hint="default"/>
        </w:rPr>
        <w:t>2018</w:t>
      </w:r>
      <w:r>
        <w:rPr>
          <w:rFonts w:ascii="宋体" w:hAnsi="宋体" w:cs="宋体" w:eastAsia="宋体" w:hint="default"/>
          <w:spacing w:val="-52"/>
        </w:rPr>
        <w:t> </w:t>
      </w:r>
      <w:r>
        <w:rPr/>
        <w:t>年公司通过子公司江苏光一贵仁股权投资基金管理有限公司与无锡金投领航产业升级并购投资</w:t>
      </w:r>
      <w:r>
        <w:rPr>
          <w:w w:val="100"/>
        </w:rPr>
        <w:t> </w:t>
      </w:r>
      <w:r>
        <w:rPr>
          <w:spacing w:val="-7"/>
          <w:w w:val="100"/>
        </w:rPr>
        <w:t>企业（有限合伙）共同发起设立了产业并购基金“南京领航光一科技产业投资合伙企业（有限合伙）”，其</w:t>
      </w:r>
      <w:r>
        <w:rPr>
          <w:spacing w:val="-69"/>
          <w:w w:val="100"/>
        </w:rPr>
        <w:t> </w:t>
      </w:r>
      <w:r>
        <w:rPr>
          <w:spacing w:val="-69"/>
          <w:w w:val="100"/>
        </w:rPr>
      </w:r>
      <w:r>
        <w:rPr>
          <w:spacing w:val="-3"/>
        </w:rPr>
        <w:t>中无锡金投领航产业升级并购投资企业（有限合伙）做为优先级合伙人出资</w:t>
      </w:r>
      <w:r>
        <w:rPr>
          <w:spacing w:val="-28"/>
        </w:rPr>
        <w:t> </w:t>
      </w:r>
      <w:r>
        <w:rPr>
          <w:rFonts w:ascii="宋体" w:hAnsi="宋体" w:cs="宋体" w:eastAsia="宋体" w:hint="default"/>
        </w:rPr>
        <w:t>2</w:t>
      </w:r>
      <w:r>
        <w:rPr>
          <w:rFonts w:ascii="宋体" w:hAnsi="宋体" w:cs="宋体" w:eastAsia="宋体" w:hint="default"/>
          <w:spacing w:val="-31"/>
        </w:rPr>
        <w:t> </w:t>
      </w:r>
      <w:r>
        <w:rPr>
          <w:spacing w:val="-4"/>
        </w:rPr>
        <w:t>亿元人民币，并享有复利</w:t>
      </w:r>
      <w:r>
        <w:rPr>
          <w:spacing w:val="-31"/>
        </w:rPr>
        <w:t> </w:t>
      </w:r>
      <w:r>
        <w:rPr>
          <w:rFonts w:ascii="宋体" w:hAnsi="宋体" w:cs="宋体" w:eastAsia="宋体" w:hint="default"/>
        </w:rPr>
        <w:t>8%</w:t>
      </w:r>
      <w:r>
        <w:rPr>
          <w:rFonts w:ascii="宋体" w:hAnsi="宋体" w:cs="宋体" w:eastAsia="宋体" w:hint="default"/>
          <w:spacing w:val="-101"/>
        </w:rPr>
        <w:t> </w:t>
      </w:r>
      <w:r>
        <w:rPr>
          <w:spacing w:val="-2"/>
        </w:rPr>
        <w:t>的门槛收益率，光一科技并为此提供了差额补足及远期回购增信的措施。对于纳入合并范围的重要的结构</w:t>
      </w:r>
      <w:r>
        <w:rPr>
          <w:spacing w:val="-33"/>
        </w:rPr>
        <w:t> </w:t>
      </w:r>
      <w:r>
        <w:rPr>
          <w:spacing w:val="-33"/>
        </w:rPr>
      </w:r>
      <w:r>
        <w:rPr>
          <w:spacing w:val="-2"/>
        </w:rPr>
        <w:t>化主体，本公司拥有对其的绝对、完全、独占的投资标的主导选择权，优先级合伙人无权撤销公司投资标</w:t>
      </w:r>
      <w:r>
        <w:rPr>
          <w:spacing w:val="-33"/>
        </w:rPr>
        <w:t> </w:t>
      </w:r>
      <w:r>
        <w:rPr>
          <w:spacing w:val="-33"/>
        </w:rPr>
      </w:r>
      <w:r>
        <w:rPr>
          <w:spacing w:val="-2"/>
        </w:rPr>
        <w:t>的选取的权力，公司能够对其实施控制；并且本公司承担了该结构化主体大部分的可变收益；因此本公司</w:t>
      </w:r>
      <w:r>
        <w:rPr>
          <w:spacing w:val="-31"/>
        </w:rPr>
        <w:t> </w:t>
      </w:r>
      <w:r>
        <w:rPr>
          <w:spacing w:val="-31"/>
        </w:rPr>
      </w:r>
      <w:r>
        <w:rPr/>
        <w:t>将该其纳入合并范围。</w:t>
      </w:r>
    </w:p>
    <w:p>
      <w:pPr>
        <w:pStyle w:val="Heading2"/>
        <w:spacing w:line="240" w:lineRule="auto" w:before="18"/>
        <w:ind w:left="853" w:right="1114"/>
        <w:jc w:val="left"/>
        <w:rPr>
          <w:b w:val="0"/>
          <w:bCs w:val="0"/>
        </w:rPr>
      </w:pPr>
      <w:bookmarkStart w:name="九、公司未来发展的展望" w:id="59"/>
      <w:bookmarkEnd w:id="59"/>
      <w:r>
        <w:rPr>
          <w:b w:val="0"/>
          <w:bCs w:val="0"/>
        </w:rPr>
      </w:r>
      <w:r>
        <w:rPr/>
        <w:t>九、公司未来发展的展望</w:t>
      </w:r>
      <w:r>
        <w:rPr>
          <w:b w:val="0"/>
          <w:bCs w:val="0"/>
        </w:rPr>
      </w:r>
    </w:p>
    <w:p>
      <w:pPr>
        <w:pStyle w:val="BodyText"/>
        <w:spacing w:line="408" w:lineRule="auto" w:before="181"/>
        <w:ind w:left="853" w:right="1114" w:firstLine="422"/>
        <w:jc w:val="left"/>
      </w:pPr>
      <w:r>
        <w:rPr>
          <w:rFonts w:ascii="宋体" w:hAnsi="宋体" w:cs="宋体" w:eastAsia="宋体" w:hint="default"/>
        </w:rPr>
        <w:t>2020</w:t>
      </w:r>
      <w:r>
        <w:rPr>
          <w:rFonts w:ascii="宋体" w:hAnsi="宋体" w:cs="宋体" w:eastAsia="宋体" w:hint="default"/>
          <w:spacing w:val="21"/>
        </w:rPr>
        <w:t> </w:t>
      </w:r>
      <w:r>
        <w:rPr>
          <w:spacing w:val="-4"/>
        </w:rPr>
        <w:t>年，电力业务发挥电力信息化产品优势，深度融入泛在电力物联网建设；版权云业务实现较大的</w:t>
      </w:r>
      <w:r>
        <w:rPr>
          <w:w w:val="100"/>
        </w:rPr>
        <w:t> </w:t>
      </w:r>
      <w:r>
        <w:rPr/>
        <w:t>收入和利润增长；健康信息服务与重点医疗机构合作，推广医联体协同系统项目和衍生数据业务。</w:t>
      </w:r>
    </w:p>
    <w:p>
      <w:pPr>
        <w:pStyle w:val="BodyText"/>
        <w:spacing w:line="405" w:lineRule="auto" w:before="48"/>
        <w:ind w:left="1275" w:right="8859"/>
        <w:jc w:val="left"/>
      </w:pPr>
      <w:r>
        <w:rPr/>
        <w:t>（一）电力业务</w:t>
      </w:r>
      <w:r>
        <w:rPr>
          <w:spacing w:val="-102"/>
        </w:rPr>
        <w:t> </w:t>
      </w:r>
      <w:r>
        <w:rPr>
          <w:spacing w:val="-102"/>
        </w:rPr>
      </w:r>
      <w:r>
        <w:rPr>
          <w:rFonts w:ascii="宋体" w:hAnsi="宋体" w:cs="宋体" w:eastAsia="宋体" w:hint="default"/>
        </w:rPr>
        <w:t>1</w:t>
      </w:r>
      <w:r>
        <w:rPr/>
        <w:t>、市场工作</w:t>
      </w:r>
    </w:p>
    <w:p>
      <w:pPr>
        <w:pStyle w:val="BodyText"/>
        <w:spacing w:line="408" w:lineRule="auto" w:before="51"/>
        <w:ind w:left="853" w:right="0" w:firstLine="422"/>
        <w:jc w:val="left"/>
      </w:pPr>
      <w:r>
        <w:rPr/>
        <w:t>努力构建新的市场渠道，加强销售队伍建设，完成电表业务整合，重新进入国网常规中标企业行列；</w:t>
      </w:r>
      <w:r>
        <w:rPr>
          <w:w w:val="100"/>
        </w:rPr>
        <w:t> </w:t>
      </w:r>
      <w:r>
        <w:rPr>
          <w:spacing w:val="-2"/>
        </w:rPr>
        <w:t>计量表箱业务做深做透成熟市场，加强南网市场销售工作，提升销售规模，夺回市场龙头地位；用采终端</w:t>
      </w:r>
      <w:r>
        <w:rPr>
          <w:spacing w:val="-33"/>
        </w:rPr>
        <w:t> </w:t>
      </w:r>
      <w:r>
        <w:rPr>
          <w:spacing w:val="-33"/>
        </w:rPr>
      </w:r>
      <w:r>
        <w:rPr>
          <w:spacing w:val="-2"/>
        </w:rPr>
        <w:t>业务加强国网体系内公司履约能力，抓好市场调研和市场预测，有效运用信息情报，提高预测能力，建立</w:t>
      </w:r>
      <w:r>
        <w:rPr>
          <w:spacing w:val="-33"/>
        </w:rPr>
        <w:t> </w:t>
      </w:r>
      <w:r>
        <w:rPr>
          <w:spacing w:val="-33"/>
        </w:rPr>
      </w:r>
      <w:r>
        <w:rPr/>
        <w:t>电力行业发展信息网络体系，为新产品规划提供可靠依据，确保年度经营指标的完成。</w:t>
      </w:r>
    </w:p>
    <w:p>
      <w:pPr>
        <w:pStyle w:val="BodyText"/>
        <w:spacing w:line="405" w:lineRule="auto" w:before="49"/>
        <w:ind w:left="1275" w:right="1114"/>
        <w:jc w:val="left"/>
      </w:pPr>
      <w:r>
        <w:rPr>
          <w:rFonts w:ascii="宋体" w:hAnsi="宋体" w:cs="宋体" w:eastAsia="宋体" w:hint="default"/>
        </w:rPr>
        <w:t>2</w:t>
      </w:r>
      <w:r>
        <w:rPr/>
        <w:t>、新产品研发</w:t>
      </w:r>
      <w:r>
        <w:rPr>
          <w:spacing w:val="-103"/>
        </w:rPr>
        <w:t> </w:t>
      </w:r>
      <w:r>
        <w:rPr>
          <w:spacing w:val="-103"/>
        </w:rPr>
      </w:r>
      <w:r>
        <w:rPr>
          <w:spacing w:val="-2"/>
        </w:rPr>
        <w:t>新产品开发已经成为公司获取可持续发展的关键，只有不断创新，为公司创造出适合市场需求的新产</w:t>
      </w:r>
    </w:p>
    <w:p>
      <w:pPr>
        <w:spacing w:after="0" w:line="405" w:lineRule="auto"/>
        <w:jc w:val="left"/>
        <w:sectPr>
          <w:pgSz w:w="11910" w:h="16840"/>
          <w:pgMar w:header="871" w:footer="1037" w:top="1100" w:bottom="1220" w:left="280" w:right="0"/>
        </w:sectPr>
      </w:pPr>
    </w:p>
    <w:p>
      <w:pPr>
        <w:spacing w:line="240" w:lineRule="auto" w:before="12"/>
        <w:rPr>
          <w:rFonts w:ascii="宋体" w:hAnsi="宋体" w:cs="宋体" w:eastAsia="宋体" w:hint="default"/>
          <w:sz w:val="26"/>
          <w:szCs w:val="26"/>
        </w:rPr>
      </w:pPr>
    </w:p>
    <w:p>
      <w:pPr>
        <w:pStyle w:val="BodyText"/>
        <w:spacing w:line="408" w:lineRule="auto" w:before="36"/>
        <w:ind w:right="1123"/>
        <w:jc w:val="both"/>
      </w:pPr>
      <w:r>
        <w:rPr>
          <w:spacing w:val="-2"/>
        </w:rPr>
        <w:t>品，才能在日益激烈的竞争市场中取得一席之地。我们以现有业务为基础，紧跟泛在电力物联网建设和行</w:t>
      </w:r>
      <w:r>
        <w:rPr>
          <w:spacing w:val="-31"/>
        </w:rPr>
        <w:t> </w:t>
      </w:r>
      <w:r>
        <w:rPr>
          <w:spacing w:val="-31"/>
        </w:rPr>
      </w:r>
      <w:r>
        <w:rPr>
          <w:spacing w:val="-4"/>
        </w:rPr>
        <w:t>业发展趋势，完善产品结构，获得产品资质，为以后公司的发展打下基础。</w:t>
      </w:r>
      <w:r>
        <w:rPr>
          <w:rFonts w:ascii="宋体" w:hAnsi="宋体" w:cs="宋体" w:eastAsia="宋体" w:hint="default"/>
          <w:spacing w:val="-4"/>
        </w:rPr>
        <w:t>2020 </w:t>
      </w:r>
      <w:r>
        <w:rPr/>
        <w:t>年度内电力本体完成新一</w:t>
      </w:r>
      <w:r>
        <w:rPr>
          <w:spacing w:val="-82"/>
        </w:rPr>
        <w:t> </w:t>
      </w:r>
      <w:r>
        <w:rPr>
          <w:spacing w:val="-82"/>
        </w:rPr>
      </w:r>
      <w:r>
        <w:rPr/>
        <w:t>代智能电表产品融合，完成具有</w:t>
      </w:r>
      <w:r>
        <w:rPr>
          <w:spacing w:val="-60"/>
        </w:rPr>
        <w:t> </w:t>
      </w:r>
      <w:r>
        <w:rPr>
          <w:rFonts w:ascii="宋体" w:hAnsi="宋体" w:cs="宋体" w:eastAsia="宋体" w:hint="default"/>
        </w:rPr>
        <w:t>3</w:t>
      </w:r>
      <w:r>
        <w:rPr>
          <w:rFonts w:ascii="宋体" w:hAnsi="宋体" w:cs="宋体" w:eastAsia="宋体" w:hint="default"/>
          <w:spacing w:val="-64"/>
        </w:rPr>
        <w:t> </w:t>
      </w:r>
      <w:r>
        <w:rPr/>
        <w:t>年市场规模的新产品开发；索瑞电气改善在线监测终端、周转柜产品方</w:t>
      </w:r>
      <w:r>
        <w:rPr>
          <w:w w:val="100"/>
        </w:rPr>
        <w:t> </w:t>
      </w:r>
      <w:r>
        <w:rPr/>
        <w:t>案，形成第二产品支柱。</w:t>
      </w:r>
    </w:p>
    <w:p>
      <w:pPr>
        <w:pStyle w:val="BodyText"/>
        <w:spacing w:line="240" w:lineRule="auto" w:before="48"/>
        <w:ind w:left="575" w:right="1024"/>
        <w:jc w:val="left"/>
      </w:pPr>
      <w:r>
        <w:rPr/>
        <w:t>（二）版权云业务</w:t>
      </w:r>
    </w:p>
    <w:p>
      <w:pPr>
        <w:spacing w:line="240" w:lineRule="auto" w:before="8"/>
        <w:rPr>
          <w:rFonts w:ascii="宋体" w:hAnsi="宋体" w:cs="宋体" w:eastAsia="宋体" w:hint="default"/>
          <w:sz w:val="14"/>
          <w:szCs w:val="14"/>
        </w:rPr>
      </w:pPr>
    </w:p>
    <w:p>
      <w:pPr>
        <w:pStyle w:val="BodyText"/>
        <w:spacing w:line="410" w:lineRule="auto"/>
        <w:ind w:right="1024" w:firstLine="422"/>
        <w:jc w:val="left"/>
      </w:pPr>
      <w:r>
        <w:rPr>
          <w:spacing w:val="-2"/>
        </w:rPr>
        <w:t>加快数字内容超算中心二、三期建设。深入研究文创渲染行业、</w:t>
      </w:r>
      <w:r>
        <w:rPr>
          <w:rFonts w:ascii="宋体" w:hAnsi="宋体" w:cs="宋体" w:eastAsia="宋体" w:hint="default"/>
          <w:spacing w:val="-2"/>
        </w:rPr>
        <w:t>IDC</w:t>
      </w:r>
      <w:r>
        <w:rPr>
          <w:rFonts w:ascii="宋体" w:hAnsi="宋体" w:cs="宋体" w:eastAsia="宋体" w:hint="default"/>
          <w:spacing w:val="23"/>
        </w:rPr>
        <w:t> </w:t>
      </w:r>
      <w:r>
        <w:rPr>
          <w:spacing w:val="-2"/>
        </w:rPr>
        <w:t>行业的发展情况和趋势，加快与</w:t>
      </w:r>
      <w:r>
        <w:rPr>
          <w:w w:val="100"/>
        </w:rPr>
        <w:t> </w:t>
      </w:r>
      <w:r>
        <w:rPr/>
        <w:t>贵安大学城管委会、瑞云科技、翔明科技等合作伙伴的谈判进度，推动二、三期数据中心工作。</w:t>
      </w:r>
    </w:p>
    <w:p>
      <w:pPr>
        <w:pStyle w:val="BodyText"/>
        <w:spacing w:line="408" w:lineRule="auto" w:before="41"/>
        <w:ind w:right="1122" w:firstLine="422"/>
        <w:jc w:val="both"/>
      </w:pPr>
      <w:r>
        <w:rPr>
          <w:spacing w:val="-2"/>
        </w:rPr>
        <w:t>拓展数据应用及汇聚。多渠道寻求贵州文创、教育、旅游、金融等数据信息的合作，推动开展基于自</w:t>
      </w:r>
      <w:r>
        <w:rPr>
          <w:w w:val="100"/>
        </w:rPr>
        <w:t> </w:t>
      </w:r>
      <w:r>
        <w:rPr>
          <w:spacing w:val="-2"/>
        </w:rPr>
        <w:t>有数据中心的数据汇聚。探索国产操作系统、云平台、云桌面、云服务器、数据存储、数据采集物联网等</w:t>
      </w:r>
      <w:r>
        <w:rPr>
          <w:spacing w:val="-33"/>
        </w:rPr>
        <w:t> </w:t>
      </w:r>
      <w:r>
        <w:rPr>
          <w:spacing w:val="-33"/>
        </w:rPr>
      </w:r>
      <w:r>
        <w:rPr/>
        <w:t>系统集成的分销业务，扩大主营业务收入来源。</w:t>
      </w:r>
    </w:p>
    <w:p>
      <w:pPr>
        <w:pStyle w:val="BodyText"/>
        <w:spacing w:line="405" w:lineRule="auto" w:before="48"/>
        <w:ind w:left="575" w:right="4644"/>
        <w:jc w:val="left"/>
      </w:pPr>
      <w:r>
        <w:rPr/>
        <w:t>（三）健康信息服务业务</w:t>
      </w:r>
      <w:r>
        <w:rPr>
          <w:spacing w:val="-102"/>
        </w:rPr>
        <w:t> </w:t>
      </w:r>
      <w:r>
        <w:rPr>
          <w:spacing w:val="-102"/>
        </w:rPr>
      </w:r>
      <w:r>
        <w:rPr>
          <w:rFonts w:ascii="宋体" w:hAnsi="宋体" w:cs="宋体" w:eastAsia="宋体" w:hint="default"/>
          <w:spacing w:val="-2"/>
        </w:rPr>
        <w:t>1</w:t>
      </w:r>
      <w:r>
        <w:rPr>
          <w:spacing w:val="-2"/>
        </w:rPr>
        <w:t>、健康信息服务业务继续深入推进医联体协同服务</w:t>
      </w:r>
    </w:p>
    <w:p>
      <w:pPr>
        <w:pStyle w:val="BodyText"/>
        <w:spacing w:line="408" w:lineRule="auto" w:before="50"/>
        <w:ind w:right="1024" w:firstLine="422"/>
        <w:jc w:val="left"/>
      </w:pPr>
      <w:r>
        <w:rPr>
          <w:spacing w:val="-2"/>
        </w:rPr>
        <w:t>云商天下继续以南京医科大学转化医学研究院医工融合平台为抓手，深入推进三甲医院与基层医疗机</w:t>
      </w:r>
      <w:r>
        <w:rPr>
          <w:w w:val="100"/>
        </w:rPr>
        <w:t> </w:t>
      </w:r>
      <w:r>
        <w:rPr/>
        <w:t>构的数据资源共享和业务协同，健全基于互联网</w:t>
      </w:r>
      <w:r>
        <w:rPr>
          <w:rFonts w:ascii="宋体" w:hAnsi="宋体" w:cs="宋体" w:eastAsia="宋体" w:hint="default"/>
        </w:rPr>
        <w:t>+</w:t>
      </w:r>
      <w:r>
        <w:rPr/>
        <w:t>的诊疗信息系统，延伸放大三甲医院的服务能力，有针</w:t>
      </w:r>
      <w:r>
        <w:rPr>
          <w:w w:val="100"/>
        </w:rPr>
        <w:t> </w:t>
      </w:r>
      <w:r>
        <w:rPr/>
        <w:t>对性地促进“重心下移、资源下沉”</w:t>
      </w:r>
      <w:r>
        <w:rPr>
          <w:rFonts w:ascii="宋体" w:hAnsi="宋体" w:cs="宋体" w:eastAsia="宋体" w:hint="default"/>
        </w:rPr>
        <w:t>,</w:t>
      </w:r>
      <w:r>
        <w:rPr/>
        <w:t>创建“紧密型医联体”的模式。逐步建立起妇幼保健服务优质资源</w:t>
      </w:r>
      <w:r>
        <w:rPr>
          <w:w w:val="100"/>
        </w:rPr>
        <w:t> </w:t>
      </w:r>
      <w:r>
        <w:rPr/>
        <w:t>共享体系，向母婴市场参与者提供数据技术服务，实现业务增值升级。</w:t>
      </w:r>
    </w:p>
    <w:p>
      <w:pPr>
        <w:pStyle w:val="BodyText"/>
        <w:spacing w:line="408" w:lineRule="auto" w:before="48"/>
        <w:ind w:right="1024" w:firstLine="422"/>
        <w:jc w:val="left"/>
      </w:pPr>
      <w:r>
        <w:rPr>
          <w:spacing w:val="-2"/>
        </w:rPr>
        <w:t>以区域家庭医生服务定制开发为基础，进行业务迭代升级。通过互联网</w:t>
      </w:r>
      <w:r>
        <w:rPr>
          <w:rFonts w:ascii="宋体" w:hAnsi="宋体" w:cs="宋体" w:eastAsia="宋体" w:hint="default"/>
          <w:spacing w:val="-2"/>
        </w:rPr>
        <w:t>+</w:t>
      </w:r>
      <w:r>
        <w:rPr>
          <w:spacing w:val="-2"/>
        </w:rPr>
        <w:t>整合上下级医院，为跨区域</w:t>
      </w:r>
      <w:r>
        <w:rPr>
          <w:w w:val="100"/>
        </w:rPr>
        <w:t> </w:t>
      </w:r>
      <w:r>
        <w:rPr/>
        <w:t>多家基层医疗机构提供协作服务，提高基层诊疗水平，实现分级诊疗落地。</w:t>
      </w:r>
    </w:p>
    <w:p>
      <w:pPr>
        <w:pStyle w:val="BodyText"/>
        <w:spacing w:line="405" w:lineRule="auto" w:before="48"/>
        <w:ind w:left="575" w:right="1024"/>
        <w:jc w:val="left"/>
      </w:pPr>
      <w:r>
        <w:rPr>
          <w:rFonts w:ascii="宋体" w:hAnsi="宋体" w:cs="宋体" w:eastAsia="宋体" w:hint="default"/>
        </w:rPr>
        <w:t>2</w:t>
      </w:r>
      <w:r>
        <w:rPr/>
        <w:t>、智慧园区迭代产品，为重点产业的上下游生态链提供智能协同。</w:t>
      </w:r>
      <w:r>
        <w:rPr>
          <w:w w:val="100"/>
        </w:rPr>
        <w:t> </w:t>
      </w:r>
      <w:r>
        <w:rPr>
          <w:spacing w:val="-2"/>
        </w:rPr>
        <w:t>云商天下将继续对智慧园区产品进行细化，增加多维度的管理内容和方式，着力于园区服务中的产业</w:t>
      </w:r>
    </w:p>
    <w:p>
      <w:pPr>
        <w:pStyle w:val="BodyText"/>
        <w:spacing w:line="398" w:lineRule="auto" w:before="51"/>
        <w:ind w:right="1198"/>
        <w:jc w:val="left"/>
        <w:rPr>
          <w:rFonts w:ascii="宋体" w:hAnsi="宋体" w:cs="宋体" w:eastAsia="宋体" w:hint="default"/>
          <w:sz w:val="24"/>
          <w:szCs w:val="24"/>
        </w:rPr>
      </w:pPr>
      <w:r>
        <w:rPr/>
        <w:t>生态发展、企业健康、基于</w:t>
      </w:r>
      <w:r>
        <w:rPr>
          <w:spacing w:val="-51"/>
        </w:rPr>
        <w:t> </w:t>
      </w:r>
      <w:r>
        <w:rPr>
          <w:rFonts w:ascii="宋体" w:hAnsi="宋体" w:cs="宋体" w:eastAsia="宋体" w:hint="default"/>
        </w:rPr>
        <w:t>AI</w:t>
      </w:r>
      <w:r>
        <w:rPr>
          <w:rFonts w:ascii="宋体" w:hAnsi="宋体" w:cs="宋体" w:eastAsia="宋体" w:hint="default"/>
          <w:spacing w:val="-56"/>
        </w:rPr>
        <w:t> </w:t>
      </w:r>
      <w:r>
        <w:rPr/>
        <w:t>的智能分析等方面的内容。围绕园区整体经营管理与企业全生命周期管理</w:t>
      </w:r>
      <w:r>
        <w:rPr>
          <w:w w:val="100"/>
        </w:rPr>
        <w:t> </w:t>
      </w:r>
      <w:r>
        <w:rPr/>
        <w:t>等功能，实现智慧园区管理业务升级。为园区重点产业的上下游生态链提供智能协同。</w:t>
      </w:r>
      <w:r>
        <w:rPr>
          <w:spacing w:val="-103"/>
        </w:rPr>
        <w:t> </w:t>
      </w:r>
      <w:r>
        <w:rPr>
          <w:spacing w:val="-103"/>
        </w:rPr>
      </w:r>
      <w:bookmarkStart w:name="十、接待调研、沟通、采访等活动登记表" w:id="60"/>
      <w:bookmarkEnd w:id="60"/>
      <w:r>
        <w:rPr>
          <w:spacing w:val="-103"/>
        </w:rPr>
      </w:r>
      <w:r>
        <w:rPr>
          <w:rFonts w:ascii="宋体" w:hAnsi="宋体" w:cs="宋体" w:eastAsia="宋体" w:hint="default"/>
          <w:b/>
          <w:bCs/>
          <w:sz w:val="24"/>
          <w:szCs w:val="24"/>
        </w:rPr>
        <w:t>十、接待调研、沟通、采访等活动登记表</w:t>
      </w:r>
      <w:r>
        <w:rPr>
          <w:rFonts w:ascii="宋体" w:hAnsi="宋体" w:cs="宋体" w:eastAsia="宋体" w:hint="default"/>
          <w:sz w:val="24"/>
          <w:szCs w:val="24"/>
        </w:rPr>
      </w:r>
    </w:p>
    <w:p>
      <w:pPr>
        <w:pStyle w:val="Heading4"/>
        <w:spacing w:line="240" w:lineRule="auto" w:before="18"/>
        <w:ind w:right="1024"/>
        <w:jc w:val="left"/>
        <w:rPr>
          <w:b w:val="0"/>
          <w:bCs w:val="0"/>
        </w:rPr>
      </w:pPr>
      <w:bookmarkStart w:name="1、报告期内接待调研、沟通、采访等活动登记表" w:id="61"/>
      <w:bookmarkEnd w:id="61"/>
      <w:r>
        <w:rPr>
          <w:b w:val="0"/>
          <w:bCs w:val="0"/>
        </w:rPr>
      </w:r>
      <w:r>
        <w:rPr>
          <w:rFonts w:ascii="宋体" w:hAnsi="宋体" w:cs="宋体" w:eastAsia="宋体" w:hint="default"/>
        </w:rPr>
        <w:t>1</w:t>
      </w:r>
      <w:r>
        <w:rPr/>
        <w:t>、报告期内接待调研、沟通、采访等活动登记表</w:t>
      </w:r>
      <w:r>
        <w:rPr>
          <w:b w:val="0"/>
          <w:bCs w:val="0"/>
        </w:rPr>
      </w:r>
    </w:p>
    <w:p>
      <w:pPr>
        <w:spacing w:line="240" w:lineRule="auto" w:before="13"/>
        <w:rPr>
          <w:rFonts w:ascii="宋体" w:hAnsi="宋体" w:cs="宋体" w:eastAsia="宋体" w:hint="default"/>
          <w:b/>
          <w:bCs/>
          <w:sz w:val="14"/>
          <w:szCs w:val="14"/>
        </w:rPr>
      </w:pPr>
    </w:p>
    <w:p>
      <w:pPr>
        <w:pStyle w:val="BodyText"/>
        <w:spacing w:line="240" w:lineRule="auto"/>
        <w:ind w:right="1024"/>
        <w:jc w:val="left"/>
      </w:pPr>
      <w:bookmarkStart w:name="□ 适用 √ 不适用" w:id="62"/>
      <w:bookmarkEnd w:id="62"/>
      <w:r>
        <w:rPr/>
      </w:r>
      <w:r>
        <w:rPr/>
        <w:t>□ 适用 √</w:t>
      </w:r>
      <w:r>
        <w:rPr>
          <w:spacing w:val="4"/>
        </w:rPr>
        <w:t> </w:t>
      </w:r>
      <w:r>
        <w:rPr/>
        <w:t>不适用</w:t>
      </w:r>
    </w:p>
    <w:p>
      <w:pPr>
        <w:spacing w:after="0" w:line="240" w:lineRule="auto"/>
        <w:jc w:val="left"/>
        <w:sectPr>
          <w:pgSz w:w="11910" w:h="16840"/>
          <w:pgMar w:header="871" w:footer="1037" w:top="110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0" w:right="973"/>
        <w:jc w:val="center"/>
        <w:rPr>
          <w:b w:val="0"/>
          <w:bCs w:val="0"/>
        </w:rPr>
      </w:pPr>
      <w:bookmarkStart w:name="第五节 重要事项" w:id="63"/>
      <w:bookmarkEnd w:id="63"/>
      <w:r>
        <w:rPr>
          <w:b w:val="0"/>
          <w:bCs w:val="0"/>
        </w:rPr>
      </w:r>
      <w:bookmarkStart w:name="_bookmark4" w:id="64"/>
      <w:bookmarkEnd w:id="64"/>
      <w:r>
        <w:rPr>
          <w:b w:val="0"/>
          <w:bCs w:val="0"/>
        </w:rPr>
      </w:r>
      <w:r>
        <w:rPr/>
        <w:t>第五节</w:t>
      </w:r>
      <w:r>
        <w:rPr>
          <w:spacing w:val="-1"/>
        </w:rPr>
        <w:t> </w:t>
      </w:r>
      <w:r>
        <w:rPr/>
        <w:t>重要事项</w:t>
      </w:r>
      <w:r>
        <w:rPr>
          <w:b w:val="0"/>
          <w:bCs w:val="0"/>
        </w:rPr>
      </w:r>
    </w:p>
    <w:p>
      <w:pPr>
        <w:spacing w:line="240" w:lineRule="auto" w:before="12"/>
        <w:rPr>
          <w:rFonts w:ascii="宋体" w:hAnsi="宋体" w:cs="宋体" w:eastAsia="宋体" w:hint="default"/>
          <w:b/>
          <w:bCs/>
          <w:sz w:val="44"/>
          <w:szCs w:val="44"/>
        </w:rPr>
      </w:pPr>
    </w:p>
    <w:p>
      <w:pPr>
        <w:pStyle w:val="Heading2"/>
        <w:spacing w:line="240" w:lineRule="auto"/>
        <w:ind w:right="1024"/>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pStyle w:val="BodyText"/>
        <w:spacing w:line="240" w:lineRule="auto" w:before="177"/>
        <w:ind w:right="1024"/>
        <w:jc w:val="left"/>
      </w:pPr>
      <w:bookmarkStart w:name="报告期内普通股利润分配政策，特别是现金分红政策的制定、执行或调整情况" w:id="66"/>
      <w:bookmarkEnd w:id="66"/>
      <w:r>
        <w:rPr/>
      </w:r>
      <w:r>
        <w:rPr/>
        <w:t>报告期内普通股利润分配政策，特别是现金分红政策的制定、执行或调整情况</w:t>
      </w:r>
    </w:p>
    <w:p>
      <w:pPr>
        <w:spacing w:line="240" w:lineRule="auto" w:before="12"/>
        <w:rPr>
          <w:rFonts w:ascii="宋体" w:hAnsi="宋体" w:cs="宋体" w:eastAsia="宋体" w:hint="default"/>
          <w:sz w:val="14"/>
          <w:szCs w:val="14"/>
        </w:rPr>
      </w:pPr>
    </w:p>
    <w:p>
      <w:pPr>
        <w:pStyle w:val="BodyText"/>
        <w:spacing w:line="408" w:lineRule="auto"/>
        <w:ind w:right="1024"/>
        <w:jc w:val="left"/>
      </w:pPr>
      <w:bookmarkStart w:name="□ 适用 √ 不适用" w:id="67"/>
      <w:bookmarkEnd w:id="67"/>
      <w:r>
        <w:rPr/>
      </w:r>
      <w:r>
        <w:rPr/>
        <w:t>□ 适用 √ 不适用</w:t>
      </w:r>
      <w:r>
        <w:rPr>
          <w:spacing w:val="-101"/>
        </w:rPr>
        <w:t> </w:t>
      </w:r>
      <w:r>
        <w:rPr>
          <w:spacing w:val="-101"/>
        </w:rPr>
      </w:r>
      <w:bookmarkStart w:name="公司报告期利润分配预案及资本公积金转增股本预案与公司章程和分红管理办法等的相关规" w:id="68"/>
      <w:bookmarkEnd w:id="68"/>
      <w:r>
        <w:rPr>
          <w:spacing w:val="-2"/>
        </w:rPr>
        <w:t>公司报告</w:t>
      </w:r>
      <w:r>
        <w:rPr>
          <w:spacing w:val="-2"/>
        </w:rPr>
        <w:t>期利润分配预案及资本公积金转增股本预案与公司章程和分红管理办法等的相关规定一致</w:t>
      </w:r>
    </w:p>
    <w:p>
      <w:pPr>
        <w:pStyle w:val="BodyText"/>
        <w:spacing w:line="408" w:lineRule="auto" w:before="48"/>
        <w:ind w:right="1109"/>
        <w:jc w:val="left"/>
      </w:pPr>
      <w:bookmarkStart w:name="√ 是 □ 否 □ 不适用" w:id="69"/>
      <w:bookmarkEnd w:id="69"/>
      <w:r>
        <w:rPr/>
      </w:r>
      <w:r>
        <w:rPr/>
        <w:t>√ 是 □</w:t>
      </w:r>
      <w:r>
        <w:rPr>
          <w:spacing w:val="1"/>
        </w:rPr>
        <w:t> </w:t>
      </w:r>
      <w:r>
        <w:rPr/>
        <w:t>否</w:t>
      </w:r>
      <w:r>
        <w:rPr>
          <w:spacing w:val="-5"/>
        </w:rPr>
        <w:t> </w:t>
      </w:r>
      <w:r>
        <w:rPr/>
        <w:t>□ 不适用</w:t>
      </w:r>
      <w:r>
        <w:rPr>
          <w:spacing w:val="-101"/>
        </w:rPr>
        <w:t> </w:t>
      </w:r>
      <w:r>
        <w:rPr>
          <w:spacing w:val="-101"/>
        </w:rPr>
      </w:r>
      <w:bookmarkStart w:name="公司报告期利润分配预案及资本公积金转增股本预案符合公司章程等的相关规定。" w:id="70"/>
      <w:bookmarkEnd w:id="70"/>
      <w:r>
        <w:rPr>
          <w:spacing w:val="-2"/>
        </w:rPr>
        <w:t>公司报告</w:t>
      </w:r>
      <w:r>
        <w:rPr>
          <w:spacing w:val="-2"/>
        </w:rPr>
        <w:t>期利润分配预案及资本公积金转增股本预案符合公司章程等的相关规定。</w:t>
      </w:r>
      <w:r>
        <w:rPr>
          <w:spacing w:val="-30"/>
        </w:rPr>
        <w:t> </w:t>
      </w:r>
      <w:r>
        <w:rPr>
          <w:spacing w:val="-30"/>
        </w:rPr>
      </w:r>
      <w:bookmarkStart w:name="本年度利润分配及资本公积金转增股本情况" w:id="71"/>
      <w:bookmarkEnd w:id="71"/>
      <w:r>
        <w:rPr/>
        <w:t>本年度利</w:t>
      </w:r>
      <w:r>
        <w:rPr/>
        <w:t>润分配及资本公积金转增股本情况</w:t>
      </w:r>
    </w:p>
    <w:p>
      <w:pPr>
        <w:spacing w:before="3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5090"/>
        <w:gridCol w:w="4480"/>
      </w:tblGrid>
      <w:tr>
        <w:trPr>
          <w:trHeight w:val="413" w:hRule="exact"/>
        </w:trPr>
        <w:tc>
          <w:tcPr>
            <w:tcW w:w="509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股送红股数（股）</w:t>
            </w:r>
          </w:p>
        </w:tc>
        <w:tc>
          <w:tcPr>
            <w:tcW w:w="448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w w:val="101"/>
                <w:sz w:val="18"/>
              </w:rPr>
              <w:t>0</w:t>
            </w:r>
            <w:r>
              <w:rPr>
                <w:rFonts w:ascii="宋体"/>
                <w:sz w:val="18"/>
              </w:rPr>
            </w:r>
          </w:p>
        </w:tc>
      </w:tr>
      <w:tr>
        <w:trPr>
          <w:trHeight w:val="403" w:hRule="exact"/>
        </w:trPr>
        <w:tc>
          <w:tcPr>
            <w:tcW w:w="50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宋体" w:hAnsi="宋体" w:cs="宋体" w:eastAsia="宋体" w:hint="default"/>
                <w:w w:val="101"/>
                <w:sz w:val="18"/>
                <w:szCs w:val="18"/>
              </w:rPr>
              <w:t>10</w:t>
            </w:r>
            <w:r>
              <w:rPr>
                <w:rFonts w:ascii="宋体" w:hAnsi="宋体" w:cs="宋体" w:eastAsia="宋体" w:hint="default"/>
                <w:spacing w:val="-47"/>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4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0.00</w:t>
            </w:r>
          </w:p>
        </w:tc>
      </w:tr>
      <w:tr>
        <w:trPr>
          <w:trHeight w:val="399" w:hRule="exact"/>
        </w:trPr>
        <w:tc>
          <w:tcPr>
            <w:tcW w:w="50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每 </w:t>
            </w:r>
            <w:r>
              <w:rPr>
                <w:rFonts w:ascii="宋体" w:hAnsi="宋体" w:cs="宋体" w:eastAsia="宋体" w:hint="default"/>
                <w:sz w:val="18"/>
                <w:szCs w:val="18"/>
              </w:rPr>
              <w:t>10</w:t>
            </w:r>
            <w:r>
              <w:rPr>
                <w:rFonts w:ascii="宋体" w:hAnsi="宋体" w:cs="宋体" w:eastAsia="宋体" w:hint="default"/>
                <w:spacing w:val="-67"/>
                <w:sz w:val="18"/>
                <w:szCs w:val="18"/>
              </w:rPr>
              <w:t> </w:t>
            </w:r>
            <w:r>
              <w:rPr>
                <w:rFonts w:ascii="宋体" w:hAnsi="宋体" w:cs="宋体" w:eastAsia="宋体" w:hint="default"/>
                <w:spacing w:val="-3"/>
                <w:sz w:val="18"/>
                <w:szCs w:val="18"/>
              </w:rPr>
              <w:t>股转增数（股）</w:t>
            </w:r>
          </w:p>
        </w:tc>
        <w:tc>
          <w:tcPr>
            <w:tcW w:w="4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w w:val="101"/>
                <w:sz w:val="18"/>
              </w:rPr>
              <w:t>0</w:t>
            </w:r>
            <w:r>
              <w:rPr>
                <w:rFonts w:ascii="宋体"/>
                <w:sz w:val="18"/>
              </w:rPr>
            </w:r>
          </w:p>
        </w:tc>
      </w:tr>
      <w:tr>
        <w:trPr>
          <w:trHeight w:val="403" w:hRule="exact"/>
        </w:trPr>
        <w:tc>
          <w:tcPr>
            <w:tcW w:w="50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4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411,118,370</w:t>
            </w:r>
          </w:p>
        </w:tc>
      </w:tr>
      <w:tr>
        <w:trPr>
          <w:trHeight w:val="403" w:hRule="exact"/>
        </w:trPr>
        <w:tc>
          <w:tcPr>
            <w:tcW w:w="50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4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0.00</w:t>
            </w:r>
          </w:p>
        </w:tc>
      </w:tr>
      <w:tr>
        <w:trPr>
          <w:trHeight w:val="403" w:hRule="exact"/>
        </w:trPr>
        <w:tc>
          <w:tcPr>
            <w:tcW w:w="50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4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0.00</w:t>
            </w:r>
          </w:p>
        </w:tc>
      </w:tr>
      <w:tr>
        <w:trPr>
          <w:trHeight w:val="711" w:hRule="exact"/>
        </w:trPr>
        <w:tc>
          <w:tcPr>
            <w:tcW w:w="50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4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89"/>
              <w:jc w:val="right"/>
              <w:rPr>
                <w:rFonts w:ascii="宋体" w:hAnsi="宋体" w:cs="宋体" w:eastAsia="宋体" w:hint="default"/>
                <w:sz w:val="18"/>
                <w:szCs w:val="18"/>
              </w:rPr>
            </w:pPr>
            <w:r>
              <w:rPr>
                <w:rFonts w:ascii="宋体"/>
                <w:w w:val="101"/>
                <w:sz w:val="18"/>
              </w:rPr>
              <w:t>0</w:t>
            </w:r>
            <w:r>
              <w:rPr>
                <w:rFonts w:ascii="宋体"/>
                <w:sz w:val="18"/>
              </w:rPr>
            </w:r>
          </w:p>
        </w:tc>
      </w:tr>
      <w:tr>
        <w:trPr>
          <w:trHeight w:val="403" w:hRule="exact"/>
        </w:trPr>
        <w:tc>
          <w:tcPr>
            <w:tcW w:w="50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-14,535.66</w:t>
            </w:r>
          </w:p>
        </w:tc>
      </w:tr>
      <w:tr>
        <w:trPr>
          <w:trHeight w:val="408" w:hRule="exact"/>
        </w:trPr>
        <w:tc>
          <w:tcPr>
            <w:tcW w:w="509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现金分红总额（含其他方式）占利润分配总额的比例</w:t>
            </w:r>
          </w:p>
        </w:tc>
        <w:tc>
          <w:tcPr>
            <w:tcW w:w="44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0.00%</w:t>
            </w:r>
          </w:p>
        </w:tc>
      </w:tr>
      <w:tr>
        <w:trPr>
          <w:trHeight w:val="398" w:hRule="exact"/>
        </w:trPr>
        <w:tc>
          <w:tcPr>
            <w:tcW w:w="9570" w:type="dxa"/>
            <w:gridSpan w:val="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99" w:hRule="exact"/>
        </w:trPr>
        <w:tc>
          <w:tcPr>
            <w:tcW w:w="9570" w:type="dxa"/>
            <w:gridSpan w:val="2"/>
            <w:tcBorders>
              <w:top w:val="single" w:sz="4" w:space="0" w:color="000000"/>
              <w:left w:val="single" w:sz="12" w:space="0" w:color="000000"/>
              <w:bottom w:val="single" w:sz="4" w:space="0" w:color="000000"/>
              <w:right w:val="single" w:sz="12"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9570" w:type="dxa"/>
            <w:gridSpan w:val="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3"/>
              <w:ind w:left="2880"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2012" w:hRule="exact"/>
        </w:trPr>
        <w:tc>
          <w:tcPr>
            <w:tcW w:w="9570" w:type="dxa"/>
            <w:gridSpan w:val="2"/>
            <w:tcBorders>
              <w:top w:val="single" w:sz="4" w:space="0" w:color="000000"/>
              <w:left w:val="single" w:sz="12" w:space="0" w:color="000000"/>
              <w:bottom w:val="single" w:sz="12" w:space="0" w:color="000000"/>
              <w:right w:val="single" w:sz="12" w:space="0" w:color="000000"/>
            </w:tcBorders>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经众华会计师事务所（特殊普通合伙）审计，公司 </w:t>
            </w:r>
            <w:r>
              <w:rPr>
                <w:rFonts w:ascii="宋体" w:hAnsi="宋体" w:cs="宋体" w:eastAsia="宋体" w:hint="default"/>
                <w:sz w:val="18"/>
                <w:szCs w:val="18"/>
              </w:rPr>
              <w:t>2019 </w:t>
            </w:r>
            <w:r>
              <w:rPr>
                <w:rFonts w:ascii="宋体" w:hAnsi="宋体" w:cs="宋体" w:eastAsia="宋体" w:hint="default"/>
                <w:spacing w:val="-3"/>
                <w:sz w:val="18"/>
                <w:szCs w:val="18"/>
              </w:rPr>
              <w:t>年度归属于上市公司股东的净利润 </w:t>
            </w:r>
            <w:r>
              <w:rPr>
                <w:rFonts w:ascii="宋体" w:hAnsi="宋体" w:cs="宋体" w:eastAsia="宋体" w:hint="default"/>
                <w:sz w:val="18"/>
                <w:szCs w:val="18"/>
              </w:rPr>
              <w:t>2,519.42</w:t>
            </w:r>
            <w:r>
              <w:rPr>
                <w:rFonts w:ascii="宋体" w:hAnsi="宋体" w:cs="宋体" w:eastAsia="宋体" w:hint="default"/>
                <w:spacing w:val="-55"/>
                <w:sz w:val="18"/>
                <w:szCs w:val="18"/>
              </w:rPr>
              <w:t> </w:t>
            </w:r>
            <w:r>
              <w:rPr>
                <w:rFonts w:ascii="宋体" w:hAnsi="宋体" w:cs="宋体" w:eastAsia="宋体" w:hint="default"/>
                <w:spacing w:val="-3"/>
                <w:sz w:val="18"/>
                <w:szCs w:val="18"/>
              </w:rPr>
              <w:t>万元；母公司</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sz w:val="18"/>
                <w:szCs w:val="18"/>
              </w:rPr>
              <w:t>实现净利润</w:t>
            </w:r>
            <w:r>
              <w:rPr>
                <w:rFonts w:ascii="宋体" w:hAnsi="宋体" w:cs="宋体" w:eastAsia="宋体" w:hint="default"/>
                <w:spacing w:val="-40"/>
                <w:sz w:val="18"/>
                <w:szCs w:val="18"/>
              </w:rPr>
              <w:t> </w:t>
            </w:r>
            <w:r>
              <w:rPr>
                <w:rFonts w:ascii="宋体" w:hAnsi="宋体" w:cs="宋体" w:eastAsia="宋体" w:hint="default"/>
                <w:sz w:val="18"/>
                <w:szCs w:val="18"/>
              </w:rPr>
              <w:t>2,725.10</w:t>
            </w:r>
            <w:r>
              <w:rPr>
                <w:rFonts w:ascii="宋体" w:hAnsi="宋体" w:cs="宋体" w:eastAsia="宋体" w:hint="default"/>
                <w:spacing w:val="-40"/>
                <w:sz w:val="18"/>
                <w:szCs w:val="18"/>
              </w:rPr>
              <w:t> </w:t>
            </w:r>
            <w:r>
              <w:rPr>
                <w:rFonts w:ascii="宋体" w:hAnsi="宋体" w:cs="宋体" w:eastAsia="宋体" w:hint="default"/>
                <w:sz w:val="18"/>
                <w:szCs w:val="18"/>
              </w:rPr>
              <w:t>万元，期初未分配利润</w:t>
            </w:r>
            <w:r>
              <w:rPr>
                <w:rFonts w:ascii="宋体" w:hAnsi="宋体" w:cs="宋体" w:eastAsia="宋体" w:hint="default"/>
                <w:sz w:val="18"/>
                <w:szCs w:val="18"/>
              </w:rPr>
              <w:t>-17,260.76</w:t>
            </w:r>
            <w:r>
              <w:rPr>
                <w:rFonts w:ascii="宋体" w:hAnsi="宋体" w:cs="宋体" w:eastAsia="宋体" w:hint="default"/>
                <w:spacing w:val="-46"/>
                <w:sz w:val="18"/>
                <w:szCs w:val="18"/>
              </w:rPr>
              <w:t> </w:t>
            </w:r>
            <w:r>
              <w:rPr>
                <w:rFonts w:ascii="宋体" w:hAnsi="宋体" w:cs="宋体" w:eastAsia="宋体" w:hint="default"/>
                <w:sz w:val="18"/>
                <w:szCs w:val="18"/>
              </w:rPr>
              <w:t>万元；截至</w:t>
            </w:r>
            <w:r>
              <w:rPr>
                <w:rFonts w:ascii="宋体" w:hAnsi="宋体" w:cs="宋体" w:eastAsia="宋体" w:hint="default"/>
                <w:spacing w:val="-40"/>
                <w:sz w:val="18"/>
                <w:szCs w:val="18"/>
              </w:rPr>
              <w:t> </w:t>
            </w: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pacing w:val="-3"/>
                <w:sz w:val="18"/>
                <w:szCs w:val="18"/>
              </w:rPr>
              <w:t>日可供公司股东分配的利润</w:t>
            </w:r>
          </w:p>
          <w:p>
            <w:pPr>
              <w:pStyle w:val="TableParagraph"/>
              <w:spacing w:line="352" w:lineRule="auto" w:before="81"/>
              <w:ind w:left="455" w:right="81" w:hanging="360"/>
              <w:jc w:val="left"/>
              <w:rPr>
                <w:rFonts w:ascii="宋体" w:hAnsi="宋体" w:cs="宋体" w:eastAsia="宋体" w:hint="default"/>
                <w:sz w:val="18"/>
                <w:szCs w:val="18"/>
              </w:rPr>
            </w:pPr>
            <w:r>
              <w:rPr>
                <w:rFonts w:ascii="宋体" w:hAnsi="宋体" w:cs="宋体" w:eastAsia="宋体" w:hint="default"/>
                <w:sz w:val="18"/>
                <w:szCs w:val="18"/>
              </w:rPr>
              <w:t>-14,535.66</w:t>
            </w:r>
            <w:r>
              <w:rPr>
                <w:rFonts w:ascii="宋体" w:hAnsi="宋体" w:cs="宋体" w:eastAsia="宋体" w:hint="default"/>
                <w:spacing w:val="-52"/>
                <w:sz w:val="18"/>
                <w:szCs w:val="18"/>
              </w:rPr>
              <w:t> </w:t>
            </w:r>
            <w:r>
              <w:rPr>
                <w:rFonts w:ascii="宋体" w:hAnsi="宋体" w:cs="宋体" w:eastAsia="宋体" w:hint="default"/>
                <w:spacing w:val="-3"/>
                <w:sz w:val="18"/>
                <w:szCs w:val="18"/>
              </w:rPr>
              <w:t>万元，公司资本公积金余额</w:t>
            </w:r>
            <w:r>
              <w:rPr>
                <w:rFonts w:ascii="宋体" w:hAnsi="宋体" w:cs="宋体" w:eastAsia="宋体" w:hint="default"/>
                <w:spacing w:val="-47"/>
                <w:sz w:val="18"/>
                <w:szCs w:val="18"/>
              </w:rPr>
              <w:t> </w:t>
            </w:r>
            <w:r>
              <w:rPr>
                <w:rFonts w:ascii="宋体" w:hAnsi="宋体" w:cs="宋体" w:eastAsia="宋体" w:hint="default"/>
                <w:sz w:val="18"/>
                <w:szCs w:val="18"/>
              </w:rPr>
              <w:t>75,984.26</w:t>
            </w:r>
            <w:r>
              <w:rPr>
                <w:rFonts w:ascii="宋体" w:hAnsi="宋体" w:cs="宋体" w:eastAsia="宋体" w:hint="default"/>
                <w:spacing w:val="-47"/>
                <w:sz w:val="18"/>
                <w:szCs w:val="18"/>
              </w:rPr>
              <w:t> </w:t>
            </w:r>
            <w:r>
              <w:rPr>
                <w:rFonts w:ascii="宋体" w:hAnsi="宋体" w:cs="宋体" w:eastAsia="宋体" w:hint="default"/>
                <w:sz w:val="18"/>
                <w:szCs w:val="18"/>
              </w:rPr>
              <w:t>万元。</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6"/>
                <w:w w:val="101"/>
                <w:sz w:val="18"/>
                <w:szCs w:val="18"/>
              </w:rPr>
              <w:t>根据《公司法》、《公司章程》的有关规定，为增强公司抵御风险的能力，实现公司持续、稳定、健康发展，更好地</w:t>
            </w:r>
            <w:r>
              <w:rPr>
                <w:rFonts w:ascii="宋体" w:hAnsi="宋体" w:cs="宋体" w:eastAsia="宋体" w:hint="default"/>
                <w:spacing w:val="-6"/>
                <w:sz w:val="18"/>
                <w:szCs w:val="18"/>
              </w:rPr>
            </w:r>
          </w:p>
          <w:p>
            <w:pPr>
              <w:pStyle w:val="TableParagraph"/>
              <w:spacing w:line="321" w:lineRule="auto"/>
              <w:ind w:left="95" w:right="166"/>
              <w:jc w:val="left"/>
              <w:rPr>
                <w:rFonts w:ascii="宋体" w:hAnsi="宋体" w:cs="宋体" w:eastAsia="宋体" w:hint="default"/>
                <w:sz w:val="18"/>
                <w:szCs w:val="18"/>
              </w:rPr>
            </w:pPr>
            <w:r>
              <w:rPr>
                <w:rFonts w:ascii="宋体" w:hAnsi="宋体" w:cs="宋体" w:eastAsia="宋体" w:hint="default"/>
                <w:spacing w:val="-3"/>
                <w:sz w:val="18"/>
                <w:szCs w:val="18"/>
              </w:rPr>
              <w:t>维护全体股东的长远利益，从公司实际出发，公司董事会提议 </w:t>
            </w:r>
            <w:r>
              <w:rPr>
                <w:rFonts w:ascii="宋体" w:hAnsi="宋体" w:cs="宋体" w:eastAsia="宋体" w:hint="default"/>
                <w:sz w:val="18"/>
                <w:szCs w:val="18"/>
              </w:rPr>
              <w:t>2019 </w:t>
            </w:r>
            <w:r>
              <w:rPr>
                <w:rFonts w:ascii="宋体" w:hAnsi="宋体" w:cs="宋体" w:eastAsia="宋体" w:hint="default"/>
                <w:spacing w:val="-3"/>
                <w:sz w:val="18"/>
                <w:szCs w:val="18"/>
              </w:rPr>
              <w:t>年度不进行利润分配，也不进行资本公积金转增股</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本。</w:t>
            </w:r>
          </w:p>
        </w:tc>
      </w:tr>
    </w:tbl>
    <w:p>
      <w:pPr>
        <w:spacing w:after="0" w:line="321" w:lineRule="auto"/>
        <w:jc w:val="left"/>
        <w:rPr>
          <w:rFonts w:ascii="宋体" w:hAnsi="宋体" w:cs="宋体" w:eastAsia="宋体" w:hint="default"/>
          <w:sz w:val="18"/>
          <w:szCs w:val="18"/>
        </w:rPr>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240" w:lineRule="auto" w:before="36"/>
        <w:ind w:left="393" w:right="1106"/>
        <w:jc w:val="left"/>
      </w:pPr>
      <w:bookmarkStart w:name="公司近3年（包括本报告期）的普通股股利分配方案（预案）、资本公积金转增股本方案（" w:id="72"/>
      <w:bookmarkEnd w:id="72"/>
      <w:r>
        <w:rPr/>
      </w:r>
      <w:r>
        <w:rPr/>
        <w:t>公司近</w:t>
      </w:r>
      <w:r>
        <w:rPr>
          <w:spacing w:val="-54"/>
        </w:rPr>
        <w:t> </w:t>
      </w:r>
      <w:r>
        <w:rPr>
          <w:rFonts w:ascii="宋体" w:hAnsi="宋体" w:cs="宋体" w:eastAsia="宋体" w:hint="default"/>
        </w:rPr>
        <w:t>3</w:t>
      </w:r>
      <w:r>
        <w:rPr>
          <w:rFonts w:ascii="宋体" w:hAnsi="宋体" w:cs="宋体" w:eastAsia="宋体" w:hint="default"/>
          <w:spacing w:val="-53"/>
        </w:rPr>
        <w:t> </w:t>
      </w:r>
      <w:r>
        <w:rPr/>
        <w:t>年（包括本报告期）的普通股股利分配方案（预案）、资本公积金转增股本方案（预案）情况</w:t>
      </w:r>
    </w:p>
    <w:p>
      <w:pPr>
        <w:spacing w:line="240" w:lineRule="auto" w:before="8"/>
        <w:rPr>
          <w:rFonts w:ascii="宋体" w:hAnsi="宋体" w:cs="宋体" w:eastAsia="宋体" w:hint="default"/>
          <w:sz w:val="14"/>
          <w:szCs w:val="14"/>
        </w:rPr>
      </w:pPr>
    </w:p>
    <w:p>
      <w:pPr>
        <w:pStyle w:val="BodyText"/>
        <w:spacing w:line="410" w:lineRule="auto"/>
        <w:ind w:left="393" w:right="1106" w:firstLine="422"/>
        <w:jc w:val="left"/>
      </w:pPr>
      <w:bookmarkStart w:name="①2019年度利润分配预案：2019年度不进行利润分配，也不进行资本公积金转增股" w:id="73"/>
      <w:bookmarkEnd w:id="73"/>
      <w:r>
        <w:rPr/>
      </w:r>
      <w:r>
        <w:rPr/>
        <w:t>①</w:t>
      </w:r>
      <w:r>
        <w:rPr>
          <w:rFonts w:ascii="宋体" w:hAnsi="宋体" w:cs="宋体" w:eastAsia="宋体" w:hint="default"/>
        </w:rPr>
        <w:t>2019 </w:t>
      </w:r>
      <w:r>
        <w:rPr/>
        <w:t>年度利润分配预案：</w:t>
      </w:r>
      <w:r>
        <w:rPr>
          <w:rFonts w:ascii="宋体" w:hAnsi="宋体" w:cs="宋体" w:eastAsia="宋体" w:hint="default"/>
        </w:rPr>
        <w:t>2019</w:t>
      </w:r>
      <w:r>
        <w:rPr>
          <w:rFonts w:ascii="宋体" w:hAnsi="宋体" w:cs="宋体" w:eastAsia="宋体" w:hint="default"/>
          <w:spacing w:val="-17"/>
        </w:rPr>
        <w:t> </w:t>
      </w:r>
      <w:r>
        <w:rPr/>
        <w:t>年度不进行利润分配，也不进行资本公积金转增股本，公司未分配</w:t>
      </w:r>
      <w:r>
        <w:rPr>
          <w:w w:val="100"/>
        </w:rPr>
        <w:t> </w:t>
      </w:r>
      <w:r>
        <w:rPr/>
        <w:t>利润用于补充公司流动资金。</w:t>
      </w:r>
    </w:p>
    <w:p>
      <w:pPr>
        <w:pStyle w:val="BodyText"/>
        <w:spacing w:line="410" w:lineRule="auto" w:before="41"/>
        <w:ind w:left="393" w:right="1106" w:firstLine="422"/>
        <w:jc w:val="left"/>
      </w:pPr>
      <w:bookmarkStart w:name="②2018年度利润分配预案：2018年度不进行利润分配，也不进行资本公积金转增股" w:id="74"/>
      <w:bookmarkEnd w:id="74"/>
      <w:r>
        <w:rPr/>
      </w:r>
      <w:r>
        <w:rPr/>
        <w:t>②</w:t>
      </w:r>
      <w:r>
        <w:rPr>
          <w:rFonts w:ascii="宋体" w:hAnsi="宋体" w:cs="宋体" w:eastAsia="宋体" w:hint="default"/>
        </w:rPr>
        <w:t>2018 </w:t>
      </w:r>
      <w:r>
        <w:rPr/>
        <w:t>年度利润分配预案：</w:t>
      </w:r>
      <w:r>
        <w:rPr>
          <w:rFonts w:ascii="宋体" w:hAnsi="宋体" w:cs="宋体" w:eastAsia="宋体" w:hint="default"/>
        </w:rPr>
        <w:t>2018</w:t>
      </w:r>
      <w:r>
        <w:rPr>
          <w:rFonts w:ascii="宋体" w:hAnsi="宋体" w:cs="宋体" w:eastAsia="宋体" w:hint="default"/>
          <w:spacing w:val="-17"/>
        </w:rPr>
        <w:t> </w:t>
      </w:r>
      <w:r>
        <w:rPr/>
        <w:t>年度不进行利润分配，也不进行资本公积金转增股本，公司未分配</w:t>
      </w:r>
      <w:r>
        <w:rPr>
          <w:w w:val="100"/>
        </w:rPr>
        <w:t> </w:t>
      </w:r>
      <w:r>
        <w:rPr/>
        <w:t>利润用于补充公司流动资金。</w:t>
      </w:r>
    </w:p>
    <w:p>
      <w:pPr>
        <w:pStyle w:val="BodyText"/>
        <w:spacing w:line="410" w:lineRule="auto" w:before="41"/>
        <w:ind w:left="393" w:right="1106" w:firstLine="422"/>
        <w:jc w:val="left"/>
      </w:pPr>
      <w:bookmarkStart w:name="③2017年度利润分配方案：2017年度不进行利润分配，也不进行资本公积金转增股" w:id="75"/>
      <w:bookmarkEnd w:id="75"/>
      <w:r>
        <w:rPr/>
      </w:r>
      <w:r>
        <w:rPr/>
        <w:t>③</w:t>
      </w:r>
      <w:r>
        <w:rPr>
          <w:rFonts w:ascii="宋体" w:hAnsi="宋体" w:cs="宋体" w:eastAsia="宋体" w:hint="default"/>
        </w:rPr>
        <w:t>2017 </w:t>
      </w:r>
      <w:r>
        <w:rPr/>
        <w:t>年度利润分配方案：</w:t>
      </w:r>
      <w:r>
        <w:rPr>
          <w:rFonts w:ascii="宋体" w:hAnsi="宋体" w:cs="宋体" w:eastAsia="宋体" w:hint="default"/>
        </w:rPr>
        <w:t>2017</w:t>
      </w:r>
      <w:r>
        <w:rPr>
          <w:rFonts w:ascii="宋体" w:hAnsi="宋体" w:cs="宋体" w:eastAsia="宋体" w:hint="default"/>
          <w:spacing w:val="-17"/>
        </w:rPr>
        <w:t> </w:t>
      </w:r>
      <w:r>
        <w:rPr/>
        <w:t>年度不进行利润分配，也不进行资本公积金转增股本，公司未分配</w:t>
      </w:r>
      <w:r>
        <w:rPr>
          <w:w w:val="100"/>
        </w:rPr>
        <w:t> </w:t>
      </w:r>
      <w:r>
        <w:rPr/>
        <w:t>利润用于补充公司流动资金。</w:t>
      </w:r>
    </w:p>
    <w:p>
      <w:pPr>
        <w:pStyle w:val="BodyText"/>
        <w:spacing w:line="240" w:lineRule="auto" w:before="41"/>
        <w:ind w:left="393" w:right="1106"/>
        <w:jc w:val="left"/>
      </w:pPr>
      <w:bookmarkStart w:name="公司近三年（包括本报告期）普通股现金分红情况表" w:id="76"/>
      <w:bookmarkEnd w:id="76"/>
      <w:r>
        <w:rPr/>
      </w:r>
      <w:r>
        <w:rPr/>
        <w:t>公司近三年（包括本报告期）普通股现金分红情况表</w:t>
      </w:r>
    </w:p>
    <w:p>
      <w:pPr>
        <w:spacing w:line="240" w:lineRule="auto" w:before="13"/>
        <w:rPr>
          <w:rFonts w:ascii="宋体" w:hAnsi="宋体" w:cs="宋体" w:eastAsia="宋体" w:hint="default"/>
          <w:sz w:val="13"/>
          <w:szCs w:val="13"/>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378" w:type="dxa"/>
        <w:tblLayout w:type="fixed"/>
        <w:tblCellMar>
          <w:top w:w="0" w:type="dxa"/>
          <w:left w:w="0" w:type="dxa"/>
          <w:bottom w:w="0" w:type="dxa"/>
          <w:right w:w="0" w:type="dxa"/>
        </w:tblCellMar>
        <w:tblLook w:val="01E0"/>
      </w:tblPr>
      <w:tblGrid>
        <w:gridCol w:w="879"/>
        <w:gridCol w:w="706"/>
        <w:gridCol w:w="1647"/>
        <w:gridCol w:w="1333"/>
        <w:gridCol w:w="1080"/>
        <w:gridCol w:w="1429"/>
        <w:gridCol w:w="828"/>
        <w:gridCol w:w="1669"/>
      </w:tblGrid>
      <w:tr>
        <w:trPr>
          <w:trHeight w:val="1973" w:hRule="exact"/>
        </w:trPr>
        <w:tc>
          <w:tcPr>
            <w:tcW w:w="87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156" w:hanging="178"/>
              <w:jc w:val="left"/>
              <w:rPr>
                <w:rFonts w:ascii="宋体" w:hAnsi="宋体" w:cs="宋体" w:eastAsia="宋体" w:hint="default"/>
                <w:sz w:val="18"/>
                <w:szCs w:val="18"/>
              </w:rPr>
            </w:pPr>
            <w:r>
              <w:rPr>
                <w:rFonts w:ascii="宋体" w:hAnsi="宋体" w:cs="宋体" w:eastAsia="宋体" w:hint="default"/>
                <w:sz w:val="18"/>
                <w:szCs w:val="18"/>
              </w:rPr>
              <w:t>分红年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70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67" w:right="161"/>
              <w:jc w:val="both"/>
              <w:rPr>
                <w:rFonts w:ascii="宋体" w:hAnsi="宋体" w:cs="宋体" w:eastAsia="宋体" w:hint="default"/>
                <w:sz w:val="18"/>
                <w:szCs w:val="18"/>
              </w:rPr>
            </w:pPr>
            <w:r>
              <w:rPr>
                <w:rFonts w:ascii="宋体" w:hAnsi="宋体" w:cs="宋体" w:eastAsia="宋体" w:hint="default"/>
                <w:sz w:val="18"/>
                <w:szCs w:val="18"/>
              </w:rPr>
              <w:t>现金</w:t>
            </w:r>
            <w:r>
              <w:rPr>
                <w:rFonts w:ascii="宋体" w:hAnsi="宋体" w:cs="宋体" w:eastAsia="宋体" w:hint="default"/>
                <w:spacing w:val="-86"/>
                <w:sz w:val="18"/>
                <w:szCs w:val="18"/>
              </w:rPr>
              <w:t> </w:t>
            </w:r>
            <w:r>
              <w:rPr>
                <w:rFonts w:ascii="宋体" w:hAnsi="宋体" w:cs="宋体" w:eastAsia="宋体" w:hint="default"/>
                <w:sz w:val="18"/>
                <w:szCs w:val="18"/>
              </w:rPr>
              <w:t>分红</w:t>
            </w:r>
            <w:r>
              <w:rPr>
                <w:rFonts w:ascii="宋体" w:hAnsi="宋体" w:cs="宋体" w:eastAsia="宋体" w:hint="default"/>
                <w:spacing w:val="-86"/>
                <w:sz w:val="18"/>
                <w:szCs w:val="18"/>
              </w:rPr>
              <w:t> </w:t>
            </w:r>
            <w:r>
              <w:rPr>
                <w:rFonts w:ascii="宋体" w:hAnsi="宋体" w:cs="宋体" w:eastAsia="宋体" w:hint="default"/>
                <w:sz w:val="18"/>
                <w:szCs w:val="18"/>
              </w:rPr>
              <w:t>金额</w:t>
            </w:r>
          </w:p>
          <w:p>
            <w:pPr>
              <w:pStyle w:val="TableParagraph"/>
              <w:spacing w:line="321" w:lineRule="auto" w:before="19"/>
              <w:ind w:left="167" w:right="161"/>
              <w:jc w:val="both"/>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86"/>
                <w:sz w:val="18"/>
                <w:szCs w:val="18"/>
              </w:rPr>
              <w:t> </w:t>
            </w:r>
            <w:r>
              <w:rPr>
                <w:rFonts w:ascii="宋体" w:hAnsi="宋体" w:cs="宋体" w:eastAsia="宋体" w:hint="default"/>
                <w:sz w:val="18"/>
                <w:szCs w:val="18"/>
              </w:rPr>
              <w:t>税）</w:t>
            </w:r>
          </w:p>
        </w:tc>
        <w:tc>
          <w:tcPr>
            <w:tcW w:w="164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187" w:right="185"/>
              <w:jc w:val="center"/>
              <w:rPr>
                <w:rFonts w:ascii="宋体" w:hAnsi="宋体" w:cs="宋体" w:eastAsia="宋体" w:hint="default"/>
                <w:sz w:val="18"/>
                <w:szCs w:val="18"/>
              </w:rPr>
            </w:pPr>
            <w:r>
              <w:rPr>
                <w:rFonts w:ascii="宋体" w:hAnsi="宋体" w:cs="宋体" w:eastAsia="宋体" w:hint="default"/>
                <w:spacing w:val="-3"/>
                <w:sz w:val="18"/>
                <w:szCs w:val="18"/>
              </w:rPr>
              <w:t>分红年度合并报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表中归属于上市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公司普通股股东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的净利润</w:t>
            </w:r>
          </w:p>
        </w:tc>
        <w:tc>
          <w:tcPr>
            <w:tcW w:w="133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0" w:right="115"/>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归属于上市公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108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03" w:right="96"/>
              <w:jc w:val="center"/>
              <w:rPr>
                <w:rFonts w:ascii="宋体" w:hAnsi="宋体" w:cs="宋体" w:eastAsia="宋体" w:hint="default"/>
                <w:sz w:val="18"/>
                <w:szCs w:val="18"/>
              </w:rPr>
            </w:pPr>
            <w:r>
              <w:rPr>
                <w:rFonts w:ascii="宋体" w:hAnsi="宋体" w:cs="宋体" w:eastAsia="宋体" w:hint="default"/>
                <w:sz w:val="18"/>
                <w:szCs w:val="18"/>
              </w:rPr>
              <w:t>以其他方</w:t>
            </w:r>
            <w:r>
              <w:rPr>
                <w:rFonts w:ascii="宋体" w:hAnsi="宋体" w:cs="宋体" w:eastAsia="宋体" w:hint="default"/>
                <w:w w:val="101"/>
                <w:sz w:val="18"/>
                <w:szCs w:val="18"/>
              </w:rPr>
              <w:t> </w:t>
            </w:r>
            <w:r>
              <w:rPr>
                <w:rFonts w:ascii="宋体" w:hAnsi="宋体" w:cs="宋体" w:eastAsia="宋体" w:hint="default"/>
                <w:spacing w:val="-9"/>
                <w:sz w:val="18"/>
                <w:szCs w:val="18"/>
              </w:rPr>
              <w:t>式（如回购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股份）现金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分红的金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42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70" w:right="161"/>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82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39" w:right="134"/>
              <w:jc w:val="left"/>
              <w:rPr>
                <w:rFonts w:ascii="宋体" w:hAnsi="宋体" w:cs="宋体" w:eastAsia="宋体" w:hint="default"/>
                <w:sz w:val="18"/>
                <w:szCs w:val="18"/>
              </w:rPr>
            </w:pPr>
            <w:r>
              <w:rPr>
                <w:rFonts w:ascii="宋体" w:hAnsi="宋体" w:cs="宋体" w:eastAsia="宋体" w:hint="default"/>
                <w:sz w:val="18"/>
                <w:szCs w:val="18"/>
              </w:rPr>
              <w:t>现金分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红总额</w:t>
            </w:r>
          </w:p>
          <w:p>
            <w:pPr>
              <w:pStyle w:val="TableParagraph"/>
              <w:spacing w:line="319" w:lineRule="auto" w:before="19"/>
              <w:ind w:left="225" w:right="134" w:hanging="87"/>
              <w:jc w:val="left"/>
              <w:rPr>
                <w:rFonts w:ascii="宋体" w:hAnsi="宋体" w:cs="宋体" w:eastAsia="宋体" w:hint="default"/>
                <w:sz w:val="18"/>
                <w:szCs w:val="18"/>
              </w:rPr>
            </w:pPr>
            <w:r>
              <w:rPr>
                <w:rFonts w:ascii="宋体" w:hAnsi="宋体" w:cs="宋体" w:eastAsia="宋体" w:hint="default"/>
                <w:sz w:val="18"/>
                <w:szCs w:val="18"/>
              </w:rPr>
              <w:t>（含其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他方</w:t>
            </w:r>
            <w:r>
              <w:rPr>
                <w:rFonts w:ascii="宋体" w:hAnsi="宋体" w:cs="宋体" w:eastAsia="宋体" w:hint="default"/>
                <w:w w:val="101"/>
                <w:sz w:val="18"/>
                <w:szCs w:val="18"/>
              </w:rPr>
              <w:t> </w:t>
            </w:r>
            <w:r>
              <w:rPr>
                <w:rFonts w:ascii="宋体" w:hAnsi="宋体" w:cs="宋体" w:eastAsia="宋体" w:hint="default"/>
                <w:sz w:val="18"/>
                <w:szCs w:val="18"/>
              </w:rPr>
              <w:t>式）</w:t>
            </w:r>
          </w:p>
        </w:tc>
        <w:tc>
          <w:tcPr>
            <w:tcW w:w="166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08" w:right="94"/>
              <w:jc w:val="center"/>
              <w:rPr>
                <w:rFonts w:ascii="宋体" w:hAnsi="宋体" w:cs="宋体" w:eastAsia="宋体" w:hint="default"/>
                <w:sz w:val="18"/>
                <w:szCs w:val="18"/>
              </w:rPr>
            </w:pPr>
            <w:r>
              <w:rPr>
                <w:rFonts w:ascii="宋体" w:hAnsi="宋体" w:cs="宋体" w:eastAsia="宋体" w:hint="default"/>
                <w:spacing w:val="-2"/>
                <w:sz w:val="18"/>
                <w:szCs w:val="18"/>
              </w:rPr>
              <w:t>现金分红总额（含</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其他方式）占合并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报表中归属于上市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公司普通股股东的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净利润的比率</w:t>
            </w:r>
          </w:p>
        </w:tc>
      </w:tr>
      <w:tr>
        <w:trPr>
          <w:trHeight w:val="399" w:hRule="exact"/>
        </w:trPr>
        <w:tc>
          <w:tcPr>
            <w:tcW w:w="87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75"/>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5"/>
              <w:jc w:val="right"/>
              <w:rPr>
                <w:rFonts w:ascii="宋体" w:hAnsi="宋体" w:cs="宋体" w:eastAsia="宋体" w:hint="default"/>
                <w:sz w:val="18"/>
                <w:szCs w:val="18"/>
              </w:rPr>
            </w:pPr>
            <w:r>
              <w:rPr>
                <w:rFonts w:ascii="宋体"/>
                <w:sz w:val="18"/>
              </w:rPr>
              <w:t>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25,194,200.65</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6"/>
              <w:jc w:val="right"/>
              <w:rPr>
                <w:rFonts w:ascii="宋体" w:hAnsi="宋体" w:cs="宋体" w:eastAsia="宋体" w:hint="default"/>
                <w:sz w:val="18"/>
                <w:szCs w:val="18"/>
              </w:rPr>
            </w:pPr>
            <w:r>
              <w:rPr>
                <w:rFonts w:ascii="宋体"/>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6"/>
              <w:jc w:val="right"/>
              <w:rPr>
                <w:rFonts w:ascii="宋体" w:hAnsi="宋体" w:cs="宋体" w:eastAsia="宋体" w:hint="default"/>
                <w:sz w:val="18"/>
                <w:szCs w:val="18"/>
              </w:rPr>
            </w:pPr>
            <w:r>
              <w:rPr>
                <w:rFonts w:ascii="宋体"/>
                <w:sz w:val="18"/>
              </w:rPr>
              <w:t>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z w:val="18"/>
              </w:rPr>
              <w:t>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6"/>
              <w:jc w:val="right"/>
              <w:rPr>
                <w:rFonts w:ascii="宋体" w:hAnsi="宋体" w:cs="宋体" w:eastAsia="宋体" w:hint="default"/>
                <w:sz w:val="18"/>
                <w:szCs w:val="18"/>
              </w:rPr>
            </w:pPr>
            <w:r>
              <w:rPr>
                <w:rFonts w:ascii="宋体"/>
                <w:sz w:val="18"/>
              </w:rPr>
              <w:t>0.00</w:t>
            </w:r>
          </w:p>
        </w:tc>
        <w:tc>
          <w:tcPr>
            <w:tcW w:w="16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z w:val="18"/>
              </w:rPr>
              <w:t>0.00%</w:t>
            </w:r>
          </w:p>
        </w:tc>
      </w:tr>
      <w:tr>
        <w:trPr>
          <w:trHeight w:val="403" w:hRule="exact"/>
        </w:trPr>
        <w:tc>
          <w:tcPr>
            <w:tcW w:w="87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75"/>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23,403,488.93</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6"/>
              <w:jc w:val="right"/>
              <w:rPr>
                <w:rFonts w:ascii="宋体" w:hAnsi="宋体" w:cs="宋体" w:eastAsia="宋体" w:hint="default"/>
                <w:sz w:val="18"/>
                <w:szCs w:val="18"/>
              </w:rPr>
            </w:pPr>
            <w:r>
              <w:rPr>
                <w:rFonts w:ascii="宋体"/>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6"/>
              <w:jc w:val="right"/>
              <w:rPr>
                <w:rFonts w:ascii="宋体" w:hAnsi="宋体" w:cs="宋体" w:eastAsia="宋体" w:hint="default"/>
                <w:sz w:val="18"/>
                <w:szCs w:val="18"/>
              </w:rPr>
            </w:pPr>
            <w:r>
              <w:rPr>
                <w:rFonts w:ascii="宋体"/>
                <w:sz w:val="18"/>
              </w:rPr>
              <w:t>0.00</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z w:val="18"/>
              </w:rPr>
              <w:t>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6"/>
              <w:jc w:val="right"/>
              <w:rPr>
                <w:rFonts w:ascii="宋体" w:hAnsi="宋体" w:cs="宋体" w:eastAsia="宋体" w:hint="default"/>
                <w:sz w:val="18"/>
                <w:szCs w:val="18"/>
              </w:rPr>
            </w:pPr>
            <w:r>
              <w:rPr>
                <w:rFonts w:ascii="宋体"/>
                <w:sz w:val="18"/>
              </w:rPr>
              <w:t>0.00</w:t>
            </w:r>
          </w:p>
        </w:tc>
        <w:tc>
          <w:tcPr>
            <w:tcW w:w="16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0.00%</w:t>
            </w:r>
          </w:p>
        </w:tc>
      </w:tr>
      <w:tr>
        <w:trPr>
          <w:trHeight w:val="413" w:hRule="exact"/>
        </w:trPr>
        <w:tc>
          <w:tcPr>
            <w:tcW w:w="87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right="75"/>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7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0.00</w:t>
            </w:r>
          </w:p>
        </w:tc>
        <w:tc>
          <w:tcPr>
            <w:tcW w:w="16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-392,404,175.23</w:t>
            </w:r>
          </w:p>
        </w:tc>
        <w:tc>
          <w:tcPr>
            <w:tcW w:w="13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6"/>
              <w:jc w:val="right"/>
              <w:rPr>
                <w:rFonts w:ascii="宋体" w:hAnsi="宋体" w:cs="宋体" w:eastAsia="宋体" w:hint="default"/>
                <w:sz w:val="18"/>
                <w:szCs w:val="18"/>
              </w:rPr>
            </w:pPr>
            <w:r>
              <w:rPr>
                <w:rFonts w:ascii="宋体"/>
                <w:sz w:val="18"/>
              </w:rPr>
              <w:t>0.00%</w:t>
            </w: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6"/>
              <w:jc w:val="right"/>
              <w:rPr>
                <w:rFonts w:ascii="宋体" w:hAnsi="宋体" w:cs="宋体" w:eastAsia="宋体" w:hint="default"/>
                <w:sz w:val="18"/>
                <w:szCs w:val="18"/>
              </w:rPr>
            </w:pPr>
            <w:r>
              <w:rPr>
                <w:rFonts w:ascii="宋体"/>
                <w:sz w:val="18"/>
              </w:rPr>
              <w:t>0.00</w:t>
            </w:r>
          </w:p>
        </w:tc>
        <w:tc>
          <w:tcPr>
            <w:tcW w:w="14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z w:val="18"/>
              </w:rPr>
              <w:t>0.00%</w:t>
            </w:r>
          </w:p>
        </w:tc>
        <w:tc>
          <w:tcPr>
            <w:tcW w:w="8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6"/>
              <w:jc w:val="right"/>
              <w:rPr>
                <w:rFonts w:ascii="宋体" w:hAnsi="宋体" w:cs="宋体" w:eastAsia="宋体" w:hint="default"/>
                <w:sz w:val="18"/>
                <w:szCs w:val="18"/>
              </w:rPr>
            </w:pPr>
            <w:r>
              <w:rPr>
                <w:rFonts w:ascii="宋体"/>
                <w:sz w:val="18"/>
              </w:rPr>
              <w:t>0.00</w:t>
            </w:r>
          </w:p>
        </w:tc>
        <w:tc>
          <w:tcPr>
            <w:tcW w:w="166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0.00%</w:t>
            </w:r>
          </w:p>
        </w:tc>
      </w:tr>
    </w:tbl>
    <w:p>
      <w:pPr>
        <w:pStyle w:val="BodyText"/>
        <w:spacing w:line="240" w:lineRule="auto" w:before="66"/>
        <w:ind w:left="393" w:right="1106"/>
        <w:jc w:val="left"/>
      </w:pPr>
      <w:bookmarkStart w:name="公司报告期内盈利且母公司可供普通股股东分配利润为正但未提出普通股现金红利分配预案" w:id="77"/>
      <w:bookmarkEnd w:id="77"/>
      <w:r>
        <w:rPr/>
      </w:r>
      <w:r>
        <w:rPr/>
        <w:t>公司报告期内盈利且母公司可供普通股股东分配利润为正但未提出普通股现金红利分配预案</w:t>
      </w:r>
    </w:p>
    <w:p>
      <w:pPr>
        <w:spacing w:line="240" w:lineRule="auto" w:before="13"/>
        <w:rPr>
          <w:rFonts w:ascii="宋体" w:hAnsi="宋体" w:cs="宋体" w:eastAsia="宋体" w:hint="default"/>
          <w:sz w:val="14"/>
          <w:szCs w:val="14"/>
        </w:rPr>
      </w:pPr>
    </w:p>
    <w:p>
      <w:pPr>
        <w:pStyle w:val="BodyText"/>
        <w:spacing w:line="240" w:lineRule="auto"/>
        <w:ind w:left="393" w:right="1106"/>
        <w:jc w:val="left"/>
      </w:pPr>
      <w:bookmarkStart w:name="□ 适用 √ 不适用" w:id="78"/>
      <w:bookmarkEnd w:id="78"/>
      <w:r>
        <w:rPr/>
      </w:r>
      <w:r>
        <w:rPr/>
        <w:t>□ 适用 √</w:t>
      </w:r>
      <w:r>
        <w:rPr>
          <w:spacing w:val="4"/>
        </w:rPr>
        <w:t> </w:t>
      </w:r>
      <w:r>
        <w:rPr/>
        <w:t>不适用</w:t>
      </w:r>
    </w:p>
    <w:p>
      <w:pPr>
        <w:pStyle w:val="Heading4"/>
        <w:spacing w:line="393" w:lineRule="auto" w:before="165"/>
        <w:ind w:left="393" w:right="1106"/>
        <w:jc w:val="left"/>
        <w:rPr>
          <w:b w:val="0"/>
          <w:bCs w:val="0"/>
        </w:rPr>
      </w:pPr>
      <w:bookmarkStart w:name="二、承诺事项履行情况" w:id="79"/>
      <w:bookmarkEnd w:id="79"/>
      <w:r>
        <w:rPr>
          <w:b w:val="0"/>
          <w:bCs w:val="0"/>
        </w:rPr>
      </w:r>
      <w:r>
        <w:rPr>
          <w:sz w:val="24"/>
          <w:szCs w:val="24"/>
        </w:rPr>
        <w:t>二、承诺事项履行情况</w:t>
      </w:r>
      <w:r>
        <w:rPr>
          <w:w w:val="99"/>
          <w:sz w:val="24"/>
          <w:szCs w:val="24"/>
        </w:rPr>
        <w:t> </w:t>
      </w:r>
      <w:bookmarkStart w:name="1、公司实际控制人、股东、关联方、收购人以及公司等承诺相关方在报告期内履行完毕及" w:id="80"/>
      <w:bookmarkEnd w:id="80"/>
      <w:r>
        <w:rPr>
          <w:w w:val="99"/>
          <w:sz w:val="24"/>
          <w:szCs w:val="24"/>
        </w:rPr>
      </w:r>
      <w:r>
        <w:rPr>
          <w:rFonts w:ascii="宋体" w:hAnsi="宋体" w:cs="宋体" w:eastAsia="宋体" w:hint="default"/>
        </w:rPr>
        <w:t>1</w:t>
      </w:r>
      <w:r>
        <w:rPr/>
        <w:t>、公司实际控制人、股东、关联方、收购人以及公司等承诺相关方在报告期内履行完毕及截至报告期末</w:t>
      </w:r>
      <w:r>
        <w:rPr>
          <w:spacing w:val="-66"/>
        </w:rPr>
        <w:t> </w:t>
      </w:r>
      <w:r>
        <w:rPr>
          <w:spacing w:val="-66"/>
        </w:rPr>
      </w:r>
      <w:r>
        <w:rPr/>
        <w:t>尚未履行完毕的承诺事项</w:t>
      </w:r>
      <w:r>
        <w:rPr>
          <w:b w:val="0"/>
          <w:bCs w:val="0"/>
        </w:rPr>
      </w:r>
    </w:p>
    <w:p>
      <w:pPr>
        <w:pStyle w:val="BodyText"/>
        <w:spacing w:line="240" w:lineRule="auto" w:before="61"/>
        <w:ind w:left="393" w:right="1106"/>
        <w:jc w:val="left"/>
      </w:pPr>
      <w:bookmarkStart w:name="√ 适用 □ 不适用" w:id="81"/>
      <w:bookmarkEnd w:id="81"/>
      <w:r>
        <w:rPr/>
      </w:r>
      <w:r>
        <w:rPr/>
        <w:t>√ 适用 □</w:t>
      </w:r>
      <w:r>
        <w:rPr>
          <w:spacing w:val="4"/>
        </w:rPr>
        <w:t> </w:t>
      </w:r>
      <w:r>
        <w:rPr/>
        <w:t>不适用</w:t>
      </w:r>
    </w:p>
    <w:p>
      <w:pPr>
        <w:spacing w:line="240" w:lineRule="auto" w:before="6"/>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1080"/>
        <w:gridCol w:w="792"/>
        <w:gridCol w:w="1056"/>
        <w:gridCol w:w="4504"/>
        <w:gridCol w:w="960"/>
        <w:gridCol w:w="864"/>
        <w:gridCol w:w="576"/>
      </w:tblGrid>
      <w:tr>
        <w:trPr>
          <w:trHeight w:val="725" w:hRule="exact"/>
        </w:trPr>
        <w:tc>
          <w:tcPr>
            <w:tcW w:w="108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79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05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5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6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6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36" w:right="156" w:hanging="183"/>
              <w:jc w:val="left"/>
              <w:rPr>
                <w:rFonts w:ascii="宋体" w:hAnsi="宋体" w:cs="宋体" w:eastAsia="宋体" w:hint="default"/>
                <w:sz w:val="18"/>
                <w:szCs w:val="18"/>
              </w:rPr>
            </w:pPr>
            <w:r>
              <w:rPr>
                <w:rFonts w:ascii="宋体" w:hAnsi="宋体" w:cs="宋体" w:eastAsia="宋体" w:hint="default"/>
                <w:sz w:val="18"/>
                <w:szCs w:val="18"/>
              </w:rPr>
              <w:t>承诺期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57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21" w:lineRule="auto" w:before="53"/>
              <w:ind w:left="100" w:right="89"/>
              <w:jc w:val="left"/>
              <w:rPr>
                <w:rFonts w:ascii="宋体" w:hAnsi="宋体" w:cs="宋体" w:eastAsia="宋体" w:hint="default"/>
                <w:sz w:val="18"/>
                <w:szCs w:val="18"/>
              </w:rPr>
            </w:pP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情况</w:t>
            </w:r>
          </w:p>
        </w:tc>
      </w:tr>
      <w:tr>
        <w:trPr>
          <w:trHeight w:val="1652" w:hRule="exact"/>
        </w:trPr>
        <w:tc>
          <w:tcPr>
            <w:tcW w:w="108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6" w:right="238"/>
              <w:jc w:val="both"/>
              <w:rPr>
                <w:rFonts w:ascii="宋体" w:hAnsi="宋体" w:cs="宋体" w:eastAsia="宋体" w:hint="default"/>
                <w:sz w:val="18"/>
                <w:szCs w:val="18"/>
              </w:rPr>
            </w:pPr>
            <w:r>
              <w:rPr>
                <w:rFonts w:ascii="宋体" w:hAnsi="宋体" w:cs="宋体" w:eastAsia="宋体" w:hint="default"/>
                <w:sz w:val="18"/>
                <w:szCs w:val="18"/>
              </w:rPr>
              <w:t>收购报告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书中所作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79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50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12" w:space="0" w:color="000000"/>
            </w:tcBorders>
          </w:tcPr>
          <w:p>
            <w:pPr/>
          </w:p>
        </w:tc>
      </w:tr>
      <w:tr>
        <w:trPr>
          <w:trHeight w:val="1297" w:hRule="exact"/>
        </w:trPr>
        <w:tc>
          <w:tcPr>
            <w:tcW w:w="108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96" w:right="238"/>
              <w:jc w:val="both"/>
              <w:rPr>
                <w:rFonts w:ascii="宋体" w:hAnsi="宋体" w:cs="宋体" w:eastAsia="宋体" w:hint="default"/>
                <w:sz w:val="18"/>
                <w:szCs w:val="18"/>
              </w:rPr>
            </w:pPr>
            <w:r>
              <w:rPr>
                <w:rFonts w:ascii="宋体" w:hAnsi="宋体" w:cs="宋体" w:eastAsia="宋体" w:hint="default"/>
                <w:sz w:val="18"/>
                <w:szCs w:val="18"/>
              </w:rPr>
              <w:t>资产重组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时所作承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05" w:right="132"/>
              <w:jc w:val="left"/>
              <w:rPr>
                <w:rFonts w:ascii="宋体" w:hAnsi="宋体" w:cs="宋体" w:eastAsia="宋体" w:hint="default"/>
                <w:sz w:val="18"/>
                <w:szCs w:val="18"/>
              </w:rPr>
            </w:pPr>
            <w:r>
              <w:rPr>
                <w:rFonts w:ascii="宋体" w:hAnsi="宋体" w:cs="宋体" w:eastAsia="宋体" w:hint="default"/>
                <w:sz w:val="18"/>
                <w:szCs w:val="18"/>
              </w:rPr>
              <w:t>任昌</w:t>
            </w:r>
            <w:r>
              <w:rPr>
                <w:rFonts w:ascii="宋体" w:hAnsi="宋体" w:cs="宋体" w:eastAsia="宋体" w:hint="default"/>
                <w:spacing w:val="-86"/>
                <w:sz w:val="18"/>
                <w:szCs w:val="18"/>
              </w:rPr>
              <w:t> </w:t>
            </w:r>
            <w:r>
              <w:rPr>
                <w:rFonts w:ascii="宋体" w:hAnsi="宋体" w:cs="宋体" w:eastAsia="宋体" w:hint="default"/>
                <w:sz w:val="18"/>
                <w:szCs w:val="18"/>
              </w:rPr>
              <w:t>兆、任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晶晶</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316" w:lineRule="auto"/>
              <w:ind w:left="105" w:right="214"/>
              <w:jc w:val="left"/>
              <w:rPr>
                <w:rFonts w:ascii="宋体" w:hAnsi="宋体" w:cs="宋体" w:eastAsia="宋体" w:hint="default"/>
                <w:sz w:val="18"/>
                <w:szCs w:val="18"/>
              </w:rPr>
            </w:pPr>
            <w:r>
              <w:rPr>
                <w:rFonts w:ascii="宋体" w:hAnsi="宋体" w:cs="宋体" w:eastAsia="宋体" w:hint="default"/>
                <w:sz w:val="18"/>
                <w:szCs w:val="18"/>
              </w:rPr>
              <w:t>股份限售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5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）本人特别承诺：自本次交易所获得股份锁定期结</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束至</w:t>
            </w:r>
            <w:r>
              <w:rPr>
                <w:rFonts w:ascii="宋体" w:hAnsi="宋体" w:cs="宋体" w:eastAsia="宋体" w:hint="default"/>
                <w:spacing w:val="-38"/>
                <w:sz w:val="18"/>
                <w:szCs w:val="18"/>
              </w:rPr>
              <w:t> </w:t>
            </w:r>
            <w:r>
              <w:rPr>
                <w:rFonts w:ascii="宋体" w:hAnsi="宋体" w:cs="宋体" w:eastAsia="宋体" w:hint="default"/>
                <w:sz w:val="18"/>
                <w:szCs w:val="18"/>
              </w:rPr>
              <w:t>2020</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宋体" w:hAnsi="宋体" w:cs="宋体" w:eastAsia="宋体" w:hint="default"/>
                <w:sz w:val="18"/>
                <w:szCs w:val="18"/>
              </w:rPr>
              <w:t>31</w:t>
            </w:r>
            <w:r>
              <w:rPr>
                <w:rFonts w:ascii="宋体" w:hAnsi="宋体" w:cs="宋体" w:eastAsia="宋体" w:hint="default"/>
                <w:spacing w:val="-38"/>
                <w:sz w:val="18"/>
                <w:szCs w:val="18"/>
              </w:rPr>
              <w:t> </w:t>
            </w:r>
            <w:r>
              <w:rPr>
                <w:rFonts w:ascii="宋体" w:hAnsi="宋体" w:cs="宋体" w:eastAsia="宋体" w:hint="default"/>
                <w:spacing w:val="-3"/>
                <w:sz w:val="18"/>
                <w:szCs w:val="18"/>
              </w:rPr>
              <w:t>日，本人每年可减持的光一科技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股份数量不超过上年末本人持有光一科技股份总数的</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25%</w:t>
            </w:r>
            <w:r>
              <w:rPr>
                <w:rFonts w:ascii="宋体" w:hAnsi="宋体" w:cs="宋体" w:eastAsia="宋体" w:hint="default"/>
                <w:spacing w:val="-3"/>
                <w:sz w:val="18"/>
                <w:szCs w:val="18"/>
              </w:rPr>
              <w:t>；在锁定期内，本人持有的光一科技股份可用于股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100"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04</w:t>
            </w:r>
          </w:p>
          <w:p>
            <w:pPr>
              <w:pStyle w:val="TableParagraph"/>
              <w:spacing w:line="240" w:lineRule="auto" w:before="81"/>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10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p>
          <w:p>
            <w:pPr>
              <w:pStyle w:val="TableParagraph"/>
              <w:spacing w:line="240" w:lineRule="auto" w:before="81"/>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316" w:lineRule="auto"/>
              <w:ind w:left="100" w:right="89"/>
              <w:jc w:val="left"/>
              <w:rPr>
                <w:rFonts w:ascii="宋体" w:hAnsi="宋体" w:cs="宋体" w:eastAsia="宋体" w:hint="default"/>
                <w:sz w:val="18"/>
                <w:szCs w:val="18"/>
              </w:rPr>
            </w:pPr>
            <w:r>
              <w:rPr>
                <w:rFonts w:ascii="宋体" w:hAnsi="宋体" w:cs="宋体" w:eastAsia="宋体" w:hint="default"/>
                <w:sz w:val="18"/>
                <w:szCs w:val="18"/>
              </w:rPr>
              <w:t>严格</w:t>
            </w:r>
            <w:r>
              <w:rPr>
                <w:rFonts w:ascii="宋体" w:hAnsi="宋体" w:cs="宋体" w:eastAsia="宋体" w:hint="default"/>
                <w:spacing w:val="-86"/>
                <w:sz w:val="18"/>
                <w:szCs w:val="18"/>
              </w:rPr>
              <w:t> </w:t>
            </w:r>
            <w:r>
              <w:rPr>
                <w:rFonts w:ascii="宋体" w:hAnsi="宋体" w:cs="宋体" w:eastAsia="宋体" w:hint="default"/>
                <w:sz w:val="18"/>
                <w:szCs w:val="18"/>
              </w:rPr>
              <w:t>履行</w:t>
            </w:r>
          </w:p>
        </w:tc>
      </w:tr>
    </w:tbl>
    <w:p>
      <w:pPr>
        <w:spacing w:after="0" w:line="316" w:lineRule="auto"/>
        <w:jc w:val="left"/>
        <w:rPr>
          <w:rFonts w:ascii="宋体" w:hAnsi="宋体" w:cs="宋体" w:eastAsia="宋体" w:hint="default"/>
          <w:sz w:val="18"/>
          <w:szCs w:val="18"/>
        </w:rPr>
        <w:sectPr>
          <w:pgSz w:w="11910" w:h="16840"/>
          <w:pgMar w:header="871" w:footer="1037" w:top="1100" w:bottom="1220" w:left="74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7" w:type="dxa"/>
        <w:tblLayout w:type="fixed"/>
        <w:tblCellMar>
          <w:top w:w="0" w:type="dxa"/>
          <w:left w:w="0" w:type="dxa"/>
          <w:bottom w:w="0" w:type="dxa"/>
          <w:right w:w="0" w:type="dxa"/>
        </w:tblCellMar>
        <w:tblLook w:val="01E0"/>
      </w:tblPr>
      <w:tblGrid>
        <w:gridCol w:w="1078"/>
        <w:gridCol w:w="792"/>
        <w:gridCol w:w="1056"/>
        <w:gridCol w:w="4504"/>
        <w:gridCol w:w="960"/>
        <w:gridCol w:w="864"/>
        <w:gridCol w:w="584"/>
      </w:tblGrid>
      <w:tr>
        <w:trPr>
          <w:trHeight w:val="1921" w:hRule="exact"/>
        </w:trPr>
        <w:tc>
          <w:tcPr>
            <w:tcW w:w="1078" w:type="dxa"/>
            <w:vMerge w:val="restart"/>
            <w:tcBorders>
              <w:top w:val="single" w:sz="4" w:space="0" w:color="000000"/>
              <w:left w:val="single" w:sz="12"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8"/>
              <w:jc w:val="left"/>
              <w:rPr>
                <w:rFonts w:ascii="宋体" w:hAnsi="宋体" w:cs="宋体" w:eastAsia="宋体" w:hint="default"/>
                <w:sz w:val="18"/>
                <w:szCs w:val="18"/>
              </w:rPr>
            </w:pPr>
            <w:r>
              <w:rPr>
                <w:rFonts w:ascii="宋体" w:hAnsi="宋体" w:cs="宋体" w:eastAsia="宋体" w:hint="default"/>
                <w:spacing w:val="-3"/>
                <w:sz w:val="18"/>
                <w:szCs w:val="18"/>
              </w:rPr>
              <w:t>份质押融资的总数不超过本人持有全部光一科技股份</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w w:val="101"/>
                <w:sz w:val="18"/>
                <w:szCs w:val="18"/>
              </w:rPr>
              <w:t>数量的</w:t>
            </w:r>
            <w:r>
              <w:rPr>
                <w:rFonts w:ascii="宋体" w:hAnsi="宋体" w:cs="宋体" w:eastAsia="宋体" w:hint="default"/>
                <w:spacing w:val="-45"/>
                <w:w w:val="101"/>
                <w:sz w:val="18"/>
                <w:szCs w:val="18"/>
              </w:rPr>
              <w:t> </w:t>
            </w:r>
            <w:r>
              <w:rPr>
                <w:rFonts w:ascii="宋体" w:hAnsi="宋体" w:cs="宋体" w:eastAsia="宋体" w:hint="default"/>
                <w:spacing w:val="-7"/>
                <w:w w:val="101"/>
                <w:sz w:val="18"/>
                <w:szCs w:val="18"/>
              </w:rPr>
              <w:t>85%</w:t>
            </w:r>
            <w:r>
              <w:rPr>
                <w:rFonts w:ascii="宋体" w:hAnsi="宋体" w:cs="宋体" w:eastAsia="宋体" w:hint="default"/>
                <w:spacing w:val="-7"/>
                <w:w w:val="101"/>
                <w:sz w:val="18"/>
                <w:szCs w:val="18"/>
              </w:rPr>
              <w:t>。（</w:t>
            </w:r>
            <w:r>
              <w:rPr>
                <w:rFonts w:ascii="宋体" w:hAnsi="宋体" w:cs="宋体" w:eastAsia="宋体" w:hint="default"/>
                <w:spacing w:val="-7"/>
                <w:w w:val="101"/>
                <w:sz w:val="18"/>
                <w:szCs w:val="18"/>
              </w:rPr>
              <w:t>2</w:t>
            </w:r>
            <w:r>
              <w:rPr>
                <w:rFonts w:ascii="宋体" w:hAnsi="宋体" w:cs="宋体" w:eastAsia="宋体" w:hint="default"/>
                <w:spacing w:val="-7"/>
                <w:w w:val="101"/>
                <w:sz w:val="18"/>
                <w:szCs w:val="18"/>
              </w:rPr>
              <w:t>）本人进一步承诺：因本次交易所取得</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的所支付股份在转让时会同时遵守当时有效的《公司</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21"/>
                <w:w w:val="101"/>
                <w:sz w:val="18"/>
                <w:szCs w:val="18"/>
              </w:rPr>
              <w:t>法》、《证券法》、《深圳证券交易所创业板股票上市规则》</w:t>
            </w:r>
            <w:r>
              <w:rPr>
                <w:rFonts w:ascii="宋体" w:hAnsi="宋体" w:cs="宋体" w:eastAsia="宋体" w:hint="default"/>
                <w:spacing w:val="-76"/>
                <w:w w:val="101"/>
                <w:sz w:val="18"/>
                <w:szCs w:val="18"/>
              </w:rPr>
              <w:t> </w:t>
            </w:r>
            <w:r>
              <w:rPr>
                <w:rFonts w:ascii="宋体" w:hAnsi="宋体" w:cs="宋体" w:eastAsia="宋体" w:hint="default"/>
                <w:spacing w:val="-76"/>
                <w:w w:val="101"/>
                <w:sz w:val="18"/>
                <w:szCs w:val="18"/>
              </w:rPr>
            </w:r>
            <w:r>
              <w:rPr>
                <w:rFonts w:ascii="宋体" w:hAnsi="宋体" w:cs="宋体" w:eastAsia="宋体" w:hint="default"/>
                <w:spacing w:val="-4"/>
                <w:sz w:val="18"/>
                <w:szCs w:val="18"/>
              </w:rPr>
              <w:t>等法律、法规、规章和规范性文件以及光一科技《公司</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章程》的相关规定。</w:t>
            </w:r>
          </w:p>
        </w:tc>
        <w:tc>
          <w:tcPr>
            <w:tcW w:w="96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12" w:space="0" w:color="000000"/>
            </w:tcBorders>
          </w:tcPr>
          <w:p>
            <w:pPr/>
          </w:p>
        </w:tc>
      </w:tr>
      <w:tr>
        <w:trPr>
          <w:trHeight w:val="3212" w:hRule="exact"/>
        </w:trPr>
        <w:tc>
          <w:tcPr>
            <w:tcW w:w="1078" w:type="dxa"/>
            <w:vMerge/>
            <w:tcBorders>
              <w:left w:val="single" w:sz="12"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105" w:right="132"/>
              <w:jc w:val="both"/>
              <w:rPr>
                <w:rFonts w:ascii="宋体" w:hAnsi="宋体" w:cs="宋体" w:eastAsia="宋体" w:hint="default"/>
                <w:sz w:val="18"/>
                <w:szCs w:val="18"/>
              </w:rPr>
            </w:pPr>
            <w:r>
              <w:rPr>
                <w:rFonts w:ascii="宋体" w:hAnsi="宋体" w:cs="宋体" w:eastAsia="宋体" w:hint="default"/>
                <w:sz w:val="18"/>
                <w:szCs w:val="18"/>
              </w:rPr>
              <w:t>湖北乾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瀚投资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21" w:lineRule="auto"/>
              <w:ind w:left="105" w:right="214"/>
              <w:jc w:val="left"/>
              <w:rPr>
                <w:rFonts w:ascii="宋体" w:hAnsi="宋体" w:cs="宋体" w:eastAsia="宋体" w:hint="default"/>
                <w:sz w:val="18"/>
                <w:szCs w:val="18"/>
              </w:rPr>
            </w:pPr>
            <w:r>
              <w:rPr>
                <w:rFonts w:ascii="宋体" w:hAnsi="宋体" w:cs="宋体" w:eastAsia="宋体" w:hint="default"/>
                <w:sz w:val="18"/>
                <w:szCs w:val="18"/>
              </w:rPr>
              <w:t>股份限售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0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）本公司特别承诺：自本次交易所获得股份锁定期</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结束至</w:t>
            </w:r>
            <w:r>
              <w:rPr>
                <w:rFonts w:ascii="宋体" w:hAnsi="宋体" w:cs="宋体" w:eastAsia="宋体" w:hint="default"/>
                <w:spacing w:val="-40"/>
                <w:sz w:val="18"/>
                <w:szCs w:val="18"/>
              </w:rPr>
              <w:t> </w:t>
            </w:r>
            <w:r>
              <w:rPr>
                <w:rFonts w:ascii="宋体" w:hAnsi="宋体" w:cs="宋体" w:eastAsia="宋体" w:hint="default"/>
                <w:sz w:val="18"/>
                <w:szCs w:val="18"/>
              </w:rPr>
              <w:t>2020</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pacing w:val="-3"/>
                <w:sz w:val="18"/>
                <w:szCs w:val="18"/>
              </w:rPr>
              <w:t>日，本公司每年可减持的光一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科技股份数量不超过上年末本人持有光一科技股份总</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数的 </w:t>
            </w:r>
            <w:r>
              <w:rPr>
                <w:rFonts w:ascii="宋体" w:hAnsi="宋体" w:cs="宋体" w:eastAsia="宋体" w:hint="default"/>
                <w:spacing w:val="-3"/>
                <w:sz w:val="18"/>
                <w:szCs w:val="18"/>
              </w:rPr>
              <w:t>25%</w:t>
            </w:r>
            <w:r>
              <w:rPr>
                <w:rFonts w:ascii="宋体" w:hAnsi="宋体" w:cs="宋体" w:eastAsia="宋体" w:hint="default"/>
                <w:spacing w:val="-3"/>
                <w:sz w:val="18"/>
                <w:szCs w:val="18"/>
              </w:rPr>
              <w:t>；在锁定期内，本公司持有的光一科技股份可</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用于股份质押融资的总数不超过本公司持有全部光一</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2"/>
                <w:w w:val="101"/>
                <w:sz w:val="18"/>
                <w:szCs w:val="18"/>
              </w:rPr>
              <w:t>科技股份数量的</w:t>
            </w:r>
            <w:r>
              <w:rPr>
                <w:rFonts w:ascii="宋体" w:hAnsi="宋体" w:cs="宋体" w:eastAsia="宋体" w:hint="default"/>
                <w:spacing w:val="-37"/>
                <w:w w:val="101"/>
                <w:sz w:val="18"/>
                <w:szCs w:val="18"/>
              </w:rPr>
              <w:t> </w:t>
            </w:r>
            <w:r>
              <w:rPr>
                <w:rFonts w:ascii="宋体" w:hAnsi="宋体" w:cs="宋体" w:eastAsia="宋体" w:hint="default"/>
                <w:spacing w:val="-8"/>
                <w:w w:val="101"/>
                <w:sz w:val="18"/>
                <w:szCs w:val="18"/>
              </w:rPr>
              <w:t>85%</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2</w:t>
            </w:r>
            <w:r>
              <w:rPr>
                <w:rFonts w:ascii="宋体" w:hAnsi="宋体" w:cs="宋体" w:eastAsia="宋体" w:hint="default"/>
                <w:spacing w:val="-8"/>
                <w:w w:val="101"/>
                <w:sz w:val="18"/>
                <w:szCs w:val="18"/>
              </w:rPr>
              <w:t>）本公司进一步承诺，本公司</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3"/>
                <w:sz w:val="18"/>
                <w:szCs w:val="18"/>
              </w:rPr>
              <w:t>因本次交易所取得的所支付股份在转让时会同时遵守</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18"/>
                <w:w w:val="101"/>
                <w:sz w:val="18"/>
                <w:szCs w:val="18"/>
              </w:rPr>
              <w:t>当时有效的《公司法》、《证券法》、《深圳证券交易所创</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pacing w:val="-4"/>
                <w:sz w:val="18"/>
                <w:szCs w:val="18"/>
              </w:rPr>
              <w:t>业板股票上市规则》等法律、法规、规章和规范性文件</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以及光一科技《公司章程》的相关规定。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100" w:right="0"/>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04</w:t>
            </w:r>
          </w:p>
          <w:p>
            <w:pPr>
              <w:pStyle w:val="TableParagraph"/>
              <w:spacing w:line="240" w:lineRule="auto" w:before="81"/>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10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p>
          <w:p>
            <w:pPr>
              <w:pStyle w:val="TableParagraph"/>
              <w:spacing w:line="240" w:lineRule="auto" w:before="81"/>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5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21" w:lineRule="auto"/>
              <w:ind w:left="100" w:right="96"/>
              <w:jc w:val="left"/>
              <w:rPr>
                <w:rFonts w:ascii="宋体" w:hAnsi="宋体" w:cs="宋体" w:eastAsia="宋体" w:hint="default"/>
                <w:sz w:val="18"/>
                <w:szCs w:val="18"/>
              </w:rPr>
            </w:pPr>
            <w:r>
              <w:rPr>
                <w:rFonts w:ascii="宋体" w:hAnsi="宋体" w:cs="宋体" w:eastAsia="宋体" w:hint="default"/>
                <w:sz w:val="18"/>
                <w:szCs w:val="18"/>
              </w:rPr>
              <w:t>严格</w:t>
            </w:r>
            <w:r>
              <w:rPr>
                <w:rFonts w:ascii="宋体" w:hAnsi="宋体" w:cs="宋体" w:eastAsia="宋体" w:hint="default"/>
                <w:spacing w:val="-86"/>
                <w:sz w:val="18"/>
                <w:szCs w:val="18"/>
              </w:rPr>
              <w:t> </w:t>
            </w:r>
            <w:r>
              <w:rPr>
                <w:rFonts w:ascii="宋体" w:hAnsi="宋体" w:cs="宋体" w:eastAsia="宋体" w:hint="default"/>
                <w:sz w:val="18"/>
                <w:szCs w:val="18"/>
              </w:rPr>
              <w:t>履行</w:t>
            </w:r>
          </w:p>
        </w:tc>
      </w:tr>
      <w:tr>
        <w:trPr>
          <w:trHeight w:val="8791" w:hRule="exact"/>
        </w:trPr>
        <w:tc>
          <w:tcPr>
            <w:tcW w:w="1078" w:type="dxa"/>
            <w:vMerge/>
            <w:tcBorders>
              <w:left w:val="single" w:sz="12"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5"/>
              <w:ind w:left="105" w:right="132"/>
              <w:jc w:val="both"/>
              <w:rPr>
                <w:rFonts w:ascii="宋体" w:hAnsi="宋体" w:cs="宋体" w:eastAsia="宋体" w:hint="default"/>
                <w:sz w:val="18"/>
                <w:szCs w:val="18"/>
              </w:rPr>
            </w:pPr>
            <w:r>
              <w:rPr>
                <w:rFonts w:ascii="宋体" w:hAnsi="宋体" w:cs="宋体" w:eastAsia="宋体" w:hint="default"/>
                <w:sz w:val="18"/>
                <w:szCs w:val="18"/>
              </w:rPr>
              <w:t>江苏光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限责任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龙昌明</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7"/>
              <w:ind w:left="105" w:right="94"/>
              <w:jc w:val="left"/>
              <w:rPr>
                <w:rFonts w:ascii="宋体" w:hAnsi="宋体" w:cs="宋体" w:eastAsia="宋体" w:hint="default"/>
                <w:sz w:val="18"/>
                <w:szCs w:val="18"/>
              </w:rPr>
            </w:pPr>
            <w:r>
              <w:rPr>
                <w:rFonts w:ascii="宋体" w:hAnsi="宋体" w:cs="宋体" w:eastAsia="宋体" w:hint="default"/>
                <w:sz w:val="18"/>
                <w:szCs w:val="18"/>
              </w:rPr>
              <w:t>关于同业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竞争、关联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4"/>
                <w:sz w:val="18"/>
                <w:szCs w:val="18"/>
              </w:rPr>
              <w:t>交易、资金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占用方面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的承诺</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66"/>
              <w:jc w:val="left"/>
              <w:rPr>
                <w:rFonts w:ascii="宋体" w:hAnsi="宋体" w:cs="宋体" w:eastAsia="宋体" w:hint="default"/>
                <w:sz w:val="18"/>
                <w:szCs w:val="18"/>
              </w:rPr>
            </w:pPr>
            <w:r>
              <w:rPr>
                <w:rFonts w:ascii="宋体" w:hAnsi="宋体" w:cs="宋体" w:eastAsia="宋体" w:hint="default"/>
                <w:spacing w:val="-6"/>
                <w:w w:val="101"/>
                <w:sz w:val="18"/>
                <w:szCs w:val="18"/>
              </w:rPr>
              <w:t>1</w:t>
            </w:r>
            <w:r>
              <w:rPr>
                <w:rFonts w:ascii="宋体" w:hAnsi="宋体" w:cs="宋体" w:eastAsia="宋体" w:hint="default"/>
                <w:spacing w:val="-6"/>
                <w:w w:val="101"/>
                <w:sz w:val="18"/>
                <w:szCs w:val="18"/>
              </w:rPr>
              <w:t>、关于避免同业竞争的承诺：（</w:t>
            </w:r>
            <w:r>
              <w:rPr>
                <w:rFonts w:ascii="宋体" w:hAnsi="宋体" w:cs="宋体" w:eastAsia="宋体" w:hint="default"/>
                <w:spacing w:val="-6"/>
                <w:w w:val="101"/>
                <w:sz w:val="18"/>
                <w:szCs w:val="18"/>
              </w:rPr>
              <w:t>1</w:t>
            </w:r>
            <w:r>
              <w:rPr>
                <w:rFonts w:ascii="宋体" w:hAnsi="宋体" w:cs="宋体" w:eastAsia="宋体" w:hint="default"/>
                <w:spacing w:val="-6"/>
                <w:w w:val="101"/>
                <w:sz w:val="18"/>
                <w:szCs w:val="18"/>
              </w:rPr>
              <w:t>）本次交易完成后，</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在作为光一科技股东期间，本公司</w:t>
            </w:r>
            <w:r>
              <w:rPr>
                <w:rFonts w:ascii="宋体" w:hAnsi="宋体" w:cs="宋体" w:eastAsia="宋体" w:hint="default"/>
                <w:spacing w:val="-3"/>
                <w:sz w:val="18"/>
                <w:szCs w:val="18"/>
              </w:rPr>
              <w:t>/</w:t>
            </w:r>
            <w:r>
              <w:rPr>
                <w:rFonts w:ascii="宋体" w:hAnsi="宋体" w:cs="宋体" w:eastAsia="宋体" w:hint="default"/>
                <w:spacing w:val="-3"/>
                <w:sz w:val="18"/>
                <w:szCs w:val="18"/>
              </w:rPr>
              <w:t>本人及控制的其他</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3"/>
                <w:sz w:val="18"/>
                <w:szCs w:val="18"/>
              </w:rPr>
              <w:t>企业不会直接或间接从事任何与光一科技及其下属公</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司主要经营业务构成同业竞争或潜在同业竞争关系的</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生产与经营业务，亦不会投资任何与光一科技及其下属</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公司主要经营业务构成同业竞争或潜在同业竞争关系</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6"/>
                <w:w w:val="101"/>
                <w:sz w:val="18"/>
                <w:szCs w:val="18"/>
              </w:rPr>
              <w:t>的其他企业。（</w:t>
            </w:r>
            <w:r>
              <w:rPr>
                <w:rFonts w:ascii="宋体" w:hAnsi="宋体" w:cs="宋体" w:eastAsia="宋体" w:hint="default"/>
                <w:spacing w:val="-6"/>
                <w:w w:val="101"/>
                <w:sz w:val="18"/>
                <w:szCs w:val="18"/>
              </w:rPr>
              <w:t>2</w:t>
            </w:r>
            <w:r>
              <w:rPr>
                <w:rFonts w:ascii="宋体" w:hAnsi="宋体" w:cs="宋体" w:eastAsia="宋体" w:hint="default"/>
                <w:spacing w:val="-6"/>
                <w:w w:val="101"/>
                <w:sz w:val="18"/>
                <w:szCs w:val="18"/>
              </w:rPr>
              <w:t>）在上述期间，如本公司</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本人及控制</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的企业的现有业务或该等企业为进一步拓展业务范围，</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与光一科技及其下属公司经营的业务产生竞争，则本公</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司</w:t>
            </w:r>
            <w:r>
              <w:rPr>
                <w:rFonts w:ascii="宋体" w:hAnsi="宋体" w:cs="宋体" w:eastAsia="宋体" w:hint="default"/>
                <w:spacing w:val="-3"/>
                <w:sz w:val="18"/>
                <w:szCs w:val="18"/>
              </w:rPr>
              <w:t>/</w:t>
            </w:r>
            <w:r>
              <w:rPr>
                <w:rFonts w:ascii="宋体" w:hAnsi="宋体" w:cs="宋体" w:eastAsia="宋体" w:hint="default"/>
                <w:spacing w:val="-3"/>
                <w:sz w:val="18"/>
                <w:szCs w:val="18"/>
              </w:rPr>
              <w:t>本人及控制的企业将采取停止经营产生竞争的业务</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4"/>
                <w:sz w:val="18"/>
                <w:szCs w:val="18"/>
              </w:rPr>
              <w:t>的方式，或者采取将产生竞争的业务纳入光一科技的方</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4"/>
                <w:sz w:val="18"/>
                <w:szCs w:val="18"/>
              </w:rPr>
              <w:t>式，或者采取将产生竞争的业务转让给无关联关系第三</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方等的合法方式，使本公司</w:t>
            </w:r>
            <w:r>
              <w:rPr>
                <w:rFonts w:ascii="宋体" w:hAnsi="宋体" w:cs="宋体" w:eastAsia="宋体" w:hint="default"/>
                <w:spacing w:val="-3"/>
                <w:sz w:val="18"/>
                <w:szCs w:val="18"/>
              </w:rPr>
              <w:t>/</w:t>
            </w:r>
            <w:r>
              <w:rPr>
                <w:rFonts w:ascii="宋体" w:hAnsi="宋体" w:cs="宋体" w:eastAsia="宋体" w:hint="default"/>
                <w:spacing w:val="-3"/>
                <w:sz w:val="18"/>
                <w:szCs w:val="18"/>
              </w:rPr>
              <w:t>本人及控制的企业不再从</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8"/>
                <w:w w:val="101"/>
                <w:sz w:val="18"/>
                <w:szCs w:val="18"/>
              </w:rPr>
              <w:t>事与光一科技主营业务相同或类似的业务。（</w:t>
            </w:r>
            <w:r>
              <w:rPr>
                <w:rFonts w:ascii="宋体" w:hAnsi="宋体" w:cs="宋体" w:eastAsia="宋体" w:hint="default"/>
                <w:spacing w:val="-8"/>
                <w:w w:val="101"/>
                <w:sz w:val="18"/>
                <w:szCs w:val="18"/>
              </w:rPr>
              <w:t>3</w:t>
            </w:r>
            <w:r>
              <w:rPr>
                <w:rFonts w:ascii="宋体" w:hAnsi="宋体" w:cs="宋体" w:eastAsia="宋体" w:hint="default"/>
                <w:spacing w:val="-8"/>
                <w:w w:val="101"/>
                <w:sz w:val="18"/>
                <w:szCs w:val="18"/>
              </w:rPr>
              <w:t>）本函自</w:t>
            </w:r>
            <w:r>
              <w:rPr>
                <w:rFonts w:ascii="宋体" w:hAnsi="宋体" w:cs="宋体" w:eastAsia="宋体" w:hint="default"/>
                <w:spacing w:val="-77"/>
                <w:w w:val="101"/>
                <w:sz w:val="18"/>
                <w:szCs w:val="18"/>
              </w:rPr>
              <w:t> </w:t>
            </w:r>
            <w:r>
              <w:rPr>
                <w:rFonts w:ascii="宋体" w:hAnsi="宋体" w:cs="宋体" w:eastAsia="宋体" w:hint="default"/>
                <w:spacing w:val="-77"/>
                <w:w w:val="101"/>
                <w:sz w:val="18"/>
                <w:szCs w:val="18"/>
              </w:rPr>
            </w:r>
            <w:r>
              <w:rPr>
                <w:rFonts w:ascii="宋体" w:hAnsi="宋体" w:cs="宋体" w:eastAsia="宋体" w:hint="default"/>
                <w:spacing w:val="-3"/>
                <w:sz w:val="18"/>
                <w:szCs w:val="18"/>
              </w:rPr>
              <w:t>签署出具之日起立即生效，即对本公司</w:t>
            </w:r>
            <w:r>
              <w:rPr>
                <w:rFonts w:ascii="宋体" w:hAnsi="宋体" w:cs="宋体" w:eastAsia="宋体" w:hint="default"/>
                <w:spacing w:val="-3"/>
                <w:sz w:val="18"/>
                <w:szCs w:val="18"/>
              </w:rPr>
              <w:t>/</w:t>
            </w:r>
            <w:r>
              <w:rPr>
                <w:rFonts w:ascii="宋体" w:hAnsi="宋体" w:cs="宋体" w:eastAsia="宋体" w:hint="default"/>
                <w:spacing w:val="-3"/>
                <w:sz w:val="18"/>
                <w:szCs w:val="18"/>
              </w:rPr>
              <w:t>本人具有法律</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3"/>
                <w:sz w:val="18"/>
                <w:szCs w:val="18"/>
              </w:rPr>
              <w:t>约束力。自本函生效至本公司</w:t>
            </w:r>
            <w:r>
              <w:rPr>
                <w:rFonts w:ascii="宋体" w:hAnsi="宋体" w:cs="宋体" w:eastAsia="宋体" w:hint="default"/>
                <w:spacing w:val="-3"/>
                <w:sz w:val="18"/>
                <w:szCs w:val="18"/>
              </w:rPr>
              <w:t>/</w:t>
            </w:r>
            <w:r>
              <w:rPr>
                <w:rFonts w:ascii="宋体" w:hAnsi="宋体" w:cs="宋体" w:eastAsia="宋体" w:hint="default"/>
                <w:spacing w:val="-3"/>
                <w:sz w:val="18"/>
                <w:szCs w:val="18"/>
              </w:rPr>
              <w:t>本人作为光一科技股东</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3"/>
                <w:sz w:val="18"/>
                <w:szCs w:val="18"/>
              </w:rPr>
              <w:t>的任何时候，本公司</w:t>
            </w:r>
            <w:r>
              <w:rPr>
                <w:rFonts w:ascii="宋体" w:hAnsi="宋体" w:cs="宋体" w:eastAsia="宋体" w:hint="default"/>
                <w:spacing w:val="-3"/>
                <w:sz w:val="18"/>
                <w:szCs w:val="18"/>
              </w:rPr>
              <w:t>/</w:t>
            </w:r>
            <w:r>
              <w:rPr>
                <w:rFonts w:ascii="宋体" w:hAnsi="宋体" w:cs="宋体" w:eastAsia="宋体" w:hint="default"/>
                <w:spacing w:val="-3"/>
                <w:sz w:val="18"/>
                <w:szCs w:val="18"/>
              </w:rPr>
              <w:t>本人将严格遵守并履行本函所作</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3"/>
                <w:sz w:val="18"/>
                <w:szCs w:val="18"/>
              </w:rPr>
              <w:t>的承诺及保证义务；对于违反本函承诺及保证义务的，</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本公司</w:t>
            </w:r>
            <w:r>
              <w:rPr>
                <w:rFonts w:ascii="宋体" w:hAnsi="宋体" w:cs="宋体" w:eastAsia="宋体" w:hint="default"/>
                <w:spacing w:val="-3"/>
                <w:sz w:val="18"/>
                <w:szCs w:val="18"/>
              </w:rPr>
              <w:t>/</w:t>
            </w:r>
            <w:r>
              <w:rPr>
                <w:rFonts w:ascii="宋体" w:hAnsi="宋体" w:cs="宋体" w:eastAsia="宋体" w:hint="default"/>
                <w:spacing w:val="-3"/>
                <w:sz w:val="18"/>
                <w:szCs w:val="18"/>
              </w:rPr>
              <w:t>本人承诺采取一切必要且有效的措施及时纠正</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4"/>
                <w:sz w:val="18"/>
                <w:szCs w:val="18"/>
              </w:rPr>
              <w:t>消除由此造成光一科技的不利影响，并对造成光一科技</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直接和间接损失承担赔偿责任。</w:t>
            </w:r>
            <w:r>
              <w:rPr>
                <w:rFonts w:ascii="宋体" w:hAnsi="宋体" w:cs="宋体" w:eastAsia="宋体" w:hint="default"/>
                <w:spacing w:val="-3"/>
                <w:sz w:val="18"/>
                <w:szCs w:val="18"/>
              </w:rPr>
              <w:t>2</w:t>
            </w:r>
            <w:r>
              <w:rPr>
                <w:rFonts w:ascii="宋体" w:hAnsi="宋体" w:cs="宋体" w:eastAsia="宋体" w:hint="default"/>
                <w:spacing w:val="-3"/>
                <w:sz w:val="18"/>
                <w:szCs w:val="18"/>
              </w:rPr>
              <w:t>、关于减少和规范关</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6"/>
                <w:w w:val="101"/>
                <w:sz w:val="18"/>
                <w:szCs w:val="18"/>
              </w:rPr>
              <w:t>联交易的承诺：（</w:t>
            </w:r>
            <w:r>
              <w:rPr>
                <w:rFonts w:ascii="宋体" w:hAnsi="宋体" w:cs="宋体" w:eastAsia="宋体" w:hint="default"/>
                <w:spacing w:val="-6"/>
                <w:w w:val="101"/>
                <w:sz w:val="18"/>
                <w:szCs w:val="18"/>
              </w:rPr>
              <w:t>1</w:t>
            </w:r>
            <w:r>
              <w:rPr>
                <w:rFonts w:ascii="宋体" w:hAnsi="宋体" w:cs="宋体" w:eastAsia="宋体" w:hint="default"/>
                <w:spacing w:val="-6"/>
                <w:w w:val="101"/>
                <w:sz w:val="18"/>
                <w:szCs w:val="18"/>
              </w:rPr>
              <w:t>）本次交易完成后，本公司</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本人及</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直接或间接控制或影响的企业与重组后的光一科技及</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其控股企业之间将减少并尽可能避免关联交易。对于无</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法避免或者有合理原因而发生的关联交易，本公司</w:t>
            </w:r>
            <w:r>
              <w:rPr>
                <w:rFonts w:ascii="宋体" w:hAnsi="宋体" w:cs="宋体" w:eastAsia="宋体" w:hint="default"/>
                <w:spacing w:val="-3"/>
                <w:sz w:val="18"/>
                <w:szCs w:val="18"/>
              </w:rPr>
              <w:t>/</w:t>
            </w:r>
            <w:r>
              <w:rPr>
                <w:rFonts w:ascii="宋体" w:hAnsi="宋体" w:cs="宋体" w:eastAsia="宋体" w:hint="default"/>
                <w:spacing w:val="-3"/>
                <w:sz w:val="18"/>
                <w:szCs w:val="18"/>
              </w:rPr>
              <w:t>本</w:t>
            </w:r>
            <w:r>
              <w:rPr>
                <w:rFonts w:ascii="宋体" w:hAnsi="宋体" w:cs="宋体" w:eastAsia="宋体" w:hint="default"/>
                <w:spacing w:val="-17"/>
                <w:sz w:val="18"/>
                <w:szCs w:val="18"/>
              </w:rPr>
              <w:t> </w:t>
            </w:r>
            <w:r>
              <w:rPr>
                <w:rFonts w:ascii="宋体" w:hAnsi="宋体" w:cs="宋体" w:eastAsia="宋体" w:hint="default"/>
                <w:spacing w:val="-4"/>
                <w:sz w:val="18"/>
                <w:szCs w:val="18"/>
              </w:rPr>
              <w:t>人承诺将按照公平、公允、等价有偿等原则依法签订协</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4"/>
                <w:sz w:val="18"/>
                <w:szCs w:val="18"/>
              </w:rPr>
              <w:t>议，履行合法程序，并将按照有关法律、法规、其他规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4"/>
                <w:sz w:val="18"/>
                <w:szCs w:val="18"/>
              </w:rPr>
              <w:t>范性文件以及光一科技公司章程等的规定，依法履行相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2"/>
              <w:ind w:left="100"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p>
          <w:p>
            <w:pPr>
              <w:pStyle w:val="TableParagraph"/>
              <w:spacing w:line="240" w:lineRule="auto" w:before="81"/>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100" w:right="96"/>
              <w:jc w:val="left"/>
              <w:rPr>
                <w:rFonts w:ascii="宋体" w:hAnsi="宋体" w:cs="宋体" w:eastAsia="宋体" w:hint="default"/>
                <w:sz w:val="18"/>
                <w:szCs w:val="18"/>
              </w:rPr>
            </w:pPr>
            <w:r>
              <w:rPr>
                <w:rFonts w:ascii="宋体" w:hAnsi="宋体" w:cs="宋体" w:eastAsia="宋体" w:hint="default"/>
                <w:sz w:val="18"/>
                <w:szCs w:val="18"/>
              </w:rPr>
              <w:t>严格</w:t>
            </w:r>
            <w:r>
              <w:rPr>
                <w:rFonts w:ascii="宋体" w:hAnsi="宋体" w:cs="宋体" w:eastAsia="宋体" w:hint="default"/>
                <w:spacing w:val="-86"/>
                <w:sz w:val="18"/>
                <w:szCs w:val="18"/>
              </w:rPr>
              <w:t> </w:t>
            </w:r>
            <w:r>
              <w:rPr>
                <w:rFonts w:ascii="宋体" w:hAnsi="宋体" w:cs="宋体" w:eastAsia="宋体" w:hint="default"/>
                <w:sz w:val="18"/>
                <w:szCs w:val="18"/>
              </w:rPr>
              <w:t>履行</w:t>
            </w:r>
          </w:p>
        </w:tc>
      </w:tr>
    </w:tbl>
    <w:p>
      <w:pPr>
        <w:spacing w:after="0" w:line="319" w:lineRule="auto"/>
        <w:jc w:val="left"/>
        <w:rPr>
          <w:rFonts w:ascii="宋体" w:hAnsi="宋体" w:cs="宋体" w:eastAsia="宋体" w:hint="default"/>
          <w:sz w:val="18"/>
          <w:szCs w:val="18"/>
        </w:rPr>
        <w:sectPr>
          <w:pgSz w:w="11910" w:h="16840"/>
          <w:pgMar w:header="871" w:footer="1037" w:top="1100" w:bottom="1220" w:left="74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7" w:type="dxa"/>
        <w:tblLayout w:type="fixed"/>
        <w:tblCellMar>
          <w:top w:w="0" w:type="dxa"/>
          <w:left w:w="0" w:type="dxa"/>
          <w:bottom w:w="0" w:type="dxa"/>
          <w:right w:w="0" w:type="dxa"/>
        </w:tblCellMar>
        <w:tblLook w:val="01E0"/>
      </w:tblPr>
      <w:tblGrid>
        <w:gridCol w:w="1078"/>
        <w:gridCol w:w="792"/>
        <w:gridCol w:w="1056"/>
        <w:gridCol w:w="4504"/>
        <w:gridCol w:w="960"/>
        <w:gridCol w:w="864"/>
        <w:gridCol w:w="584"/>
      </w:tblGrid>
      <w:tr>
        <w:trPr>
          <w:trHeight w:val="5978" w:hRule="exact"/>
        </w:trPr>
        <w:tc>
          <w:tcPr>
            <w:tcW w:w="1078" w:type="dxa"/>
            <w:vMerge w:val="restart"/>
            <w:tcBorders>
              <w:top w:val="single" w:sz="4" w:space="0" w:color="000000"/>
              <w:left w:val="single" w:sz="12"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5" w:right="99"/>
              <w:jc w:val="left"/>
              <w:rPr>
                <w:rFonts w:ascii="宋体" w:hAnsi="宋体" w:cs="宋体" w:eastAsia="宋体" w:hint="default"/>
                <w:sz w:val="18"/>
                <w:szCs w:val="18"/>
              </w:rPr>
            </w:pPr>
            <w:r>
              <w:rPr>
                <w:rFonts w:ascii="宋体" w:hAnsi="宋体" w:cs="宋体" w:eastAsia="宋体" w:hint="default"/>
                <w:spacing w:val="-4"/>
                <w:sz w:val="18"/>
                <w:szCs w:val="18"/>
              </w:rPr>
              <w:t>关内部决策批准程序并及时履行信息披露义务，保证不</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以与市场价格相比显失公允的条件与光一科技进行交</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易，保证不利用关联交易非法转移光一科技的资金、利</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4"/>
                <w:sz w:val="18"/>
                <w:szCs w:val="18"/>
              </w:rPr>
              <w:t>润，亦不利用该类交易从事任何损害光一科技及其他股</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6"/>
                <w:w w:val="101"/>
                <w:sz w:val="18"/>
                <w:szCs w:val="18"/>
              </w:rPr>
              <w:t>东合法权益的行为。（</w:t>
            </w:r>
            <w:r>
              <w:rPr>
                <w:rFonts w:ascii="宋体" w:hAnsi="宋体" w:cs="宋体" w:eastAsia="宋体" w:hint="default"/>
                <w:spacing w:val="-6"/>
                <w:w w:val="101"/>
                <w:sz w:val="18"/>
                <w:szCs w:val="18"/>
              </w:rPr>
              <w:t>2</w:t>
            </w:r>
            <w:r>
              <w:rPr>
                <w:rFonts w:ascii="宋体" w:hAnsi="宋体" w:cs="宋体" w:eastAsia="宋体" w:hint="default"/>
                <w:spacing w:val="-6"/>
                <w:w w:val="101"/>
                <w:sz w:val="18"/>
                <w:szCs w:val="18"/>
              </w:rPr>
              <w:t>）本公司</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本人及直接或间接控</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制或影响的企业将严格避免向光一科技及其控股和参</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股公司拆借、占用光一科技及其控股和参股公司资金或</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采取由光一科技及其控股和参股公司代垫款、代偿债务</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8"/>
                <w:w w:val="101"/>
                <w:sz w:val="18"/>
                <w:szCs w:val="18"/>
              </w:rPr>
              <w:t>等方式侵占光一科技资金。（</w:t>
            </w:r>
            <w:r>
              <w:rPr>
                <w:rFonts w:ascii="宋体" w:hAnsi="宋体" w:cs="宋体" w:eastAsia="宋体" w:hint="default"/>
                <w:spacing w:val="-8"/>
                <w:w w:val="101"/>
                <w:sz w:val="18"/>
                <w:szCs w:val="18"/>
              </w:rPr>
              <w:t>3</w:t>
            </w:r>
            <w:r>
              <w:rPr>
                <w:rFonts w:ascii="宋体" w:hAnsi="宋体" w:cs="宋体" w:eastAsia="宋体" w:hint="default"/>
                <w:spacing w:val="-8"/>
                <w:w w:val="101"/>
                <w:sz w:val="18"/>
                <w:szCs w:val="18"/>
              </w:rPr>
              <w:t>）本次交易完成后本公司</w:t>
            </w:r>
            <w:r>
              <w:rPr>
                <w:rFonts w:ascii="宋体" w:hAnsi="宋体" w:cs="宋体" w:eastAsia="宋体" w:hint="default"/>
                <w:spacing w:val="-8"/>
                <w:sz w:val="18"/>
                <w:szCs w:val="18"/>
              </w:rPr>
            </w:r>
          </w:p>
          <w:p>
            <w:pPr>
              <w:pStyle w:val="TableParagraph"/>
              <w:spacing w:line="319" w:lineRule="auto" w:before="19"/>
              <w:ind w:left="105" w:right="99"/>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本人将继续严格按照有关法律法规、规范性文件以及</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4"/>
                <w:sz w:val="18"/>
                <w:szCs w:val="18"/>
              </w:rPr>
              <w:t>光一科技公司章程的有关规定行使股东权利；在光一科</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技股东大会对有关涉及本人的关联交易进行表决时，履</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6"/>
                <w:w w:val="101"/>
                <w:sz w:val="18"/>
                <w:szCs w:val="18"/>
              </w:rPr>
              <w:t>行回避表决的义务。（</w:t>
            </w:r>
            <w:r>
              <w:rPr>
                <w:rFonts w:ascii="宋体" w:hAnsi="宋体" w:cs="宋体" w:eastAsia="宋体" w:hint="default"/>
                <w:spacing w:val="-6"/>
                <w:w w:val="101"/>
                <w:sz w:val="18"/>
                <w:szCs w:val="18"/>
              </w:rPr>
              <w:t>4</w:t>
            </w:r>
            <w:r>
              <w:rPr>
                <w:rFonts w:ascii="宋体" w:hAnsi="宋体" w:cs="宋体" w:eastAsia="宋体" w:hint="default"/>
                <w:spacing w:val="-6"/>
                <w:w w:val="101"/>
                <w:sz w:val="18"/>
                <w:szCs w:val="18"/>
              </w:rPr>
              <w:t>）本公司</w:t>
            </w:r>
            <w:r>
              <w:rPr>
                <w:rFonts w:ascii="宋体" w:hAnsi="宋体" w:cs="宋体" w:eastAsia="宋体" w:hint="default"/>
                <w:spacing w:val="-6"/>
                <w:w w:val="101"/>
                <w:sz w:val="18"/>
                <w:szCs w:val="18"/>
              </w:rPr>
              <w:t>/</w:t>
            </w:r>
            <w:r>
              <w:rPr>
                <w:rFonts w:ascii="宋体" w:hAnsi="宋体" w:cs="宋体" w:eastAsia="宋体" w:hint="default"/>
                <w:spacing w:val="-6"/>
                <w:w w:val="101"/>
                <w:sz w:val="18"/>
                <w:szCs w:val="18"/>
              </w:rPr>
              <w:t>本人保证不通过关联</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3"/>
                <w:sz w:val="18"/>
                <w:szCs w:val="18"/>
              </w:rPr>
              <w:t>交易取得任何不正当的利益或使光一科技及其控股和</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8"/>
                <w:w w:val="101"/>
                <w:sz w:val="18"/>
                <w:szCs w:val="18"/>
              </w:rPr>
              <w:t>参股公司承担任何不正当的义务。（</w:t>
            </w:r>
            <w:r>
              <w:rPr>
                <w:rFonts w:ascii="宋体" w:hAnsi="宋体" w:cs="宋体" w:eastAsia="宋体" w:hint="default"/>
                <w:spacing w:val="-8"/>
                <w:w w:val="101"/>
                <w:sz w:val="18"/>
                <w:szCs w:val="18"/>
              </w:rPr>
              <w:t>5</w:t>
            </w:r>
            <w:r>
              <w:rPr>
                <w:rFonts w:ascii="宋体" w:hAnsi="宋体" w:cs="宋体" w:eastAsia="宋体" w:hint="default"/>
                <w:spacing w:val="-8"/>
                <w:w w:val="101"/>
                <w:sz w:val="18"/>
                <w:szCs w:val="18"/>
              </w:rPr>
              <w:t>）如果因违反上述</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3"/>
                <w:sz w:val="18"/>
                <w:szCs w:val="18"/>
              </w:rPr>
              <w:t>承诺导致光一科技或其控股和参股公司损失或利用关</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联交易侵占光一科技或其控股和参股公司利益的，本公</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司</w:t>
            </w:r>
            <w:r>
              <w:rPr>
                <w:rFonts w:ascii="宋体" w:hAnsi="宋体" w:cs="宋体" w:eastAsia="宋体" w:hint="default"/>
                <w:spacing w:val="-3"/>
                <w:sz w:val="18"/>
                <w:szCs w:val="18"/>
              </w:rPr>
              <w:t>/</w:t>
            </w:r>
            <w:r>
              <w:rPr>
                <w:rFonts w:ascii="宋体" w:hAnsi="宋体" w:cs="宋体" w:eastAsia="宋体" w:hint="default"/>
                <w:spacing w:val="-3"/>
                <w:sz w:val="18"/>
                <w:szCs w:val="18"/>
              </w:rPr>
              <w:t>本人依法承担光一科技或其控股和参股公司的损</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失。</w:t>
            </w:r>
          </w:p>
        </w:tc>
        <w:tc>
          <w:tcPr>
            <w:tcW w:w="96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12" w:space="0" w:color="000000"/>
            </w:tcBorders>
          </w:tcPr>
          <w:p>
            <w:pPr/>
          </w:p>
        </w:tc>
      </w:tr>
      <w:tr>
        <w:trPr>
          <w:trHeight w:val="7855" w:hRule="exact"/>
        </w:trPr>
        <w:tc>
          <w:tcPr>
            <w:tcW w:w="1078" w:type="dxa"/>
            <w:vMerge/>
            <w:tcBorders>
              <w:left w:val="single" w:sz="12"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32"/>
              <w:jc w:val="left"/>
              <w:rPr>
                <w:rFonts w:ascii="宋体" w:hAnsi="宋体" w:cs="宋体" w:eastAsia="宋体" w:hint="default"/>
                <w:sz w:val="18"/>
                <w:szCs w:val="18"/>
              </w:rPr>
            </w:pPr>
            <w:r>
              <w:rPr>
                <w:rFonts w:ascii="宋体" w:hAnsi="宋体" w:cs="宋体" w:eastAsia="宋体" w:hint="default"/>
                <w:sz w:val="18"/>
                <w:szCs w:val="18"/>
              </w:rPr>
              <w:t>任昌</w:t>
            </w:r>
            <w:r>
              <w:rPr>
                <w:rFonts w:ascii="宋体" w:hAnsi="宋体" w:cs="宋体" w:eastAsia="宋体" w:hint="default"/>
                <w:spacing w:val="-86"/>
                <w:sz w:val="18"/>
                <w:szCs w:val="18"/>
              </w:rPr>
              <w:t> </w:t>
            </w:r>
            <w:r>
              <w:rPr>
                <w:rFonts w:ascii="宋体" w:hAnsi="宋体" w:cs="宋体" w:eastAsia="宋体" w:hint="default"/>
                <w:sz w:val="18"/>
                <w:szCs w:val="18"/>
              </w:rPr>
              <w:t>兆、任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晶晶、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魏法</w:t>
            </w:r>
            <w:r>
              <w:rPr>
                <w:rFonts w:ascii="宋体" w:hAnsi="宋体" w:cs="宋体" w:eastAsia="宋体" w:hint="default"/>
                <w:spacing w:val="-86"/>
                <w:sz w:val="18"/>
                <w:szCs w:val="18"/>
              </w:rPr>
              <w:t> </w:t>
            </w:r>
            <w:r>
              <w:rPr>
                <w:rFonts w:ascii="宋体" w:hAnsi="宋体" w:cs="宋体" w:eastAsia="宋体" w:hint="default"/>
                <w:sz w:val="18"/>
                <w:szCs w:val="18"/>
              </w:rPr>
              <w:t>旭、郑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丽蓉、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邓丽</w:t>
            </w:r>
            <w:r>
              <w:rPr>
                <w:rFonts w:ascii="宋体" w:hAnsi="宋体" w:cs="宋体" w:eastAsia="宋体" w:hint="default"/>
                <w:spacing w:val="-86"/>
                <w:sz w:val="18"/>
                <w:szCs w:val="18"/>
              </w:rPr>
              <w:t> </w:t>
            </w:r>
            <w:r>
              <w:rPr>
                <w:rFonts w:ascii="宋体" w:hAnsi="宋体" w:cs="宋体" w:eastAsia="宋体" w:hint="default"/>
                <w:sz w:val="18"/>
                <w:szCs w:val="18"/>
              </w:rPr>
              <w:t>萍、赵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桂长</w:t>
            </w:r>
            <w:r>
              <w:rPr>
                <w:rFonts w:ascii="宋体" w:hAnsi="宋体" w:cs="宋体" w:eastAsia="宋体" w:hint="default"/>
                <w:spacing w:val="-86"/>
                <w:sz w:val="18"/>
                <w:szCs w:val="18"/>
              </w:rPr>
              <w:t> </w:t>
            </w:r>
            <w:r>
              <w:rPr>
                <w:rFonts w:ascii="宋体" w:hAnsi="宋体" w:cs="宋体" w:eastAsia="宋体" w:hint="default"/>
                <w:sz w:val="18"/>
                <w:szCs w:val="18"/>
              </w:rPr>
              <w:t>钟、李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善元、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梁蓉、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廖庆</w:t>
            </w:r>
            <w:r>
              <w:rPr>
                <w:rFonts w:ascii="宋体" w:hAnsi="宋体" w:cs="宋体" w:eastAsia="宋体" w:hint="default"/>
                <w:spacing w:val="-86"/>
                <w:sz w:val="18"/>
                <w:szCs w:val="18"/>
              </w:rPr>
              <w:t> </w:t>
            </w:r>
            <w:r>
              <w:rPr>
                <w:rFonts w:ascii="宋体" w:hAnsi="宋体" w:cs="宋体" w:eastAsia="宋体" w:hint="default"/>
                <w:sz w:val="18"/>
                <w:szCs w:val="18"/>
              </w:rPr>
              <w:t>生、郑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立筠、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周军、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田裕</w:t>
            </w:r>
            <w:r>
              <w:rPr>
                <w:rFonts w:ascii="宋体" w:hAnsi="宋体" w:cs="宋体" w:eastAsia="宋体" w:hint="default"/>
                <w:spacing w:val="-86"/>
                <w:sz w:val="18"/>
                <w:szCs w:val="18"/>
              </w:rPr>
              <w:t> </w:t>
            </w:r>
            <w:r>
              <w:rPr>
                <w:rFonts w:ascii="宋体" w:hAnsi="宋体" w:cs="宋体" w:eastAsia="宋体" w:hint="default"/>
                <w:sz w:val="18"/>
                <w:szCs w:val="18"/>
              </w:rPr>
              <w:t>树、张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天祯、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王平、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方旭</w:t>
            </w:r>
            <w:r>
              <w:rPr>
                <w:rFonts w:ascii="宋体" w:hAnsi="宋体" w:cs="宋体" w:eastAsia="宋体" w:hint="default"/>
                <w:spacing w:val="-86"/>
                <w:sz w:val="18"/>
                <w:szCs w:val="18"/>
              </w:rPr>
              <w:t> </w:t>
            </w:r>
            <w:r>
              <w:rPr>
                <w:rFonts w:ascii="宋体" w:hAnsi="宋体" w:cs="宋体" w:eastAsia="宋体" w:hint="default"/>
                <w:sz w:val="18"/>
                <w:szCs w:val="18"/>
              </w:rPr>
              <w:t>东、何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传柏、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郭明</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9" w:lineRule="auto"/>
              <w:ind w:left="105" w:right="94"/>
              <w:jc w:val="left"/>
              <w:rPr>
                <w:rFonts w:ascii="宋体" w:hAnsi="宋体" w:cs="宋体" w:eastAsia="宋体" w:hint="default"/>
                <w:sz w:val="18"/>
                <w:szCs w:val="18"/>
              </w:rPr>
            </w:pPr>
            <w:r>
              <w:rPr>
                <w:rFonts w:ascii="宋体" w:hAnsi="宋体" w:cs="宋体" w:eastAsia="宋体" w:hint="default"/>
                <w:sz w:val="18"/>
                <w:szCs w:val="18"/>
              </w:rPr>
              <w:t>关于同业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竞争、关联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4"/>
                <w:sz w:val="18"/>
                <w:szCs w:val="18"/>
              </w:rPr>
              <w:t>交易、资金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占用方面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的承诺</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65"/>
              <w:jc w:val="left"/>
              <w:rPr>
                <w:rFonts w:ascii="宋体" w:hAnsi="宋体" w:cs="宋体" w:eastAsia="宋体" w:hint="default"/>
                <w:sz w:val="18"/>
                <w:szCs w:val="18"/>
              </w:rPr>
            </w:pPr>
            <w:r>
              <w:rPr>
                <w:rFonts w:ascii="宋体" w:hAnsi="宋体" w:cs="宋体" w:eastAsia="宋体" w:hint="default"/>
                <w:spacing w:val="-6"/>
                <w:w w:val="101"/>
                <w:sz w:val="18"/>
                <w:szCs w:val="18"/>
              </w:rPr>
              <w:t>1</w:t>
            </w:r>
            <w:r>
              <w:rPr>
                <w:rFonts w:ascii="宋体" w:hAnsi="宋体" w:cs="宋体" w:eastAsia="宋体" w:hint="default"/>
                <w:spacing w:val="-6"/>
                <w:w w:val="101"/>
                <w:sz w:val="18"/>
                <w:szCs w:val="18"/>
              </w:rPr>
              <w:t>、关于避免同业竞争的承诺：（</w:t>
            </w:r>
            <w:r>
              <w:rPr>
                <w:rFonts w:ascii="宋体" w:hAnsi="宋体" w:cs="宋体" w:eastAsia="宋体" w:hint="default"/>
                <w:spacing w:val="-6"/>
                <w:w w:val="101"/>
                <w:sz w:val="18"/>
                <w:szCs w:val="18"/>
              </w:rPr>
              <w:t>1</w:t>
            </w:r>
            <w:r>
              <w:rPr>
                <w:rFonts w:ascii="宋体" w:hAnsi="宋体" w:cs="宋体" w:eastAsia="宋体" w:hint="default"/>
                <w:spacing w:val="-6"/>
                <w:w w:val="101"/>
                <w:sz w:val="18"/>
                <w:szCs w:val="18"/>
              </w:rPr>
              <w:t>）本次交易完成后，</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4"/>
                <w:sz w:val="18"/>
                <w:szCs w:val="18"/>
              </w:rPr>
              <w:t>在作为光一科技股东期间，本人或本人近亲属及本人或</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本人近亲属控制的其他企业不会直接或间接从事任何</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与光一科技及其下属公司主要经营业务构成同业竞争</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或潜在同业竞争关系的生产与经营业务，亦不会投资任</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何与光一科技及其下属公司主要经营业务构成同业竞</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6"/>
                <w:w w:val="101"/>
                <w:sz w:val="18"/>
                <w:szCs w:val="18"/>
              </w:rPr>
              <w:t>争或潜在同业竞争关系的其他企业。（</w:t>
            </w:r>
            <w:r>
              <w:rPr>
                <w:rFonts w:ascii="宋体" w:hAnsi="宋体" w:cs="宋体" w:eastAsia="宋体" w:hint="default"/>
                <w:spacing w:val="-6"/>
                <w:w w:val="101"/>
                <w:sz w:val="18"/>
                <w:szCs w:val="18"/>
              </w:rPr>
              <w:t>2</w:t>
            </w:r>
            <w:r>
              <w:rPr>
                <w:rFonts w:ascii="宋体" w:hAnsi="宋体" w:cs="宋体" w:eastAsia="宋体" w:hint="default"/>
                <w:spacing w:val="-6"/>
                <w:w w:val="101"/>
                <w:sz w:val="18"/>
                <w:szCs w:val="18"/>
              </w:rPr>
              <w:t>）在上述期间，</w:t>
            </w:r>
            <w:r>
              <w:rPr>
                <w:rFonts w:ascii="宋体" w:hAnsi="宋体" w:cs="宋体" w:eastAsia="宋体" w:hint="default"/>
                <w:w w:val="101"/>
                <w:sz w:val="18"/>
                <w:szCs w:val="18"/>
              </w:rPr>
              <w:t> </w:t>
            </w:r>
            <w:r>
              <w:rPr>
                <w:rFonts w:ascii="宋体" w:hAnsi="宋体" w:cs="宋体" w:eastAsia="宋体" w:hint="default"/>
                <w:spacing w:val="-3"/>
                <w:sz w:val="18"/>
                <w:szCs w:val="18"/>
              </w:rPr>
              <w:t>如本人或本人近亲属及本人或本人近亲属控制的企业</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的现有业务或该等企业为进一步拓展业务范围，与光一</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科技及其下属公司经营的业务产生竞争，则本人或本人</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近亲属及本人或本人近亲属控制的企业将采取停止经</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4"/>
                <w:sz w:val="18"/>
                <w:szCs w:val="18"/>
              </w:rPr>
              <w:t>营产生竞争的业务的方式，或者采取将产生竞争的业务</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纳入光一科技的方式，或者采取将产生竞争的业务转让</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给无关联关系第三方等的合法方式，使本人或本人近亲</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属及本人或本人近亲属控制的企业不再从事与光一科</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8"/>
                <w:w w:val="101"/>
                <w:sz w:val="18"/>
                <w:szCs w:val="18"/>
              </w:rPr>
              <w:t>技主营业务相同或类似的业务。（</w:t>
            </w:r>
            <w:r>
              <w:rPr>
                <w:rFonts w:ascii="宋体" w:hAnsi="宋体" w:cs="宋体" w:eastAsia="宋体" w:hint="default"/>
                <w:spacing w:val="-8"/>
                <w:w w:val="101"/>
                <w:sz w:val="18"/>
                <w:szCs w:val="18"/>
              </w:rPr>
              <w:t>3</w:t>
            </w:r>
            <w:r>
              <w:rPr>
                <w:rFonts w:ascii="宋体" w:hAnsi="宋体" w:cs="宋体" w:eastAsia="宋体" w:hint="default"/>
                <w:spacing w:val="-8"/>
                <w:w w:val="101"/>
                <w:sz w:val="18"/>
                <w:szCs w:val="18"/>
              </w:rPr>
              <w:t>）本函自签署出具之</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4"/>
                <w:sz w:val="18"/>
                <w:szCs w:val="18"/>
              </w:rPr>
              <w:t>日起立即生效，即对本人具有法律约束力。自本函生效</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4"/>
                <w:sz w:val="18"/>
                <w:szCs w:val="18"/>
              </w:rPr>
              <w:t>至本人作为光一科技股东的任何时候，本人将严格遵守</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并履行本函所作的承诺及保证义务；对于违反本函承诺</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及保证义务的，本人承诺采取一切必要且有效的措施及</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时纠正消除由此造成光一科技的不利影响，并对造成光</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一科技直接和间接损失承担赔偿责任。</w:t>
            </w:r>
            <w:r>
              <w:rPr>
                <w:rFonts w:ascii="宋体" w:hAnsi="宋体" w:cs="宋体" w:eastAsia="宋体" w:hint="default"/>
                <w:spacing w:val="-3"/>
                <w:sz w:val="18"/>
                <w:szCs w:val="18"/>
              </w:rPr>
              <w:t>2</w:t>
            </w:r>
            <w:r>
              <w:rPr>
                <w:rFonts w:ascii="宋体" w:hAnsi="宋体" w:cs="宋体" w:eastAsia="宋体" w:hint="default"/>
                <w:spacing w:val="-3"/>
                <w:sz w:val="18"/>
                <w:szCs w:val="18"/>
              </w:rPr>
              <w:t>、关于减少和</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8"/>
                <w:w w:val="101"/>
                <w:sz w:val="18"/>
                <w:szCs w:val="18"/>
              </w:rPr>
              <w:t>规范关联交易的承诺：（</w:t>
            </w:r>
            <w:r>
              <w:rPr>
                <w:rFonts w:ascii="宋体" w:hAnsi="宋体" w:cs="宋体" w:eastAsia="宋体" w:hint="default"/>
                <w:spacing w:val="-8"/>
                <w:w w:val="101"/>
                <w:sz w:val="18"/>
                <w:szCs w:val="18"/>
              </w:rPr>
              <w:t>1</w:t>
            </w:r>
            <w:r>
              <w:rPr>
                <w:rFonts w:ascii="宋体" w:hAnsi="宋体" w:cs="宋体" w:eastAsia="宋体" w:hint="default"/>
                <w:spacing w:val="-8"/>
                <w:w w:val="101"/>
                <w:sz w:val="18"/>
                <w:szCs w:val="18"/>
              </w:rPr>
              <w:t>）本次交易完成后，本人或本</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3"/>
                <w:sz w:val="18"/>
                <w:szCs w:val="18"/>
              </w:rPr>
              <w:t>人近亲属及本人或本人近亲属直接或间接控制或影响</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的企业与重组后的光一科技及其控股企业之间将减少</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p>
          <w:p>
            <w:pPr>
              <w:pStyle w:val="TableParagraph"/>
              <w:spacing w:line="240" w:lineRule="auto" w:before="81"/>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100" w:right="96"/>
              <w:jc w:val="left"/>
              <w:rPr>
                <w:rFonts w:ascii="宋体" w:hAnsi="宋体" w:cs="宋体" w:eastAsia="宋体" w:hint="default"/>
                <w:sz w:val="18"/>
                <w:szCs w:val="18"/>
              </w:rPr>
            </w:pPr>
            <w:r>
              <w:rPr>
                <w:rFonts w:ascii="宋体" w:hAnsi="宋体" w:cs="宋体" w:eastAsia="宋体" w:hint="default"/>
                <w:sz w:val="18"/>
                <w:szCs w:val="18"/>
              </w:rPr>
              <w:t>严格</w:t>
            </w:r>
            <w:r>
              <w:rPr>
                <w:rFonts w:ascii="宋体" w:hAnsi="宋体" w:cs="宋体" w:eastAsia="宋体" w:hint="default"/>
                <w:spacing w:val="-86"/>
                <w:sz w:val="18"/>
                <w:szCs w:val="18"/>
              </w:rPr>
              <w:t> </w:t>
            </w:r>
            <w:r>
              <w:rPr>
                <w:rFonts w:ascii="宋体" w:hAnsi="宋体" w:cs="宋体" w:eastAsia="宋体" w:hint="default"/>
                <w:sz w:val="18"/>
                <w:szCs w:val="18"/>
              </w:rPr>
              <w:t>履行</w:t>
            </w:r>
          </w:p>
        </w:tc>
      </w:tr>
    </w:tbl>
    <w:p>
      <w:pPr>
        <w:spacing w:after="0" w:line="316" w:lineRule="auto"/>
        <w:jc w:val="left"/>
        <w:rPr>
          <w:rFonts w:ascii="宋体" w:hAnsi="宋体" w:cs="宋体" w:eastAsia="宋体" w:hint="default"/>
          <w:sz w:val="18"/>
          <w:szCs w:val="18"/>
        </w:rPr>
        <w:sectPr>
          <w:pgSz w:w="11910" w:h="16840"/>
          <w:pgMar w:header="871" w:footer="1037" w:top="1100" w:bottom="1220" w:left="74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7" w:type="dxa"/>
        <w:tblLayout w:type="fixed"/>
        <w:tblCellMar>
          <w:top w:w="0" w:type="dxa"/>
          <w:left w:w="0" w:type="dxa"/>
          <w:bottom w:w="0" w:type="dxa"/>
          <w:right w:w="0" w:type="dxa"/>
        </w:tblCellMar>
        <w:tblLook w:val="01E0"/>
      </w:tblPr>
      <w:tblGrid>
        <w:gridCol w:w="1078"/>
        <w:gridCol w:w="792"/>
        <w:gridCol w:w="1056"/>
        <w:gridCol w:w="4504"/>
        <w:gridCol w:w="960"/>
        <w:gridCol w:w="864"/>
        <w:gridCol w:w="584"/>
      </w:tblGrid>
      <w:tr>
        <w:trPr>
          <w:trHeight w:val="7226" w:hRule="exact"/>
        </w:trPr>
        <w:tc>
          <w:tcPr>
            <w:tcW w:w="1078" w:type="dxa"/>
            <w:vMerge w:val="restart"/>
            <w:tcBorders>
              <w:top w:val="single" w:sz="4" w:space="0" w:color="000000"/>
              <w:left w:val="single" w:sz="12"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32"/>
              <w:jc w:val="left"/>
              <w:rPr>
                <w:rFonts w:ascii="宋体" w:hAnsi="宋体" w:cs="宋体" w:eastAsia="宋体" w:hint="default"/>
                <w:sz w:val="18"/>
                <w:szCs w:val="18"/>
              </w:rPr>
            </w:pPr>
            <w:r>
              <w:rPr>
                <w:rFonts w:ascii="宋体" w:hAnsi="宋体" w:cs="宋体" w:eastAsia="宋体" w:hint="default"/>
                <w:sz w:val="18"/>
                <w:szCs w:val="18"/>
              </w:rPr>
              <w:t>亮、毛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门崇</w:t>
            </w:r>
            <w:r>
              <w:rPr>
                <w:rFonts w:ascii="宋体" w:hAnsi="宋体" w:cs="宋体" w:eastAsia="宋体" w:hint="default"/>
                <w:spacing w:val="-86"/>
                <w:sz w:val="18"/>
                <w:szCs w:val="18"/>
              </w:rPr>
              <w:t> </w:t>
            </w:r>
            <w:r>
              <w:rPr>
                <w:rFonts w:ascii="宋体" w:hAnsi="宋体" w:cs="宋体" w:eastAsia="宋体" w:hint="default"/>
                <w:sz w:val="18"/>
                <w:szCs w:val="18"/>
              </w:rPr>
              <w:t>喜、李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强、徐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光涛、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文涛、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罗丹、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彭娥</w:t>
            </w:r>
            <w:r>
              <w:rPr>
                <w:rFonts w:ascii="宋体" w:hAnsi="宋体" w:cs="宋体" w:eastAsia="宋体" w:hint="default"/>
                <w:spacing w:val="-86"/>
                <w:sz w:val="18"/>
                <w:szCs w:val="18"/>
              </w:rPr>
              <w:t> </w:t>
            </w:r>
            <w:r>
              <w:rPr>
                <w:rFonts w:ascii="宋体" w:hAnsi="宋体" w:cs="宋体" w:eastAsia="宋体" w:hint="default"/>
                <w:sz w:val="18"/>
                <w:szCs w:val="18"/>
              </w:rPr>
              <w:t>昌、张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红、陈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世勇</w:t>
            </w:r>
          </w:p>
        </w:tc>
        <w:tc>
          <w:tcPr>
            <w:tcW w:w="1056" w:type="dxa"/>
            <w:tcBorders>
              <w:top w:val="single" w:sz="4" w:space="0" w:color="000000"/>
              <w:left w:val="single" w:sz="4" w:space="0" w:color="000000"/>
              <w:bottom w:val="single" w:sz="4" w:space="0" w:color="000000"/>
              <w:right w:val="single" w:sz="4" w:space="0" w:color="000000"/>
            </w:tcBorders>
          </w:tcPr>
          <w:p>
            <w:pP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99"/>
              <w:jc w:val="left"/>
              <w:rPr>
                <w:rFonts w:ascii="宋体" w:hAnsi="宋体" w:cs="宋体" w:eastAsia="宋体" w:hint="default"/>
                <w:sz w:val="18"/>
                <w:szCs w:val="18"/>
              </w:rPr>
            </w:pPr>
            <w:r>
              <w:rPr>
                <w:rFonts w:ascii="宋体" w:hAnsi="宋体" w:cs="宋体" w:eastAsia="宋体" w:hint="default"/>
                <w:spacing w:val="-4"/>
                <w:sz w:val="18"/>
                <w:szCs w:val="18"/>
              </w:rPr>
              <w:t>并尽可能避免关联交易。对于无法避免或者有合理原因</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而发生的关联交易，本人或本人近亲属承诺将按照公</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平、公允、等价有偿等原则依法签订协议，履行合法程</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4"/>
                <w:sz w:val="18"/>
                <w:szCs w:val="18"/>
              </w:rPr>
              <w:t>序，并将按照有关法律、法规、其他规范性文件以及光</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4"/>
                <w:sz w:val="18"/>
                <w:szCs w:val="18"/>
              </w:rPr>
              <w:t>一科技公司章程等的规定，依法履行相关内部决策批准</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程序并及时履行信息披露义务，保证不以与市场价格相</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比显失公允的条件与光一科技进行交易，保证不利用关</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联交易非法转移光一科技的资金、利润，亦不利用该类</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交易从事任何损害光一科技及其他股东合法权益的行</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8"/>
                <w:w w:val="101"/>
                <w:sz w:val="18"/>
                <w:szCs w:val="18"/>
              </w:rPr>
              <w:t>为。（</w:t>
            </w:r>
            <w:r>
              <w:rPr>
                <w:rFonts w:ascii="宋体" w:hAnsi="宋体" w:cs="宋体" w:eastAsia="宋体" w:hint="default"/>
                <w:spacing w:val="-8"/>
                <w:w w:val="101"/>
                <w:sz w:val="18"/>
                <w:szCs w:val="18"/>
              </w:rPr>
              <w:t>2</w:t>
            </w:r>
            <w:r>
              <w:rPr>
                <w:rFonts w:ascii="宋体" w:hAnsi="宋体" w:cs="宋体" w:eastAsia="宋体" w:hint="default"/>
                <w:spacing w:val="-8"/>
                <w:w w:val="101"/>
                <w:sz w:val="18"/>
                <w:szCs w:val="18"/>
              </w:rPr>
              <w:t>）本人或本人近亲属及本人或本人近亲属直接或</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3"/>
                <w:sz w:val="18"/>
                <w:szCs w:val="18"/>
              </w:rPr>
              <w:t>间接控制或影响的企业将严格避免向光一科技及其控</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股和参股公司拆借、占用光一科技及其控股和参股公司</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资金或采取由光一科技及其控股和参股公司代垫款、代</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8"/>
                <w:w w:val="101"/>
                <w:sz w:val="18"/>
                <w:szCs w:val="18"/>
              </w:rPr>
              <w:t>偿债务等方式侵占光一科技资金。（</w:t>
            </w:r>
            <w:r>
              <w:rPr>
                <w:rFonts w:ascii="宋体" w:hAnsi="宋体" w:cs="宋体" w:eastAsia="宋体" w:hint="default"/>
                <w:spacing w:val="-8"/>
                <w:w w:val="101"/>
                <w:sz w:val="18"/>
                <w:szCs w:val="18"/>
              </w:rPr>
              <w:t>3</w:t>
            </w:r>
            <w:r>
              <w:rPr>
                <w:rFonts w:ascii="宋体" w:hAnsi="宋体" w:cs="宋体" w:eastAsia="宋体" w:hint="default"/>
                <w:spacing w:val="-8"/>
                <w:w w:val="101"/>
                <w:sz w:val="18"/>
                <w:szCs w:val="18"/>
              </w:rPr>
              <w:t>）本次交易完成后</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4"/>
                <w:sz w:val="18"/>
                <w:szCs w:val="18"/>
              </w:rPr>
              <w:t>本人将继续严格按照有关法律法规、规范性文件以及光</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一科技公司章程的有关规定行使股东权利；在光一科技</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股东大会对有关涉及本人的关联交易进行表决时，履行</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8"/>
                <w:w w:val="101"/>
                <w:sz w:val="18"/>
                <w:szCs w:val="18"/>
              </w:rPr>
              <w:t>回避表决的义务。（</w:t>
            </w:r>
            <w:r>
              <w:rPr>
                <w:rFonts w:ascii="宋体" w:hAnsi="宋体" w:cs="宋体" w:eastAsia="宋体" w:hint="default"/>
                <w:spacing w:val="-8"/>
                <w:w w:val="101"/>
                <w:sz w:val="18"/>
                <w:szCs w:val="18"/>
              </w:rPr>
              <w:t>4</w:t>
            </w:r>
            <w:r>
              <w:rPr>
                <w:rFonts w:ascii="宋体" w:hAnsi="宋体" w:cs="宋体" w:eastAsia="宋体" w:hint="default"/>
                <w:spacing w:val="-8"/>
                <w:w w:val="101"/>
                <w:sz w:val="18"/>
                <w:szCs w:val="18"/>
              </w:rPr>
              <w:t>）本人保证不通过关联交易取得任</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3"/>
                <w:sz w:val="18"/>
                <w:szCs w:val="18"/>
              </w:rPr>
              <w:t>何不正当的利益或使光一科技及其控股和参股公司承</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8"/>
                <w:w w:val="101"/>
                <w:sz w:val="18"/>
                <w:szCs w:val="18"/>
              </w:rPr>
              <w:t>担任何不正当的义务。（</w:t>
            </w:r>
            <w:r>
              <w:rPr>
                <w:rFonts w:ascii="宋体" w:hAnsi="宋体" w:cs="宋体" w:eastAsia="宋体" w:hint="default"/>
                <w:spacing w:val="-8"/>
                <w:w w:val="101"/>
                <w:sz w:val="18"/>
                <w:szCs w:val="18"/>
              </w:rPr>
              <w:t>5</w:t>
            </w:r>
            <w:r>
              <w:rPr>
                <w:rFonts w:ascii="宋体" w:hAnsi="宋体" w:cs="宋体" w:eastAsia="宋体" w:hint="default"/>
                <w:spacing w:val="-8"/>
                <w:w w:val="101"/>
                <w:sz w:val="18"/>
                <w:szCs w:val="18"/>
              </w:rPr>
              <w:t>）如果因违反上述承诺导致光</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3"/>
                <w:sz w:val="18"/>
                <w:szCs w:val="18"/>
              </w:rPr>
              <w:t>一科技或其控股和参股公司损失或利用关联交易侵占</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光一科技或其控股和参股公司利益的，本人依法承担光</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一科技或其控股和参股公司的损失。</w:t>
            </w:r>
          </w:p>
        </w:tc>
        <w:tc>
          <w:tcPr>
            <w:tcW w:w="96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12" w:space="0" w:color="000000"/>
            </w:tcBorders>
          </w:tcPr>
          <w:p>
            <w:pPr/>
          </w:p>
        </w:tc>
      </w:tr>
      <w:tr>
        <w:trPr>
          <w:trHeight w:val="6607" w:hRule="exact"/>
        </w:trPr>
        <w:tc>
          <w:tcPr>
            <w:tcW w:w="1078" w:type="dxa"/>
            <w:vMerge/>
            <w:tcBorders>
              <w:left w:val="single" w:sz="12"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32"/>
              <w:jc w:val="both"/>
              <w:rPr>
                <w:rFonts w:ascii="宋体" w:hAnsi="宋体" w:cs="宋体" w:eastAsia="宋体" w:hint="default"/>
                <w:sz w:val="18"/>
                <w:szCs w:val="18"/>
              </w:rPr>
            </w:pPr>
            <w:r>
              <w:rPr>
                <w:rFonts w:ascii="宋体" w:hAnsi="宋体" w:cs="宋体" w:eastAsia="宋体" w:hint="default"/>
                <w:sz w:val="18"/>
                <w:szCs w:val="18"/>
              </w:rPr>
              <w:t>湖北乾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瀚投资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安县鑫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旺投资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圳创新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团有限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北京红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土鑫洲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创业投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资中心</w:t>
            </w:r>
          </w:p>
          <w:p>
            <w:pPr>
              <w:pStyle w:val="TableParagraph"/>
              <w:spacing w:line="319" w:lineRule="auto" w:before="19"/>
              <w:ind w:left="105" w:right="41"/>
              <w:jc w:val="left"/>
              <w:rPr>
                <w:rFonts w:ascii="宋体" w:hAnsi="宋体" w:cs="宋体" w:eastAsia="宋体" w:hint="default"/>
                <w:sz w:val="18"/>
                <w:szCs w:val="18"/>
              </w:rPr>
            </w:pPr>
            <w:r>
              <w:rPr>
                <w:rFonts w:ascii="宋体" w:hAnsi="宋体" w:cs="宋体" w:eastAsia="宋体" w:hint="default"/>
                <w:sz w:val="18"/>
                <w:szCs w:val="18"/>
              </w:rPr>
              <w:t>（有限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4"/>
                <w:w w:val="101"/>
                <w:sz w:val="18"/>
                <w:szCs w:val="18"/>
              </w:rPr>
              <w:t>合伙）、</w:t>
            </w:r>
            <w:r>
              <w:rPr>
                <w:rFonts w:ascii="宋体" w:hAnsi="宋体" w:cs="宋体" w:eastAsia="宋体" w:hint="default"/>
                <w:w w:val="101"/>
                <w:sz w:val="18"/>
                <w:szCs w:val="18"/>
              </w:rPr>
              <w:t> </w:t>
            </w:r>
            <w:r>
              <w:rPr>
                <w:rFonts w:ascii="宋体" w:hAnsi="宋体" w:cs="宋体" w:eastAsia="宋体" w:hint="default"/>
                <w:sz w:val="18"/>
                <w:szCs w:val="18"/>
              </w:rPr>
              <w:t>南昌红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土创新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资本创</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9" w:lineRule="auto"/>
              <w:ind w:left="105" w:right="94"/>
              <w:jc w:val="left"/>
              <w:rPr>
                <w:rFonts w:ascii="宋体" w:hAnsi="宋体" w:cs="宋体" w:eastAsia="宋体" w:hint="default"/>
                <w:sz w:val="18"/>
                <w:szCs w:val="18"/>
              </w:rPr>
            </w:pPr>
            <w:r>
              <w:rPr>
                <w:rFonts w:ascii="宋体" w:hAnsi="宋体" w:cs="宋体" w:eastAsia="宋体" w:hint="default"/>
                <w:sz w:val="18"/>
                <w:szCs w:val="18"/>
              </w:rPr>
              <w:t>关于同业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竞争、关联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4"/>
                <w:sz w:val="18"/>
                <w:szCs w:val="18"/>
              </w:rPr>
              <w:t>交易、资金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占用方面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的承诺</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65"/>
              <w:jc w:val="left"/>
              <w:rPr>
                <w:rFonts w:ascii="宋体" w:hAnsi="宋体" w:cs="宋体" w:eastAsia="宋体" w:hint="default"/>
                <w:sz w:val="18"/>
                <w:szCs w:val="18"/>
              </w:rPr>
            </w:pPr>
            <w:r>
              <w:rPr>
                <w:rFonts w:ascii="宋体" w:hAnsi="宋体" w:cs="宋体" w:eastAsia="宋体" w:hint="default"/>
                <w:spacing w:val="-6"/>
                <w:w w:val="101"/>
                <w:sz w:val="18"/>
                <w:szCs w:val="18"/>
              </w:rPr>
              <w:t>1</w:t>
            </w:r>
            <w:r>
              <w:rPr>
                <w:rFonts w:ascii="宋体" w:hAnsi="宋体" w:cs="宋体" w:eastAsia="宋体" w:hint="default"/>
                <w:spacing w:val="-6"/>
                <w:w w:val="101"/>
                <w:sz w:val="18"/>
                <w:szCs w:val="18"/>
              </w:rPr>
              <w:t>、关于避免同业竞争的承诺：（</w:t>
            </w:r>
            <w:r>
              <w:rPr>
                <w:rFonts w:ascii="宋体" w:hAnsi="宋体" w:cs="宋体" w:eastAsia="宋体" w:hint="default"/>
                <w:spacing w:val="-6"/>
                <w:w w:val="101"/>
                <w:sz w:val="18"/>
                <w:szCs w:val="18"/>
              </w:rPr>
              <w:t>1</w:t>
            </w:r>
            <w:r>
              <w:rPr>
                <w:rFonts w:ascii="宋体" w:hAnsi="宋体" w:cs="宋体" w:eastAsia="宋体" w:hint="default"/>
                <w:spacing w:val="-6"/>
                <w:w w:val="101"/>
                <w:sz w:val="18"/>
                <w:szCs w:val="18"/>
              </w:rPr>
              <w:t>）本次交易完成后，</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pacing w:val="-4"/>
                <w:sz w:val="18"/>
                <w:szCs w:val="18"/>
              </w:rPr>
              <w:t>在作为光一科技股东期间，本人或本人近亲属及本人或</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本人近亲属控制的其他企业不会直接或间接从事任何</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与光一科技及其下属公司主要经营业务构成同业竞争</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或潜在同业竞争关系的生产与经营业务，亦不会投资任</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何与光一科技及其下属公司主要经营业务构成同业竞</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6"/>
                <w:w w:val="101"/>
                <w:sz w:val="18"/>
                <w:szCs w:val="18"/>
              </w:rPr>
              <w:t>争或潜在同业竞争关系的其他企业。（</w:t>
            </w:r>
            <w:r>
              <w:rPr>
                <w:rFonts w:ascii="宋体" w:hAnsi="宋体" w:cs="宋体" w:eastAsia="宋体" w:hint="default"/>
                <w:spacing w:val="-6"/>
                <w:w w:val="101"/>
                <w:sz w:val="18"/>
                <w:szCs w:val="18"/>
              </w:rPr>
              <w:t>2</w:t>
            </w:r>
            <w:r>
              <w:rPr>
                <w:rFonts w:ascii="宋体" w:hAnsi="宋体" w:cs="宋体" w:eastAsia="宋体" w:hint="default"/>
                <w:spacing w:val="-6"/>
                <w:w w:val="101"/>
                <w:sz w:val="18"/>
                <w:szCs w:val="18"/>
              </w:rPr>
              <w:t>）在上述期间，</w:t>
            </w:r>
            <w:r>
              <w:rPr>
                <w:rFonts w:ascii="宋体" w:hAnsi="宋体" w:cs="宋体" w:eastAsia="宋体" w:hint="default"/>
                <w:w w:val="101"/>
                <w:sz w:val="18"/>
                <w:szCs w:val="18"/>
              </w:rPr>
              <w:t> </w:t>
            </w:r>
            <w:r>
              <w:rPr>
                <w:rFonts w:ascii="宋体" w:hAnsi="宋体" w:cs="宋体" w:eastAsia="宋体" w:hint="default"/>
                <w:spacing w:val="-3"/>
                <w:sz w:val="18"/>
                <w:szCs w:val="18"/>
              </w:rPr>
              <w:t>如本人或本人近亲属及本人或本人近亲属控制的企业</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的现有业务或该等企业为进一步拓展业务范围，与光一</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科技及其下属公司经营的业务产生竞争，则本人或本人</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近亲属及本人或本人近亲属控制的企业将采取停止经</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4"/>
                <w:sz w:val="18"/>
                <w:szCs w:val="18"/>
              </w:rPr>
              <w:t>营产生竞争的业务的方式，或者采取将产生竞争的业务</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纳入光一科技的方式，或者采取将产生竞争的业务转让</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给无关联关系第三方等的合法方式，使本人或本人近亲</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属及本人或本人近亲属控制的企业不再从事与光一科</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8"/>
                <w:w w:val="101"/>
                <w:sz w:val="18"/>
                <w:szCs w:val="18"/>
              </w:rPr>
              <w:t>技主营业务相同或类似的业务。（</w:t>
            </w:r>
            <w:r>
              <w:rPr>
                <w:rFonts w:ascii="宋体" w:hAnsi="宋体" w:cs="宋体" w:eastAsia="宋体" w:hint="default"/>
                <w:spacing w:val="-8"/>
                <w:w w:val="101"/>
                <w:sz w:val="18"/>
                <w:szCs w:val="18"/>
              </w:rPr>
              <w:t>3</w:t>
            </w:r>
            <w:r>
              <w:rPr>
                <w:rFonts w:ascii="宋体" w:hAnsi="宋体" w:cs="宋体" w:eastAsia="宋体" w:hint="default"/>
                <w:spacing w:val="-8"/>
                <w:w w:val="101"/>
                <w:sz w:val="18"/>
                <w:szCs w:val="18"/>
              </w:rPr>
              <w:t>）本函自签署出具之</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4"/>
                <w:sz w:val="18"/>
                <w:szCs w:val="18"/>
              </w:rPr>
              <w:t>日起立即生效，即对本人具有法律约束力。自本函生效</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4"/>
                <w:sz w:val="18"/>
                <w:szCs w:val="18"/>
              </w:rPr>
              <w:t>至本人作为光一科技股东的任何时候，本人将严格遵守</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并履行本函所作的承诺及保证义务；对于违反本函承诺</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及保证义务的，本人承诺采取一切必要且有效的措施及</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时纠正消除由此造成光一科技的不利影响，并对造成光</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0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p>
          <w:p>
            <w:pPr>
              <w:pStyle w:val="TableParagraph"/>
              <w:spacing w:line="240" w:lineRule="auto" w:before="81"/>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100" w:right="96"/>
              <w:jc w:val="left"/>
              <w:rPr>
                <w:rFonts w:ascii="宋体" w:hAnsi="宋体" w:cs="宋体" w:eastAsia="宋体" w:hint="default"/>
                <w:sz w:val="18"/>
                <w:szCs w:val="18"/>
              </w:rPr>
            </w:pPr>
            <w:r>
              <w:rPr>
                <w:rFonts w:ascii="宋体" w:hAnsi="宋体" w:cs="宋体" w:eastAsia="宋体" w:hint="default"/>
                <w:sz w:val="18"/>
                <w:szCs w:val="18"/>
              </w:rPr>
              <w:t>严格</w:t>
            </w:r>
            <w:r>
              <w:rPr>
                <w:rFonts w:ascii="宋体" w:hAnsi="宋体" w:cs="宋体" w:eastAsia="宋体" w:hint="default"/>
                <w:spacing w:val="-86"/>
                <w:sz w:val="18"/>
                <w:szCs w:val="18"/>
              </w:rPr>
              <w:t> </w:t>
            </w:r>
            <w:r>
              <w:rPr>
                <w:rFonts w:ascii="宋体" w:hAnsi="宋体" w:cs="宋体" w:eastAsia="宋体" w:hint="default"/>
                <w:sz w:val="18"/>
                <w:szCs w:val="18"/>
              </w:rPr>
              <w:t>履行</w:t>
            </w:r>
          </w:p>
        </w:tc>
      </w:tr>
    </w:tbl>
    <w:p>
      <w:pPr>
        <w:spacing w:after="0" w:line="316" w:lineRule="auto"/>
        <w:jc w:val="left"/>
        <w:rPr>
          <w:rFonts w:ascii="宋体" w:hAnsi="宋体" w:cs="宋体" w:eastAsia="宋体" w:hint="default"/>
          <w:sz w:val="18"/>
          <w:szCs w:val="18"/>
        </w:rPr>
        <w:sectPr>
          <w:pgSz w:w="11910" w:h="16840"/>
          <w:pgMar w:header="871" w:footer="1037" w:top="1100" w:bottom="1220" w:left="74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7" w:type="dxa"/>
        <w:tblLayout w:type="fixed"/>
        <w:tblCellMar>
          <w:top w:w="0" w:type="dxa"/>
          <w:left w:w="0" w:type="dxa"/>
          <w:bottom w:w="0" w:type="dxa"/>
          <w:right w:w="0" w:type="dxa"/>
        </w:tblCellMar>
        <w:tblLook w:val="01E0"/>
      </w:tblPr>
      <w:tblGrid>
        <w:gridCol w:w="1078"/>
        <w:gridCol w:w="792"/>
        <w:gridCol w:w="1056"/>
        <w:gridCol w:w="4504"/>
        <w:gridCol w:w="960"/>
        <w:gridCol w:w="864"/>
        <w:gridCol w:w="576"/>
      </w:tblGrid>
      <w:tr>
        <w:trPr>
          <w:trHeight w:val="8474" w:hRule="exact"/>
        </w:trPr>
        <w:tc>
          <w:tcPr>
            <w:tcW w:w="1078" w:type="dxa"/>
            <w:vMerge w:val="restart"/>
            <w:tcBorders>
              <w:top w:val="single" w:sz="4" w:space="0" w:color="000000"/>
              <w:left w:val="single" w:sz="12"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32"/>
              <w:jc w:val="both"/>
              <w:rPr>
                <w:rFonts w:ascii="宋体" w:hAnsi="宋体" w:cs="宋体" w:eastAsia="宋体" w:hint="default"/>
                <w:sz w:val="18"/>
                <w:szCs w:val="18"/>
              </w:rPr>
            </w:pPr>
            <w:r>
              <w:rPr>
                <w:rFonts w:ascii="宋体" w:hAnsi="宋体" w:cs="宋体" w:eastAsia="宋体" w:hint="default"/>
                <w:sz w:val="18"/>
                <w:szCs w:val="18"/>
              </w:rPr>
              <w:t>业投资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北红土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创业投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056" w:type="dxa"/>
            <w:tcBorders>
              <w:top w:val="single" w:sz="4" w:space="0" w:color="000000"/>
              <w:left w:val="single" w:sz="4" w:space="0" w:color="000000"/>
              <w:bottom w:val="single" w:sz="4" w:space="0" w:color="000000"/>
              <w:right w:val="single" w:sz="4" w:space="0" w:color="000000"/>
            </w:tcBorders>
          </w:tcPr>
          <w:p>
            <w:pP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99"/>
              <w:jc w:val="left"/>
              <w:rPr>
                <w:rFonts w:ascii="宋体" w:hAnsi="宋体" w:cs="宋体" w:eastAsia="宋体" w:hint="default"/>
                <w:sz w:val="18"/>
                <w:szCs w:val="18"/>
              </w:rPr>
            </w:pPr>
            <w:r>
              <w:rPr>
                <w:rFonts w:ascii="宋体" w:hAnsi="宋体" w:cs="宋体" w:eastAsia="宋体" w:hint="default"/>
                <w:spacing w:val="-3"/>
                <w:sz w:val="18"/>
                <w:szCs w:val="18"/>
              </w:rPr>
              <w:t>一科技直接和间接损失承担赔偿责任。</w:t>
            </w:r>
            <w:r>
              <w:rPr>
                <w:rFonts w:ascii="宋体" w:hAnsi="宋体" w:cs="宋体" w:eastAsia="宋体" w:hint="default"/>
                <w:spacing w:val="-3"/>
                <w:sz w:val="18"/>
                <w:szCs w:val="18"/>
              </w:rPr>
              <w:t>2</w:t>
            </w:r>
            <w:r>
              <w:rPr>
                <w:rFonts w:ascii="宋体" w:hAnsi="宋体" w:cs="宋体" w:eastAsia="宋体" w:hint="default"/>
                <w:spacing w:val="-3"/>
                <w:sz w:val="18"/>
                <w:szCs w:val="18"/>
              </w:rPr>
              <w:t>、关于减少和</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8"/>
                <w:w w:val="101"/>
                <w:sz w:val="18"/>
                <w:szCs w:val="18"/>
              </w:rPr>
              <w:t>规范关联交易的承诺：（</w:t>
            </w:r>
            <w:r>
              <w:rPr>
                <w:rFonts w:ascii="宋体" w:hAnsi="宋体" w:cs="宋体" w:eastAsia="宋体" w:hint="default"/>
                <w:spacing w:val="-8"/>
                <w:w w:val="101"/>
                <w:sz w:val="18"/>
                <w:szCs w:val="18"/>
              </w:rPr>
              <w:t>1</w:t>
            </w:r>
            <w:r>
              <w:rPr>
                <w:rFonts w:ascii="宋体" w:hAnsi="宋体" w:cs="宋体" w:eastAsia="宋体" w:hint="default"/>
                <w:spacing w:val="-8"/>
                <w:w w:val="101"/>
                <w:sz w:val="18"/>
                <w:szCs w:val="18"/>
              </w:rPr>
              <w:t>）本次交易完成后，本人或本</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3"/>
                <w:sz w:val="18"/>
                <w:szCs w:val="18"/>
              </w:rPr>
              <w:t>人近亲属及本人或本人近亲属直接或间接控制或影响</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的企业与重组后的光一科技及其控股企业之间将减少</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并尽可能避免关联交易。对于无法避免或者有合理原因</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而发生的关联交易，本人或本人近亲属承诺将按照公</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平、公允、等价有偿等原则依法签订协议，履行合法程</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4"/>
                <w:sz w:val="18"/>
                <w:szCs w:val="18"/>
              </w:rPr>
              <w:t>序，并将按照有关法律、法规、其他规范性文件以及光</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4"/>
                <w:sz w:val="18"/>
                <w:szCs w:val="18"/>
              </w:rPr>
              <w:t>一科技公司章程等的规定，依法履行相关内部决策批准</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程序并及时履行信息披露义务，保证不以与市场价格相</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比显失公允的条件与光一科技进行交易，保证不利用关</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联交易非法转移光一科技的资金、利润，亦不利用该类</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交易从事任何损害光一科技及其他股东合法权益的行</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8"/>
                <w:w w:val="101"/>
                <w:sz w:val="18"/>
                <w:szCs w:val="18"/>
              </w:rPr>
              <w:t>为。（</w:t>
            </w:r>
            <w:r>
              <w:rPr>
                <w:rFonts w:ascii="宋体" w:hAnsi="宋体" w:cs="宋体" w:eastAsia="宋体" w:hint="default"/>
                <w:spacing w:val="-8"/>
                <w:w w:val="101"/>
                <w:sz w:val="18"/>
                <w:szCs w:val="18"/>
              </w:rPr>
              <w:t>2</w:t>
            </w:r>
            <w:r>
              <w:rPr>
                <w:rFonts w:ascii="宋体" w:hAnsi="宋体" w:cs="宋体" w:eastAsia="宋体" w:hint="default"/>
                <w:spacing w:val="-8"/>
                <w:w w:val="101"/>
                <w:sz w:val="18"/>
                <w:szCs w:val="18"/>
              </w:rPr>
              <w:t>）本人或本人近亲属及本人或本人近亲属直接或</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3"/>
                <w:sz w:val="18"/>
                <w:szCs w:val="18"/>
              </w:rPr>
              <w:t>间接控制或影响的企业将严格避免向光一科技及其控</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股和参股公司拆借、占用光一科技及其控股和参股公司</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资金或采取由光一科技及其控股和参股公司代垫款、代</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8"/>
                <w:w w:val="101"/>
                <w:sz w:val="18"/>
                <w:szCs w:val="18"/>
              </w:rPr>
              <w:t>偿债务等方式侵占光一科技资金。（</w:t>
            </w:r>
            <w:r>
              <w:rPr>
                <w:rFonts w:ascii="宋体" w:hAnsi="宋体" w:cs="宋体" w:eastAsia="宋体" w:hint="default"/>
                <w:spacing w:val="-8"/>
                <w:w w:val="101"/>
                <w:sz w:val="18"/>
                <w:szCs w:val="18"/>
              </w:rPr>
              <w:t>3</w:t>
            </w:r>
            <w:r>
              <w:rPr>
                <w:rFonts w:ascii="宋体" w:hAnsi="宋体" w:cs="宋体" w:eastAsia="宋体" w:hint="default"/>
                <w:spacing w:val="-8"/>
                <w:w w:val="101"/>
                <w:sz w:val="18"/>
                <w:szCs w:val="18"/>
              </w:rPr>
              <w:t>）本次交易完成后</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4"/>
                <w:sz w:val="18"/>
                <w:szCs w:val="18"/>
              </w:rPr>
              <w:t>本人将继续严格按照有关法律法规、规范性文件以及光</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一科技公司章程的有关规定行使股东权利；在光一科技</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股东大会对有关涉及本人的关联交易进行表决时，履行</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8"/>
                <w:w w:val="101"/>
                <w:sz w:val="18"/>
                <w:szCs w:val="18"/>
              </w:rPr>
              <w:t>回避表决的义务。（</w:t>
            </w:r>
            <w:r>
              <w:rPr>
                <w:rFonts w:ascii="宋体" w:hAnsi="宋体" w:cs="宋体" w:eastAsia="宋体" w:hint="default"/>
                <w:spacing w:val="-8"/>
                <w:w w:val="101"/>
                <w:sz w:val="18"/>
                <w:szCs w:val="18"/>
              </w:rPr>
              <w:t>4</w:t>
            </w:r>
            <w:r>
              <w:rPr>
                <w:rFonts w:ascii="宋体" w:hAnsi="宋体" w:cs="宋体" w:eastAsia="宋体" w:hint="default"/>
                <w:spacing w:val="-8"/>
                <w:w w:val="101"/>
                <w:sz w:val="18"/>
                <w:szCs w:val="18"/>
              </w:rPr>
              <w:t>）本人保证不通过关联交易取得任</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3"/>
                <w:sz w:val="18"/>
                <w:szCs w:val="18"/>
              </w:rPr>
              <w:t>何不正当的利益或使光一科技及其控股和参股公司承</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8"/>
                <w:w w:val="101"/>
                <w:sz w:val="18"/>
                <w:szCs w:val="18"/>
              </w:rPr>
              <w:t>担任何不正当的义务。（</w:t>
            </w:r>
            <w:r>
              <w:rPr>
                <w:rFonts w:ascii="宋体" w:hAnsi="宋体" w:cs="宋体" w:eastAsia="宋体" w:hint="default"/>
                <w:spacing w:val="-8"/>
                <w:w w:val="101"/>
                <w:sz w:val="18"/>
                <w:szCs w:val="18"/>
              </w:rPr>
              <w:t>5</w:t>
            </w:r>
            <w:r>
              <w:rPr>
                <w:rFonts w:ascii="宋体" w:hAnsi="宋体" w:cs="宋体" w:eastAsia="宋体" w:hint="default"/>
                <w:spacing w:val="-8"/>
                <w:w w:val="101"/>
                <w:sz w:val="18"/>
                <w:szCs w:val="18"/>
              </w:rPr>
              <w:t>）如果因违反上述承诺导致光</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3"/>
                <w:sz w:val="18"/>
                <w:szCs w:val="18"/>
              </w:rPr>
              <w:t>一科技或其控股和参股公司损失或利用关联交易侵占</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4"/>
                <w:sz w:val="18"/>
                <w:szCs w:val="18"/>
              </w:rPr>
              <w:t>光一科技或其控股和参股公司利益的，本人依法承担光</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一科技或其控股和参股公司的损失。</w:t>
            </w:r>
          </w:p>
        </w:tc>
        <w:tc>
          <w:tcPr>
            <w:tcW w:w="96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12" w:space="0" w:color="000000"/>
            </w:tcBorders>
          </w:tcPr>
          <w:p>
            <w:pPr/>
          </w:p>
        </w:tc>
      </w:tr>
      <w:tr>
        <w:trPr>
          <w:trHeight w:val="3212" w:hRule="exact"/>
        </w:trPr>
        <w:tc>
          <w:tcPr>
            <w:tcW w:w="1078" w:type="dxa"/>
            <w:vMerge/>
            <w:tcBorders>
              <w:left w:val="single" w:sz="12"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105" w:right="132"/>
              <w:jc w:val="both"/>
              <w:rPr>
                <w:rFonts w:ascii="宋体" w:hAnsi="宋体" w:cs="宋体" w:eastAsia="宋体" w:hint="default"/>
                <w:sz w:val="18"/>
                <w:szCs w:val="18"/>
              </w:rPr>
            </w:pPr>
            <w:r>
              <w:rPr>
                <w:rFonts w:ascii="宋体" w:hAnsi="宋体" w:cs="宋体" w:eastAsia="宋体" w:hint="default"/>
                <w:sz w:val="18"/>
                <w:szCs w:val="18"/>
              </w:rPr>
              <w:t>江苏光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限责任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龙昌明</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99"/>
              <w:jc w:val="left"/>
              <w:rPr>
                <w:rFonts w:ascii="宋体" w:hAnsi="宋体" w:cs="宋体" w:eastAsia="宋体" w:hint="default"/>
                <w:sz w:val="18"/>
                <w:szCs w:val="18"/>
              </w:rPr>
            </w:pPr>
            <w:r>
              <w:rPr>
                <w:rFonts w:ascii="宋体" w:hAnsi="宋体" w:cs="宋体" w:eastAsia="宋体" w:hint="default"/>
                <w:spacing w:val="-4"/>
                <w:sz w:val="18"/>
                <w:szCs w:val="18"/>
              </w:rPr>
              <w:t>公司控股股东江苏光一投资管理有限责任公司、实际控</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制人龙昌明先生就公司发行股份及支付现金购买湖北</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2"/>
                <w:w w:val="101"/>
                <w:sz w:val="18"/>
                <w:szCs w:val="18"/>
              </w:rPr>
              <w:t>索瑞电气有限公司</w:t>
            </w:r>
            <w:r>
              <w:rPr>
                <w:rFonts w:ascii="宋体" w:hAnsi="宋体" w:cs="宋体" w:eastAsia="宋体" w:hint="default"/>
                <w:spacing w:val="-40"/>
                <w:w w:val="101"/>
                <w:sz w:val="18"/>
                <w:szCs w:val="18"/>
              </w:rPr>
              <w:t> </w:t>
            </w:r>
            <w:r>
              <w:rPr>
                <w:rFonts w:ascii="宋体" w:hAnsi="宋体" w:cs="宋体" w:eastAsia="宋体" w:hint="default"/>
                <w:spacing w:val="-7"/>
                <w:w w:val="101"/>
                <w:sz w:val="18"/>
                <w:szCs w:val="18"/>
              </w:rPr>
              <w:t>84.82%</w:t>
            </w:r>
            <w:r>
              <w:rPr>
                <w:rFonts w:ascii="宋体" w:hAnsi="宋体" w:cs="宋体" w:eastAsia="宋体" w:hint="default"/>
                <w:spacing w:val="-7"/>
                <w:w w:val="101"/>
                <w:sz w:val="18"/>
                <w:szCs w:val="18"/>
              </w:rPr>
              <w:t>股权事项承诺：在本次交易完</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10"/>
                <w:w w:val="101"/>
                <w:sz w:val="18"/>
                <w:szCs w:val="18"/>
              </w:rPr>
              <w:t>成后，本公司</w:t>
            </w:r>
            <w:r>
              <w:rPr>
                <w:rFonts w:ascii="宋体" w:hAnsi="宋体" w:cs="宋体" w:eastAsia="宋体" w:hint="default"/>
                <w:spacing w:val="-10"/>
                <w:w w:val="101"/>
                <w:sz w:val="18"/>
                <w:szCs w:val="18"/>
              </w:rPr>
              <w:t>/</w:t>
            </w:r>
            <w:r>
              <w:rPr>
                <w:rFonts w:ascii="宋体" w:hAnsi="宋体" w:cs="宋体" w:eastAsia="宋体" w:hint="default"/>
                <w:spacing w:val="-10"/>
                <w:w w:val="101"/>
                <w:sz w:val="18"/>
                <w:szCs w:val="18"/>
              </w:rPr>
              <w:t>本人将按照《公司法》、《证券法》和其</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4"/>
                <w:sz w:val="18"/>
                <w:szCs w:val="18"/>
              </w:rPr>
              <w:t>他有关法律法规对上市公司的要求，合法合规地行使股</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东权利并履行相应的义务，采取切实有效措施保证上市</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4"/>
                <w:sz w:val="18"/>
                <w:szCs w:val="18"/>
              </w:rPr>
              <w:t>公司及其子公司在业务、资产、人员、机构和财务等方</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4"/>
                <w:sz w:val="18"/>
                <w:szCs w:val="18"/>
              </w:rPr>
              <w:t>面的独立和完整，同时确保上市公司在采购、生产、销</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4"/>
                <w:sz w:val="18"/>
                <w:szCs w:val="18"/>
              </w:rPr>
              <w:t>售、知识产权等方面保持独立，使上市公司具有完全和</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完整的独立经营能力。</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100"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p>
          <w:p>
            <w:pPr>
              <w:pStyle w:val="TableParagraph"/>
              <w:spacing w:line="240" w:lineRule="auto" w:before="81"/>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21" w:lineRule="auto"/>
              <w:ind w:left="100" w:right="89"/>
              <w:jc w:val="left"/>
              <w:rPr>
                <w:rFonts w:ascii="宋体" w:hAnsi="宋体" w:cs="宋体" w:eastAsia="宋体" w:hint="default"/>
                <w:sz w:val="18"/>
                <w:szCs w:val="18"/>
              </w:rPr>
            </w:pPr>
            <w:r>
              <w:rPr>
                <w:rFonts w:ascii="宋体" w:hAnsi="宋体" w:cs="宋体" w:eastAsia="宋体" w:hint="default"/>
                <w:sz w:val="18"/>
                <w:szCs w:val="18"/>
              </w:rPr>
              <w:t>严格</w:t>
            </w:r>
            <w:r>
              <w:rPr>
                <w:rFonts w:ascii="宋体" w:hAnsi="宋体" w:cs="宋体" w:eastAsia="宋体" w:hint="default"/>
                <w:spacing w:val="-86"/>
                <w:sz w:val="18"/>
                <w:szCs w:val="18"/>
              </w:rPr>
              <w:t> </w:t>
            </w:r>
            <w:r>
              <w:rPr>
                <w:rFonts w:ascii="宋体" w:hAnsi="宋体" w:cs="宋体" w:eastAsia="宋体" w:hint="default"/>
                <w:sz w:val="18"/>
                <w:szCs w:val="18"/>
              </w:rPr>
              <w:t>履行</w:t>
            </w:r>
          </w:p>
        </w:tc>
      </w:tr>
      <w:tr>
        <w:trPr>
          <w:trHeight w:val="2237" w:hRule="exact"/>
        </w:trPr>
        <w:tc>
          <w:tcPr>
            <w:tcW w:w="107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93" w:right="238"/>
              <w:jc w:val="both"/>
              <w:rPr>
                <w:rFonts w:ascii="宋体" w:hAnsi="宋体" w:cs="宋体" w:eastAsia="宋体" w:hint="default"/>
                <w:sz w:val="18"/>
                <w:szCs w:val="18"/>
              </w:rPr>
            </w:pPr>
            <w:r>
              <w:rPr>
                <w:rFonts w:ascii="宋体" w:hAnsi="宋体" w:cs="宋体" w:eastAsia="宋体" w:hint="default"/>
                <w:sz w:val="18"/>
                <w:szCs w:val="18"/>
              </w:rPr>
              <w:t>首次公开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发行或再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融资时所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作承诺</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32"/>
              <w:jc w:val="left"/>
              <w:rPr>
                <w:rFonts w:ascii="宋体" w:hAnsi="宋体" w:cs="宋体" w:eastAsia="宋体" w:hint="default"/>
                <w:sz w:val="18"/>
                <w:szCs w:val="18"/>
              </w:rPr>
            </w:pPr>
            <w:r>
              <w:rPr>
                <w:rFonts w:ascii="宋体" w:hAnsi="宋体" w:cs="宋体" w:eastAsia="宋体" w:hint="default"/>
                <w:sz w:val="18"/>
                <w:szCs w:val="18"/>
              </w:rPr>
              <w:t>江苏光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限责任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龙昌</w:t>
            </w:r>
            <w:r>
              <w:rPr>
                <w:rFonts w:ascii="宋体" w:hAnsi="宋体" w:cs="宋体" w:eastAsia="宋体" w:hint="default"/>
                <w:spacing w:val="-86"/>
                <w:sz w:val="18"/>
                <w:szCs w:val="18"/>
              </w:rPr>
              <w:t> </w:t>
            </w:r>
            <w:r>
              <w:rPr>
                <w:rFonts w:ascii="宋体" w:hAnsi="宋体" w:cs="宋体" w:eastAsia="宋体" w:hint="default"/>
                <w:sz w:val="18"/>
                <w:szCs w:val="18"/>
              </w:rPr>
              <w:t>明、熊</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105" w:right="94"/>
              <w:jc w:val="left"/>
              <w:rPr>
                <w:rFonts w:ascii="宋体" w:hAnsi="宋体" w:cs="宋体" w:eastAsia="宋体" w:hint="default"/>
                <w:sz w:val="18"/>
                <w:szCs w:val="18"/>
              </w:rPr>
            </w:pPr>
            <w:r>
              <w:rPr>
                <w:rFonts w:ascii="宋体" w:hAnsi="宋体" w:cs="宋体" w:eastAsia="宋体" w:hint="default"/>
                <w:sz w:val="18"/>
                <w:szCs w:val="18"/>
              </w:rPr>
              <w:t>关于同业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竞争、关联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4"/>
                <w:sz w:val="18"/>
                <w:szCs w:val="18"/>
              </w:rPr>
              <w:t>交易、资金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占用方面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的承诺</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5" w:right="0"/>
              <w:jc w:val="both"/>
              <w:rPr>
                <w:rFonts w:ascii="宋体" w:hAnsi="宋体" w:cs="宋体" w:eastAsia="宋体" w:hint="default"/>
                <w:sz w:val="18"/>
                <w:szCs w:val="18"/>
              </w:rPr>
            </w:pPr>
            <w:r>
              <w:rPr>
                <w:rFonts w:ascii="宋体" w:hAnsi="宋体" w:cs="宋体" w:eastAsia="宋体" w:hint="default"/>
                <w:spacing w:val="-3"/>
                <w:sz w:val="18"/>
                <w:szCs w:val="18"/>
              </w:rPr>
              <w:t>光一投资、实际控制人龙昌明及关联人熊珂分别出具</w:t>
            </w:r>
          </w:p>
          <w:p>
            <w:pPr>
              <w:pStyle w:val="TableParagraph"/>
              <w:spacing w:line="321" w:lineRule="auto" w:before="71"/>
              <w:ind w:left="105" w:right="99"/>
              <w:jc w:val="both"/>
              <w:rPr>
                <w:rFonts w:ascii="宋体" w:hAnsi="宋体" w:cs="宋体" w:eastAsia="宋体" w:hint="default"/>
                <w:sz w:val="18"/>
                <w:szCs w:val="18"/>
              </w:rPr>
            </w:pPr>
            <w:r>
              <w:rPr>
                <w:rFonts w:ascii="宋体" w:hAnsi="宋体" w:cs="宋体" w:eastAsia="宋体" w:hint="default"/>
                <w:spacing w:val="-6"/>
                <w:w w:val="101"/>
                <w:sz w:val="18"/>
                <w:szCs w:val="18"/>
              </w:rPr>
              <w:t>《关于不占用资金的承诺函》，承诺保证不利用控股股</w:t>
            </w:r>
            <w:r>
              <w:rPr>
                <w:rFonts w:ascii="宋体" w:hAnsi="宋体" w:cs="宋体" w:eastAsia="宋体" w:hint="default"/>
                <w:w w:val="101"/>
                <w:sz w:val="18"/>
                <w:szCs w:val="18"/>
              </w:rPr>
              <w:t> </w:t>
            </w:r>
            <w:r>
              <w:rPr>
                <w:rFonts w:ascii="宋体" w:hAnsi="宋体" w:cs="宋体" w:eastAsia="宋体" w:hint="default"/>
                <w:spacing w:val="-4"/>
                <w:sz w:val="18"/>
                <w:szCs w:val="18"/>
              </w:rPr>
              <w:t>东</w:t>
            </w:r>
            <w:r>
              <w:rPr>
                <w:rFonts w:ascii="宋体" w:hAnsi="宋体" w:cs="宋体" w:eastAsia="宋体" w:hint="default"/>
                <w:spacing w:val="-4"/>
                <w:sz w:val="18"/>
                <w:szCs w:val="18"/>
              </w:rPr>
              <w:t>/</w:t>
            </w:r>
            <w:r>
              <w:rPr>
                <w:rFonts w:ascii="宋体" w:hAnsi="宋体" w:cs="宋体" w:eastAsia="宋体" w:hint="default"/>
                <w:spacing w:val="-4"/>
                <w:sz w:val="18"/>
                <w:szCs w:val="18"/>
              </w:rPr>
              <w:t>实际控制人</w:t>
            </w:r>
            <w:r>
              <w:rPr>
                <w:rFonts w:ascii="宋体" w:hAnsi="宋体" w:cs="宋体" w:eastAsia="宋体" w:hint="default"/>
                <w:spacing w:val="-4"/>
                <w:sz w:val="18"/>
                <w:szCs w:val="18"/>
              </w:rPr>
              <w:t>/</w:t>
            </w:r>
            <w:r>
              <w:rPr>
                <w:rFonts w:ascii="宋体" w:hAnsi="宋体" w:cs="宋体" w:eastAsia="宋体" w:hint="default"/>
                <w:spacing w:val="-4"/>
                <w:sz w:val="18"/>
                <w:szCs w:val="18"/>
              </w:rPr>
              <w:t>实际控制人的一致行动人的地位，直接</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或间接地占用公司资金。</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2"/>
              <w:ind w:left="100"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p>
          <w:p>
            <w:pPr>
              <w:pStyle w:val="TableParagraph"/>
              <w:spacing w:line="240" w:lineRule="auto" w:before="81"/>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10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100" w:right="89"/>
              <w:jc w:val="left"/>
              <w:rPr>
                <w:rFonts w:ascii="宋体" w:hAnsi="宋体" w:cs="宋体" w:eastAsia="宋体" w:hint="default"/>
                <w:sz w:val="18"/>
                <w:szCs w:val="18"/>
              </w:rPr>
            </w:pPr>
            <w:r>
              <w:rPr>
                <w:rFonts w:ascii="宋体" w:hAnsi="宋体" w:cs="宋体" w:eastAsia="宋体" w:hint="default"/>
                <w:sz w:val="18"/>
                <w:szCs w:val="18"/>
              </w:rPr>
              <w:t>严格</w:t>
            </w:r>
            <w:r>
              <w:rPr>
                <w:rFonts w:ascii="宋体" w:hAnsi="宋体" w:cs="宋体" w:eastAsia="宋体" w:hint="default"/>
                <w:spacing w:val="-86"/>
                <w:sz w:val="18"/>
                <w:szCs w:val="18"/>
              </w:rPr>
              <w:t> </w:t>
            </w:r>
            <w:r>
              <w:rPr>
                <w:rFonts w:ascii="宋体" w:hAnsi="宋体" w:cs="宋体" w:eastAsia="宋体" w:hint="default"/>
                <w:sz w:val="18"/>
                <w:szCs w:val="18"/>
              </w:rPr>
              <w:t>履行</w:t>
            </w:r>
          </w:p>
        </w:tc>
      </w:tr>
    </w:tbl>
    <w:p>
      <w:pPr>
        <w:spacing w:after="0" w:line="319" w:lineRule="auto"/>
        <w:jc w:val="left"/>
        <w:rPr>
          <w:rFonts w:ascii="宋体" w:hAnsi="宋体" w:cs="宋体" w:eastAsia="宋体" w:hint="default"/>
          <w:sz w:val="18"/>
          <w:szCs w:val="18"/>
        </w:rPr>
        <w:sectPr>
          <w:pgSz w:w="11910" w:h="16840"/>
          <w:pgMar w:header="871" w:footer="1037" w:top="1100" w:bottom="1220" w:left="74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7" w:type="dxa"/>
        <w:tblLayout w:type="fixed"/>
        <w:tblCellMar>
          <w:top w:w="0" w:type="dxa"/>
          <w:left w:w="0" w:type="dxa"/>
          <w:bottom w:w="0" w:type="dxa"/>
          <w:right w:w="0" w:type="dxa"/>
        </w:tblCellMar>
        <w:tblLook w:val="01E0"/>
      </w:tblPr>
      <w:tblGrid>
        <w:gridCol w:w="1078"/>
        <w:gridCol w:w="792"/>
        <w:gridCol w:w="1056"/>
        <w:gridCol w:w="4504"/>
        <w:gridCol w:w="960"/>
        <w:gridCol w:w="864"/>
        <w:gridCol w:w="576"/>
      </w:tblGrid>
      <w:tr>
        <w:trPr>
          <w:trHeight w:val="360" w:hRule="exact"/>
        </w:trPr>
        <w:tc>
          <w:tcPr>
            <w:tcW w:w="1078" w:type="dxa"/>
            <w:vMerge w:val="restart"/>
            <w:tcBorders>
              <w:top w:val="single" w:sz="4" w:space="0" w:color="000000"/>
              <w:left w:val="single" w:sz="12"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w w:val="101"/>
                <w:sz w:val="18"/>
                <w:szCs w:val="18"/>
              </w:rPr>
              <w:t>珂</w:t>
            </w:r>
            <w:r>
              <w:rPr>
                <w:rFonts w:ascii="宋体" w:hAnsi="宋体" w:cs="宋体" w:eastAsia="宋体" w:hint="default"/>
                <w:sz w:val="18"/>
                <w:szCs w:val="18"/>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450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12" w:space="0" w:color="000000"/>
            </w:tcBorders>
          </w:tcPr>
          <w:p>
            <w:pPr/>
          </w:p>
        </w:tc>
      </w:tr>
      <w:tr>
        <w:trPr>
          <w:trHeight w:val="2588" w:hRule="exact"/>
        </w:trPr>
        <w:tc>
          <w:tcPr>
            <w:tcW w:w="1078" w:type="dxa"/>
            <w:vMerge/>
            <w:tcBorders>
              <w:left w:val="single" w:sz="12"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32"/>
              <w:jc w:val="left"/>
              <w:rPr>
                <w:rFonts w:ascii="宋体" w:hAnsi="宋体" w:cs="宋体" w:eastAsia="宋体" w:hint="default"/>
                <w:sz w:val="18"/>
                <w:szCs w:val="18"/>
              </w:rPr>
            </w:pPr>
            <w:r>
              <w:rPr>
                <w:rFonts w:ascii="宋体" w:hAnsi="宋体" w:cs="宋体" w:eastAsia="宋体" w:hint="default"/>
                <w:sz w:val="18"/>
                <w:szCs w:val="18"/>
              </w:rPr>
              <w:t>江苏光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限责任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龙昌</w:t>
            </w:r>
            <w:r>
              <w:rPr>
                <w:rFonts w:ascii="宋体" w:hAnsi="宋体" w:cs="宋体" w:eastAsia="宋体" w:hint="default"/>
                <w:spacing w:val="-86"/>
                <w:sz w:val="18"/>
                <w:szCs w:val="18"/>
              </w:rPr>
              <w:t> </w:t>
            </w:r>
            <w:r>
              <w:rPr>
                <w:rFonts w:ascii="宋体" w:hAnsi="宋体" w:cs="宋体" w:eastAsia="宋体" w:hint="default"/>
                <w:sz w:val="18"/>
                <w:szCs w:val="18"/>
              </w:rPr>
              <w:t>明、熊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珂</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5" w:right="94"/>
              <w:jc w:val="left"/>
              <w:rPr>
                <w:rFonts w:ascii="宋体" w:hAnsi="宋体" w:cs="宋体" w:eastAsia="宋体" w:hint="default"/>
                <w:sz w:val="18"/>
                <w:szCs w:val="18"/>
              </w:rPr>
            </w:pPr>
            <w:r>
              <w:rPr>
                <w:rFonts w:ascii="宋体" w:hAnsi="宋体" w:cs="宋体" w:eastAsia="宋体" w:hint="default"/>
                <w:sz w:val="18"/>
                <w:szCs w:val="18"/>
              </w:rPr>
              <w:t>关于同业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竞争、关联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4"/>
                <w:sz w:val="18"/>
                <w:szCs w:val="18"/>
              </w:rPr>
              <w:t>交易、资金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占用方面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的承诺</w:t>
            </w:r>
          </w:p>
        </w:tc>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105" w:right="8"/>
              <w:jc w:val="left"/>
              <w:rPr>
                <w:rFonts w:ascii="宋体" w:hAnsi="宋体" w:cs="宋体" w:eastAsia="宋体" w:hint="default"/>
                <w:sz w:val="18"/>
                <w:szCs w:val="18"/>
              </w:rPr>
            </w:pPr>
            <w:r>
              <w:rPr>
                <w:rFonts w:ascii="宋体" w:hAnsi="宋体" w:cs="宋体" w:eastAsia="宋体" w:hint="default"/>
                <w:spacing w:val="-4"/>
                <w:sz w:val="18"/>
                <w:szCs w:val="18"/>
              </w:rPr>
              <w:t>公司控股股东光一投资、实际控制人龙昌明及关联人熊</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珂分别出具《关于避免同业竞争的声明、承诺及保证</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7"/>
                <w:w w:val="101"/>
                <w:sz w:val="18"/>
                <w:szCs w:val="18"/>
              </w:rPr>
              <w:t>函》，承诺对于公司目前从事的业务以及未来从事的业</w:t>
            </w:r>
            <w:r>
              <w:rPr>
                <w:rFonts w:ascii="宋体" w:hAnsi="宋体" w:cs="宋体" w:eastAsia="宋体" w:hint="default"/>
                <w:spacing w:val="-71"/>
                <w:w w:val="101"/>
                <w:sz w:val="18"/>
                <w:szCs w:val="18"/>
              </w:rPr>
              <w:t> </w:t>
            </w:r>
            <w:r>
              <w:rPr>
                <w:rFonts w:ascii="宋体" w:hAnsi="宋体" w:cs="宋体" w:eastAsia="宋体" w:hint="default"/>
                <w:spacing w:val="-71"/>
                <w:w w:val="101"/>
                <w:sz w:val="18"/>
                <w:szCs w:val="18"/>
              </w:rPr>
            </w:r>
            <w:r>
              <w:rPr>
                <w:rFonts w:ascii="宋体" w:hAnsi="宋体" w:cs="宋体" w:eastAsia="宋体" w:hint="default"/>
                <w:spacing w:val="-8"/>
                <w:sz w:val="18"/>
                <w:szCs w:val="18"/>
              </w:rPr>
              <w:t>务，光一投资</w:t>
            </w:r>
            <w:r>
              <w:rPr>
                <w:rFonts w:ascii="宋体" w:hAnsi="宋体" w:cs="宋体" w:eastAsia="宋体" w:hint="default"/>
                <w:spacing w:val="-8"/>
                <w:sz w:val="18"/>
                <w:szCs w:val="18"/>
              </w:rPr>
              <w:t>/</w:t>
            </w:r>
            <w:r>
              <w:rPr>
                <w:rFonts w:ascii="宋体" w:hAnsi="宋体" w:cs="宋体" w:eastAsia="宋体" w:hint="default"/>
                <w:spacing w:val="-8"/>
                <w:sz w:val="18"/>
                <w:szCs w:val="18"/>
              </w:rPr>
              <w:t>龙昌明</w:t>
            </w:r>
            <w:r>
              <w:rPr>
                <w:rFonts w:ascii="宋体" w:hAnsi="宋体" w:cs="宋体" w:eastAsia="宋体" w:hint="default"/>
                <w:spacing w:val="-8"/>
                <w:sz w:val="18"/>
                <w:szCs w:val="18"/>
              </w:rPr>
              <w:t>/</w:t>
            </w:r>
            <w:r>
              <w:rPr>
                <w:rFonts w:ascii="宋体" w:hAnsi="宋体" w:cs="宋体" w:eastAsia="宋体" w:hint="default"/>
                <w:spacing w:val="-8"/>
                <w:sz w:val="18"/>
                <w:szCs w:val="18"/>
              </w:rPr>
              <w:t>熊珂自身不会，也不会通过投资、</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合资、合作、联营、委托经营、承包、租赁经营等任何</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方式从事与公司构成竞争的业务。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100"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p>
          <w:p>
            <w:pPr>
              <w:pStyle w:val="TableParagraph"/>
              <w:spacing w:line="240" w:lineRule="auto" w:before="81"/>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00"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7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21" w:lineRule="auto"/>
              <w:ind w:left="100" w:right="89"/>
              <w:jc w:val="left"/>
              <w:rPr>
                <w:rFonts w:ascii="宋体" w:hAnsi="宋体" w:cs="宋体" w:eastAsia="宋体" w:hint="default"/>
                <w:sz w:val="18"/>
                <w:szCs w:val="18"/>
              </w:rPr>
            </w:pPr>
            <w:r>
              <w:rPr>
                <w:rFonts w:ascii="宋体" w:hAnsi="宋体" w:cs="宋体" w:eastAsia="宋体" w:hint="default"/>
                <w:sz w:val="18"/>
                <w:szCs w:val="18"/>
              </w:rPr>
              <w:t>严格</w:t>
            </w:r>
            <w:r>
              <w:rPr>
                <w:rFonts w:ascii="宋体" w:hAnsi="宋体" w:cs="宋体" w:eastAsia="宋体" w:hint="default"/>
                <w:spacing w:val="-86"/>
                <w:sz w:val="18"/>
                <w:szCs w:val="18"/>
              </w:rPr>
              <w:t> </w:t>
            </w:r>
            <w:r>
              <w:rPr>
                <w:rFonts w:ascii="宋体" w:hAnsi="宋体" w:cs="宋体" w:eastAsia="宋体" w:hint="default"/>
                <w:sz w:val="18"/>
                <w:szCs w:val="18"/>
              </w:rPr>
              <w:t>履行</w:t>
            </w:r>
          </w:p>
        </w:tc>
      </w:tr>
      <w:tr>
        <w:trPr>
          <w:trHeight w:val="715" w:hRule="exact"/>
        </w:trPr>
        <w:tc>
          <w:tcPr>
            <w:tcW w:w="107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3" w:right="238"/>
              <w:jc w:val="left"/>
              <w:rPr>
                <w:rFonts w:ascii="宋体" w:hAnsi="宋体" w:cs="宋体" w:eastAsia="宋体" w:hint="default"/>
                <w:sz w:val="18"/>
                <w:szCs w:val="18"/>
              </w:rPr>
            </w:pPr>
            <w:r>
              <w:rPr>
                <w:rFonts w:ascii="宋体" w:hAnsi="宋体" w:cs="宋体" w:eastAsia="宋体" w:hint="default"/>
                <w:sz w:val="18"/>
                <w:szCs w:val="18"/>
              </w:rPr>
              <w:t>股权激励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79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50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12" w:space="0" w:color="000000"/>
            </w:tcBorders>
          </w:tcPr>
          <w:p>
            <w:pPr/>
          </w:p>
        </w:tc>
      </w:tr>
      <w:tr>
        <w:trPr>
          <w:trHeight w:val="1340" w:hRule="exact"/>
        </w:trPr>
        <w:tc>
          <w:tcPr>
            <w:tcW w:w="107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3" w:right="238"/>
              <w:jc w:val="both"/>
              <w:rPr>
                <w:rFonts w:ascii="宋体" w:hAnsi="宋体" w:cs="宋体" w:eastAsia="宋体" w:hint="default"/>
                <w:sz w:val="18"/>
                <w:szCs w:val="18"/>
              </w:rPr>
            </w:pPr>
            <w:r>
              <w:rPr>
                <w:rFonts w:ascii="宋体" w:hAnsi="宋体" w:cs="宋体" w:eastAsia="宋体" w:hint="default"/>
                <w:sz w:val="18"/>
                <w:szCs w:val="18"/>
              </w:rPr>
              <w:t>其他对公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司中小股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东所作承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w:t>
            </w:r>
          </w:p>
        </w:tc>
        <w:tc>
          <w:tcPr>
            <w:tcW w:w="79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450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12" w:space="0" w:color="000000"/>
            </w:tcBorders>
          </w:tcPr>
          <w:p>
            <w:pPr/>
          </w:p>
        </w:tc>
      </w:tr>
      <w:tr>
        <w:trPr>
          <w:trHeight w:val="725" w:hRule="exact"/>
        </w:trPr>
        <w:tc>
          <w:tcPr>
            <w:tcW w:w="107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3"/>
              <w:ind w:left="93" w:right="238"/>
              <w:jc w:val="left"/>
              <w:rPr>
                <w:rFonts w:ascii="宋体" w:hAnsi="宋体" w:cs="宋体" w:eastAsia="宋体" w:hint="default"/>
                <w:sz w:val="18"/>
                <w:szCs w:val="18"/>
              </w:rPr>
            </w:pPr>
            <w:r>
              <w:rPr>
                <w:rFonts w:ascii="宋体" w:hAnsi="宋体" w:cs="宋体" w:eastAsia="宋体" w:hint="default"/>
                <w:sz w:val="18"/>
                <w:szCs w:val="18"/>
              </w:rPr>
              <w:t>承诺是否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按时履行</w:t>
            </w:r>
          </w:p>
        </w:tc>
        <w:tc>
          <w:tcPr>
            <w:tcW w:w="8753" w:type="dxa"/>
            <w:gridSpan w:val="6"/>
            <w:tcBorders>
              <w:top w:val="single" w:sz="4" w:space="0" w:color="000000"/>
              <w:left w:val="single" w:sz="4" w:space="0" w:color="000000"/>
              <w:bottom w:val="single" w:sz="12"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line="240" w:lineRule="auto" w:before="1"/>
        <w:rPr>
          <w:rFonts w:ascii="Times New Roman" w:hAnsi="Times New Roman" w:cs="Times New Roman" w:eastAsia="Times New Roman" w:hint="default"/>
          <w:sz w:val="16"/>
          <w:szCs w:val="16"/>
        </w:rPr>
      </w:pPr>
    </w:p>
    <w:p>
      <w:pPr>
        <w:pStyle w:val="Heading4"/>
        <w:spacing w:line="410" w:lineRule="auto"/>
        <w:ind w:left="393" w:right="1106"/>
        <w:jc w:val="left"/>
        <w:rPr>
          <w:b w:val="0"/>
          <w:bCs w:val="0"/>
        </w:rPr>
      </w:pPr>
      <w:bookmarkStart w:name="2、公司资产或项目存在盈利预测，且报告期仍处在盈利预测期间，公司就资产或项目达到" w:id="82"/>
      <w:bookmarkEnd w:id="82"/>
      <w:r>
        <w:rPr>
          <w:b w:val="0"/>
          <w:bCs w:val="0"/>
        </w:rPr>
      </w:r>
      <w:r>
        <w:rPr>
          <w:rFonts w:ascii="宋体" w:hAnsi="宋体" w:cs="宋体" w:eastAsia="宋体" w:hint="default"/>
        </w:rPr>
        <w:t>2</w:t>
      </w:r>
      <w:r>
        <w:rPr/>
        <w:t>、公司资产或项目存在盈利预测，且报告期仍处在盈利预测期间，公司就资产或项目达到原盈利预测及</w:t>
      </w:r>
      <w:r>
        <w:rPr>
          <w:spacing w:val="-66"/>
        </w:rPr>
        <w:t> </w:t>
      </w:r>
      <w:r>
        <w:rPr>
          <w:spacing w:val="-66"/>
        </w:rPr>
      </w:r>
      <w:r>
        <w:rPr/>
        <w:t>其原因做出说明</w:t>
      </w:r>
      <w:r>
        <w:rPr>
          <w:b w:val="0"/>
          <w:bCs w:val="0"/>
        </w:rPr>
      </w:r>
    </w:p>
    <w:p>
      <w:pPr>
        <w:pStyle w:val="BodyText"/>
        <w:spacing w:line="240" w:lineRule="auto" w:before="41"/>
        <w:ind w:left="393" w:right="1106"/>
        <w:jc w:val="left"/>
      </w:pPr>
      <w:bookmarkStart w:name="□ 适用 √ 不适用" w:id="83"/>
      <w:bookmarkEnd w:id="83"/>
      <w:r>
        <w:rPr/>
      </w:r>
      <w:r>
        <w:rPr/>
        <w:t>□ 适用 √</w:t>
      </w:r>
      <w:r>
        <w:rPr>
          <w:spacing w:val="4"/>
        </w:rPr>
        <w:t> </w:t>
      </w:r>
      <w:r>
        <w:rPr/>
        <w:t>不适用</w:t>
      </w:r>
    </w:p>
    <w:p>
      <w:pPr>
        <w:pStyle w:val="Heading2"/>
        <w:spacing w:line="240" w:lineRule="auto" w:before="170"/>
        <w:ind w:left="393" w:right="1106"/>
        <w:jc w:val="left"/>
        <w:rPr>
          <w:b w:val="0"/>
          <w:bCs w:val="0"/>
        </w:rPr>
      </w:pPr>
      <w:bookmarkStart w:name="三、控股股东及其关联方对上市公司的非经营性占用资金情况" w:id="84"/>
      <w:bookmarkEnd w:id="84"/>
      <w:r>
        <w:rPr>
          <w:b w:val="0"/>
          <w:bCs w:val="0"/>
        </w:rPr>
      </w:r>
      <w:r>
        <w:rPr/>
        <w:t>三、控股股东及其关联方对上市公司的非经营性占用资金情况</w:t>
      </w:r>
      <w:r>
        <w:rPr>
          <w:b w:val="0"/>
          <w:bCs w:val="0"/>
        </w:rPr>
      </w:r>
    </w:p>
    <w:p>
      <w:pPr>
        <w:pStyle w:val="BodyText"/>
        <w:spacing w:line="240" w:lineRule="auto" w:before="177"/>
        <w:ind w:left="393" w:right="1106"/>
        <w:jc w:val="left"/>
      </w:pPr>
      <w:bookmarkStart w:name="□ 适用 √ 不适用" w:id="85"/>
      <w:bookmarkEnd w:id="85"/>
      <w:r>
        <w:rPr/>
      </w:r>
      <w:r>
        <w:rPr/>
        <w:t>□ 适用 √</w:t>
      </w:r>
      <w:r>
        <w:rPr>
          <w:spacing w:val="4"/>
        </w:rPr>
        <w:t> </w:t>
      </w:r>
      <w:r>
        <w:rPr/>
        <w:t>不适用</w:t>
      </w:r>
    </w:p>
    <w:p>
      <w:pPr>
        <w:pStyle w:val="Heading2"/>
        <w:spacing w:line="240" w:lineRule="auto" w:before="170"/>
        <w:ind w:left="393" w:right="1106"/>
        <w:jc w:val="left"/>
        <w:rPr>
          <w:b w:val="0"/>
          <w:bCs w:val="0"/>
        </w:rPr>
      </w:pPr>
      <w:bookmarkStart w:name="四、董事会对最近一期“非标准审计报告”相关情况的说明" w:id="86"/>
      <w:bookmarkEnd w:id="86"/>
      <w:r>
        <w:rPr>
          <w:b w:val="0"/>
          <w:bCs w:val="0"/>
        </w:rPr>
      </w:r>
      <w:r>
        <w:rPr/>
        <w:t>四、董事会对最近一期“非标准审计报告”相关情况的说明</w:t>
      </w:r>
      <w:r>
        <w:rPr>
          <w:b w:val="0"/>
          <w:bCs w:val="0"/>
        </w:rPr>
      </w:r>
    </w:p>
    <w:p>
      <w:pPr>
        <w:spacing w:line="372" w:lineRule="auto" w:before="177"/>
        <w:ind w:left="393" w:right="1113" w:firstLine="0"/>
        <w:jc w:val="left"/>
        <w:rPr>
          <w:rFonts w:ascii="宋体" w:hAnsi="宋体" w:cs="宋体" w:eastAsia="宋体" w:hint="default"/>
          <w:sz w:val="24"/>
          <w:szCs w:val="24"/>
        </w:rPr>
      </w:pPr>
      <w:bookmarkStart w:name="□ 适用 √ 不适用" w:id="87"/>
      <w:bookmarkEnd w:id="87"/>
      <w:r>
        <w:rPr/>
      </w: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五、董事会、监事会、独立董事（如有）对会计师事务所本报告期“非标准审计报告”的说" w:id="88"/>
      <w:bookmarkEnd w:id="88"/>
      <w:r>
        <w:rPr>
          <w:rFonts w:ascii="宋体" w:hAnsi="宋体" w:cs="宋体" w:eastAsia="宋体" w:hint="default"/>
          <w:spacing w:val="-101"/>
          <w:sz w:val="21"/>
          <w:szCs w:val="21"/>
        </w:rPr>
      </w:r>
      <w:r>
        <w:rPr>
          <w:rFonts w:ascii="宋体" w:hAnsi="宋体" w:cs="宋体" w:eastAsia="宋体" w:hint="default"/>
          <w:b/>
          <w:bCs/>
          <w:sz w:val="24"/>
          <w:szCs w:val="24"/>
        </w:rPr>
        <w:t>五、董事会、监事会、独立董事（如有）对会计师事务所本报告期“非标准审计报告”的说</w:t>
      </w:r>
      <w:r>
        <w:rPr>
          <w:rFonts w:ascii="宋体" w:hAnsi="宋体" w:cs="宋体" w:eastAsia="宋体" w:hint="default"/>
          <w:b/>
          <w:bCs/>
          <w:w w:val="99"/>
          <w:sz w:val="24"/>
          <w:szCs w:val="24"/>
        </w:rPr>
        <w:t> </w:t>
      </w:r>
      <w:r>
        <w:rPr>
          <w:rFonts w:ascii="宋体" w:hAnsi="宋体" w:cs="宋体" w:eastAsia="宋体" w:hint="default"/>
          <w:b/>
          <w:bCs/>
          <w:sz w:val="24"/>
          <w:szCs w:val="24"/>
        </w:rPr>
        <w:t>明</w:t>
      </w:r>
      <w:r>
        <w:rPr>
          <w:rFonts w:ascii="宋体" w:hAnsi="宋体" w:cs="宋体" w:eastAsia="宋体" w:hint="default"/>
          <w:sz w:val="24"/>
          <w:szCs w:val="24"/>
        </w:rPr>
      </w:r>
    </w:p>
    <w:p>
      <w:pPr>
        <w:pStyle w:val="BodyText"/>
        <w:spacing w:line="240" w:lineRule="auto" w:before="49"/>
        <w:ind w:left="393" w:right="1106"/>
        <w:jc w:val="left"/>
      </w:pPr>
      <w:bookmarkStart w:name="□ 适用 √ 不适用" w:id="89"/>
      <w:bookmarkEnd w:id="89"/>
      <w:r>
        <w:rPr/>
      </w:r>
      <w:r>
        <w:rPr/>
        <w:t>□ 适用 √</w:t>
      </w:r>
      <w:r>
        <w:rPr>
          <w:spacing w:val="4"/>
        </w:rPr>
        <w:t> </w:t>
      </w:r>
      <w:r>
        <w:rPr/>
        <w:t>不适用</w:t>
      </w:r>
    </w:p>
    <w:p>
      <w:pPr>
        <w:pStyle w:val="Heading2"/>
        <w:spacing w:line="240" w:lineRule="auto" w:before="165"/>
        <w:ind w:left="393" w:right="1106"/>
        <w:jc w:val="left"/>
        <w:rPr>
          <w:b w:val="0"/>
          <w:bCs w:val="0"/>
        </w:rPr>
      </w:pPr>
      <w:bookmarkStart w:name="六、董事会关于报告期会计政策、会计估计变更或重大会计差错更正的说明" w:id="90"/>
      <w:bookmarkEnd w:id="90"/>
      <w:r>
        <w:rPr>
          <w:b w:val="0"/>
          <w:bCs w:val="0"/>
        </w:rPr>
      </w:r>
      <w:r>
        <w:rPr/>
        <w:t>六、董事会关于报告期会计政策、会计估计变更或重大会计差错更正的说明</w:t>
      </w:r>
      <w:r>
        <w:rPr>
          <w:b w:val="0"/>
          <w:bCs w:val="0"/>
        </w:rPr>
      </w:r>
    </w:p>
    <w:p>
      <w:pPr>
        <w:pStyle w:val="BodyText"/>
        <w:spacing w:line="405" w:lineRule="auto" w:before="182"/>
        <w:ind w:left="815" w:right="0" w:hanging="423"/>
        <w:jc w:val="left"/>
      </w:pPr>
      <w:bookmarkStart w:name="√ 适用 □ 不适用" w:id="91"/>
      <w:bookmarkEnd w:id="91"/>
      <w:r>
        <w:rPr/>
      </w:r>
      <w:r>
        <w:rPr/>
        <w:t>√ 适用 □ 不适用</w:t>
      </w:r>
      <w:r>
        <w:rPr>
          <w:spacing w:val="-101"/>
        </w:rPr>
        <w:t> </w:t>
      </w:r>
      <w:r>
        <w:rPr>
          <w:spacing w:val="-101"/>
        </w:rPr>
      </w:r>
      <w:r>
        <w:rPr>
          <w:spacing w:val="-8"/>
          <w:w w:val="100"/>
        </w:rPr>
        <w:t>根据财政部</w:t>
      </w:r>
      <w:r>
        <w:rPr>
          <w:rFonts w:ascii="宋体" w:hAnsi="宋体" w:cs="宋体" w:eastAsia="宋体" w:hint="default"/>
          <w:spacing w:val="-8"/>
          <w:w w:val="100"/>
        </w:rPr>
        <w:t>2019</w:t>
      </w:r>
      <w:r>
        <w:rPr>
          <w:spacing w:val="-8"/>
          <w:w w:val="100"/>
        </w:rPr>
        <w:t>年</w:t>
      </w:r>
      <w:r>
        <w:rPr>
          <w:rFonts w:ascii="宋体" w:hAnsi="宋体" w:cs="宋体" w:eastAsia="宋体" w:hint="default"/>
          <w:spacing w:val="-8"/>
          <w:w w:val="100"/>
        </w:rPr>
        <w:t>4</w:t>
      </w:r>
      <w:r>
        <w:rPr>
          <w:spacing w:val="-8"/>
          <w:w w:val="100"/>
        </w:rPr>
        <w:t>月</w:t>
      </w:r>
      <w:r>
        <w:rPr>
          <w:rFonts w:ascii="宋体" w:hAnsi="宋体" w:cs="宋体" w:eastAsia="宋体" w:hint="default"/>
          <w:spacing w:val="-8"/>
          <w:w w:val="100"/>
        </w:rPr>
        <w:t>30</w:t>
      </w:r>
      <w:r>
        <w:rPr>
          <w:spacing w:val="-8"/>
          <w:w w:val="100"/>
        </w:rPr>
        <w:t>日发布的《关于修订印发</w:t>
      </w:r>
      <w:r>
        <w:rPr>
          <w:rFonts w:ascii="宋体" w:hAnsi="宋体" w:cs="宋体" w:eastAsia="宋体" w:hint="default"/>
          <w:spacing w:val="-8"/>
          <w:w w:val="100"/>
        </w:rPr>
        <w:t>2019</w:t>
      </w:r>
      <w:r>
        <w:rPr>
          <w:spacing w:val="-8"/>
          <w:w w:val="100"/>
        </w:rPr>
        <w:t>年度一般企业财务报表格式的通知》（财会〔</w:t>
      </w:r>
      <w:r>
        <w:rPr>
          <w:rFonts w:ascii="宋体" w:hAnsi="宋体" w:cs="宋体" w:eastAsia="宋体" w:hint="default"/>
          <w:spacing w:val="-8"/>
          <w:w w:val="100"/>
        </w:rPr>
        <w:t>2019</w:t>
      </w:r>
      <w:r>
        <w:rPr>
          <w:spacing w:val="-8"/>
          <w:w w:val="100"/>
        </w:rPr>
        <w:t>〕</w:t>
      </w:r>
    </w:p>
    <w:p>
      <w:pPr>
        <w:pStyle w:val="BodyText"/>
        <w:spacing w:line="405" w:lineRule="auto" w:before="50"/>
        <w:ind w:left="393" w:right="1106"/>
        <w:jc w:val="left"/>
      </w:pPr>
      <w:r>
        <w:rPr>
          <w:rFonts w:ascii="宋体" w:hAnsi="宋体" w:cs="宋体" w:eastAsia="宋体" w:hint="default"/>
          <w:spacing w:val="-9"/>
          <w:w w:val="100"/>
        </w:rPr>
        <w:t>6</w:t>
      </w:r>
      <w:r>
        <w:rPr>
          <w:spacing w:val="-9"/>
          <w:w w:val="100"/>
        </w:rPr>
        <w:t>号）、</w:t>
      </w:r>
      <w:r>
        <w:rPr>
          <w:rFonts w:ascii="宋体" w:hAnsi="宋体" w:cs="宋体" w:eastAsia="宋体" w:hint="default"/>
          <w:spacing w:val="-9"/>
          <w:w w:val="100"/>
        </w:rPr>
        <w:t>2019</w:t>
      </w:r>
      <w:r>
        <w:rPr>
          <w:spacing w:val="-9"/>
          <w:w w:val="100"/>
        </w:rPr>
        <w:t>年</w:t>
      </w:r>
      <w:r>
        <w:rPr>
          <w:rFonts w:ascii="宋体" w:hAnsi="宋体" w:cs="宋体" w:eastAsia="宋体" w:hint="default"/>
          <w:spacing w:val="-9"/>
          <w:w w:val="100"/>
        </w:rPr>
        <w:t>9</w:t>
      </w:r>
      <w:r>
        <w:rPr>
          <w:spacing w:val="-9"/>
          <w:w w:val="100"/>
        </w:rPr>
        <w:t>月</w:t>
      </w:r>
      <w:r>
        <w:rPr>
          <w:rFonts w:ascii="宋体" w:hAnsi="宋体" w:cs="宋体" w:eastAsia="宋体" w:hint="default"/>
          <w:spacing w:val="-9"/>
          <w:w w:val="100"/>
        </w:rPr>
        <w:t>19</w:t>
      </w:r>
      <w:r>
        <w:rPr>
          <w:spacing w:val="-9"/>
          <w:w w:val="100"/>
        </w:rPr>
        <w:t>日发布的《关于修订印发合并财务报表格式（</w:t>
      </w:r>
      <w:r>
        <w:rPr>
          <w:rFonts w:ascii="宋体" w:hAnsi="宋体" w:cs="宋体" w:eastAsia="宋体" w:hint="default"/>
          <w:spacing w:val="-9"/>
          <w:w w:val="100"/>
        </w:rPr>
        <w:t>2019</w:t>
      </w:r>
      <w:r>
        <w:rPr>
          <w:spacing w:val="-9"/>
          <w:w w:val="100"/>
        </w:rPr>
        <w:t>版）的通知》（财会〔</w:t>
      </w:r>
      <w:r>
        <w:rPr>
          <w:rFonts w:ascii="宋体" w:hAnsi="宋体" w:cs="宋体" w:eastAsia="宋体" w:hint="default"/>
          <w:spacing w:val="-9"/>
          <w:w w:val="100"/>
        </w:rPr>
        <w:t>2019</w:t>
      </w:r>
      <w:r>
        <w:rPr>
          <w:spacing w:val="-9"/>
          <w:w w:val="100"/>
        </w:rPr>
        <w:t>〕</w:t>
      </w:r>
      <w:r>
        <w:rPr>
          <w:rFonts w:ascii="宋体" w:hAnsi="宋体" w:cs="宋体" w:eastAsia="宋体" w:hint="default"/>
          <w:spacing w:val="-9"/>
          <w:w w:val="100"/>
        </w:rPr>
        <w:t>16</w:t>
      </w:r>
      <w:r>
        <w:rPr>
          <w:spacing w:val="-9"/>
          <w:w w:val="100"/>
        </w:rPr>
        <w:t>号），</w:t>
      </w:r>
      <w:r>
        <w:rPr>
          <w:spacing w:val="-97"/>
          <w:w w:val="100"/>
        </w:rPr>
        <w:t> </w:t>
      </w:r>
      <w:r>
        <w:rPr>
          <w:spacing w:val="-97"/>
          <w:w w:val="100"/>
        </w:rPr>
      </w:r>
      <w:r>
        <w:rPr/>
        <w:t>本公司对财务报表格式进行了以下修订：</w:t>
      </w:r>
    </w:p>
    <w:p>
      <w:pPr>
        <w:pStyle w:val="BodyText"/>
        <w:spacing w:line="405" w:lineRule="auto" w:before="51"/>
        <w:ind w:left="393" w:right="1106" w:firstLine="422"/>
        <w:jc w:val="left"/>
      </w:pPr>
      <w:r>
        <w:rPr>
          <w:spacing w:val="-2"/>
        </w:rPr>
        <w:t>①资产负债表：将原“应收票据及应收账款”项目拆分为“应收票据”、“应收账款”和“应收款项</w:t>
      </w:r>
      <w:r>
        <w:rPr>
          <w:w w:val="100"/>
        </w:rPr>
        <w:t> </w:t>
      </w:r>
      <w:r>
        <w:rPr/>
        <w:t>融资”三个项目；将原“应付票据及应付账款”项目拆分为“应付票据”和“应付账款”两个项目。</w:t>
      </w:r>
    </w:p>
    <w:p>
      <w:pPr>
        <w:spacing w:after="0" w:line="405" w:lineRule="auto"/>
        <w:jc w:val="left"/>
        <w:sectPr>
          <w:pgSz w:w="11910" w:h="16840"/>
          <w:pgMar w:header="871" w:footer="1037" w:top="1100" w:bottom="1220" w:left="740" w:right="0"/>
        </w:sectPr>
      </w:pPr>
    </w:p>
    <w:p>
      <w:pPr>
        <w:spacing w:line="240" w:lineRule="auto" w:before="12"/>
        <w:rPr>
          <w:rFonts w:ascii="宋体" w:hAnsi="宋体" w:cs="宋体" w:eastAsia="宋体" w:hint="default"/>
          <w:sz w:val="26"/>
          <w:szCs w:val="26"/>
        </w:rPr>
      </w:pPr>
    </w:p>
    <w:p>
      <w:pPr>
        <w:pStyle w:val="BodyText"/>
        <w:spacing w:line="405" w:lineRule="auto" w:before="36"/>
        <w:ind w:right="1024" w:firstLine="422"/>
        <w:jc w:val="left"/>
      </w:pPr>
      <w:r>
        <w:rPr/>
        <w:t>②利润表：将“减：资产减值损失”调整为“加：资产减值损失（损失以“</w:t>
      </w:r>
      <w:r>
        <w:rPr>
          <w:rFonts w:ascii="宋体" w:hAnsi="宋体" w:cs="宋体" w:eastAsia="宋体" w:hint="default"/>
        </w:rPr>
        <w:t>-</w:t>
      </w:r>
      <w:r>
        <w:rPr/>
        <w:t>”号填列）”。在原合</w:t>
      </w:r>
      <w:r>
        <w:rPr>
          <w:w w:val="100"/>
        </w:rPr>
        <w:t> </w:t>
      </w:r>
      <w:r>
        <w:rPr/>
        <w:t>并利润表中“投资收益”行项目下增加了“其中：以摊余成本计量的金融资产终止确认收益”行项目。</w:t>
      </w:r>
    </w:p>
    <w:p>
      <w:pPr>
        <w:pStyle w:val="BodyText"/>
        <w:spacing w:line="408" w:lineRule="auto" w:before="51"/>
        <w:ind w:right="1130" w:firstLine="422"/>
        <w:jc w:val="both"/>
      </w:pPr>
      <w:r>
        <w:rPr>
          <w:spacing w:val="-2"/>
        </w:rPr>
        <w:t>③现金流量表：明确了政府补助的填列口径，企业实际收到的政府补助，无论是与资产相关还是与收</w:t>
      </w:r>
      <w:r>
        <w:rPr>
          <w:w w:val="100"/>
        </w:rPr>
        <w:t> </w:t>
      </w:r>
      <w:r>
        <w:rPr>
          <w:spacing w:val="-2"/>
        </w:rPr>
        <w:t>益相关，均在“收到其他与经营活动有关的现金”项目填列。删除了原合并现金流量表中“为交易目的而</w:t>
      </w:r>
      <w:r>
        <w:rPr>
          <w:spacing w:val="-38"/>
        </w:rPr>
        <w:t> </w:t>
      </w:r>
      <w:r>
        <w:rPr>
          <w:spacing w:val="-38"/>
        </w:rPr>
      </w:r>
      <w:r>
        <w:rPr/>
        <w:t>持有的金融资产净增加额”“发行债券收到的现金”等行项目。</w:t>
      </w:r>
    </w:p>
    <w:p>
      <w:pPr>
        <w:pStyle w:val="BodyText"/>
        <w:spacing w:line="408" w:lineRule="auto" w:before="43"/>
        <w:ind w:right="1024" w:firstLine="422"/>
        <w:jc w:val="left"/>
      </w:pPr>
      <w:r>
        <w:rPr>
          <w:spacing w:val="-2"/>
        </w:rPr>
        <w:t>④所有者权益变动表：明确了“其他权益工具持有者投入资本”项目的填列口径，“其他权益工具持</w:t>
      </w:r>
      <w:r>
        <w:rPr>
          <w:w w:val="100"/>
        </w:rPr>
        <w:t> </w:t>
      </w:r>
      <w:r>
        <w:rPr>
          <w:spacing w:val="-4"/>
        </w:rPr>
        <w:t>有者投入资本”项目，反映企业发行的除普通股以外分类为权益工具的金融工具的持有者投入资本的金额。</w:t>
      </w:r>
      <w:r>
        <w:rPr>
          <w:spacing w:val="-47"/>
        </w:rPr>
        <w:t> </w:t>
      </w:r>
      <w:r>
        <w:rPr>
          <w:spacing w:val="-47"/>
        </w:rPr>
      </w:r>
      <w:r>
        <w:rPr/>
        <w:t>该项目根据金融工具类科目的相关明细科目的发生额分析填列。</w:t>
      </w:r>
    </w:p>
    <w:p>
      <w:pPr>
        <w:pStyle w:val="BodyText"/>
        <w:spacing w:line="408" w:lineRule="auto" w:before="48"/>
        <w:ind w:right="1127" w:firstLine="422"/>
        <w:jc w:val="both"/>
      </w:pPr>
      <w:r>
        <w:rPr>
          <w:spacing w:val="-2"/>
        </w:rPr>
        <w:t>首次执行新金融工具准则：财政部于</w:t>
      </w:r>
      <w:r>
        <w:rPr>
          <w:rFonts w:ascii="宋体" w:hAnsi="宋体" w:cs="宋体" w:eastAsia="宋体" w:hint="default"/>
          <w:spacing w:val="-2"/>
        </w:rPr>
        <w:t>2017</w:t>
      </w:r>
      <w:r>
        <w:rPr>
          <w:spacing w:val="-2"/>
        </w:rPr>
        <w:t>年颁布了修订后的《企业会计准则第</w:t>
      </w:r>
      <w:r>
        <w:rPr>
          <w:rFonts w:ascii="宋体" w:hAnsi="宋体" w:cs="宋体" w:eastAsia="宋体" w:hint="default"/>
          <w:spacing w:val="-2"/>
        </w:rPr>
        <w:t>22</w:t>
      </w:r>
      <w:r>
        <w:rPr>
          <w:spacing w:val="-2"/>
        </w:rPr>
        <w:t>号—金融工具确认和</w:t>
      </w:r>
      <w:r>
        <w:rPr>
          <w:w w:val="100"/>
        </w:rPr>
        <w:t> </w:t>
      </w:r>
      <w:r>
        <w:rPr>
          <w:spacing w:val="-2"/>
        </w:rPr>
        <w:t>计量》（财会〔</w:t>
      </w:r>
      <w:r>
        <w:rPr>
          <w:rFonts w:ascii="宋体" w:hAnsi="宋体" w:cs="宋体" w:eastAsia="宋体" w:hint="default"/>
          <w:spacing w:val="-2"/>
        </w:rPr>
        <w:t>2017</w:t>
      </w:r>
      <w:r>
        <w:rPr>
          <w:spacing w:val="-2"/>
        </w:rPr>
        <w:t>〕</w:t>
      </w:r>
      <w:r>
        <w:rPr>
          <w:rFonts w:ascii="宋体" w:hAnsi="宋体" w:cs="宋体" w:eastAsia="宋体" w:hint="default"/>
          <w:spacing w:val="-2"/>
        </w:rPr>
        <w:t>7</w:t>
      </w:r>
      <w:r>
        <w:rPr>
          <w:spacing w:val="-2"/>
        </w:rPr>
        <w:t>号）、《企业会计准则第</w:t>
      </w:r>
      <w:r>
        <w:rPr>
          <w:rFonts w:ascii="宋体" w:hAnsi="宋体" w:cs="宋体" w:eastAsia="宋体" w:hint="default"/>
          <w:spacing w:val="-2"/>
        </w:rPr>
        <w:t>23</w:t>
      </w:r>
      <w:r>
        <w:rPr>
          <w:spacing w:val="-2"/>
        </w:rPr>
        <w:t>号—金融资产转移》（财会〔</w:t>
      </w:r>
      <w:r>
        <w:rPr>
          <w:rFonts w:ascii="宋体" w:hAnsi="宋体" w:cs="宋体" w:eastAsia="宋体" w:hint="default"/>
          <w:spacing w:val="-2"/>
        </w:rPr>
        <w:t>2017</w:t>
      </w:r>
      <w:r>
        <w:rPr>
          <w:spacing w:val="-2"/>
        </w:rPr>
        <w:t>〕</w:t>
      </w:r>
      <w:r>
        <w:rPr>
          <w:rFonts w:ascii="宋体" w:hAnsi="宋体" w:cs="宋体" w:eastAsia="宋体" w:hint="default"/>
          <w:spacing w:val="-2"/>
        </w:rPr>
        <w:t>8</w:t>
      </w:r>
      <w:r>
        <w:rPr>
          <w:spacing w:val="-2"/>
        </w:rPr>
        <w:t>号）、《企业会</w:t>
      </w:r>
      <w:r>
        <w:rPr>
          <w:spacing w:val="-25"/>
        </w:rPr>
        <w:t> </w:t>
      </w:r>
      <w:r>
        <w:rPr>
          <w:spacing w:val="-25"/>
        </w:rPr>
      </w:r>
      <w:r>
        <w:rPr>
          <w:spacing w:val="-8"/>
        </w:rPr>
        <w:t>计准则第</w:t>
      </w:r>
      <w:r>
        <w:rPr>
          <w:rFonts w:ascii="宋体" w:hAnsi="宋体" w:cs="宋体" w:eastAsia="宋体" w:hint="default"/>
          <w:spacing w:val="-8"/>
        </w:rPr>
        <w:t>24</w:t>
      </w:r>
      <w:r>
        <w:rPr>
          <w:spacing w:val="-8"/>
        </w:rPr>
        <w:t>号—套期会计》（财会〔</w:t>
      </w:r>
      <w:r>
        <w:rPr>
          <w:rFonts w:ascii="宋体" w:hAnsi="宋体" w:cs="宋体" w:eastAsia="宋体" w:hint="default"/>
          <w:spacing w:val="-8"/>
        </w:rPr>
        <w:t>2017</w:t>
      </w:r>
      <w:r>
        <w:rPr>
          <w:spacing w:val="-8"/>
        </w:rPr>
        <w:t>〕</w:t>
      </w:r>
      <w:r>
        <w:rPr>
          <w:rFonts w:ascii="宋体" w:hAnsi="宋体" w:cs="宋体" w:eastAsia="宋体" w:hint="default"/>
          <w:spacing w:val="-8"/>
        </w:rPr>
        <w:t>9</w:t>
      </w:r>
      <w:r>
        <w:rPr>
          <w:spacing w:val="-8"/>
        </w:rPr>
        <w:t>号）及《企业会计准则第</w:t>
      </w:r>
      <w:r>
        <w:rPr>
          <w:rFonts w:ascii="宋体" w:hAnsi="宋体" w:cs="宋体" w:eastAsia="宋体" w:hint="default"/>
          <w:spacing w:val="-8"/>
        </w:rPr>
        <w:t>37</w:t>
      </w:r>
      <w:r>
        <w:rPr>
          <w:spacing w:val="-8"/>
        </w:rPr>
        <w:t>号—金融工具列报》（财会〔</w:t>
      </w:r>
      <w:r>
        <w:rPr>
          <w:rFonts w:ascii="宋体" w:hAnsi="宋体" w:cs="宋体" w:eastAsia="宋体" w:hint="default"/>
          <w:spacing w:val="-8"/>
        </w:rPr>
        <w:t>2017</w:t>
      </w:r>
      <w:r>
        <w:rPr>
          <w:spacing w:val="-8"/>
        </w:rPr>
        <w:t>〕</w:t>
      </w:r>
      <w:r>
        <w:rPr>
          <w:spacing w:val="-13"/>
        </w:rPr>
        <w:t> </w:t>
      </w:r>
      <w:r>
        <w:rPr>
          <w:rFonts w:ascii="宋体" w:hAnsi="宋体" w:cs="宋体" w:eastAsia="宋体" w:hint="default"/>
          <w:spacing w:val="-2"/>
        </w:rPr>
        <w:t>14</w:t>
      </w:r>
      <w:r>
        <w:rPr>
          <w:spacing w:val="-2"/>
        </w:rPr>
        <w:t>号）等（以下合称“新金融工具准则”），公司自</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日起执行新金融工具准则，并按新金融工</w:t>
      </w:r>
      <w:r>
        <w:rPr>
          <w:spacing w:val="-28"/>
        </w:rPr>
        <w:t> </w:t>
      </w:r>
      <w:r>
        <w:rPr>
          <w:spacing w:val="-28"/>
        </w:rPr>
      </w:r>
      <w:r>
        <w:rPr/>
        <w:t>具准则的要求列报金融工具相关信息。</w:t>
      </w:r>
    </w:p>
    <w:p>
      <w:pPr>
        <w:spacing w:line="398" w:lineRule="auto" w:before="44"/>
        <w:ind w:left="153" w:right="1130" w:firstLine="422"/>
        <w:jc w:val="left"/>
        <w:rPr>
          <w:rFonts w:ascii="宋体" w:hAnsi="宋体" w:cs="宋体" w:eastAsia="宋体" w:hint="default"/>
          <w:sz w:val="24"/>
          <w:szCs w:val="24"/>
        </w:rPr>
      </w:pPr>
      <w:r>
        <w:rPr>
          <w:rFonts w:ascii="宋体" w:hAnsi="宋体" w:cs="宋体" w:eastAsia="宋体" w:hint="default"/>
          <w:spacing w:val="-2"/>
          <w:sz w:val="21"/>
          <w:szCs w:val="21"/>
        </w:rPr>
        <w:t>上述会计政策变更已经公司第四届董事会第二次会议、第四届董事会第五次会议、第四届董事会第七</w:t>
      </w:r>
      <w:r>
        <w:rPr>
          <w:rFonts w:ascii="宋体" w:hAnsi="宋体" w:cs="宋体" w:eastAsia="宋体" w:hint="default"/>
          <w:w w:val="100"/>
          <w:sz w:val="21"/>
          <w:szCs w:val="21"/>
        </w:rPr>
        <w:t> </w:t>
      </w:r>
      <w:r>
        <w:rPr>
          <w:rFonts w:ascii="宋体" w:hAnsi="宋体" w:cs="宋体" w:eastAsia="宋体" w:hint="default"/>
          <w:sz w:val="21"/>
          <w:szCs w:val="21"/>
        </w:rPr>
        <w:t>次会议审议通过，详见公告</w:t>
      </w:r>
      <w:r>
        <w:rPr>
          <w:rFonts w:ascii="宋体" w:hAnsi="宋体" w:cs="宋体" w:eastAsia="宋体" w:hint="default"/>
          <w:sz w:val="21"/>
          <w:szCs w:val="21"/>
        </w:rPr>
        <w:t>2019-042</w:t>
      </w:r>
      <w:r>
        <w:rPr>
          <w:rFonts w:ascii="宋体" w:hAnsi="宋体" w:cs="宋体" w:eastAsia="宋体" w:hint="default"/>
          <w:sz w:val="21"/>
          <w:szCs w:val="21"/>
        </w:rPr>
        <w:t>号、</w:t>
      </w:r>
      <w:r>
        <w:rPr>
          <w:rFonts w:ascii="宋体" w:hAnsi="宋体" w:cs="宋体" w:eastAsia="宋体" w:hint="default"/>
          <w:sz w:val="21"/>
          <w:szCs w:val="21"/>
        </w:rPr>
        <w:t>2019-071</w:t>
      </w:r>
      <w:r>
        <w:rPr>
          <w:rFonts w:ascii="宋体" w:hAnsi="宋体" w:cs="宋体" w:eastAsia="宋体" w:hint="default"/>
          <w:sz w:val="21"/>
          <w:szCs w:val="21"/>
        </w:rPr>
        <w:t>号、</w:t>
      </w:r>
      <w:r>
        <w:rPr>
          <w:rFonts w:ascii="宋体" w:hAnsi="宋体" w:cs="宋体" w:eastAsia="宋体" w:hint="default"/>
          <w:sz w:val="21"/>
          <w:szCs w:val="21"/>
        </w:rPr>
        <w:t>2019-085</w:t>
      </w:r>
      <w:r>
        <w:rPr>
          <w:rFonts w:ascii="宋体" w:hAnsi="宋体" w:cs="宋体" w:eastAsia="宋体" w:hint="default"/>
          <w:sz w:val="21"/>
          <w:szCs w:val="21"/>
        </w:rPr>
        <w:t>号。</w:t>
      </w:r>
      <w:r>
        <w:rPr>
          <w:rFonts w:ascii="宋体" w:hAnsi="宋体" w:cs="宋体" w:eastAsia="宋体" w:hint="default"/>
          <w:w w:val="100"/>
          <w:sz w:val="21"/>
          <w:szCs w:val="21"/>
        </w:rPr>
        <w:t> </w:t>
      </w:r>
      <w:bookmarkStart w:name="七、与上年度财务报告相比，合并报表范围发生变化的情况说明" w:id="92"/>
      <w:bookmarkEnd w:id="92"/>
      <w:r>
        <w:rPr>
          <w:rFonts w:ascii="宋体" w:hAnsi="宋体" w:cs="宋体" w:eastAsia="宋体" w:hint="default"/>
          <w:w w:val="100"/>
          <w:sz w:val="21"/>
          <w:szCs w:val="21"/>
        </w:rPr>
      </w:r>
      <w:r>
        <w:rPr>
          <w:rFonts w:ascii="宋体" w:hAnsi="宋体" w:cs="宋体" w:eastAsia="宋体" w:hint="default"/>
          <w:b/>
          <w:bCs/>
          <w:sz w:val="24"/>
          <w:szCs w:val="24"/>
        </w:rPr>
        <w:t>七、与上年度财务报告相比，合并报表范围发生变化的情况说明</w:t>
      </w:r>
      <w:r>
        <w:rPr>
          <w:rFonts w:ascii="宋体" w:hAnsi="宋体" w:cs="宋体" w:eastAsia="宋体" w:hint="default"/>
          <w:sz w:val="24"/>
          <w:szCs w:val="24"/>
        </w:rPr>
      </w:r>
    </w:p>
    <w:p>
      <w:pPr>
        <w:pStyle w:val="BodyText"/>
        <w:spacing w:line="408" w:lineRule="auto" w:before="23"/>
        <w:ind w:left="575" w:right="1024" w:hanging="423"/>
        <w:jc w:val="left"/>
      </w:pPr>
      <w:bookmarkStart w:name="√ 适用 □ 不适用" w:id="93"/>
      <w:bookmarkEnd w:id="93"/>
      <w:r>
        <w:rPr/>
      </w:r>
      <w:r>
        <w:rPr/>
        <w:t>√ 适用 □ 不适用</w:t>
      </w:r>
      <w:r>
        <w:rPr>
          <w:spacing w:val="-101"/>
        </w:rPr>
        <w:t> </w:t>
      </w:r>
      <w:r>
        <w:rPr>
          <w:spacing w:val="-101"/>
        </w:rPr>
      </w:r>
      <w:r>
        <w:rPr>
          <w:spacing w:val="-2"/>
        </w:rPr>
        <w:t>报告期内，控股子公司光一数道（北京）科技有限公司已注销；控股子公司江苏德能电力设计咨询有</w:t>
      </w:r>
    </w:p>
    <w:p>
      <w:pPr>
        <w:pStyle w:val="BodyText"/>
        <w:spacing w:line="240" w:lineRule="auto" w:before="48"/>
        <w:ind w:right="1024"/>
        <w:jc w:val="left"/>
      </w:pPr>
      <w:r>
        <w:rPr/>
        <w:t>限公司已处置，丧失了控制权，并于</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13</w:t>
      </w:r>
      <w:r>
        <w:rPr/>
        <w:t>日办理工商过户登记。</w:t>
      </w:r>
    </w:p>
    <w:p>
      <w:pPr>
        <w:pStyle w:val="Heading2"/>
        <w:spacing w:line="240" w:lineRule="auto" w:before="165"/>
        <w:ind w:right="1024"/>
        <w:jc w:val="left"/>
        <w:rPr>
          <w:b w:val="0"/>
          <w:bCs w:val="0"/>
        </w:rPr>
      </w:pPr>
      <w:bookmarkStart w:name="八、聘任、解聘会计师事务所情况" w:id="94"/>
      <w:bookmarkEnd w:id="94"/>
      <w:r>
        <w:rPr>
          <w:b w:val="0"/>
          <w:bCs w:val="0"/>
        </w:rPr>
      </w:r>
      <w:r>
        <w:rPr/>
        <w:t>八、聘任、解聘会计师事务所情况</w:t>
      </w:r>
      <w:r>
        <w:rPr>
          <w:b w:val="0"/>
          <w:bCs w:val="0"/>
        </w:rPr>
      </w:r>
    </w:p>
    <w:p>
      <w:pPr>
        <w:pStyle w:val="BodyText"/>
        <w:spacing w:line="240" w:lineRule="auto" w:before="182"/>
        <w:ind w:right="1024"/>
        <w:jc w:val="left"/>
      </w:pPr>
      <w:bookmarkStart w:name="现聘任的会计事务所" w:id="95"/>
      <w:bookmarkEnd w:id="95"/>
      <w:r>
        <w:rPr/>
      </w:r>
      <w:r>
        <w:rPr/>
        <w:t>现聘任的会计事务所</w:t>
      </w:r>
    </w:p>
    <w:p>
      <w:pPr>
        <w:spacing w:before="178"/>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792"/>
        <w:gridCol w:w="4778"/>
      </w:tblGrid>
      <w:tr>
        <w:trPr>
          <w:trHeight w:val="413" w:hRule="exact"/>
        </w:trPr>
        <w:tc>
          <w:tcPr>
            <w:tcW w:w="479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众华会计师事务所（特殊普通合伙）</w:t>
            </w:r>
          </w:p>
        </w:tc>
      </w:tr>
      <w:tr>
        <w:trPr>
          <w:trHeight w:val="403" w:hRule="exact"/>
        </w:trPr>
        <w:tc>
          <w:tcPr>
            <w:tcW w:w="479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境内会计师事务所报酬</w:t>
            </w:r>
          </w:p>
        </w:tc>
        <w:tc>
          <w:tcPr>
            <w:tcW w:w="47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65</w:t>
            </w:r>
          </w:p>
        </w:tc>
      </w:tr>
      <w:tr>
        <w:trPr>
          <w:trHeight w:val="404" w:hRule="exact"/>
        </w:trPr>
        <w:tc>
          <w:tcPr>
            <w:tcW w:w="479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w w:val="101"/>
                <w:sz w:val="18"/>
              </w:rPr>
              <w:t>8</w:t>
            </w:r>
            <w:r>
              <w:rPr>
                <w:rFonts w:ascii="宋体"/>
                <w:sz w:val="18"/>
              </w:rPr>
            </w:r>
          </w:p>
        </w:tc>
      </w:tr>
      <w:tr>
        <w:trPr>
          <w:trHeight w:val="398" w:hRule="exact"/>
        </w:trPr>
        <w:tc>
          <w:tcPr>
            <w:tcW w:w="479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刘磊、金宁绩</w:t>
            </w:r>
          </w:p>
        </w:tc>
      </w:tr>
      <w:tr>
        <w:trPr>
          <w:trHeight w:val="413" w:hRule="exact"/>
        </w:trPr>
        <w:tc>
          <w:tcPr>
            <w:tcW w:w="479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w w:val="101"/>
                <w:sz w:val="18"/>
              </w:rPr>
              <w:t>1</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240" w:lineRule="auto" w:before="36"/>
        <w:ind w:right="1024"/>
        <w:jc w:val="left"/>
      </w:pPr>
      <w:bookmarkStart w:name="是否改聘会计师事务所" w:id="96"/>
      <w:bookmarkEnd w:id="96"/>
      <w:r>
        <w:rPr/>
      </w:r>
      <w:r>
        <w:rPr/>
        <w:t>是否改聘会计师事务所</w:t>
      </w:r>
    </w:p>
    <w:p>
      <w:pPr>
        <w:spacing w:line="240" w:lineRule="auto" w:before="8"/>
        <w:rPr>
          <w:rFonts w:ascii="宋体" w:hAnsi="宋体" w:cs="宋体" w:eastAsia="宋体" w:hint="default"/>
          <w:sz w:val="14"/>
          <w:szCs w:val="14"/>
        </w:rPr>
      </w:pPr>
    </w:p>
    <w:p>
      <w:pPr>
        <w:pStyle w:val="BodyText"/>
        <w:spacing w:line="410" w:lineRule="auto"/>
        <w:ind w:right="4644"/>
        <w:jc w:val="left"/>
      </w:pPr>
      <w:bookmarkStart w:name="□ 是 √ 否" w:id="97"/>
      <w:bookmarkEnd w:id="97"/>
      <w:r>
        <w:rPr/>
      </w:r>
      <w:r>
        <w:rPr/>
        <w:t>□ 是 √ 否</w:t>
      </w:r>
      <w:r>
        <w:rPr>
          <w:spacing w:val="-100"/>
        </w:rPr>
        <w:t> </w:t>
      </w:r>
      <w:r>
        <w:rPr>
          <w:spacing w:val="-100"/>
        </w:rPr>
      </w:r>
      <w:bookmarkStart w:name="聘请内部控制审计会计师事务所、财务顾问或保荐人情况" w:id="98"/>
      <w:bookmarkEnd w:id="98"/>
      <w:r>
        <w:rPr>
          <w:spacing w:val="-2"/>
        </w:rPr>
        <w:t>聘请内部</w:t>
      </w:r>
      <w:r>
        <w:rPr>
          <w:spacing w:val="-2"/>
        </w:rPr>
        <w:t>控制审计会计师事务所、财务顾问或保荐人情况</w:t>
      </w:r>
    </w:p>
    <w:p>
      <w:pPr>
        <w:pStyle w:val="BodyText"/>
        <w:spacing w:line="240" w:lineRule="auto" w:before="41"/>
        <w:ind w:right="1024"/>
        <w:jc w:val="left"/>
      </w:pPr>
      <w:bookmarkStart w:name="□ 适用 √ 不适用" w:id="99"/>
      <w:bookmarkEnd w:id="99"/>
      <w:r>
        <w:rPr/>
      </w:r>
      <w:r>
        <w:rPr/>
        <w:t>□ 适用 √</w:t>
      </w:r>
      <w:r>
        <w:rPr>
          <w:spacing w:val="4"/>
        </w:rPr>
        <w:t> </w:t>
      </w:r>
      <w:r>
        <w:rPr/>
        <w:t>不适用</w:t>
      </w:r>
    </w:p>
    <w:p>
      <w:pPr>
        <w:pStyle w:val="Heading2"/>
        <w:spacing w:line="240" w:lineRule="auto" w:before="170"/>
        <w:ind w:right="1024"/>
        <w:jc w:val="left"/>
        <w:rPr>
          <w:b w:val="0"/>
          <w:bCs w:val="0"/>
        </w:rPr>
      </w:pPr>
      <w:bookmarkStart w:name="九、年度报告披露后面临暂停上市和终止上市情况" w:id="100"/>
      <w:bookmarkEnd w:id="100"/>
      <w:r>
        <w:rPr>
          <w:b w:val="0"/>
          <w:bCs w:val="0"/>
        </w:rPr>
      </w:r>
      <w:r>
        <w:rPr/>
        <w:t>九、年度报告披露后面临暂停上市和终止上市情况</w:t>
      </w:r>
      <w:r>
        <w:rPr>
          <w:b w:val="0"/>
          <w:bCs w:val="0"/>
        </w:rPr>
      </w:r>
    </w:p>
    <w:p>
      <w:pPr>
        <w:pStyle w:val="BodyText"/>
        <w:spacing w:line="240" w:lineRule="auto" w:before="177"/>
        <w:ind w:right="1024"/>
        <w:jc w:val="left"/>
      </w:pPr>
      <w:bookmarkStart w:name="□ 适用 √ 不适用" w:id="101"/>
      <w:bookmarkEnd w:id="101"/>
      <w:r>
        <w:rPr/>
      </w:r>
      <w:r>
        <w:rPr/>
        <w:t>□ 适用 √</w:t>
      </w:r>
      <w:r>
        <w:rPr>
          <w:spacing w:val="4"/>
        </w:rPr>
        <w:t> </w:t>
      </w:r>
      <w:r>
        <w:rPr/>
        <w:t>不适用</w:t>
      </w:r>
    </w:p>
    <w:p>
      <w:pPr>
        <w:pStyle w:val="Heading2"/>
        <w:spacing w:line="240" w:lineRule="auto" w:before="170"/>
        <w:ind w:right="1024"/>
        <w:jc w:val="left"/>
        <w:rPr>
          <w:b w:val="0"/>
          <w:bCs w:val="0"/>
        </w:rPr>
      </w:pPr>
      <w:bookmarkStart w:name="十、破产重整相关事项" w:id="102"/>
      <w:bookmarkEnd w:id="102"/>
      <w:r>
        <w:rPr>
          <w:b w:val="0"/>
          <w:bCs w:val="0"/>
        </w:rPr>
      </w:r>
      <w:r>
        <w:rPr/>
        <w:t>十、破产重整相关事项</w:t>
      </w:r>
      <w:r>
        <w:rPr>
          <w:b w:val="0"/>
          <w:bCs w:val="0"/>
        </w:rPr>
      </w:r>
    </w:p>
    <w:p>
      <w:pPr>
        <w:pStyle w:val="BodyText"/>
        <w:spacing w:line="240" w:lineRule="auto" w:before="177"/>
        <w:ind w:right="1024"/>
        <w:jc w:val="left"/>
      </w:pPr>
      <w:bookmarkStart w:name="□ 适用 √ 不适用" w:id="103"/>
      <w:bookmarkEnd w:id="103"/>
      <w:r>
        <w:rPr/>
      </w:r>
      <w:r>
        <w:rPr/>
        <w:t>□ 适用 √</w:t>
      </w:r>
      <w:r>
        <w:rPr>
          <w:spacing w:val="4"/>
        </w:rPr>
        <w:t> </w:t>
      </w:r>
      <w:r>
        <w:rPr/>
        <w:t>不适用</w:t>
      </w:r>
    </w:p>
    <w:p>
      <w:pPr>
        <w:pStyle w:val="Heading2"/>
        <w:spacing w:line="240" w:lineRule="auto" w:before="170"/>
        <w:ind w:right="1024"/>
        <w:jc w:val="left"/>
        <w:rPr>
          <w:b w:val="0"/>
          <w:bCs w:val="0"/>
        </w:rPr>
      </w:pPr>
      <w:bookmarkStart w:name="十一、重大诉讼、仲裁事项" w:id="104"/>
      <w:bookmarkEnd w:id="104"/>
      <w:r>
        <w:rPr>
          <w:b w:val="0"/>
          <w:bCs w:val="0"/>
        </w:rPr>
      </w:r>
      <w:r>
        <w:rPr/>
        <w:t>十一、重大诉讼、仲裁事项</w:t>
      </w:r>
      <w:r>
        <w:rPr>
          <w:b w:val="0"/>
          <w:bCs w:val="0"/>
        </w:rPr>
      </w:r>
    </w:p>
    <w:p>
      <w:pPr>
        <w:pStyle w:val="BodyText"/>
        <w:spacing w:line="240" w:lineRule="auto" w:before="177"/>
        <w:ind w:right="1024"/>
        <w:jc w:val="left"/>
      </w:pPr>
      <w:bookmarkStart w:name="√ 适用 □ 不适用" w:id="105"/>
      <w:bookmarkEnd w:id="105"/>
      <w:r>
        <w:rPr/>
      </w:r>
      <w:r>
        <w:rPr/>
        <w:t>√ 适用 □</w:t>
      </w:r>
      <w:r>
        <w:rPr>
          <w:spacing w:val="4"/>
        </w:rPr>
        <w:t> </w:t>
      </w:r>
      <w:r>
        <w:rPr/>
        <w:t>不适用</w:t>
      </w:r>
    </w:p>
    <w:p>
      <w:pPr>
        <w:spacing w:line="240" w:lineRule="auto" w:before="11"/>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3362"/>
        <w:gridCol w:w="696"/>
        <w:gridCol w:w="696"/>
        <w:gridCol w:w="1407"/>
        <w:gridCol w:w="1369"/>
        <w:gridCol w:w="754"/>
        <w:gridCol w:w="687"/>
        <w:gridCol w:w="605"/>
      </w:tblGrid>
      <w:tr>
        <w:trPr>
          <w:trHeight w:val="1349" w:hRule="exact"/>
        </w:trPr>
        <w:tc>
          <w:tcPr>
            <w:tcW w:w="336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859"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基本情况</w:t>
            </w:r>
          </w:p>
        </w:tc>
        <w:tc>
          <w:tcPr>
            <w:tcW w:w="6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63" w:right="156"/>
              <w:jc w:val="left"/>
              <w:rPr>
                <w:rFonts w:ascii="宋体" w:hAnsi="宋体" w:cs="宋体" w:eastAsia="宋体" w:hint="default"/>
                <w:sz w:val="18"/>
                <w:szCs w:val="18"/>
              </w:rPr>
            </w:pPr>
            <w:r>
              <w:rPr>
                <w:rFonts w:ascii="宋体" w:hAnsi="宋体" w:cs="宋体" w:eastAsia="宋体" w:hint="default"/>
                <w:sz w:val="18"/>
                <w:szCs w:val="18"/>
              </w:rPr>
              <w:t>涉案</w:t>
            </w:r>
            <w:r>
              <w:rPr>
                <w:rFonts w:ascii="宋体" w:hAnsi="宋体" w:cs="宋体" w:eastAsia="宋体" w:hint="default"/>
                <w:spacing w:val="-86"/>
                <w:sz w:val="18"/>
                <w:szCs w:val="18"/>
              </w:rPr>
              <w:t> </w:t>
            </w:r>
            <w:r>
              <w:rPr>
                <w:rFonts w:ascii="宋体" w:hAnsi="宋体" w:cs="宋体" w:eastAsia="宋体" w:hint="default"/>
                <w:sz w:val="18"/>
                <w:szCs w:val="18"/>
              </w:rPr>
              <w:t>金额</w:t>
            </w:r>
          </w:p>
          <w:p>
            <w:pPr>
              <w:pStyle w:val="TableParagraph"/>
              <w:spacing w:line="321" w:lineRule="auto" w:before="19"/>
              <w:ind w:left="163" w:right="156"/>
              <w:jc w:val="left"/>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spacing w:val="-86"/>
                <w:sz w:val="18"/>
                <w:szCs w:val="18"/>
              </w:rPr>
              <w:t> </w:t>
            </w:r>
            <w:r>
              <w:rPr>
                <w:rFonts w:ascii="宋体" w:hAnsi="宋体" w:cs="宋体" w:eastAsia="宋体" w:hint="default"/>
                <w:sz w:val="18"/>
                <w:szCs w:val="18"/>
              </w:rPr>
              <w:t>元）</w:t>
            </w:r>
          </w:p>
        </w:tc>
        <w:tc>
          <w:tcPr>
            <w:tcW w:w="6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3" w:right="156"/>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形成</w:t>
            </w:r>
            <w:r>
              <w:rPr>
                <w:rFonts w:ascii="宋体" w:hAnsi="宋体" w:cs="宋体" w:eastAsia="宋体" w:hint="default"/>
                <w:spacing w:val="-86"/>
                <w:sz w:val="18"/>
                <w:szCs w:val="18"/>
              </w:rPr>
              <w:t> </w:t>
            </w:r>
            <w:r>
              <w:rPr>
                <w:rFonts w:ascii="宋体" w:hAnsi="宋体" w:cs="宋体" w:eastAsia="宋体" w:hint="default"/>
                <w:sz w:val="18"/>
                <w:szCs w:val="18"/>
              </w:rPr>
              <w:t>预计</w:t>
            </w:r>
            <w:r>
              <w:rPr>
                <w:rFonts w:ascii="宋体" w:hAnsi="宋体" w:cs="宋体" w:eastAsia="宋体" w:hint="default"/>
                <w:spacing w:val="-86"/>
                <w:sz w:val="18"/>
                <w:szCs w:val="18"/>
              </w:rPr>
              <w:t> </w:t>
            </w:r>
            <w:r>
              <w:rPr>
                <w:rFonts w:ascii="宋体" w:hAnsi="宋体" w:cs="宋体" w:eastAsia="宋体" w:hint="default"/>
                <w:sz w:val="18"/>
                <w:szCs w:val="18"/>
              </w:rPr>
              <w:t>负债</w:t>
            </w:r>
          </w:p>
        </w:tc>
        <w:tc>
          <w:tcPr>
            <w:tcW w:w="140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609" w:right="151" w:hanging="452"/>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宋体" w:hAnsi="宋体" w:cs="宋体" w:eastAsia="宋体" w:hint="default"/>
                <w:spacing w:val="-2"/>
                <w:sz w:val="18"/>
                <w:szCs w:val="18"/>
              </w:rPr>
              <w:t>(</w:t>
            </w:r>
            <w:r>
              <w:rPr>
                <w:rFonts w:ascii="宋体" w:hAnsi="宋体" w:cs="宋体" w:eastAsia="宋体" w:hint="default"/>
                <w:spacing w:val="-2"/>
                <w:sz w:val="18"/>
                <w:szCs w:val="18"/>
              </w:rPr>
              <w:t>仲裁</w:t>
            </w:r>
            <w:r>
              <w:rPr>
                <w:rFonts w:ascii="宋体" w:hAnsi="宋体" w:cs="宋体" w:eastAsia="宋体" w:hint="default"/>
                <w:spacing w:val="-2"/>
                <w:sz w:val="18"/>
                <w:szCs w:val="18"/>
              </w:rPr>
              <w:t>)</w:t>
            </w:r>
            <w:r>
              <w:rPr>
                <w:rFonts w:ascii="宋体" w:hAnsi="宋体" w:cs="宋体" w:eastAsia="宋体" w:hint="default"/>
                <w:spacing w:val="-2"/>
                <w:sz w:val="18"/>
                <w:szCs w:val="18"/>
              </w:rPr>
              <w:t>进</w:t>
            </w:r>
            <w:r>
              <w:rPr>
                <w:rFonts w:ascii="宋体" w:hAnsi="宋体" w:cs="宋体" w:eastAsia="宋体" w:hint="default"/>
                <w:spacing w:val="-72"/>
                <w:sz w:val="18"/>
                <w:szCs w:val="18"/>
              </w:rPr>
              <w:t> </w:t>
            </w:r>
            <w:r>
              <w:rPr>
                <w:rFonts w:ascii="宋体" w:hAnsi="宋体" w:cs="宋体" w:eastAsia="宋体" w:hint="default"/>
                <w:sz w:val="18"/>
                <w:szCs w:val="18"/>
              </w:rPr>
              <w:t>展</w:t>
            </w:r>
          </w:p>
        </w:tc>
        <w:tc>
          <w:tcPr>
            <w:tcW w:w="136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134" w:right="137"/>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宋体" w:hAnsi="宋体" w:cs="宋体" w:eastAsia="宋体" w:hint="default"/>
                <w:spacing w:val="-2"/>
                <w:sz w:val="18"/>
                <w:szCs w:val="18"/>
              </w:rPr>
              <w:t>(</w:t>
            </w:r>
            <w:r>
              <w:rPr>
                <w:rFonts w:ascii="宋体" w:hAnsi="宋体" w:cs="宋体" w:eastAsia="宋体" w:hint="default"/>
                <w:spacing w:val="-2"/>
                <w:sz w:val="18"/>
                <w:szCs w:val="18"/>
              </w:rPr>
              <w:t>仲裁</w:t>
            </w:r>
            <w:r>
              <w:rPr>
                <w:rFonts w:ascii="宋体" w:hAnsi="宋体" w:cs="宋体" w:eastAsia="宋体" w:hint="default"/>
                <w:spacing w:val="-2"/>
                <w:sz w:val="18"/>
                <w:szCs w:val="18"/>
              </w:rPr>
              <w:t>)</w:t>
            </w:r>
            <w:r>
              <w:rPr>
                <w:rFonts w:ascii="宋体" w:hAnsi="宋体" w:cs="宋体" w:eastAsia="宋体" w:hint="default"/>
                <w:spacing w:val="-2"/>
                <w:sz w:val="18"/>
                <w:szCs w:val="18"/>
              </w:rPr>
              <w:t>审</w:t>
            </w:r>
            <w:r>
              <w:rPr>
                <w:rFonts w:ascii="宋体" w:hAnsi="宋体" w:cs="宋体" w:eastAsia="宋体" w:hint="default"/>
                <w:spacing w:val="-72"/>
                <w:sz w:val="18"/>
                <w:szCs w:val="18"/>
              </w:rPr>
              <w:t> </w:t>
            </w:r>
            <w:r>
              <w:rPr>
                <w:rFonts w:ascii="宋体" w:hAnsi="宋体" w:cs="宋体" w:eastAsia="宋体" w:hint="default"/>
                <w:spacing w:val="-2"/>
                <w:sz w:val="18"/>
                <w:szCs w:val="18"/>
              </w:rPr>
              <w:t>理结果及影响</w:t>
            </w:r>
          </w:p>
        </w:tc>
        <w:tc>
          <w:tcPr>
            <w:tcW w:w="7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0" w:right="98" w:firstLine="91"/>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w w:val="101"/>
                <w:sz w:val="18"/>
                <w:szCs w:val="18"/>
              </w:rPr>
              <w:t> </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判决执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行情况</w:t>
            </w:r>
          </w:p>
        </w:tc>
        <w:tc>
          <w:tcPr>
            <w:tcW w:w="68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158" w:right="151"/>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pacing w:val="-86"/>
                <w:sz w:val="18"/>
                <w:szCs w:val="18"/>
              </w:rPr>
              <w:t> </w:t>
            </w:r>
            <w:r>
              <w:rPr>
                <w:rFonts w:ascii="宋体" w:hAnsi="宋体" w:cs="宋体" w:eastAsia="宋体" w:hint="default"/>
                <w:sz w:val="18"/>
                <w:szCs w:val="18"/>
              </w:rPr>
              <w:t>日期</w:t>
            </w:r>
          </w:p>
        </w:tc>
        <w:tc>
          <w:tcPr>
            <w:tcW w:w="60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115" w:right="103"/>
              <w:jc w:val="left"/>
              <w:rPr>
                <w:rFonts w:ascii="宋体" w:hAnsi="宋体" w:cs="宋体" w:eastAsia="宋体" w:hint="default"/>
                <w:sz w:val="18"/>
                <w:szCs w:val="18"/>
              </w:rPr>
            </w:pPr>
            <w:r>
              <w:rPr>
                <w:rFonts w:ascii="宋体" w:hAnsi="宋体" w:cs="宋体" w:eastAsia="宋体" w:hint="default"/>
                <w:sz w:val="18"/>
                <w:szCs w:val="18"/>
              </w:rPr>
              <w:t>披露</w:t>
            </w:r>
            <w:r>
              <w:rPr>
                <w:rFonts w:ascii="宋体" w:hAnsi="宋体" w:cs="宋体" w:eastAsia="宋体" w:hint="default"/>
                <w:spacing w:val="-86"/>
                <w:sz w:val="18"/>
                <w:szCs w:val="18"/>
              </w:rPr>
              <w:t> </w:t>
            </w:r>
            <w:r>
              <w:rPr>
                <w:rFonts w:ascii="宋体" w:hAnsi="宋体" w:cs="宋体" w:eastAsia="宋体" w:hint="default"/>
                <w:sz w:val="18"/>
                <w:szCs w:val="18"/>
              </w:rPr>
              <w:t>索引</w:t>
            </w:r>
          </w:p>
        </w:tc>
      </w:tr>
      <w:tr>
        <w:trPr>
          <w:trHeight w:val="4461" w:hRule="exact"/>
        </w:trPr>
        <w:tc>
          <w:tcPr>
            <w:tcW w:w="3362"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4"/>
              <w:ind w:left="95" w:right="95"/>
              <w:jc w:val="left"/>
              <w:rPr>
                <w:rFonts w:ascii="宋体" w:hAnsi="宋体" w:cs="宋体" w:eastAsia="宋体" w:hint="default"/>
                <w:sz w:val="18"/>
                <w:szCs w:val="18"/>
              </w:rPr>
            </w:pPr>
            <w:r>
              <w:rPr>
                <w:rFonts w:ascii="宋体" w:hAnsi="宋体" w:cs="宋体" w:eastAsia="宋体" w:hint="default"/>
                <w:spacing w:val="-3"/>
                <w:sz w:val="18"/>
                <w:szCs w:val="18"/>
              </w:rPr>
              <w:t>原告为龙源创新数媒（北京）股份有限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8"/>
                <w:w w:val="101"/>
                <w:sz w:val="18"/>
                <w:szCs w:val="18"/>
              </w:rPr>
              <w:t>公司（以下简称“龙源数媒”）的部分股</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z w:val="18"/>
                <w:szCs w:val="18"/>
              </w:rPr>
              <w:t>东，总占股比例为</w:t>
            </w:r>
            <w:r>
              <w:rPr>
                <w:rFonts w:ascii="宋体" w:hAnsi="宋体" w:cs="宋体" w:eastAsia="宋体" w:hint="default"/>
                <w:spacing w:val="-46"/>
                <w:sz w:val="18"/>
                <w:szCs w:val="18"/>
              </w:rPr>
              <w:t> </w:t>
            </w:r>
            <w:r>
              <w:rPr>
                <w:rFonts w:ascii="宋体" w:hAnsi="宋体" w:cs="宋体" w:eastAsia="宋体" w:hint="default"/>
                <w:sz w:val="18"/>
                <w:szCs w:val="18"/>
              </w:rPr>
              <w:t>71.525%</w:t>
            </w: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86"/>
                <w:sz w:val="18"/>
                <w:szCs w:val="18"/>
              </w:rPr>
              <w:t> </w:t>
            </w:r>
            <w:r>
              <w:rPr>
                <w:rFonts w:ascii="宋体" w:hAnsi="宋体" w:cs="宋体" w:eastAsia="宋体" w:hint="default"/>
                <w:sz w:val="18"/>
                <w:szCs w:val="18"/>
              </w:rPr>
              <w:t>月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pacing w:val="-3"/>
                <w:sz w:val="18"/>
                <w:szCs w:val="18"/>
              </w:rPr>
              <w:t>日，原告与光一科技签署《股权转</w:t>
            </w:r>
          </w:p>
          <w:p>
            <w:pPr>
              <w:pStyle w:val="TableParagraph"/>
              <w:spacing w:line="316" w:lineRule="auto" w:before="19"/>
              <w:ind w:left="95" w:right="3"/>
              <w:jc w:val="left"/>
              <w:rPr>
                <w:rFonts w:ascii="宋体" w:hAnsi="宋体" w:cs="宋体" w:eastAsia="宋体" w:hint="default"/>
                <w:sz w:val="18"/>
                <w:szCs w:val="18"/>
              </w:rPr>
            </w:pPr>
            <w:r>
              <w:rPr>
                <w:rFonts w:ascii="宋体" w:hAnsi="宋体" w:cs="宋体" w:eastAsia="宋体" w:hint="default"/>
                <w:spacing w:val="-24"/>
                <w:w w:val="101"/>
                <w:sz w:val="18"/>
                <w:szCs w:val="18"/>
              </w:rPr>
              <w:t>让协议》，协议于</w:t>
            </w:r>
            <w:r>
              <w:rPr>
                <w:rFonts w:ascii="宋体" w:hAnsi="宋体" w:cs="宋体" w:eastAsia="宋体" w:hint="default"/>
                <w:spacing w:val="-53"/>
                <w:w w:val="101"/>
                <w:sz w:val="18"/>
                <w:szCs w:val="18"/>
              </w:rPr>
              <w:t> </w:t>
            </w:r>
            <w:r>
              <w:rPr>
                <w:rFonts w:ascii="宋体" w:hAnsi="宋体" w:cs="宋体" w:eastAsia="宋体" w:hint="default"/>
                <w:w w:val="101"/>
                <w:sz w:val="18"/>
                <w:szCs w:val="18"/>
              </w:rPr>
              <w:t>2018</w:t>
            </w:r>
            <w:r>
              <w:rPr>
                <w:rFonts w:ascii="宋体" w:hAnsi="宋体" w:cs="宋体" w:eastAsia="宋体" w:hint="default"/>
                <w:spacing w:val="-48"/>
                <w:w w:val="101"/>
                <w:sz w:val="18"/>
                <w:szCs w:val="18"/>
              </w:rPr>
              <w:t> </w:t>
            </w:r>
            <w:r>
              <w:rPr>
                <w:rFonts w:ascii="宋体" w:hAnsi="宋体" w:cs="宋体" w:eastAsia="宋体" w:hint="default"/>
                <w:w w:val="101"/>
                <w:sz w:val="18"/>
                <w:szCs w:val="18"/>
              </w:rPr>
              <w:t>年</w:t>
            </w:r>
            <w:r>
              <w:rPr>
                <w:rFonts w:ascii="宋体" w:hAnsi="宋体" w:cs="宋体" w:eastAsia="宋体" w:hint="default"/>
                <w:spacing w:val="-53"/>
                <w:w w:val="101"/>
                <w:sz w:val="18"/>
                <w:szCs w:val="18"/>
              </w:rPr>
              <w:t> </w:t>
            </w:r>
            <w:r>
              <w:rPr>
                <w:rFonts w:ascii="宋体" w:hAnsi="宋体" w:cs="宋体" w:eastAsia="宋体" w:hint="default"/>
                <w:w w:val="101"/>
                <w:sz w:val="18"/>
                <w:szCs w:val="18"/>
              </w:rPr>
              <w:t>9</w:t>
            </w:r>
            <w:r>
              <w:rPr>
                <w:rFonts w:ascii="宋体" w:hAnsi="宋体" w:cs="宋体" w:eastAsia="宋体" w:hint="default"/>
                <w:spacing w:val="-48"/>
                <w:w w:val="101"/>
                <w:sz w:val="18"/>
                <w:szCs w:val="18"/>
              </w:rPr>
              <w:t> </w:t>
            </w:r>
            <w:r>
              <w:rPr>
                <w:rFonts w:ascii="宋体" w:hAnsi="宋体" w:cs="宋体" w:eastAsia="宋体" w:hint="default"/>
                <w:w w:val="101"/>
                <w:sz w:val="18"/>
                <w:szCs w:val="18"/>
              </w:rPr>
              <w:t>月</w:t>
            </w:r>
            <w:r>
              <w:rPr>
                <w:rFonts w:ascii="宋体" w:hAnsi="宋体" w:cs="宋体" w:eastAsia="宋体" w:hint="default"/>
                <w:spacing w:val="-48"/>
                <w:w w:val="101"/>
                <w:sz w:val="18"/>
                <w:szCs w:val="18"/>
              </w:rPr>
              <w:t> </w:t>
            </w:r>
            <w:r>
              <w:rPr>
                <w:rFonts w:ascii="宋体" w:hAnsi="宋体" w:cs="宋体" w:eastAsia="宋体" w:hint="default"/>
                <w:w w:val="101"/>
                <w:sz w:val="18"/>
                <w:szCs w:val="18"/>
              </w:rPr>
              <w:t>13</w:t>
            </w:r>
            <w:r>
              <w:rPr>
                <w:rFonts w:ascii="宋体" w:hAnsi="宋体" w:cs="宋体" w:eastAsia="宋体" w:hint="default"/>
                <w:spacing w:val="-53"/>
                <w:w w:val="101"/>
                <w:sz w:val="18"/>
                <w:szCs w:val="18"/>
              </w:rPr>
              <w:t> </w:t>
            </w:r>
            <w:r>
              <w:rPr>
                <w:rFonts w:ascii="宋体" w:hAnsi="宋体" w:cs="宋体" w:eastAsia="宋体" w:hint="default"/>
                <w:spacing w:val="-2"/>
                <w:w w:val="101"/>
                <w:sz w:val="18"/>
                <w:szCs w:val="18"/>
              </w:rPr>
              <w:t>日生效。</w:t>
            </w:r>
            <w:r>
              <w:rPr>
                <w:rFonts w:ascii="宋体" w:hAnsi="宋体" w:cs="宋体" w:eastAsia="宋体" w:hint="default"/>
                <w:w w:val="101"/>
                <w:sz w:val="18"/>
                <w:szCs w:val="18"/>
              </w:rPr>
              <w:t> </w:t>
            </w:r>
            <w:r>
              <w:rPr>
                <w:rFonts w:ascii="宋体" w:hAnsi="宋体" w:cs="宋体" w:eastAsia="宋体" w:hint="default"/>
                <w:spacing w:val="-3"/>
                <w:sz w:val="18"/>
                <w:szCs w:val="18"/>
              </w:rPr>
              <w:t>协议签订后公司了解到龙源数媒业绩与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承诺差距较大，本着对公司、对投资者</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负责的态度，公司主动与龙源数媒控股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股东、管理层联系协商调整股权交易作</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价，暂停支付协议约定的</w:t>
            </w:r>
            <w:r>
              <w:rPr>
                <w:rFonts w:ascii="宋体" w:hAnsi="宋体" w:cs="宋体" w:eastAsia="宋体" w:hint="default"/>
                <w:spacing w:val="-42"/>
                <w:sz w:val="18"/>
                <w:szCs w:val="18"/>
              </w:rPr>
              <w:t> </w:t>
            </w:r>
            <w:r>
              <w:rPr>
                <w:rFonts w:ascii="宋体" w:hAnsi="宋体" w:cs="宋体" w:eastAsia="宋体" w:hint="default"/>
                <w:sz w:val="18"/>
                <w:szCs w:val="18"/>
              </w:rPr>
              <w:t>3,000</w:t>
            </w:r>
            <w:r>
              <w:rPr>
                <w:rFonts w:ascii="宋体" w:hAnsi="宋体" w:cs="宋体" w:eastAsia="宋体" w:hint="default"/>
                <w:spacing w:val="-48"/>
                <w:sz w:val="18"/>
                <w:szCs w:val="18"/>
              </w:rPr>
              <w:t> </w:t>
            </w:r>
            <w:r>
              <w:rPr>
                <w:rFonts w:ascii="宋体" w:hAnsi="宋体" w:cs="宋体" w:eastAsia="宋体" w:hint="default"/>
                <w:sz w:val="18"/>
                <w:szCs w:val="18"/>
              </w:rPr>
              <w:t>万元预</w:t>
            </w:r>
          </w:p>
          <w:p>
            <w:pPr>
              <w:pStyle w:val="TableParagraph"/>
              <w:spacing w:line="240" w:lineRule="auto" w:before="19"/>
              <w:ind w:left="95" w:right="0"/>
              <w:jc w:val="left"/>
              <w:rPr>
                <w:rFonts w:ascii="宋体" w:hAnsi="宋体" w:cs="宋体" w:eastAsia="宋体" w:hint="default"/>
                <w:sz w:val="18"/>
                <w:szCs w:val="18"/>
              </w:rPr>
            </w:pPr>
            <w:r>
              <w:rPr>
                <w:rFonts w:ascii="宋体" w:hAnsi="宋体" w:cs="宋体" w:eastAsia="宋体" w:hint="default"/>
                <w:spacing w:val="-3"/>
                <w:sz w:val="18"/>
                <w:szCs w:val="18"/>
              </w:rPr>
              <w:t>付款。双方沟通持续进行中，</w:t>
            </w:r>
            <w:r>
              <w:rPr>
                <w:rFonts w:ascii="宋体" w:hAnsi="宋体" w:cs="宋体" w:eastAsia="宋体" w:hint="default"/>
                <w:spacing w:val="-3"/>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12</w:t>
            </w:r>
          </w:p>
          <w:p>
            <w:pPr>
              <w:pStyle w:val="TableParagraph"/>
              <w:spacing w:line="319" w:lineRule="auto" w:before="77"/>
              <w:ind w:left="95" w:right="95"/>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宋体" w:hAnsi="宋体" w:cs="宋体" w:eastAsia="宋体" w:hint="default"/>
                <w:sz w:val="18"/>
                <w:szCs w:val="18"/>
              </w:rPr>
              <w:t>25</w:t>
            </w:r>
            <w:r>
              <w:rPr>
                <w:rFonts w:ascii="宋体" w:hAnsi="宋体" w:cs="宋体" w:eastAsia="宋体" w:hint="default"/>
                <w:spacing w:val="-30"/>
                <w:sz w:val="18"/>
                <w:szCs w:val="18"/>
              </w:rPr>
              <w:t> </w:t>
            </w:r>
            <w:r>
              <w:rPr>
                <w:rFonts w:ascii="宋体" w:hAnsi="宋体" w:cs="宋体" w:eastAsia="宋体" w:hint="default"/>
                <w:spacing w:val="-3"/>
                <w:sz w:val="18"/>
                <w:szCs w:val="18"/>
              </w:rPr>
              <w:t>日，龙源数媒方面通知光一科技解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w w:val="101"/>
                <w:sz w:val="18"/>
                <w:szCs w:val="18"/>
              </w:rPr>
              <w:t>除上述《股权转让协议》。</w:t>
            </w:r>
            <w:r>
              <w:rPr>
                <w:rFonts w:ascii="宋体" w:hAnsi="宋体" w:cs="宋体" w:eastAsia="宋体" w:hint="default"/>
                <w:spacing w:val="-8"/>
                <w:w w:val="101"/>
                <w:sz w:val="18"/>
                <w:szCs w:val="18"/>
              </w:rPr>
              <w:t>2019</w:t>
            </w:r>
            <w:r>
              <w:rPr>
                <w:rFonts w:ascii="宋体" w:hAnsi="宋体" w:cs="宋体" w:eastAsia="宋体" w:hint="default"/>
                <w:spacing w:val="-47"/>
                <w:w w:val="101"/>
                <w:sz w:val="18"/>
                <w:szCs w:val="18"/>
              </w:rPr>
              <w:t> </w:t>
            </w:r>
            <w:r>
              <w:rPr>
                <w:rFonts w:ascii="宋体" w:hAnsi="宋体" w:cs="宋体" w:eastAsia="宋体" w:hint="default"/>
                <w:w w:val="101"/>
                <w:sz w:val="18"/>
                <w:szCs w:val="18"/>
              </w:rPr>
              <w:t>年</w:t>
            </w:r>
            <w:r>
              <w:rPr>
                <w:rFonts w:ascii="宋体" w:hAnsi="宋体" w:cs="宋体" w:eastAsia="宋体" w:hint="default"/>
                <w:spacing w:val="-47"/>
                <w:w w:val="101"/>
                <w:sz w:val="18"/>
                <w:szCs w:val="18"/>
              </w:rPr>
              <w:t> </w:t>
            </w:r>
            <w:r>
              <w:rPr>
                <w:rFonts w:ascii="宋体" w:hAnsi="宋体" w:cs="宋体" w:eastAsia="宋体" w:hint="default"/>
                <w:w w:val="101"/>
                <w:sz w:val="18"/>
                <w:szCs w:val="18"/>
              </w:rPr>
              <w:t>10</w:t>
            </w:r>
            <w:r>
              <w:rPr>
                <w:rFonts w:ascii="宋体" w:hAnsi="宋体" w:cs="宋体" w:eastAsia="宋体" w:hint="default"/>
                <w:spacing w:val="-47"/>
                <w:w w:val="101"/>
                <w:sz w:val="18"/>
                <w:szCs w:val="18"/>
              </w:rPr>
              <w:t> </w:t>
            </w:r>
            <w:r>
              <w:rPr>
                <w:rFonts w:ascii="宋体" w:hAnsi="宋体" w:cs="宋体" w:eastAsia="宋体" w:hint="default"/>
                <w:w w:val="101"/>
                <w:sz w:val="18"/>
                <w:szCs w:val="18"/>
              </w:rPr>
              <w:t>月</w:t>
            </w:r>
            <w:r>
              <w:rPr>
                <w:rFonts w:ascii="宋体" w:hAnsi="宋体" w:cs="宋体" w:eastAsia="宋体" w:hint="default"/>
                <w:spacing w:val="-89"/>
                <w:w w:val="101"/>
                <w:sz w:val="18"/>
                <w:szCs w:val="18"/>
              </w:rPr>
              <w:t> </w:t>
            </w:r>
            <w:r>
              <w:rPr>
                <w:rFonts w:ascii="宋体" w:hAnsi="宋体" w:cs="宋体" w:eastAsia="宋体" w:hint="default"/>
                <w:spacing w:val="-3"/>
                <w:sz w:val="18"/>
                <w:szCs w:val="18"/>
              </w:rPr>
              <w:t>原告诉至南京市中级人民法院。</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z w:val="18"/>
              </w:rPr>
              <w:t>5,000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w w:val="101"/>
                <w:sz w:val="18"/>
              </w:rPr>
              <w:t>-</w:t>
            </w:r>
            <w:r>
              <w:rPr>
                <w:rFonts w:ascii="宋体"/>
                <w:sz w:val="18"/>
              </w:rPr>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5" w:right="27"/>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pacing w:val="-5"/>
                <w:sz w:val="18"/>
                <w:szCs w:val="18"/>
              </w:rPr>
              <w:t>月，</w:t>
            </w:r>
            <w:r>
              <w:rPr>
                <w:rFonts w:ascii="宋体" w:hAnsi="宋体" w:cs="宋体" w:eastAsia="宋体" w:hint="default"/>
                <w:spacing w:val="-86"/>
                <w:sz w:val="18"/>
                <w:szCs w:val="18"/>
              </w:rPr>
              <w:t> </w:t>
            </w:r>
            <w:r>
              <w:rPr>
                <w:rFonts w:ascii="宋体" w:hAnsi="宋体" w:cs="宋体" w:eastAsia="宋体" w:hint="default"/>
                <w:sz w:val="18"/>
                <w:szCs w:val="18"/>
              </w:rPr>
              <w:t>公司依法请求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将本案管辖权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移送南京市江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宁区人民法院，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案件处于管辖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权异议上诉阶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w w:val="101"/>
                <w:sz w:val="18"/>
                <w:szCs w:val="18"/>
              </w:rPr>
              <w:t>段，二审法院尚</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未就本案通知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开庭或直接作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出书面裁定。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0" w:right="171"/>
              <w:jc w:val="both"/>
              <w:rPr>
                <w:rFonts w:ascii="宋体" w:hAnsi="宋体" w:cs="宋体" w:eastAsia="宋体" w:hint="default"/>
                <w:sz w:val="18"/>
                <w:szCs w:val="18"/>
              </w:rPr>
            </w:pPr>
            <w:r>
              <w:rPr>
                <w:rFonts w:ascii="宋体" w:hAnsi="宋体" w:cs="宋体" w:eastAsia="宋体" w:hint="default"/>
                <w:spacing w:val="-2"/>
                <w:sz w:val="18"/>
                <w:szCs w:val="18"/>
              </w:rPr>
              <w:t>由于存在案件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事实与证据方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面的问题，现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阶段公司尚无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法判断本案诉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讼对公司本期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利润或期后利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润的影响，最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终实际影响需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以法院判决为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准。</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2020</w:t>
            </w:r>
          </w:p>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04</w:t>
            </w:r>
          </w:p>
          <w:p>
            <w:pPr>
              <w:pStyle w:val="TableParagraph"/>
              <w:spacing w:line="321" w:lineRule="auto" w:before="76"/>
              <w:ind w:left="105" w:right="16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w w:val="101"/>
                <w:sz w:val="18"/>
                <w:szCs w:val="18"/>
              </w:rPr>
              <w:t> </w:t>
            </w:r>
            <w:r>
              <w:rPr>
                <w:rFonts w:ascii="宋体" w:hAnsi="宋体" w:cs="宋体" w:eastAsia="宋体" w:hint="default"/>
                <w:sz w:val="18"/>
                <w:szCs w:val="18"/>
              </w:rPr>
              <w:t>日</w:t>
            </w:r>
          </w:p>
        </w:tc>
        <w:tc>
          <w:tcPr>
            <w:tcW w:w="60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0" w:right="0"/>
              <w:jc w:val="both"/>
              <w:rPr>
                <w:rFonts w:ascii="宋体" w:hAnsi="宋体" w:cs="宋体" w:eastAsia="宋体" w:hint="default"/>
                <w:sz w:val="18"/>
                <w:szCs w:val="18"/>
              </w:rPr>
            </w:pPr>
            <w:r>
              <w:rPr>
                <w:rFonts w:ascii="宋体"/>
                <w:sz w:val="18"/>
              </w:rPr>
              <w:t>http</w:t>
            </w:r>
          </w:p>
          <w:p>
            <w:pPr>
              <w:pStyle w:val="TableParagraph"/>
              <w:spacing w:line="319" w:lineRule="auto" w:before="72"/>
              <w:ind w:left="100" w:right="119"/>
              <w:jc w:val="both"/>
              <w:rPr>
                <w:rFonts w:ascii="宋体" w:hAnsi="宋体" w:cs="宋体" w:eastAsia="宋体" w:hint="default"/>
                <w:sz w:val="18"/>
                <w:szCs w:val="18"/>
              </w:rPr>
            </w:pPr>
            <w:r>
              <w:rPr>
                <w:rFonts w:ascii="宋体"/>
                <w:sz w:val="18"/>
              </w:rPr>
              <w:t>://w</w:t>
            </w:r>
            <w:r>
              <w:rPr>
                <w:rFonts w:ascii="宋体"/>
                <w:spacing w:val="-86"/>
                <w:sz w:val="18"/>
              </w:rPr>
              <w:t> </w:t>
            </w:r>
            <w:r>
              <w:rPr>
                <w:rFonts w:ascii="宋体"/>
                <w:sz w:val="18"/>
              </w:rPr>
              <w:t>ww.c</w:t>
            </w:r>
            <w:r>
              <w:rPr>
                <w:rFonts w:ascii="宋体"/>
                <w:spacing w:val="-86"/>
                <w:sz w:val="18"/>
              </w:rPr>
              <w:t> </w:t>
            </w:r>
            <w:r>
              <w:rPr>
                <w:rFonts w:ascii="宋体"/>
                <w:sz w:val="18"/>
              </w:rPr>
              <w:t>ninf</w:t>
            </w:r>
            <w:r>
              <w:rPr>
                <w:rFonts w:ascii="宋体"/>
                <w:spacing w:val="-86"/>
                <w:sz w:val="18"/>
              </w:rPr>
              <w:t> </w:t>
            </w:r>
            <w:r>
              <w:rPr>
                <w:rFonts w:ascii="宋体"/>
                <w:sz w:val="18"/>
              </w:rPr>
              <w:t>o.co</w:t>
            </w:r>
            <w:r>
              <w:rPr>
                <w:rFonts w:ascii="宋体"/>
                <w:spacing w:val="-86"/>
                <w:sz w:val="18"/>
              </w:rPr>
              <w:t> </w:t>
            </w:r>
            <w:r>
              <w:rPr>
                <w:rFonts w:ascii="宋体"/>
                <w:sz w:val="18"/>
              </w:rPr>
              <w:t>m.cn</w:t>
            </w:r>
          </w:p>
        </w:tc>
      </w:tr>
      <w:tr>
        <w:trPr>
          <w:trHeight w:val="3179" w:hRule="exact"/>
        </w:trPr>
        <w:tc>
          <w:tcPr>
            <w:tcW w:w="3362"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3"/>
              <w:ind w:left="95" w:right="94"/>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pacing w:val="-50"/>
                <w:sz w:val="18"/>
                <w:szCs w:val="18"/>
              </w:rPr>
              <w:t> </w:t>
            </w:r>
            <w:r>
              <w:rPr>
                <w:rFonts w:ascii="宋体" w:hAnsi="宋体" w:cs="宋体" w:eastAsia="宋体" w:hint="default"/>
                <w:sz w:val="18"/>
                <w:szCs w:val="18"/>
              </w:rPr>
              <w:t>日，公司开立有效期为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六个月的商业承兑汇票用于支付向江苏</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8"/>
                <w:sz w:val="18"/>
                <w:szCs w:val="18"/>
              </w:rPr>
              <w:t>新宇能电力科技有限公司（以下简称“江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w w:val="101"/>
                <w:sz w:val="18"/>
                <w:szCs w:val="18"/>
              </w:rPr>
              <w:t>苏新宇能”）采购原材料货款。</w:t>
            </w:r>
            <w:r>
              <w:rPr>
                <w:rFonts w:ascii="宋体" w:hAnsi="宋体" w:cs="宋体" w:eastAsia="宋体" w:hint="default"/>
                <w:spacing w:val="-7"/>
                <w:w w:val="101"/>
                <w:sz w:val="18"/>
                <w:szCs w:val="18"/>
              </w:rPr>
              <w:t>2017</w:t>
            </w:r>
            <w:r>
              <w:rPr>
                <w:rFonts w:ascii="宋体" w:hAnsi="宋体" w:cs="宋体" w:eastAsia="宋体" w:hint="default"/>
                <w:spacing w:val="-49"/>
                <w:w w:val="101"/>
                <w:sz w:val="18"/>
                <w:szCs w:val="18"/>
              </w:rPr>
              <w:t> </w:t>
            </w:r>
            <w:r>
              <w:rPr>
                <w:rFonts w:ascii="宋体" w:hAnsi="宋体" w:cs="宋体" w:eastAsia="宋体" w:hint="default"/>
                <w:w w:val="101"/>
                <w:sz w:val="18"/>
                <w:szCs w:val="18"/>
              </w:rPr>
              <w:t>年 </w:t>
            </w:r>
            <w:r>
              <w:rPr>
                <w:rFonts w:ascii="宋体" w:hAnsi="宋体" w:cs="宋体" w:eastAsia="宋体" w:hint="default"/>
                <w:sz w:val="18"/>
                <w:szCs w:val="18"/>
              </w:rPr>
              <w:t>10</w:t>
            </w:r>
            <w:r>
              <w:rPr>
                <w:rFonts w:ascii="宋体" w:hAnsi="宋体" w:cs="宋体" w:eastAsia="宋体"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宋体" w:hAnsi="宋体" w:cs="宋体" w:eastAsia="宋体" w:hint="default"/>
                <w:sz w:val="18"/>
                <w:szCs w:val="18"/>
              </w:rPr>
              <w:t>25</w:t>
            </w:r>
            <w:r>
              <w:rPr>
                <w:rFonts w:ascii="宋体" w:hAnsi="宋体" w:cs="宋体" w:eastAsia="宋体" w:hint="default"/>
                <w:spacing w:val="-36"/>
                <w:sz w:val="18"/>
                <w:szCs w:val="18"/>
              </w:rPr>
              <w:t> </w:t>
            </w:r>
            <w:r>
              <w:rPr>
                <w:rFonts w:ascii="宋体" w:hAnsi="宋体" w:cs="宋体" w:eastAsia="宋体" w:hint="default"/>
                <w:spacing w:val="-6"/>
                <w:sz w:val="18"/>
                <w:szCs w:val="18"/>
              </w:rPr>
              <w:t>日，江苏新宇能与长安银科商业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w w:val="101"/>
                <w:sz w:val="18"/>
                <w:szCs w:val="18"/>
              </w:rPr>
              <w:t>保理有限公司</w:t>
            </w:r>
            <w:r>
              <w:rPr>
                <w:rFonts w:ascii="宋体" w:hAnsi="宋体" w:cs="宋体" w:eastAsia="宋体" w:hint="default"/>
                <w:spacing w:val="-8"/>
                <w:w w:val="101"/>
                <w:sz w:val="18"/>
                <w:szCs w:val="18"/>
              </w:rPr>
              <w:t>(</w:t>
            </w:r>
            <w:r>
              <w:rPr>
                <w:rFonts w:ascii="宋体" w:hAnsi="宋体" w:cs="宋体" w:eastAsia="宋体" w:hint="default"/>
                <w:spacing w:val="-8"/>
                <w:w w:val="101"/>
                <w:sz w:val="18"/>
                <w:szCs w:val="18"/>
              </w:rPr>
              <w:t>以下简称“长安银科”）</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8"/>
                <w:w w:val="101"/>
                <w:sz w:val="18"/>
                <w:szCs w:val="18"/>
              </w:rPr>
              <w:t>签订《国内有追索权商业保理合同》，将</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3"/>
                <w:sz w:val="18"/>
                <w:szCs w:val="18"/>
              </w:rPr>
              <w:t>上述商业承兑汇票办理保理融资，合同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约定，如光一科技到期未付款，长安银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科有权对江苏新宇能进行追索，追索范</w:t>
            </w:r>
          </w:p>
        </w:tc>
        <w:tc>
          <w:tcPr>
            <w:tcW w:w="6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95"/>
              <w:jc w:val="right"/>
              <w:rPr>
                <w:rFonts w:ascii="宋体" w:hAnsi="宋体" w:cs="宋体" w:eastAsia="宋体" w:hint="default"/>
                <w:sz w:val="18"/>
                <w:szCs w:val="18"/>
              </w:rPr>
            </w:pPr>
            <w:r>
              <w:rPr>
                <w:rFonts w:ascii="宋体"/>
                <w:sz w:val="18"/>
              </w:rPr>
              <w:t>3,000</w:t>
            </w:r>
          </w:p>
        </w:tc>
        <w:tc>
          <w:tcPr>
            <w:tcW w:w="6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w w:val="101"/>
                <w:sz w:val="18"/>
              </w:rPr>
              <w:t>-</w:t>
            </w:r>
            <w:r>
              <w:rPr>
                <w:rFonts w:ascii="宋体"/>
                <w:sz w:val="18"/>
              </w:rPr>
            </w:r>
          </w:p>
        </w:tc>
        <w:tc>
          <w:tcPr>
            <w:tcW w:w="14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p>
          <w:p>
            <w:pPr>
              <w:pStyle w:val="TableParagraph"/>
              <w:spacing w:line="321" w:lineRule="auto" w:before="71"/>
              <w:ind w:left="105" w:right="204"/>
              <w:jc w:val="left"/>
              <w:rPr>
                <w:rFonts w:ascii="宋体" w:hAnsi="宋体" w:cs="宋体" w:eastAsia="宋体" w:hint="default"/>
                <w:sz w:val="18"/>
                <w:szCs w:val="18"/>
              </w:rPr>
            </w:pPr>
            <w:r>
              <w:rPr>
                <w:rFonts w:ascii="宋体" w:hAnsi="宋体" w:cs="宋体" w:eastAsia="宋体" w:hint="default"/>
                <w:spacing w:val="-2"/>
                <w:sz w:val="18"/>
                <w:szCs w:val="18"/>
              </w:rPr>
              <w:t>日案件执行完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毕</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319" w:lineRule="auto"/>
              <w:ind w:left="100" w:right="171"/>
              <w:jc w:val="left"/>
              <w:rPr>
                <w:rFonts w:ascii="宋体" w:hAnsi="宋体" w:cs="宋体" w:eastAsia="宋体" w:hint="default"/>
                <w:sz w:val="18"/>
                <w:szCs w:val="18"/>
              </w:rPr>
            </w:pPr>
            <w:r>
              <w:rPr>
                <w:rFonts w:ascii="宋体" w:hAnsi="宋体" w:cs="宋体" w:eastAsia="宋体" w:hint="default"/>
                <w:spacing w:val="-2"/>
                <w:sz w:val="18"/>
                <w:szCs w:val="18"/>
              </w:rPr>
              <w:t>因上述案件款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项由江苏新宇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能、光一投资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承担，故案件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对公司本期利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润或期后利润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的未造成影</w:t>
            </w:r>
            <w:r>
              <w:rPr>
                <w:rFonts w:ascii="宋体" w:hAnsi="宋体" w:cs="宋体" w:eastAsia="宋体" w:hint="default"/>
                <w:w w:val="101"/>
                <w:sz w:val="18"/>
                <w:szCs w:val="18"/>
              </w:rPr>
              <w:t> </w:t>
            </w:r>
            <w:r>
              <w:rPr>
                <w:rFonts w:ascii="宋体" w:hAnsi="宋体" w:cs="宋体" w:eastAsia="宋体" w:hint="default"/>
                <w:sz w:val="18"/>
                <w:szCs w:val="18"/>
              </w:rPr>
              <w:t>响。</w:t>
            </w:r>
          </w:p>
        </w:tc>
        <w:tc>
          <w:tcPr>
            <w:tcW w:w="7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sz w:val="18"/>
              </w:rPr>
              <w:t>2018</w:t>
            </w:r>
          </w:p>
          <w:p>
            <w:pPr>
              <w:pStyle w:val="TableParagraph"/>
              <w:spacing w:line="240" w:lineRule="auto" w:before="71"/>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12</w:t>
            </w:r>
          </w:p>
          <w:p>
            <w:pPr>
              <w:pStyle w:val="TableParagraph"/>
              <w:spacing w:line="316" w:lineRule="auto" w:before="77"/>
              <w:ind w:left="100" w:right="9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87"/>
                <w:sz w:val="18"/>
                <w:szCs w:val="18"/>
              </w:rPr>
              <w:t> </w:t>
            </w:r>
            <w:r>
              <w:rPr>
                <w:rFonts w:ascii="宋体" w:hAnsi="宋体" w:cs="宋体" w:eastAsia="宋体" w:hint="default"/>
                <w:sz w:val="18"/>
                <w:szCs w:val="18"/>
              </w:rPr>
              <w:t>日各方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涉诉款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项由江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苏新宇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能、光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一投资</w:t>
            </w:r>
          </w:p>
        </w:tc>
        <w:tc>
          <w:tcPr>
            <w:tcW w:w="6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sz w:val="18"/>
              </w:rPr>
              <w:t>2020</w:t>
            </w:r>
          </w:p>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04</w:t>
            </w:r>
          </w:p>
          <w:p>
            <w:pPr>
              <w:pStyle w:val="TableParagraph"/>
              <w:spacing w:line="321" w:lineRule="auto" w:before="76"/>
              <w:ind w:left="105" w:right="16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w w:val="101"/>
                <w:sz w:val="18"/>
                <w:szCs w:val="18"/>
              </w:rPr>
              <w:t> </w:t>
            </w:r>
            <w:r>
              <w:rPr>
                <w:rFonts w:ascii="宋体" w:hAnsi="宋体" w:cs="宋体" w:eastAsia="宋体" w:hint="default"/>
                <w:sz w:val="18"/>
                <w:szCs w:val="18"/>
              </w:rPr>
              <w:t>日</w:t>
            </w:r>
          </w:p>
        </w:tc>
        <w:tc>
          <w:tcPr>
            <w:tcW w:w="60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0" w:right="0"/>
              <w:jc w:val="both"/>
              <w:rPr>
                <w:rFonts w:ascii="宋体" w:hAnsi="宋体" w:cs="宋体" w:eastAsia="宋体" w:hint="default"/>
                <w:sz w:val="18"/>
                <w:szCs w:val="18"/>
              </w:rPr>
            </w:pPr>
            <w:r>
              <w:rPr>
                <w:rFonts w:ascii="宋体"/>
                <w:sz w:val="18"/>
              </w:rPr>
              <w:t>http</w:t>
            </w:r>
          </w:p>
          <w:p>
            <w:pPr>
              <w:pStyle w:val="TableParagraph"/>
              <w:spacing w:line="319" w:lineRule="auto" w:before="71"/>
              <w:ind w:left="100" w:right="119"/>
              <w:jc w:val="both"/>
              <w:rPr>
                <w:rFonts w:ascii="宋体" w:hAnsi="宋体" w:cs="宋体" w:eastAsia="宋体" w:hint="default"/>
                <w:sz w:val="18"/>
                <w:szCs w:val="18"/>
              </w:rPr>
            </w:pPr>
            <w:r>
              <w:rPr>
                <w:rFonts w:ascii="宋体"/>
                <w:sz w:val="18"/>
              </w:rPr>
              <w:t>://w</w:t>
            </w:r>
            <w:r>
              <w:rPr>
                <w:rFonts w:ascii="宋体"/>
                <w:spacing w:val="-86"/>
                <w:sz w:val="18"/>
              </w:rPr>
              <w:t> </w:t>
            </w:r>
            <w:r>
              <w:rPr>
                <w:rFonts w:ascii="宋体"/>
                <w:sz w:val="18"/>
              </w:rPr>
              <w:t>ww.c</w:t>
            </w:r>
            <w:r>
              <w:rPr>
                <w:rFonts w:ascii="宋体"/>
                <w:spacing w:val="-86"/>
                <w:sz w:val="18"/>
              </w:rPr>
              <w:t> </w:t>
            </w:r>
            <w:r>
              <w:rPr>
                <w:rFonts w:ascii="宋体"/>
                <w:sz w:val="18"/>
              </w:rPr>
              <w:t>ninf</w:t>
            </w:r>
            <w:r>
              <w:rPr>
                <w:rFonts w:ascii="宋体"/>
                <w:spacing w:val="-86"/>
                <w:sz w:val="18"/>
              </w:rPr>
              <w:t> </w:t>
            </w:r>
            <w:r>
              <w:rPr>
                <w:rFonts w:ascii="宋体"/>
                <w:sz w:val="18"/>
              </w:rPr>
              <w:t>o.co</w:t>
            </w:r>
            <w:r>
              <w:rPr>
                <w:rFonts w:ascii="宋体"/>
                <w:spacing w:val="-86"/>
                <w:sz w:val="18"/>
              </w:rPr>
              <w:t> </w:t>
            </w:r>
            <w:r>
              <w:rPr>
                <w:rFonts w:ascii="宋体"/>
                <w:sz w:val="18"/>
              </w:rPr>
              <w:t>m.cn</w:t>
            </w:r>
          </w:p>
        </w:tc>
      </w:tr>
    </w:tbl>
    <w:p>
      <w:pPr>
        <w:spacing w:after="0" w:line="319" w:lineRule="auto"/>
        <w:jc w:val="both"/>
        <w:rPr>
          <w:rFonts w:ascii="宋体" w:hAnsi="宋体" w:cs="宋体" w:eastAsia="宋体" w:hint="default"/>
          <w:sz w:val="18"/>
          <w:szCs w:val="18"/>
        </w:rPr>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3362"/>
        <w:gridCol w:w="696"/>
        <w:gridCol w:w="696"/>
        <w:gridCol w:w="1407"/>
        <w:gridCol w:w="1369"/>
        <w:gridCol w:w="754"/>
        <w:gridCol w:w="687"/>
        <w:gridCol w:w="605"/>
      </w:tblGrid>
      <w:tr>
        <w:trPr>
          <w:trHeight w:val="3183" w:hRule="exact"/>
        </w:trPr>
        <w:tc>
          <w:tcPr>
            <w:tcW w:w="3362" w:type="dxa"/>
            <w:tcBorders>
              <w:top w:val="single" w:sz="4" w:space="0" w:color="000000"/>
              <w:left w:val="single" w:sz="12" w:space="0" w:color="000000"/>
              <w:bottom w:val="single" w:sz="12" w:space="0" w:color="000000"/>
              <w:right w:val="single" w:sz="4" w:space="0" w:color="000000"/>
            </w:tcBorders>
          </w:tcPr>
          <w:p>
            <w:pPr>
              <w:pStyle w:val="TableParagraph"/>
              <w:spacing w:line="319" w:lineRule="auto" w:before="10"/>
              <w:ind w:left="95" w:right="3"/>
              <w:jc w:val="left"/>
              <w:rPr>
                <w:rFonts w:ascii="宋体" w:hAnsi="宋体" w:cs="宋体" w:eastAsia="宋体" w:hint="default"/>
                <w:sz w:val="18"/>
                <w:szCs w:val="18"/>
              </w:rPr>
            </w:pPr>
            <w:r>
              <w:rPr>
                <w:rFonts w:ascii="宋体" w:hAnsi="宋体" w:cs="宋体" w:eastAsia="宋体" w:hint="default"/>
                <w:spacing w:val="-3"/>
                <w:sz w:val="18"/>
                <w:szCs w:val="18"/>
              </w:rPr>
              <w:t>围包括：本金、管理费、利息、诉讼费、</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8"/>
                <w:sz w:val="18"/>
                <w:szCs w:val="18"/>
              </w:rPr>
              <w:t>执行费，江苏光一投资管理有限公司（以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3"/>
                <w:w w:val="101"/>
                <w:sz w:val="18"/>
                <w:szCs w:val="18"/>
              </w:rPr>
              <w:t>下简称：“光一投资”）龙昌明、熊珂为</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3"/>
                <w:sz w:val="18"/>
                <w:szCs w:val="18"/>
              </w:rPr>
              <w:t>上述保理提供担保，出具了《无限连带</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8"/>
                <w:w w:val="101"/>
                <w:sz w:val="18"/>
                <w:szCs w:val="18"/>
              </w:rPr>
              <w:t>责任保证函》。应长安银科要求，公司相</w:t>
            </w:r>
            <w:r>
              <w:rPr>
                <w:rFonts w:ascii="宋体" w:hAnsi="宋体" w:cs="宋体" w:eastAsia="宋体" w:hint="default"/>
                <w:spacing w:val="-85"/>
                <w:w w:val="101"/>
                <w:sz w:val="18"/>
                <w:szCs w:val="18"/>
              </w:rPr>
              <w:t> </w:t>
            </w:r>
            <w:r>
              <w:rPr>
                <w:rFonts w:ascii="宋体" w:hAnsi="宋体" w:cs="宋体" w:eastAsia="宋体" w:hint="default"/>
                <w:spacing w:val="-85"/>
                <w:w w:val="101"/>
                <w:sz w:val="18"/>
                <w:szCs w:val="18"/>
              </w:rPr>
            </w:r>
            <w:r>
              <w:rPr>
                <w:rFonts w:ascii="宋体" w:hAnsi="宋体" w:cs="宋体" w:eastAsia="宋体" w:hint="default"/>
                <w:spacing w:val="-3"/>
                <w:sz w:val="18"/>
                <w:szCs w:val="18"/>
              </w:rPr>
              <w:t>应延长了商业承兑汇票有效期至 </w:t>
            </w:r>
            <w:r>
              <w:rPr>
                <w:rFonts w:ascii="宋体" w:hAnsi="宋体" w:cs="宋体" w:eastAsia="宋体" w:hint="default"/>
                <w:sz w:val="18"/>
                <w:szCs w:val="18"/>
              </w:rPr>
              <w:t>2018</w:t>
            </w:r>
            <w:r>
              <w:rPr>
                <w:rFonts w:ascii="宋体" w:hAnsi="宋体" w:cs="宋体" w:eastAsia="宋体" w:hint="default"/>
                <w:spacing w:val="-49"/>
                <w:sz w:val="18"/>
                <w:szCs w:val="18"/>
              </w:rPr>
              <w:t> </w:t>
            </w:r>
            <w:r>
              <w:rPr>
                <w:rFonts w:ascii="宋体" w:hAnsi="宋体" w:cs="宋体" w:eastAsia="宋体" w:hint="default"/>
                <w:sz w:val="18"/>
                <w:szCs w:val="18"/>
              </w:rPr>
              <w:t>年</w:t>
            </w:r>
          </w:p>
          <w:p>
            <w:pPr>
              <w:pStyle w:val="TableParagraph"/>
              <w:spacing w:line="319" w:lineRule="auto" w:before="17"/>
              <w:ind w:left="95" w:right="94"/>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宋体" w:hAnsi="宋体" w:cs="宋体" w:eastAsia="宋体" w:hint="default"/>
                <w:sz w:val="18"/>
                <w:szCs w:val="18"/>
              </w:rPr>
              <w:t>26</w:t>
            </w:r>
            <w:r>
              <w:rPr>
                <w:rFonts w:ascii="宋体" w:hAnsi="宋体" w:cs="宋体" w:eastAsia="宋体" w:hint="default"/>
                <w:spacing w:val="-36"/>
                <w:sz w:val="18"/>
                <w:szCs w:val="18"/>
              </w:rPr>
              <w:t> </w:t>
            </w:r>
            <w:r>
              <w:rPr>
                <w:rFonts w:ascii="宋体" w:hAnsi="宋体" w:cs="宋体" w:eastAsia="宋体" w:hint="default"/>
                <w:spacing w:val="-6"/>
                <w:sz w:val="18"/>
                <w:szCs w:val="18"/>
              </w:rPr>
              <w:t>日。后因江苏新宇能供货存在质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量瑕疵导致公司产品被终端用户追责，</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公司未承兑上述商业承兑汇票。</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87"/>
                <w:sz w:val="18"/>
                <w:szCs w:val="18"/>
              </w:rPr>
              <w:t> </w:t>
            </w: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月长安银科诉至法院。</w:t>
            </w:r>
          </w:p>
        </w:tc>
        <w:tc>
          <w:tcPr>
            <w:tcW w:w="696" w:type="dxa"/>
            <w:tcBorders>
              <w:top w:val="single" w:sz="4" w:space="0" w:color="000000"/>
              <w:left w:val="single" w:sz="4" w:space="0" w:color="000000"/>
              <w:bottom w:val="single" w:sz="12" w:space="0" w:color="000000"/>
              <w:right w:val="single" w:sz="4" w:space="0" w:color="000000"/>
            </w:tcBorders>
          </w:tcPr>
          <w:p>
            <w:pPr/>
          </w:p>
        </w:tc>
        <w:tc>
          <w:tcPr>
            <w:tcW w:w="696" w:type="dxa"/>
            <w:tcBorders>
              <w:top w:val="single" w:sz="4" w:space="0" w:color="000000"/>
              <w:left w:val="single" w:sz="4" w:space="0" w:color="000000"/>
              <w:bottom w:val="single" w:sz="12" w:space="0" w:color="000000"/>
              <w:right w:val="single" w:sz="4" w:space="0" w:color="000000"/>
            </w:tcBorders>
          </w:tcPr>
          <w:p>
            <w:pPr/>
          </w:p>
        </w:tc>
        <w:tc>
          <w:tcPr>
            <w:tcW w:w="1407" w:type="dxa"/>
            <w:tcBorders>
              <w:top w:val="single" w:sz="4" w:space="0" w:color="000000"/>
              <w:left w:val="single" w:sz="4" w:space="0" w:color="000000"/>
              <w:bottom w:val="single" w:sz="12" w:space="0" w:color="000000"/>
              <w:right w:val="single" w:sz="4" w:space="0" w:color="000000"/>
            </w:tcBorders>
          </w:tcPr>
          <w:p>
            <w:pPr/>
          </w:p>
        </w:tc>
        <w:tc>
          <w:tcPr>
            <w:tcW w:w="1369" w:type="dxa"/>
            <w:tcBorders>
              <w:top w:val="single" w:sz="4" w:space="0" w:color="000000"/>
              <w:left w:val="single" w:sz="4" w:space="0" w:color="000000"/>
              <w:bottom w:val="single" w:sz="12" w:space="0" w:color="000000"/>
              <w:right w:val="single" w:sz="4" w:space="0" w:color="000000"/>
            </w:tcBorders>
          </w:tcPr>
          <w:p>
            <w:pPr/>
          </w:p>
        </w:tc>
        <w:tc>
          <w:tcPr>
            <w:tcW w:w="754"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10"/>
              <w:ind w:left="100" w:right="98"/>
              <w:jc w:val="left"/>
              <w:rPr>
                <w:rFonts w:ascii="宋体" w:hAnsi="宋体" w:cs="宋体" w:eastAsia="宋体" w:hint="default"/>
                <w:sz w:val="18"/>
                <w:szCs w:val="18"/>
              </w:rPr>
            </w:pPr>
            <w:r>
              <w:rPr>
                <w:rFonts w:ascii="宋体" w:hAnsi="宋体" w:cs="宋体" w:eastAsia="宋体" w:hint="default"/>
                <w:sz w:val="18"/>
                <w:szCs w:val="18"/>
              </w:rPr>
              <w:t>承担，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2019</w:t>
            </w:r>
          </w:p>
          <w:p>
            <w:pPr>
              <w:pStyle w:val="TableParagraph"/>
              <w:spacing w:line="240" w:lineRule="auto" w:before="19"/>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p>
          <w:p>
            <w:pPr>
              <w:pStyle w:val="TableParagraph"/>
              <w:spacing w:line="319" w:lineRule="auto" w:before="77"/>
              <w:ind w:left="100" w:right="98"/>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87"/>
                <w:sz w:val="18"/>
                <w:szCs w:val="18"/>
              </w:rPr>
              <w:t> </w:t>
            </w:r>
            <w:r>
              <w:rPr>
                <w:rFonts w:ascii="宋体" w:hAnsi="宋体" w:cs="宋体" w:eastAsia="宋体" w:hint="default"/>
                <w:sz w:val="18"/>
                <w:szCs w:val="18"/>
              </w:rPr>
              <w:t>案件执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行完</w:t>
            </w:r>
            <w:r>
              <w:rPr>
                <w:rFonts w:ascii="宋体" w:hAnsi="宋体" w:cs="宋体" w:eastAsia="宋体" w:hint="default"/>
                <w:spacing w:val="-86"/>
                <w:sz w:val="18"/>
                <w:szCs w:val="18"/>
              </w:rPr>
              <w:t> </w:t>
            </w:r>
            <w:r>
              <w:rPr>
                <w:rFonts w:ascii="宋体" w:hAnsi="宋体" w:cs="宋体" w:eastAsia="宋体" w:hint="default"/>
                <w:sz w:val="18"/>
                <w:szCs w:val="18"/>
              </w:rPr>
              <w:t>毕，法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院签发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结案通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知书。</w:t>
            </w:r>
          </w:p>
        </w:tc>
        <w:tc>
          <w:tcPr>
            <w:tcW w:w="687" w:type="dxa"/>
            <w:tcBorders>
              <w:top w:val="single" w:sz="4" w:space="0" w:color="000000"/>
              <w:left w:val="single" w:sz="4" w:space="0" w:color="000000"/>
              <w:bottom w:val="single" w:sz="12" w:space="0" w:color="000000"/>
              <w:right w:val="single" w:sz="4" w:space="0" w:color="000000"/>
            </w:tcBorders>
          </w:tcPr>
          <w:p>
            <w:pPr/>
          </w:p>
        </w:tc>
        <w:tc>
          <w:tcPr>
            <w:tcW w:w="605"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100" w:bottom="1220" w:left="980" w:right="0"/>
        </w:sectPr>
      </w:pPr>
    </w:p>
    <w:p>
      <w:pPr>
        <w:spacing w:line="240" w:lineRule="auto" w:before="3"/>
        <w:rPr>
          <w:rFonts w:ascii="Times New Roman" w:hAnsi="Times New Roman" w:cs="Times New Roman" w:eastAsia="Times New Roman" w:hint="default"/>
          <w:sz w:val="29"/>
          <w:szCs w:val="29"/>
        </w:rPr>
      </w:pPr>
    </w:p>
    <w:p>
      <w:pPr>
        <w:pStyle w:val="Heading2"/>
        <w:spacing w:line="240" w:lineRule="auto" w:before="26"/>
        <w:ind w:right="1024"/>
        <w:jc w:val="left"/>
        <w:rPr>
          <w:b w:val="0"/>
          <w:bCs w:val="0"/>
        </w:rPr>
      </w:pPr>
      <w:bookmarkStart w:name="十二、处罚及整改情况" w:id="106"/>
      <w:bookmarkEnd w:id="106"/>
      <w:r>
        <w:rPr>
          <w:b w:val="0"/>
          <w:bCs w:val="0"/>
        </w:rPr>
      </w:r>
      <w:r>
        <w:rPr/>
        <w:t>十二、处罚及整改情况</w:t>
      </w:r>
      <w:r>
        <w:rPr>
          <w:b w:val="0"/>
          <w:bCs w:val="0"/>
        </w:rPr>
      </w:r>
    </w:p>
    <w:p>
      <w:pPr>
        <w:pStyle w:val="BodyText"/>
        <w:spacing w:line="240" w:lineRule="auto" w:before="177"/>
        <w:ind w:right="1024"/>
        <w:jc w:val="left"/>
      </w:pPr>
      <w:bookmarkStart w:name="□ 适用 √ 不适用" w:id="107"/>
      <w:bookmarkEnd w:id="107"/>
      <w:r>
        <w:rPr/>
      </w:r>
      <w:r>
        <w:rPr/>
        <w:t>□ 适用 √</w:t>
      </w:r>
      <w:r>
        <w:rPr>
          <w:spacing w:val="4"/>
        </w:rPr>
        <w:t> </w:t>
      </w:r>
      <w:r>
        <w:rPr/>
        <w:t>不适用</w:t>
      </w:r>
    </w:p>
    <w:p>
      <w:pPr>
        <w:pStyle w:val="Heading2"/>
        <w:spacing w:line="240" w:lineRule="auto" w:before="170"/>
        <w:ind w:right="1024"/>
        <w:jc w:val="left"/>
        <w:rPr>
          <w:b w:val="0"/>
          <w:bCs w:val="0"/>
        </w:rPr>
      </w:pPr>
      <w:bookmarkStart w:name="十三、公司及其控股股东、实际控制人的诚信状况" w:id="108"/>
      <w:bookmarkEnd w:id="108"/>
      <w:r>
        <w:rPr>
          <w:b w:val="0"/>
          <w:bCs w:val="0"/>
        </w:rPr>
      </w:r>
      <w:r>
        <w:rPr/>
        <w:t>十三、公司及其控股股东、实际控制人的诚信状况</w:t>
      </w:r>
      <w:r>
        <w:rPr>
          <w:b w:val="0"/>
          <w:bCs w:val="0"/>
        </w:rPr>
      </w:r>
    </w:p>
    <w:p>
      <w:pPr>
        <w:pStyle w:val="BodyText"/>
        <w:spacing w:line="410" w:lineRule="auto" w:before="177"/>
        <w:ind w:left="575" w:right="8963" w:hanging="423"/>
        <w:jc w:val="left"/>
      </w:pPr>
      <w:bookmarkStart w:name="√ 适用 □ 不适用" w:id="109"/>
      <w:bookmarkEnd w:id="109"/>
      <w:r>
        <w:rPr/>
      </w:r>
      <w:r>
        <w:rPr/>
        <w:t>√ 适用 □</w:t>
      </w:r>
      <w:r>
        <w:rPr>
          <w:spacing w:val="4"/>
        </w:rPr>
        <w:t> </w:t>
      </w:r>
      <w:r>
        <w:rPr/>
        <w:t>不适用</w:t>
      </w:r>
      <w:r>
        <w:rPr>
          <w:w w:val="100"/>
        </w:rPr>
        <w:t> </w:t>
      </w:r>
      <w:bookmarkStart w:name="公司分别于" w:id="110"/>
      <w:bookmarkEnd w:id="110"/>
      <w:r>
        <w:rPr/>
        <w:t>公司分别于</w:t>
      </w:r>
    </w:p>
    <w:p>
      <w:pPr>
        <w:pStyle w:val="BodyText"/>
        <w:spacing w:line="240" w:lineRule="auto" w:before="41"/>
        <w:ind w:left="575" w:right="1024"/>
        <w:jc w:val="left"/>
      </w:pPr>
      <w:bookmarkStart w:name="（1）2019年3月27日披露《关于实际控制人及一致行动人被动减持股份的公告》（" w:id="111"/>
      <w:bookmarkEnd w:id="111"/>
      <w:r>
        <w:rPr/>
      </w:r>
      <w:r>
        <w:rPr>
          <w:w w:val="100"/>
        </w:rPr>
        <w:t>（</w:t>
      </w:r>
      <w:r>
        <w:rPr>
          <w:rFonts w:ascii="宋体" w:hAnsi="宋体" w:cs="宋体" w:eastAsia="宋体" w:hint="default"/>
          <w:w w:val="100"/>
        </w:rPr>
        <w:t>1</w:t>
      </w:r>
      <w:r>
        <w:rPr>
          <w:spacing w:val="-106"/>
          <w:w w:val="100"/>
        </w:rPr>
        <w:t>）</w:t>
      </w:r>
      <w:r>
        <w:rPr>
          <w:rFonts w:ascii="宋体" w:hAnsi="宋体" w:cs="宋体" w:eastAsia="宋体" w:hint="default"/>
          <w:w w:val="100"/>
        </w:rPr>
        <w:t>20</w:t>
      </w:r>
      <w:r>
        <w:rPr>
          <w:rFonts w:ascii="宋体" w:hAnsi="宋体" w:cs="宋体" w:eastAsia="宋体" w:hint="default"/>
          <w:spacing w:val="-5"/>
          <w:w w:val="100"/>
        </w:rPr>
        <w:t>1</w:t>
      </w:r>
      <w:r>
        <w:rPr>
          <w:rFonts w:ascii="宋体" w:hAnsi="宋体" w:cs="宋体" w:eastAsia="宋体" w:hint="default"/>
          <w:w w:val="100"/>
        </w:rPr>
        <w:t>9</w:t>
      </w:r>
      <w:r>
        <w:rPr>
          <w:rFonts w:ascii="宋体" w:hAnsi="宋体" w:cs="宋体" w:eastAsia="宋体" w:hint="default"/>
          <w:spacing w:val="-72"/>
        </w:rPr>
        <w:t> </w:t>
      </w:r>
      <w:r>
        <w:rPr>
          <w:w w:val="100"/>
        </w:rPr>
        <w:t>年</w:t>
      </w:r>
      <w:r>
        <w:rPr>
          <w:spacing w:val="-77"/>
        </w:rPr>
        <w:t> </w:t>
      </w:r>
      <w:r>
        <w:rPr>
          <w:rFonts w:ascii="宋体" w:hAnsi="宋体" w:cs="宋体" w:eastAsia="宋体" w:hint="default"/>
          <w:w w:val="100"/>
        </w:rPr>
        <w:t>3</w:t>
      </w:r>
      <w:r>
        <w:rPr>
          <w:rFonts w:ascii="宋体" w:hAnsi="宋体" w:cs="宋体" w:eastAsia="宋体" w:hint="default"/>
          <w:spacing w:val="-77"/>
        </w:rPr>
        <w:t> </w:t>
      </w:r>
      <w:r>
        <w:rPr>
          <w:w w:val="100"/>
        </w:rPr>
        <w:t>月</w:t>
      </w:r>
      <w:r>
        <w:rPr>
          <w:spacing w:val="-72"/>
        </w:rPr>
        <w:t> </w:t>
      </w:r>
      <w:r>
        <w:rPr>
          <w:rFonts w:ascii="宋体" w:hAnsi="宋体" w:cs="宋体" w:eastAsia="宋体" w:hint="default"/>
          <w:w w:val="100"/>
        </w:rPr>
        <w:t>27</w:t>
      </w:r>
      <w:r>
        <w:rPr>
          <w:rFonts w:ascii="宋体" w:hAnsi="宋体" w:cs="宋体" w:eastAsia="宋体" w:hint="default"/>
          <w:spacing w:val="-76"/>
        </w:rPr>
        <w:t> </w:t>
      </w:r>
      <w:r>
        <w:rPr>
          <w:w w:val="100"/>
        </w:rPr>
        <w:t>日披</w:t>
      </w:r>
      <w:r>
        <w:rPr>
          <w:spacing w:val="-106"/>
          <w:w w:val="100"/>
        </w:rPr>
        <w:t>露</w:t>
      </w:r>
      <w:r>
        <w:rPr>
          <w:w w:val="100"/>
        </w:rPr>
        <w:t>《</w:t>
      </w:r>
      <w:r>
        <w:rPr>
          <w:spacing w:val="-5"/>
          <w:w w:val="100"/>
        </w:rPr>
        <w:t>关</w:t>
      </w:r>
      <w:r>
        <w:rPr>
          <w:w w:val="100"/>
        </w:rPr>
        <w:t>于实际</w:t>
      </w:r>
      <w:r>
        <w:rPr>
          <w:spacing w:val="-5"/>
          <w:w w:val="100"/>
        </w:rPr>
        <w:t>控</w:t>
      </w:r>
      <w:r>
        <w:rPr>
          <w:w w:val="100"/>
        </w:rPr>
        <w:t>制人</w:t>
      </w:r>
      <w:r>
        <w:rPr>
          <w:spacing w:val="-5"/>
          <w:w w:val="100"/>
        </w:rPr>
        <w:t>及</w:t>
      </w:r>
      <w:r>
        <w:rPr>
          <w:w w:val="100"/>
        </w:rPr>
        <w:t>一致</w:t>
      </w:r>
      <w:r>
        <w:rPr>
          <w:spacing w:val="-5"/>
          <w:w w:val="100"/>
        </w:rPr>
        <w:t>行</w:t>
      </w:r>
      <w:r>
        <w:rPr>
          <w:w w:val="100"/>
        </w:rPr>
        <w:t>动人被动</w:t>
      </w:r>
      <w:r>
        <w:rPr>
          <w:spacing w:val="-5"/>
          <w:w w:val="100"/>
        </w:rPr>
        <w:t>减</w:t>
      </w:r>
      <w:r>
        <w:rPr>
          <w:w w:val="100"/>
        </w:rPr>
        <w:t>持股份</w:t>
      </w:r>
      <w:r>
        <w:rPr>
          <w:spacing w:val="-5"/>
          <w:w w:val="100"/>
        </w:rPr>
        <w:t>的</w:t>
      </w:r>
      <w:r>
        <w:rPr>
          <w:w w:val="100"/>
        </w:rPr>
        <w:t>公告</w:t>
      </w:r>
      <w:r>
        <w:rPr>
          <w:spacing w:val="-212"/>
          <w:w w:val="100"/>
        </w:rPr>
        <w:t>》</w:t>
      </w:r>
      <w:r>
        <w:rPr>
          <w:w w:val="100"/>
        </w:rPr>
        <w:t>（</w:t>
      </w:r>
      <w:r>
        <w:rPr>
          <w:spacing w:val="-5"/>
          <w:w w:val="100"/>
        </w:rPr>
        <w:t>公</w:t>
      </w:r>
      <w:r>
        <w:rPr>
          <w:w w:val="100"/>
        </w:rPr>
        <w:t>告</w:t>
      </w:r>
      <w:r>
        <w:rPr>
          <w:spacing w:val="-5"/>
          <w:w w:val="100"/>
        </w:rPr>
        <w:t>编</w:t>
      </w:r>
      <w:r>
        <w:rPr>
          <w:w w:val="100"/>
        </w:rPr>
        <w:t>号</w:t>
      </w:r>
      <w:r>
        <w:rPr>
          <w:spacing w:val="-69"/>
        </w:rPr>
        <w:t> </w:t>
      </w:r>
      <w:r>
        <w:rPr>
          <w:rFonts w:ascii="宋体" w:hAnsi="宋体" w:cs="宋体" w:eastAsia="宋体" w:hint="default"/>
          <w:w w:val="100"/>
        </w:rPr>
        <w:t>2019-0</w:t>
      </w:r>
      <w:r>
        <w:rPr>
          <w:rFonts w:ascii="宋体" w:hAnsi="宋体" w:cs="宋体" w:eastAsia="宋体" w:hint="default"/>
          <w:spacing w:val="-5"/>
          <w:w w:val="100"/>
        </w:rPr>
        <w:t>2</w:t>
      </w:r>
      <w:r>
        <w:rPr>
          <w:rFonts w:ascii="宋体" w:hAnsi="宋体" w:cs="宋体" w:eastAsia="宋体" w:hint="default"/>
          <w:w w:val="100"/>
        </w:rPr>
        <w:t>7</w:t>
      </w:r>
      <w:r>
        <w:rPr>
          <w:spacing w:val="-106"/>
          <w:w w:val="100"/>
        </w:rPr>
        <w:t>）；</w:t>
      </w:r>
      <w:r>
        <w:rPr>
          <w:w w:val="100"/>
        </w:rPr>
      </w:r>
    </w:p>
    <w:p>
      <w:pPr>
        <w:spacing w:line="240" w:lineRule="auto" w:before="13"/>
        <w:rPr>
          <w:rFonts w:ascii="宋体" w:hAnsi="宋体" w:cs="宋体" w:eastAsia="宋体" w:hint="default"/>
          <w:sz w:val="14"/>
          <w:szCs w:val="14"/>
        </w:rPr>
      </w:pPr>
    </w:p>
    <w:p>
      <w:pPr>
        <w:pStyle w:val="BodyText"/>
        <w:spacing w:line="405" w:lineRule="auto"/>
        <w:ind w:right="1121" w:firstLine="422"/>
        <w:jc w:val="left"/>
      </w:pPr>
      <w:bookmarkStart w:name="（2）2019年4月1日披露《关于关于控股股东、实际控制人及一致行动人被动减持股" w:id="112"/>
      <w:bookmarkEnd w:id="112"/>
      <w:r>
        <w:rPr/>
      </w:r>
      <w:r>
        <w:rPr>
          <w:spacing w:val="-6"/>
        </w:rPr>
        <w:t>（</w:t>
      </w:r>
      <w:r>
        <w:rPr>
          <w:rFonts w:ascii="宋体" w:hAnsi="宋体" w:cs="宋体" w:eastAsia="宋体" w:hint="default"/>
          <w:spacing w:val="-6"/>
        </w:rPr>
        <w:t>2</w:t>
      </w:r>
      <w:r>
        <w:rPr>
          <w:spacing w:val="-6"/>
        </w:rPr>
        <w:t>）</w:t>
      </w:r>
      <w:r>
        <w:rPr>
          <w:rFonts w:ascii="宋体" w:hAnsi="宋体" w:cs="宋体" w:eastAsia="宋体" w:hint="default"/>
          <w:spacing w:val="-6"/>
        </w:rPr>
        <w:t>2019</w:t>
      </w:r>
      <w:r>
        <w:rPr>
          <w:rFonts w:ascii="宋体" w:hAnsi="宋体" w:cs="宋体" w:eastAsia="宋体" w:hint="default"/>
          <w:spacing w:val="-38"/>
        </w:rPr>
        <w:t> </w:t>
      </w:r>
      <w:r>
        <w:rPr/>
        <w:t>年</w:t>
      </w:r>
      <w:r>
        <w:rPr>
          <w:spacing w:val="-38"/>
        </w:rPr>
        <w:t> </w:t>
      </w:r>
      <w:r>
        <w:rPr>
          <w:rFonts w:ascii="宋体" w:hAnsi="宋体" w:cs="宋体" w:eastAsia="宋体" w:hint="default"/>
        </w:rPr>
        <w:t>4</w:t>
      </w:r>
      <w:r>
        <w:rPr>
          <w:rFonts w:ascii="宋体" w:hAnsi="宋体" w:cs="宋体" w:eastAsia="宋体" w:hint="default"/>
          <w:spacing w:val="-43"/>
        </w:rPr>
        <w:t> </w:t>
      </w:r>
      <w:r>
        <w:rPr/>
        <w:t>月</w:t>
      </w:r>
      <w:r>
        <w:rPr>
          <w:spacing w:val="-37"/>
        </w:rPr>
        <w:t> </w:t>
      </w:r>
      <w:r>
        <w:rPr>
          <w:rFonts w:ascii="宋体" w:hAnsi="宋体" w:cs="宋体" w:eastAsia="宋体" w:hint="default"/>
        </w:rPr>
        <w:t>1</w:t>
      </w:r>
      <w:r>
        <w:rPr>
          <w:rFonts w:ascii="宋体" w:hAnsi="宋体" w:cs="宋体" w:eastAsia="宋体" w:hint="default"/>
          <w:spacing w:val="-38"/>
        </w:rPr>
        <w:t> </w:t>
      </w:r>
      <w:r>
        <w:rPr>
          <w:spacing w:val="-6"/>
        </w:rPr>
        <w:t>日披露《关于关于控股股东、实际控制人及一致行动人被动减持股份的公告》（公</w:t>
      </w:r>
      <w:r>
        <w:rPr>
          <w:w w:val="100"/>
        </w:rPr>
        <w:t> </w:t>
      </w:r>
      <w:r>
        <w:rPr/>
        <w:t>告编号</w:t>
      </w:r>
      <w:r>
        <w:rPr>
          <w:spacing w:val="-48"/>
        </w:rPr>
        <w:t> </w:t>
      </w:r>
      <w:r>
        <w:rPr>
          <w:rFonts w:ascii="宋体" w:hAnsi="宋体" w:cs="宋体" w:eastAsia="宋体" w:hint="default"/>
        </w:rPr>
        <w:t>2019-029</w:t>
      </w:r>
      <w:r>
        <w:rPr/>
        <w:t>）；</w:t>
      </w:r>
    </w:p>
    <w:p>
      <w:pPr>
        <w:pStyle w:val="BodyText"/>
        <w:spacing w:line="408" w:lineRule="auto" w:before="50"/>
        <w:ind w:right="1114" w:firstLine="422"/>
        <w:jc w:val="left"/>
      </w:pPr>
      <w:bookmarkStart w:name="（3）2019年6月12日披露《关于控股股东及实际控制人被动减持股份的预披露及质" w:id="113"/>
      <w:bookmarkEnd w:id="113"/>
      <w:r>
        <w:rPr/>
      </w:r>
      <w:r>
        <w:rPr>
          <w:spacing w:val="-6"/>
        </w:rPr>
        <w:t>（</w:t>
      </w:r>
      <w:r>
        <w:rPr>
          <w:rFonts w:ascii="宋体" w:hAnsi="宋体" w:cs="宋体" w:eastAsia="宋体" w:hint="default"/>
          <w:spacing w:val="-6"/>
        </w:rPr>
        <w:t>3</w:t>
      </w:r>
      <w:r>
        <w:rPr>
          <w:spacing w:val="-6"/>
        </w:rPr>
        <w:t>）</w:t>
      </w:r>
      <w:r>
        <w:rPr>
          <w:rFonts w:ascii="宋体" w:hAnsi="宋体" w:cs="宋体" w:eastAsia="宋体" w:hint="default"/>
          <w:spacing w:val="-6"/>
        </w:rPr>
        <w:t>2019</w:t>
      </w:r>
      <w:r>
        <w:rPr>
          <w:rFonts w:ascii="宋体" w:hAnsi="宋体" w:cs="宋体" w:eastAsia="宋体" w:hint="default"/>
          <w:spacing w:val="-38"/>
        </w:rPr>
        <w:t> </w:t>
      </w:r>
      <w:r>
        <w:rPr/>
        <w:t>年</w:t>
      </w:r>
      <w:r>
        <w:rPr>
          <w:spacing w:val="-38"/>
        </w:rPr>
        <w:t> </w:t>
      </w:r>
      <w:r>
        <w:rPr>
          <w:rFonts w:ascii="宋体" w:hAnsi="宋体" w:cs="宋体" w:eastAsia="宋体" w:hint="default"/>
        </w:rPr>
        <w:t>6</w:t>
      </w:r>
      <w:r>
        <w:rPr>
          <w:rFonts w:ascii="宋体" w:hAnsi="宋体" w:cs="宋体" w:eastAsia="宋体" w:hint="default"/>
          <w:spacing w:val="-43"/>
        </w:rPr>
        <w:t> </w:t>
      </w:r>
      <w:r>
        <w:rPr/>
        <w:t>月</w:t>
      </w:r>
      <w:r>
        <w:rPr>
          <w:spacing w:val="-36"/>
        </w:rPr>
        <w:t> </w:t>
      </w:r>
      <w:r>
        <w:rPr>
          <w:rFonts w:ascii="宋体" w:hAnsi="宋体" w:cs="宋体" w:eastAsia="宋体" w:hint="default"/>
        </w:rPr>
        <w:t>12</w:t>
      </w:r>
      <w:r>
        <w:rPr>
          <w:rFonts w:ascii="宋体" w:hAnsi="宋体" w:cs="宋体" w:eastAsia="宋体" w:hint="default"/>
          <w:spacing w:val="-38"/>
        </w:rPr>
        <w:t> </w:t>
      </w:r>
      <w:r>
        <w:rPr>
          <w:spacing w:val="-3"/>
        </w:rPr>
        <w:t>日披露《关于控股股东及实际控制人被动减持股份的预披露及质押平仓风险提示</w:t>
      </w:r>
      <w:r>
        <w:rPr>
          <w:w w:val="100"/>
        </w:rPr>
        <w:t> </w:t>
      </w:r>
      <w:r>
        <w:rPr/>
        <w:t>公告》（公告编号</w:t>
      </w:r>
      <w:r>
        <w:rPr>
          <w:spacing w:val="-56"/>
        </w:rPr>
        <w:t> </w:t>
      </w:r>
      <w:r>
        <w:rPr>
          <w:rFonts w:ascii="宋体" w:hAnsi="宋体" w:cs="宋体" w:eastAsia="宋体" w:hint="default"/>
        </w:rPr>
        <w:t>2019-060</w:t>
      </w:r>
      <w:r>
        <w:rPr/>
        <w:t>）；</w:t>
      </w:r>
    </w:p>
    <w:p>
      <w:pPr>
        <w:pStyle w:val="BodyText"/>
        <w:spacing w:line="405" w:lineRule="auto" w:before="48"/>
        <w:ind w:right="1116" w:firstLine="422"/>
        <w:jc w:val="left"/>
      </w:pPr>
      <w:bookmarkStart w:name="（4）2019年6月28日披露《关于控股股东、实际控制人及其一致行动人被动减持股" w:id="114"/>
      <w:bookmarkEnd w:id="114"/>
      <w:r>
        <w:rPr/>
      </w:r>
      <w:r>
        <w:rPr/>
        <w:t>（</w:t>
      </w:r>
      <w:r>
        <w:rPr>
          <w:rFonts w:ascii="宋体" w:hAnsi="宋体" w:cs="宋体" w:eastAsia="宋体" w:hint="default"/>
        </w:rPr>
        <w:t>4</w:t>
      </w:r>
      <w:r>
        <w:rPr/>
        <w:t>）</w:t>
      </w:r>
      <w:r>
        <w:rPr>
          <w:rFonts w:ascii="宋体" w:hAnsi="宋体" w:cs="宋体" w:eastAsia="宋体" w:hint="default"/>
        </w:rPr>
        <w:t>2019</w:t>
      </w:r>
      <w:r>
        <w:rPr>
          <w:rFonts w:ascii="宋体" w:hAnsi="宋体" w:cs="宋体" w:eastAsia="宋体" w:hint="default"/>
          <w:spacing w:val="-42"/>
        </w:rPr>
        <w:t> </w:t>
      </w:r>
      <w:r>
        <w:rPr/>
        <w:t>年</w:t>
      </w:r>
      <w:r>
        <w:rPr>
          <w:spacing w:val="-36"/>
        </w:rPr>
        <w:t> </w:t>
      </w:r>
      <w:r>
        <w:rPr>
          <w:rFonts w:ascii="宋体" w:hAnsi="宋体" w:cs="宋体" w:eastAsia="宋体" w:hint="default"/>
        </w:rPr>
        <w:t>6</w:t>
      </w:r>
      <w:r>
        <w:rPr>
          <w:rFonts w:ascii="宋体" w:hAnsi="宋体" w:cs="宋体" w:eastAsia="宋体" w:hint="default"/>
          <w:spacing w:val="-42"/>
        </w:rPr>
        <w:t> </w:t>
      </w:r>
      <w:r>
        <w:rPr/>
        <w:t>月</w:t>
      </w:r>
      <w:r>
        <w:rPr>
          <w:spacing w:val="-36"/>
        </w:rPr>
        <w:t> </w:t>
      </w:r>
      <w:r>
        <w:rPr>
          <w:rFonts w:ascii="宋体" w:hAnsi="宋体" w:cs="宋体" w:eastAsia="宋体" w:hint="default"/>
        </w:rPr>
        <w:t>28</w:t>
      </w:r>
      <w:r>
        <w:rPr>
          <w:rFonts w:ascii="宋体" w:hAnsi="宋体" w:cs="宋体" w:eastAsia="宋体" w:hint="default"/>
          <w:spacing w:val="-36"/>
        </w:rPr>
        <w:t> </w:t>
      </w:r>
      <w:r>
        <w:rPr/>
        <w:t>日披露《关于控股股东、实际控制人及其一致行动人被动减持股份达到</w:t>
      </w:r>
      <w:r>
        <w:rPr>
          <w:spacing w:val="-33"/>
        </w:rPr>
        <w:t> </w:t>
      </w:r>
      <w:r>
        <w:rPr>
          <w:rFonts w:ascii="宋体" w:hAnsi="宋体" w:cs="宋体" w:eastAsia="宋体" w:hint="default"/>
          <w:spacing w:val="-3"/>
        </w:rPr>
        <w:t>1%</w:t>
      </w:r>
      <w:r>
        <w:rPr>
          <w:spacing w:val="-3"/>
        </w:rPr>
        <w:t>的公</w:t>
      </w:r>
      <w:r>
        <w:rPr>
          <w:spacing w:val="-5"/>
          <w:w w:val="100"/>
        </w:rPr>
        <w:t> </w:t>
      </w:r>
      <w:r>
        <w:rPr/>
        <w:t>告》（公告编号</w:t>
      </w:r>
      <w:r>
        <w:rPr>
          <w:spacing w:val="-47"/>
        </w:rPr>
        <w:t> </w:t>
      </w:r>
      <w:r>
        <w:rPr>
          <w:rFonts w:ascii="宋体" w:hAnsi="宋体" w:cs="宋体" w:eastAsia="宋体" w:hint="default"/>
        </w:rPr>
        <w:t>2019-062</w:t>
      </w:r>
      <w:r>
        <w:rPr/>
        <w:t>）；</w:t>
      </w:r>
    </w:p>
    <w:p>
      <w:pPr>
        <w:pStyle w:val="BodyText"/>
        <w:spacing w:line="408" w:lineRule="auto" w:before="50"/>
        <w:ind w:right="1125" w:firstLine="422"/>
        <w:jc w:val="left"/>
      </w:pPr>
      <w:bookmarkStart w:name="（5）2019年9月11日披露《关于控股股东及一致行动人被动减持公司股份预披露公" w:id="115"/>
      <w:bookmarkEnd w:id="115"/>
      <w:r>
        <w:rPr/>
      </w:r>
      <w:r>
        <w:rPr>
          <w:spacing w:val="-3"/>
        </w:rPr>
        <w:t>（</w:t>
      </w:r>
      <w:r>
        <w:rPr>
          <w:rFonts w:ascii="宋体" w:hAnsi="宋体" w:cs="宋体" w:eastAsia="宋体" w:hint="default"/>
          <w:spacing w:val="-3"/>
        </w:rPr>
        <w:t>5</w:t>
      </w:r>
      <w:r>
        <w:rPr>
          <w:spacing w:val="-3"/>
        </w:rPr>
        <w:t>）</w:t>
      </w:r>
      <w:r>
        <w:rPr>
          <w:rFonts w:ascii="宋体" w:hAnsi="宋体" w:cs="宋体" w:eastAsia="宋体" w:hint="default"/>
          <w:spacing w:val="-3"/>
        </w:rPr>
        <w:t>2019</w:t>
      </w:r>
      <w:r>
        <w:rPr>
          <w:rFonts w:ascii="宋体" w:hAnsi="宋体" w:cs="宋体" w:eastAsia="宋体" w:hint="default"/>
          <w:spacing w:val="-42"/>
        </w:rPr>
        <w:t> </w:t>
      </w:r>
      <w:r>
        <w:rPr/>
        <w:t>年</w:t>
      </w:r>
      <w:r>
        <w:rPr>
          <w:spacing w:val="-47"/>
        </w:rPr>
        <w:t> </w:t>
      </w:r>
      <w:r>
        <w:rPr>
          <w:rFonts w:ascii="宋体" w:hAnsi="宋体" w:cs="宋体" w:eastAsia="宋体" w:hint="default"/>
        </w:rPr>
        <w:t>9</w:t>
      </w:r>
      <w:r>
        <w:rPr>
          <w:rFonts w:ascii="宋体" w:hAnsi="宋体" w:cs="宋体" w:eastAsia="宋体" w:hint="default"/>
          <w:spacing w:val="-42"/>
        </w:rPr>
        <w:t> </w:t>
      </w:r>
      <w:r>
        <w:rPr/>
        <w:t>月</w:t>
      </w:r>
      <w:r>
        <w:rPr>
          <w:spacing w:val="-41"/>
        </w:rPr>
        <w:t> </w:t>
      </w:r>
      <w:r>
        <w:rPr>
          <w:rFonts w:ascii="宋体" w:hAnsi="宋体" w:cs="宋体" w:eastAsia="宋体" w:hint="default"/>
        </w:rPr>
        <w:t>11</w:t>
      </w:r>
      <w:r>
        <w:rPr>
          <w:rFonts w:ascii="宋体" w:hAnsi="宋体" w:cs="宋体" w:eastAsia="宋体" w:hint="default"/>
          <w:spacing w:val="-47"/>
        </w:rPr>
        <w:t> </w:t>
      </w:r>
      <w:r>
        <w:rPr>
          <w:spacing w:val="-3"/>
        </w:rPr>
        <w:t>日披露《关于控股股东及一致行动人被动减持公司股份预披露公告》（公告编号</w:t>
      </w:r>
      <w:r>
        <w:rPr>
          <w:w w:val="100"/>
        </w:rPr>
        <w:t> </w:t>
      </w:r>
      <w:r>
        <w:rPr>
          <w:rFonts w:ascii="宋体" w:hAnsi="宋体" w:cs="宋体" w:eastAsia="宋体" w:hint="default"/>
        </w:rPr>
        <w:t>2019-073</w:t>
      </w:r>
      <w:r>
        <w:rPr/>
        <w:t>）；</w:t>
      </w:r>
    </w:p>
    <w:p>
      <w:pPr>
        <w:pStyle w:val="BodyText"/>
        <w:spacing w:line="405" w:lineRule="auto" w:before="48"/>
        <w:ind w:right="1120" w:firstLine="422"/>
        <w:jc w:val="left"/>
      </w:pPr>
      <w:bookmarkStart w:name="（6）2019年10月25日披露《关于控股股东及实际控制人部分股份被司法拍卖的公" w:id="116"/>
      <w:bookmarkEnd w:id="116"/>
      <w:r>
        <w:rPr/>
      </w:r>
      <w:r>
        <w:rPr/>
        <w:t>（</w:t>
      </w:r>
      <w:r>
        <w:rPr>
          <w:rFonts w:ascii="宋体" w:hAnsi="宋体" w:cs="宋体" w:eastAsia="宋体" w:hint="default"/>
        </w:rPr>
        <w:t>6</w:t>
      </w:r>
      <w:r>
        <w:rPr/>
        <w:t>）</w:t>
      </w:r>
      <w:r>
        <w:rPr>
          <w:rFonts w:ascii="宋体" w:hAnsi="宋体" w:cs="宋体" w:eastAsia="宋体" w:hint="default"/>
        </w:rPr>
        <w:t>2019</w:t>
      </w:r>
      <w:r>
        <w:rPr>
          <w:rFonts w:ascii="宋体" w:hAnsi="宋体" w:cs="宋体" w:eastAsia="宋体" w:hint="default"/>
          <w:spacing w:val="-46"/>
        </w:rPr>
        <w:t> </w:t>
      </w:r>
      <w:r>
        <w:rPr/>
        <w:t>年</w:t>
      </w:r>
      <w:r>
        <w:rPr>
          <w:spacing w:val="-46"/>
        </w:rPr>
        <w:t> </w:t>
      </w:r>
      <w:r>
        <w:rPr>
          <w:rFonts w:ascii="宋体" w:hAnsi="宋体" w:cs="宋体" w:eastAsia="宋体" w:hint="default"/>
        </w:rPr>
        <w:t>10</w:t>
      </w:r>
      <w:r>
        <w:rPr>
          <w:rFonts w:ascii="宋体" w:hAnsi="宋体" w:cs="宋体" w:eastAsia="宋体" w:hint="default"/>
          <w:spacing w:val="-46"/>
        </w:rPr>
        <w:t> </w:t>
      </w:r>
      <w:r>
        <w:rPr/>
        <w:t>月</w:t>
      </w:r>
      <w:r>
        <w:rPr>
          <w:spacing w:val="-45"/>
        </w:rPr>
        <w:t> </w:t>
      </w:r>
      <w:r>
        <w:rPr>
          <w:rFonts w:ascii="宋体" w:hAnsi="宋体" w:cs="宋体" w:eastAsia="宋体" w:hint="default"/>
        </w:rPr>
        <w:t>25</w:t>
      </w:r>
      <w:r>
        <w:rPr>
          <w:rFonts w:ascii="宋体" w:hAnsi="宋体" w:cs="宋体" w:eastAsia="宋体" w:hint="default"/>
          <w:spacing w:val="-46"/>
        </w:rPr>
        <w:t> </w:t>
      </w:r>
      <w:r>
        <w:rPr/>
        <w:t>日披露《关于控股股东及实际控制人部分股份被司法拍卖的公告》（公告编号</w:t>
      </w:r>
      <w:r>
        <w:rPr>
          <w:w w:val="100"/>
        </w:rPr>
        <w:t> </w:t>
      </w:r>
      <w:r>
        <w:rPr>
          <w:rFonts w:ascii="宋体" w:hAnsi="宋体" w:cs="宋体" w:eastAsia="宋体" w:hint="default"/>
        </w:rPr>
        <w:t>2019-081</w:t>
      </w:r>
      <w:r>
        <w:rPr/>
        <w:t>）；</w:t>
      </w:r>
    </w:p>
    <w:p>
      <w:pPr>
        <w:pStyle w:val="BodyText"/>
        <w:spacing w:line="240" w:lineRule="auto" w:before="50"/>
        <w:ind w:left="575" w:right="1024"/>
        <w:jc w:val="left"/>
      </w:pPr>
      <w:bookmarkStart w:name="以上公告详细说明了控股股东、实际控制人及一致行动人因质押违约部分股份被强制处置的" w:id="117"/>
      <w:bookmarkEnd w:id="117"/>
      <w:r>
        <w:rPr/>
      </w:r>
      <w:r>
        <w:rPr/>
        <w:t>以上公告详细说明了控股股东、实际控制人及一致行动人因质押违约部分股份被强制处置的情况。</w:t>
      </w:r>
    </w:p>
    <w:p>
      <w:pPr>
        <w:pStyle w:val="Heading2"/>
        <w:spacing w:line="240" w:lineRule="auto" w:before="165"/>
        <w:ind w:right="1024"/>
        <w:jc w:val="left"/>
        <w:rPr>
          <w:b w:val="0"/>
          <w:bCs w:val="0"/>
        </w:rPr>
      </w:pPr>
      <w:bookmarkStart w:name="十四、公司股权激励计划、员工持股计划或其他员工激励措施的实施情况" w:id="118"/>
      <w:bookmarkEnd w:id="118"/>
      <w:r>
        <w:rPr>
          <w:b w:val="0"/>
          <w:bCs w:val="0"/>
        </w:rPr>
      </w:r>
      <w:r>
        <w:rPr/>
        <w:t>十四、公司股权激励计划、员工持股计划或其他员工激励措施的实施情况</w:t>
      </w:r>
      <w:r>
        <w:rPr>
          <w:b w:val="0"/>
          <w:bCs w:val="0"/>
        </w:rPr>
      </w:r>
    </w:p>
    <w:p>
      <w:pPr>
        <w:pStyle w:val="BodyText"/>
        <w:spacing w:line="240" w:lineRule="auto" w:before="181"/>
        <w:ind w:right="1024"/>
        <w:jc w:val="left"/>
      </w:pPr>
      <w:bookmarkStart w:name="√ 适用 □ 不适用" w:id="119"/>
      <w:bookmarkEnd w:id="119"/>
      <w:r>
        <w:rPr/>
      </w:r>
      <w:r>
        <w:rPr/>
        <w:t>√ 适用 □</w:t>
      </w:r>
      <w:r>
        <w:rPr>
          <w:spacing w:val="4"/>
        </w:rPr>
        <w:t> </w:t>
      </w:r>
      <w:r>
        <w:rPr/>
        <w:t>不适用</w:t>
      </w:r>
    </w:p>
    <w:p>
      <w:pPr>
        <w:spacing w:line="240" w:lineRule="auto" w:before="8"/>
        <w:rPr>
          <w:rFonts w:ascii="宋体" w:hAnsi="宋体" w:cs="宋体" w:eastAsia="宋体" w:hint="default"/>
          <w:sz w:val="14"/>
          <w:szCs w:val="14"/>
        </w:rPr>
      </w:pPr>
    </w:p>
    <w:p>
      <w:pPr>
        <w:pStyle w:val="BodyText"/>
        <w:spacing w:line="240" w:lineRule="auto"/>
        <w:ind w:left="575" w:right="1024"/>
        <w:jc w:val="left"/>
      </w:pPr>
      <w:bookmarkStart w:name="公司于2019年4月19日召开第四届董事会第二次会议和第四届监事会第二次会议，审" w:id="120"/>
      <w:bookmarkEnd w:id="120"/>
      <w:r>
        <w:rPr/>
      </w:r>
      <w:r>
        <w:rPr/>
        <w:t>公司于</w:t>
      </w:r>
      <w:r>
        <w:rPr>
          <w:spacing w:val="-55"/>
        </w:rPr>
        <w:t> </w:t>
      </w:r>
      <w:r>
        <w:rPr>
          <w:rFonts w:ascii="宋体" w:hAnsi="宋体" w:cs="宋体" w:eastAsia="宋体" w:hint="default"/>
        </w:rPr>
        <w:t>2019</w:t>
      </w:r>
      <w:r>
        <w:rPr>
          <w:rFonts w:ascii="宋体" w:hAnsi="宋体" w:cs="宋体" w:eastAsia="宋体" w:hint="default"/>
          <w:spacing w:val="-59"/>
        </w:rPr>
        <w:t> </w:t>
      </w:r>
      <w:r>
        <w:rPr/>
        <w:t>年</w:t>
      </w:r>
      <w:r>
        <w:rPr>
          <w:spacing w:val="-56"/>
        </w:rPr>
        <w:t> </w:t>
      </w:r>
      <w:r>
        <w:rPr>
          <w:rFonts w:ascii="宋体" w:hAnsi="宋体" w:cs="宋体" w:eastAsia="宋体" w:hint="default"/>
        </w:rPr>
        <w:t>4</w:t>
      </w:r>
      <w:r>
        <w:rPr>
          <w:rFonts w:ascii="宋体" w:hAnsi="宋体" w:cs="宋体" w:eastAsia="宋体" w:hint="default"/>
          <w:spacing w:val="-56"/>
        </w:rPr>
        <w:t> </w:t>
      </w:r>
      <w:r>
        <w:rPr/>
        <w:t>月</w:t>
      </w:r>
      <w:r>
        <w:rPr>
          <w:spacing w:val="-55"/>
        </w:rPr>
        <w:t> </w:t>
      </w:r>
      <w:r>
        <w:rPr>
          <w:rFonts w:ascii="宋体" w:hAnsi="宋体" w:cs="宋体" w:eastAsia="宋体" w:hint="default"/>
          <w:spacing w:val="-3"/>
        </w:rPr>
        <w:t>19</w:t>
      </w:r>
      <w:r>
        <w:rPr>
          <w:rFonts w:ascii="宋体" w:hAnsi="宋体" w:cs="宋体" w:eastAsia="宋体" w:hint="default"/>
          <w:spacing w:val="-56"/>
        </w:rPr>
        <w:t> </w:t>
      </w:r>
      <w:r>
        <w:rPr/>
        <w:t>日召开第四届董事会第二次会议和第四届监事会第二次会议，审议通过了《关</w:t>
      </w:r>
    </w:p>
    <w:p>
      <w:pPr>
        <w:spacing w:line="240" w:lineRule="auto" w:before="13"/>
        <w:rPr>
          <w:rFonts w:ascii="宋体" w:hAnsi="宋体" w:cs="宋体" w:eastAsia="宋体" w:hint="default"/>
          <w:sz w:val="14"/>
          <w:szCs w:val="14"/>
        </w:rPr>
      </w:pPr>
    </w:p>
    <w:p>
      <w:pPr>
        <w:pStyle w:val="BodyText"/>
        <w:spacing w:line="240" w:lineRule="auto"/>
        <w:ind w:right="1024"/>
        <w:jc w:val="left"/>
      </w:pPr>
      <w:r>
        <w:rPr/>
        <w:t>于回购注销限制性股票的议案》，鉴于公司 </w:t>
      </w:r>
      <w:r>
        <w:rPr>
          <w:rFonts w:ascii="宋体" w:hAnsi="宋体" w:cs="宋体" w:eastAsia="宋体" w:hint="default"/>
        </w:rPr>
        <w:t>2018</w:t>
      </w:r>
      <w:r>
        <w:rPr>
          <w:rFonts w:ascii="宋体" w:hAnsi="宋体" w:cs="宋体" w:eastAsia="宋体" w:hint="default"/>
          <w:spacing w:val="-18"/>
        </w:rPr>
        <w:t> </w:t>
      </w:r>
      <w:r>
        <w:rPr/>
        <w:t>年度实现的净利润未达到第三个解锁期的业绩指标，根</w:t>
      </w:r>
    </w:p>
    <w:p>
      <w:pPr>
        <w:spacing w:line="240" w:lineRule="auto" w:before="8"/>
        <w:rPr>
          <w:rFonts w:ascii="宋体" w:hAnsi="宋体" w:cs="宋体" w:eastAsia="宋体" w:hint="default"/>
          <w:sz w:val="14"/>
          <w:szCs w:val="14"/>
        </w:rPr>
      </w:pPr>
    </w:p>
    <w:p>
      <w:pPr>
        <w:pStyle w:val="BodyText"/>
        <w:spacing w:line="240" w:lineRule="auto"/>
        <w:ind w:right="1024"/>
        <w:jc w:val="left"/>
      </w:pPr>
      <w:r>
        <w:rPr/>
        <w:t>据公司《限制性股票激励计划（草案）》的规定，第三期已授予尚未解锁的限制性股票 </w:t>
      </w:r>
      <w:r>
        <w:rPr>
          <w:rFonts w:ascii="宋体" w:hAnsi="宋体" w:cs="宋体" w:eastAsia="宋体" w:hint="default"/>
        </w:rPr>
        <w:t>321.3750</w:t>
      </w:r>
      <w:r>
        <w:rPr>
          <w:rFonts w:ascii="宋体" w:hAnsi="宋体" w:cs="宋体" w:eastAsia="宋体" w:hint="default"/>
          <w:spacing w:val="-16"/>
        </w:rPr>
        <w:t> </w:t>
      </w:r>
      <w:r>
        <w:rPr/>
        <w:t>万股将</w:t>
      </w:r>
    </w:p>
    <w:p>
      <w:pPr>
        <w:spacing w:line="240" w:lineRule="auto" w:before="12"/>
        <w:rPr>
          <w:rFonts w:ascii="宋体" w:hAnsi="宋体" w:cs="宋体" w:eastAsia="宋体" w:hint="default"/>
          <w:sz w:val="14"/>
          <w:szCs w:val="14"/>
        </w:rPr>
      </w:pPr>
    </w:p>
    <w:p>
      <w:pPr>
        <w:pStyle w:val="BodyText"/>
        <w:spacing w:line="240" w:lineRule="auto"/>
        <w:ind w:right="1024"/>
        <w:jc w:val="left"/>
      </w:pPr>
      <w:r>
        <w:rPr/>
        <w:t>由公司回购注销，回购价格为</w:t>
      </w:r>
      <w:r>
        <w:rPr>
          <w:spacing w:val="-28"/>
        </w:rPr>
        <w:t> </w:t>
      </w:r>
      <w:r>
        <w:rPr>
          <w:rFonts w:ascii="宋体" w:hAnsi="宋体" w:cs="宋体" w:eastAsia="宋体" w:hint="default"/>
        </w:rPr>
        <w:t>7.78</w:t>
      </w:r>
      <w:r>
        <w:rPr>
          <w:rFonts w:ascii="宋体" w:hAnsi="宋体" w:cs="宋体" w:eastAsia="宋体" w:hint="default"/>
          <w:spacing w:val="-34"/>
        </w:rPr>
        <w:t> </w:t>
      </w:r>
      <w:r>
        <w:rPr/>
        <w:t>元</w:t>
      </w:r>
      <w:r>
        <w:rPr>
          <w:rFonts w:ascii="宋体" w:hAnsi="宋体" w:cs="宋体" w:eastAsia="宋体" w:hint="default"/>
        </w:rPr>
        <w:t>/</w:t>
      </w:r>
      <w:r>
        <w:rPr/>
        <w:t>股，回购总金额为</w:t>
      </w:r>
      <w:r>
        <w:rPr>
          <w:spacing w:val="-29"/>
        </w:rPr>
        <w:t> </w:t>
      </w:r>
      <w:r>
        <w:rPr>
          <w:rFonts w:ascii="宋体" w:hAnsi="宋体" w:cs="宋体" w:eastAsia="宋体" w:hint="default"/>
        </w:rPr>
        <w:t>2,500.2975</w:t>
      </w:r>
      <w:r>
        <w:rPr>
          <w:rFonts w:ascii="宋体" w:hAnsi="宋体" w:cs="宋体" w:eastAsia="宋体" w:hint="default"/>
          <w:spacing w:val="-34"/>
        </w:rPr>
        <w:t> </w:t>
      </w:r>
      <w:r>
        <w:rPr/>
        <w:t>万元，回购资金为公司自有资金。</w:t>
      </w:r>
    </w:p>
    <w:p>
      <w:pPr>
        <w:spacing w:line="240" w:lineRule="auto" w:before="8"/>
        <w:rPr>
          <w:rFonts w:ascii="宋体" w:hAnsi="宋体" w:cs="宋体" w:eastAsia="宋体" w:hint="default"/>
          <w:sz w:val="14"/>
          <w:szCs w:val="14"/>
        </w:rPr>
      </w:pPr>
    </w:p>
    <w:p>
      <w:pPr>
        <w:pStyle w:val="BodyText"/>
        <w:spacing w:line="410" w:lineRule="auto"/>
        <w:ind w:right="1110"/>
        <w:jc w:val="left"/>
      </w:pPr>
      <w:r>
        <w:rPr/>
        <w:t>上述事项已经 </w:t>
      </w:r>
      <w:r>
        <w:rPr>
          <w:rFonts w:ascii="宋体" w:hAnsi="宋体" w:cs="宋体" w:eastAsia="宋体" w:hint="default"/>
        </w:rPr>
        <w:t>2018</w:t>
      </w:r>
      <w:r>
        <w:rPr>
          <w:rFonts w:ascii="宋体" w:hAnsi="宋体" w:cs="宋体" w:eastAsia="宋体" w:hint="default"/>
          <w:spacing w:val="-19"/>
        </w:rPr>
        <w:t> </w:t>
      </w:r>
      <w:r>
        <w:rPr/>
        <w:t>年度股东大会审议批准。截至本报告期末，该回购注销手续尚未完成（具体内容详见</w:t>
      </w:r>
      <w:r>
        <w:rPr>
          <w:w w:val="100"/>
        </w:rPr>
        <w:t> </w:t>
      </w:r>
      <w:r>
        <w:rPr/>
        <w:t>公告</w:t>
      </w:r>
      <w:r>
        <w:rPr>
          <w:spacing w:val="4"/>
        </w:rPr>
        <w:t> </w:t>
      </w:r>
      <w:r>
        <w:rPr>
          <w:rFonts w:ascii="宋体" w:hAnsi="宋体" w:cs="宋体" w:eastAsia="宋体" w:hint="default"/>
        </w:rPr>
        <w:t>2019-043</w:t>
      </w:r>
      <w:r>
        <w:rPr/>
        <w:t>）。</w:t>
      </w:r>
    </w:p>
    <w:p>
      <w:pPr>
        <w:pStyle w:val="Heading2"/>
        <w:spacing w:line="240" w:lineRule="auto" w:before="16"/>
        <w:ind w:right="1024"/>
        <w:jc w:val="left"/>
        <w:rPr>
          <w:b w:val="0"/>
          <w:bCs w:val="0"/>
        </w:rPr>
      </w:pPr>
      <w:bookmarkStart w:name="十五、重大关联交易" w:id="121"/>
      <w:bookmarkEnd w:id="121"/>
      <w:r>
        <w:rPr>
          <w:b w:val="0"/>
          <w:bCs w:val="0"/>
        </w:rPr>
      </w:r>
      <w:r>
        <w:rPr/>
        <w:t>十五、重大关联交易</w:t>
      </w:r>
      <w:r>
        <w:rPr>
          <w:b w:val="0"/>
          <w:bCs w:val="0"/>
        </w:rPr>
      </w:r>
    </w:p>
    <w:p>
      <w:pPr>
        <w:pStyle w:val="Heading4"/>
        <w:spacing w:line="240" w:lineRule="auto" w:before="181"/>
        <w:ind w:right="1024"/>
        <w:jc w:val="left"/>
        <w:rPr>
          <w:b w:val="0"/>
          <w:bCs w:val="0"/>
        </w:rPr>
      </w:pPr>
      <w:bookmarkStart w:name="1、与日常经营相关的关联交易" w:id="122"/>
      <w:bookmarkEnd w:id="122"/>
      <w:r>
        <w:rPr>
          <w:b w:val="0"/>
          <w:bCs w:val="0"/>
        </w:rPr>
      </w:r>
      <w:r>
        <w:rPr>
          <w:rFonts w:ascii="宋体" w:hAnsi="宋体" w:cs="宋体" w:eastAsia="宋体" w:hint="default"/>
        </w:rPr>
        <w:t>1</w:t>
      </w:r>
      <w:r>
        <w:rPr/>
        <w:t>、与日常经营相关的关联交易</w:t>
      </w:r>
      <w:r>
        <w:rPr>
          <w:b w:val="0"/>
          <w:bCs w:val="0"/>
        </w:rPr>
      </w:r>
    </w:p>
    <w:p>
      <w:pPr>
        <w:spacing w:line="240" w:lineRule="auto" w:before="8"/>
        <w:rPr>
          <w:rFonts w:ascii="宋体" w:hAnsi="宋体" w:cs="宋体" w:eastAsia="宋体" w:hint="default"/>
          <w:b/>
          <w:bCs/>
          <w:sz w:val="14"/>
          <w:szCs w:val="14"/>
        </w:rPr>
      </w:pPr>
    </w:p>
    <w:p>
      <w:pPr>
        <w:spacing w:line="410" w:lineRule="auto" w:before="0"/>
        <w:ind w:left="153" w:right="6850" w:firstLine="0"/>
        <w:jc w:val="left"/>
        <w:rPr>
          <w:rFonts w:ascii="宋体" w:hAnsi="宋体" w:cs="宋体" w:eastAsia="宋体" w:hint="default"/>
          <w:sz w:val="21"/>
          <w:szCs w:val="21"/>
        </w:rPr>
      </w:pPr>
      <w:bookmarkStart w:name="□ 适用 √ 不适用" w:id="123"/>
      <w:bookmarkEnd w:id="123"/>
      <w:r>
        <w:rPr/>
      </w: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2、资产或股权收购、出售发生的关联交易" w:id="124"/>
      <w:bookmarkEnd w:id="124"/>
      <w:r>
        <w:rPr>
          <w:rFonts w:ascii="宋体" w:hAnsi="宋体" w:cs="宋体" w:eastAsia="宋体" w:hint="default"/>
          <w:spacing w:val="-101"/>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pStyle w:val="BodyText"/>
        <w:spacing w:line="240" w:lineRule="auto" w:before="41"/>
        <w:ind w:right="1024"/>
        <w:jc w:val="left"/>
      </w:pPr>
      <w:bookmarkStart w:name="□ 适用 √ 不适用" w:id="125"/>
      <w:bookmarkEnd w:id="125"/>
      <w:r>
        <w:rPr/>
      </w:r>
      <w:r>
        <w:rPr/>
        <w:t>□ 适用 √</w:t>
      </w:r>
      <w:r>
        <w:rPr>
          <w:spacing w:val="4"/>
        </w:rPr>
        <w:t> </w:t>
      </w:r>
      <w:r>
        <w:rPr/>
        <w:t>不适用</w:t>
      </w:r>
    </w:p>
    <w:p>
      <w:pPr>
        <w:spacing w:after="0" w:line="240" w:lineRule="auto"/>
        <w:jc w:val="left"/>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Heading4"/>
        <w:spacing w:line="240" w:lineRule="auto"/>
        <w:ind w:right="1024"/>
        <w:jc w:val="left"/>
        <w:rPr>
          <w:b w:val="0"/>
          <w:bCs w:val="0"/>
        </w:rPr>
      </w:pPr>
      <w:bookmarkStart w:name="3、共同对外投资的关联交易" w:id="126"/>
      <w:bookmarkEnd w:id="126"/>
      <w:r>
        <w:rPr>
          <w:b w:val="0"/>
          <w:bCs w:val="0"/>
        </w:rPr>
      </w:r>
      <w:r>
        <w:rPr>
          <w:rFonts w:ascii="宋体" w:hAnsi="宋体" w:cs="宋体" w:eastAsia="宋体" w:hint="default"/>
        </w:rPr>
        <w:t>3</w:t>
      </w:r>
      <w:r>
        <w:rPr/>
        <w:t>、共同对外投资的关联交易</w:t>
      </w:r>
      <w:r>
        <w:rPr>
          <w:b w:val="0"/>
          <w:bCs w:val="0"/>
        </w:rPr>
      </w:r>
    </w:p>
    <w:p>
      <w:pPr>
        <w:spacing w:line="240" w:lineRule="auto" w:before="8"/>
        <w:rPr>
          <w:rFonts w:ascii="宋体" w:hAnsi="宋体" w:cs="宋体" w:eastAsia="宋体" w:hint="default"/>
          <w:b/>
          <w:bCs/>
          <w:sz w:val="14"/>
          <w:szCs w:val="14"/>
        </w:rPr>
      </w:pPr>
    </w:p>
    <w:p>
      <w:pPr>
        <w:spacing w:line="410" w:lineRule="auto" w:before="0"/>
        <w:ind w:left="153" w:right="8747"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4、关联债权债务往来" w:id="127"/>
      <w:bookmarkEnd w:id="127"/>
      <w:r>
        <w:rPr>
          <w:rFonts w:ascii="宋体" w:hAnsi="宋体" w:cs="宋体" w:eastAsia="宋体" w:hint="default"/>
          <w:spacing w:val="-101"/>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410" w:lineRule="auto" w:before="41"/>
        <w:ind w:left="153" w:right="8747"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5、其他重大关联交易" w:id="128"/>
      <w:bookmarkEnd w:id="128"/>
      <w:r>
        <w:rPr>
          <w:rFonts w:ascii="宋体" w:hAnsi="宋体" w:cs="宋体" w:eastAsia="宋体" w:hint="default"/>
          <w:spacing w:val="-101"/>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pStyle w:val="BodyText"/>
        <w:spacing w:line="240" w:lineRule="auto" w:before="41"/>
        <w:ind w:right="1024"/>
        <w:jc w:val="left"/>
      </w:pPr>
      <w:r>
        <w:rPr/>
        <w:t>□ 适用 √</w:t>
      </w:r>
      <w:r>
        <w:rPr>
          <w:spacing w:val="4"/>
        </w:rPr>
        <w:t> </w:t>
      </w:r>
      <w:r>
        <w:rPr/>
        <w:t>不适用</w:t>
      </w:r>
    </w:p>
    <w:p>
      <w:pPr>
        <w:spacing w:line="240" w:lineRule="auto" w:before="7"/>
        <w:rPr>
          <w:rFonts w:ascii="宋体" w:hAnsi="宋体" w:cs="宋体" w:eastAsia="宋体" w:hint="default"/>
          <w:sz w:val="29"/>
          <w:szCs w:val="29"/>
        </w:rPr>
      </w:pPr>
    </w:p>
    <w:p>
      <w:pPr>
        <w:pStyle w:val="Heading2"/>
        <w:spacing w:line="240" w:lineRule="auto"/>
        <w:ind w:right="1024"/>
        <w:jc w:val="left"/>
        <w:rPr>
          <w:b w:val="0"/>
          <w:bCs w:val="0"/>
        </w:rPr>
      </w:pPr>
      <w:bookmarkStart w:name="十六、重大合同及其履行情况" w:id="129"/>
      <w:bookmarkEnd w:id="129"/>
      <w:r>
        <w:rPr>
          <w:b w:val="0"/>
          <w:bCs w:val="0"/>
        </w:rPr>
      </w:r>
      <w:r>
        <w:rPr/>
        <w:t>十六、重大合同及其履行情况</w:t>
      </w:r>
      <w:r>
        <w:rPr>
          <w:b w:val="0"/>
          <w:bCs w:val="0"/>
        </w:rPr>
      </w:r>
    </w:p>
    <w:p>
      <w:pPr>
        <w:spacing w:line="240" w:lineRule="auto" w:before="2"/>
        <w:rPr>
          <w:rFonts w:ascii="宋体" w:hAnsi="宋体" w:cs="宋体" w:eastAsia="宋体" w:hint="default"/>
          <w:b/>
          <w:bCs/>
          <w:sz w:val="31"/>
          <w:szCs w:val="31"/>
        </w:rPr>
      </w:pPr>
    </w:p>
    <w:p>
      <w:pPr>
        <w:pStyle w:val="Heading4"/>
        <w:spacing w:line="240" w:lineRule="auto" w:before="0"/>
        <w:ind w:right="1024"/>
        <w:jc w:val="left"/>
        <w:rPr>
          <w:b w:val="0"/>
          <w:bCs w:val="0"/>
        </w:rPr>
      </w:pPr>
      <w:bookmarkStart w:name="1、托管、承包、租赁事项情况" w:id="130"/>
      <w:bookmarkEnd w:id="130"/>
      <w:r>
        <w:rPr>
          <w:b w:val="0"/>
          <w:bCs w:val="0"/>
        </w:rPr>
      </w:r>
      <w:r>
        <w:rPr>
          <w:rFonts w:ascii="宋体" w:hAnsi="宋体" w:cs="宋体" w:eastAsia="宋体" w:hint="default"/>
        </w:rPr>
        <w:t>1</w:t>
      </w:r>
      <w:r>
        <w:rPr/>
        <w:t>、托管、承包、租赁事项情况</w:t>
      </w:r>
      <w:r>
        <w:rPr>
          <w:b w:val="0"/>
          <w:bCs w:val="0"/>
        </w:rPr>
      </w:r>
    </w:p>
    <w:p>
      <w:pPr>
        <w:spacing w:line="240" w:lineRule="auto" w:before="13"/>
        <w:rPr>
          <w:rFonts w:ascii="宋体" w:hAnsi="宋体" w:cs="宋体" w:eastAsia="宋体" w:hint="default"/>
          <w:b/>
          <w:bCs/>
          <w:sz w:val="14"/>
          <w:szCs w:val="14"/>
        </w:rPr>
      </w:pPr>
    </w:p>
    <w:p>
      <w:pPr>
        <w:pStyle w:val="Heading4"/>
        <w:spacing w:line="240" w:lineRule="auto" w:before="0"/>
        <w:ind w:right="1024"/>
        <w:jc w:val="left"/>
        <w:rPr>
          <w:b w:val="0"/>
          <w:bCs w:val="0"/>
        </w:rPr>
      </w:pPr>
      <w:bookmarkStart w:name="（1）托管情况" w:id="131"/>
      <w:bookmarkEnd w:id="131"/>
      <w:r>
        <w:rPr>
          <w:b w:val="0"/>
          <w:bCs w:val="0"/>
        </w:rPr>
      </w:r>
      <w:r>
        <w:rPr/>
        <w:t>（</w:t>
      </w:r>
      <w:r>
        <w:rPr>
          <w:rFonts w:ascii="宋体" w:hAnsi="宋体" w:cs="宋体" w:eastAsia="宋体" w:hint="default"/>
        </w:rPr>
        <w:t>1</w:t>
      </w:r>
      <w:r>
        <w:rPr/>
        <w:t>）托管情况</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right="1024"/>
        <w:jc w:val="left"/>
      </w:pPr>
      <w:r>
        <w:rPr/>
        <w:t>□ 适用 √</w:t>
      </w:r>
      <w:r>
        <w:rPr>
          <w:spacing w:val="4"/>
        </w:rPr>
        <w:t> </w:t>
      </w:r>
      <w:r>
        <w:rPr/>
        <w:t>不适用</w:t>
      </w:r>
    </w:p>
    <w:p>
      <w:pPr>
        <w:spacing w:line="240" w:lineRule="auto" w:before="12"/>
        <w:rPr>
          <w:rFonts w:ascii="宋体" w:hAnsi="宋体" w:cs="宋体" w:eastAsia="宋体" w:hint="default"/>
          <w:sz w:val="14"/>
          <w:szCs w:val="14"/>
        </w:rPr>
      </w:pPr>
    </w:p>
    <w:p>
      <w:pPr>
        <w:pStyle w:val="Heading4"/>
        <w:spacing w:line="240" w:lineRule="auto" w:before="0"/>
        <w:ind w:right="1024"/>
        <w:jc w:val="left"/>
        <w:rPr>
          <w:b w:val="0"/>
          <w:bCs w:val="0"/>
        </w:rPr>
      </w:pPr>
      <w:bookmarkStart w:name="（2）承包情况" w:id="132"/>
      <w:bookmarkEnd w:id="132"/>
      <w:r>
        <w:rPr>
          <w:b w:val="0"/>
          <w:bCs w:val="0"/>
        </w:rPr>
      </w:r>
      <w:r>
        <w:rPr/>
        <w:t>（</w:t>
      </w:r>
      <w:r>
        <w:rPr>
          <w:rFonts w:ascii="宋体" w:hAnsi="宋体" w:cs="宋体" w:eastAsia="宋体" w:hint="default"/>
        </w:rPr>
        <w:t>2</w:t>
      </w:r>
      <w:r>
        <w:rPr/>
        <w:t>）承包情况</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right="1024"/>
        <w:jc w:val="left"/>
      </w:pPr>
      <w:r>
        <w:rPr/>
        <w:t>□ 适用 √</w:t>
      </w:r>
      <w:r>
        <w:rPr>
          <w:spacing w:val="4"/>
        </w:rPr>
        <w:t> </w:t>
      </w:r>
      <w:r>
        <w:rPr/>
        <w:t>不适用</w:t>
      </w:r>
    </w:p>
    <w:p>
      <w:pPr>
        <w:spacing w:line="240" w:lineRule="auto" w:before="13"/>
        <w:rPr>
          <w:rFonts w:ascii="宋体" w:hAnsi="宋体" w:cs="宋体" w:eastAsia="宋体" w:hint="default"/>
          <w:sz w:val="14"/>
          <w:szCs w:val="14"/>
        </w:rPr>
      </w:pPr>
    </w:p>
    <w:p>
      <w:pPr>
        <w:pStyle w:val="Heading4"/>
        <w:spacing w:line="240" w:lineRule="auto" w:before="0"/>
        <w:ind w:right="1024"/>
        <w:jc w:val="left"/>
        <w:rPr>
          <w:b w:val="0"/>
          <w:bCs w:val="0"/>
        </w:rPr>
      </w:pPr>
      <w:bookmarkStart w:name="（3）租赁情况" w:id="133"/>
      <w:bookmarkEnd w:id="133"/>
      <w:r>
        <w:rPr>
          <w:b w:val="0"/>
          <w:bCs w:val="0"/>
        </w:rPr>
      </w:r>
      <w:r>
        <w:rPr/>
        <w:t>（</w:t>
      </w:r>
      <w:r>
        <w:rPr>
          <w:rFonts w:ascii="宋体" w:hAnsi="宋体" w:cs="宋体" w:eastAsia="宋体" w:hint="default"/>
        </w:rPr>
        <w:t>3</w:t>
      </w:r>
      <w:r>
        <w:rPr/>
        <w:t>）租赁情况</w:t>
      </w:r>
      <w:r>
        <w:rPr>
          <w:b w:val="0"/>
          <w:bCs w:val="0"/>
        </w:rPr>
      </w:r>
    </w:p>
    <w:p>
      <w:pPr>
        <w:spacing w:line="240" w:lineRule="auto" w:before="8"/>
        <w:rPr>
          <w:rFonts w:ascii="宋体" w:hAnsi="宋体" w:cs="宋体" w:eastAsia="宋体" w:hint="default"/>
          <w:b/>
          <w:bCs/>
          <w:sz w:val="14"/>
          <w:szCs w:val="14"/>
        </w:rPr>
      </w:pPr>
    </w:p>
    <w:p>
      <w:pPr>
        <w:spacing w:line="410" w:lineRule="auto" w:before="0"/>
        <w:ind w:left="15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2、重大担保" w:id="134"/>
      <w:bookmarkEnd w:id="134"/>
      <w:r>
        <w:rPr>
          <w:rFonts w:ascii="宋体" w:hAnsi="宋体" w:cs="宋体" w:eastAsia="宋体" w:hint="default"/>
          <w:w w:val="100"/>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pStyle w:val="BodyText"/>
        <w:spacing w:line="240" w:lineRule="auto" w:before="41"/>
        <w:ind w:right="1024"/>
        <w:jc w:val="left"/>
      </w:pPr>
      <w:r>
        <w:rPr/>
        <w:t>√ 适用 □</w:t>
      </w:r>
      <w:r>
        <w:rPr>
          <w:spacing w:val="4"/>
        </w:rPr>
        <w:t> </w:t>
      </w:r>
      <w:r>
        <w:rPr/>
        <w:t>不适用</w:t>
      </w:r>
    </w:p>
    <w:p>
      <w:pPr>
        <w:spacing w:line="240" w:lineRule="auto" w:before="13"/>
        <w:rPr>
          <w:rFonts w:ascii="宋体" w:hAnsi="宋体" w:cs="宋体" w:eastAsia="宋体" w:hint="default"/>
          <w:sz w:val="14"/>
          <w:szCs w:val="14"/>
        </w:rPr>
      </w:pPr>
    </w:p>
    <w:p>
      <w:pPr>
        <w:pStyle w:val="Heading4"/>
        <w:spacing w:line="240" w:lineRule="auto" w:before="0"/>
        <w:ind w:right="1024"/>
        <w:jc w:val="left"/>
        <w:rPr>
          <w:b w:val="0"/>
          <w:bCs w:val="0"/>
        </w:rPr>
      </w:pPr>
      <w:bookmarkStart w:name="（1）担保情况" w:id="135"/>
      <w:bookmarkEnd w:id="135"/>
      <w:r>
        <w:rPr>
          <w:b w:val="0"/>
          <w:bCs w:val="0"/>
        </w:rPr>
      </w:r>
      <w:r>
        <w:rPr/>
        <w:t>（</w:t>
      </w:r>
      <w:r>
        <w:rPr>
          <w:rFonts w:ascii="宋体" w:hAnsi="宋体" w:cs="宋体" w:eastAsia="宋体" w:hint="default"/>
        </w:rPr>
        <w:t>1</w:t>
      </w:r>
      <w:r>
        <w:rPr/>
        <w:t>）担保情况</w:t>
      </w:r>
      <w:r>
        <w:rPr>
          <w:b w:val="0"/>
          <w:bCs w:val="0"/>
        </w:rPr>
      </w:r>
    </w:p>
    <w:p>
      <w:pPr>
        <w:spacing w:line="240" w:lineRule="auto" w:before="0"/>
        <w:rPr>
          <w:rFonts w:ascii="宋体" w:hAnsi="宋体" w:cs="宋体" w:eastAsia="宋体" w:hint="default"/>
          <w:b/>
          <w:bCs/>
          <w:sz w:val="10"/>
          <w:szCs w:val="10"/>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709"/>
        <w:gridCol w:w="1052"/>
        <w:gridCol w:w="797"/>
        <w:gridCol w:w="1719"/>
        <w:gridCol w:w="912"/>
        <w:gridCol w:w="1114"/>
        <w:gridCol w:w="859"/>
        <w:gridCol w:w="744"/>
        <w:gridCol w:w="667"/>
      </w:tblGrid>
      <w:tr>
        <w:trPr>
          <w:trHeight w:val="413" w:hRule="exact"/>
        </w:trPr>
        <w:tc>
          <w:tcPr>
            <w:tcW w:w="9575" w:type="dxa"/>
            <w:gridSpan w:val="9"/>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3"/>
              <w:ind w:left="252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340" w:hRule="exact"/>
        </w:trPr>
        <w:tc>
          <w:tcPr>
            <w:tcW w:w="17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63" w:right="151"/>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307" w:right="118" w:hanging="183"/>
              <w:jc w:val="left"/>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182" w:right="175"/>
              <w:jc w:val="left"/>
              <w:rPr>
                <w:rFonts w:ascii="宋体" w:hAnsi="宋体" w:cs="宋体" w:eastAsia="宋体" w:hint="default"/>
                <w:sz w:val="18"/>
                <w:szCs w:val="18"/>
              </w:rPr>
            </w:pPr>
            <w:r>
              <w:rPr>
                <w:rFonts w:ascii="宋体" w:hAnsi="宋体" w:cs="宋体" w:eastAsia="宋体" w:hint="default"/>
                <w:sz w:val="18"/>
                <w:szCs w:val="18"/>
              </w:rPr>
              <w:t>实际担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保金额</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187" w:right="180"/>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完毕</w:t>
            </w:r>
          </w:p>
        </w:tc>
        <w:tc>
          <w:tcPr>
            <w:tcW w:w="667"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319" w:lineRule="auto" w:before="53"/>
              <w:ind w:left="148" w:right="132"/>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为关</w:t>
            </w:r>
            <w:r>
              <w:rPr>
                <w:rFonts w:ascii="宋体" w:hAnsi="宋体" w:cs="宋体" w:eastAsia="宋体" w:hint="default"/>
                <w:spacing w:val="-86"/>
                <w:sz w:val="18"/>
                <w:szCs w:val="18"/>
              </w:rPr>
              <w:t> </w:t>
            </w:r>
            <w:r>
              <w:rPr>
                <w:rFonts w:ascii="宋体" w:hAnsi="宋体" w:cs="宋体" w:eastAsia="宋体" w:hint="default"/>
                <w:sz w:val="18"/>
                <w:szCs w:val="18"/>
              </w:rPr>
              <w:t>联方</w:t>
            </w:r>
            <w:r>
              <w:rPr>
                <w:rFonts w:ascii="宋体" w:hAnsi="宋体" w:cs="宋体" w:eastAsia="宋体" w:hint="default"/>
                <w:spacing w:val="-86"/>
                <w:sz w:val="18"/>
                <w:szCs w:val="18"/>
              </w:rPr>
              <w:t> </w:t>
            </w:r>
            <w:r>
              <w:rPr>
                <w:rFonts w:ascii="宋体" w:hAnsi="宋体" w:cs="宋体" w:eastAsia="宋体" w:hint="default"/>
                <w:sz w:val="18"/>
                <w:szCs w:val="18"/>
              </w:rPr>
              <w:t>担保</w:t>
            </w:r>
          </w:p>
        </w:tc>
      </w:tr>
      <w:tr>
        <w:trPr>
          <w:trHeight w:val="3179" w:hRule="exact"/>
        </w:trPr>
        <w:tc>
          <w:tcPr>
            <w:tcW w:w="170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21" w:lineRule="auto"/>
              <w:ind w:left="95" w:right="147"/>
              <w:jc w:val="left"/>
              <w:rPr>
                <w:rFonts w:ascii="宋体" w:hAnsi="宋体" w:cs="宋体" w:eastAsia="宋体" w:hint="default"/>
                <w:sz w:val="18"/>
                <w:szCs w:val="18"/>
              </w:rPr>
            </w:pPr>
            <w:r>
              <w:rPr>
                <w:rFonts w:ascii="宋体" w:hAnsi="宋体" w:cs="宋体" w:eastAsia="宋体" w:hint="default"/>
                <w:sz w:val="18"/>
                <w:szCs w:val="18"/>
              </w:rPr>
              <w:t>江苏光一投资管理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有限责任公司</w:t>
            </w:r>
          </w:p>
        </w:tc>
        <w:tc>
          <w:tcPr>
            <w:tcW w:w="10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10</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48" w:right="0"/>
              <w:jc w:val="left"/>
              <w:rPr>
                <w:rFonts w:ascii="宋体" w:hAnsi="宋体" w:cs="宋体" w:eastAsia="宋体" w:hint="default"/>
                <w:sz w:val="18"/>
                <w:szCs w:val="18"/>
              </w:rPr>
            </w:pPr>
            <w:r>
              <w:rPr>
                <w:rFonts w:ascii="宋体"/>
                <w:sz w:val="18"/>
              </w:rPr>
              <w:t>28,800</w:t>
            </w:r>
          </w:p>
        </w:tc>
        <w:tc>
          <w:tcPr>
            <w:tcW w:w="17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63" w:right="0"/>
              <w:jc w:val="left"/>
              <w:rPr>
                <w:rFonts w:ascii="宋体" w:hAnsi="宋体" w:cs="宋体" w:eastAsia="宋体" w:hint="default"/>
                <w:sz w:val="18"/>
                <w:szCs w:val="18"/>
              </w:rPr>
            </w:pPr>
            <w:r>
              <w:rPr>
                <w:rFonts w:ascii="宋体"/>
                <w:sz w:val="18"/>
              </w:rPr>
              <w:t>28,800</w:t>
            </w:r>
          </w:p>
        </w:tc>
        <w:tc>
          <w:tcPr>
            <w:tcW w:w="11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321" w:lineRule="auto"/>
              <w:ind w:left="105" w:right="272"/>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859"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3"/>
              <w:ind w:left="105" w:right="199"/>
              <w:jc w:val="both"/>
              <w:rPr>
                <w:rFonts w:ascii="宋体" w:hAnsi="宋体" w:cs="宋体" w:eastAsia="宋体" w:hint="default"/>
                <w:sz w:val="18"/>
                <w:szCs w:val="18"/>
              </w:rPr>
            </w:pPr>
            <w:r>
              <w:rPr>
                <w:rFonts w:ascii="宋体" w:hAnsi="宋体" w:cs="宋体" w:eastAsia="宋体" w:hint="default"/>
                <w:sz w:val="18"/>
                <w:szCs w:val="18"/>
              </w:rPr>
              <w:t>南京捷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尼瑞科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伙企业</w:t>
            </w:r>
          </w:p>
          <w:p>
            <w:pPr>
              <w:pStyle w:val="TableParagraph"/>
              <w:spacing w:line="319" w:lineRule="auto" w:before="19"/>
              <w:ind w:left="105" w:right="89"/>
              <w:jc w:val="left"/>
              <w:rPr>
                <w:rFonts w:ascii="宋体" w:hAnsi="宋体" w:cs="宋体" w:eastAsia="宋体" w:hint="default"/>
                <w:sz w:val="18"/>
                <w:szCs w:val="18"/>
              </w:rPr>
            </w:pPr>
            <w:r>
              <w:rPr>
                <w:rFonts w:ascii="宋体" w:hAnsi="宋体" w:cs="宋体" w:eastAsia="宋体" w:hint="default"/>
                <w:sz w:val="18"/>
                <w:szCs w:val="18"/>
              </w:rPr>
              <w:t>（有限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0"/>
                <w:w w:val="101"/>
                <w:sz w:val="18"/>
                <w:szCs w:val="18"/>
              </w:rPr>
              <w:t>合伙）成</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立之日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起至回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购协议</w:t>
            </w:r>
          </w:p>
        </w:tc>
        <w:tc>
          <w:tcPr>
            <w:tcW w:w="7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6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709"/>
        <w:gridCol w:w="1052"/>
        <w:gridCol w:w="797"/>
        <w:gridCol w:w="1719"/>
        <w:gridCol w:w="912"/>
        <w:gridCol w:w="1114"/>
        <w:gridCol w:w="859"/>
        <w:gridCol w:w="744"/>
        <w:gridCol w:w="667"/>
      </w:tblGrid>
      <w:tr>
        <w:trPr>
          <w:trHeight w:val="2247" w:hRule="exact"/>
        </w:trPr>
        <w:tc>
          <w:tcPr>
            <w:tcW w:w="1709" w:type="dxa"/>
            <w:tcBorders>
              <w:top w:val="single" w:sz="12" w:space="0" w:color="000000"/>
              <w:left w:val="single" w:sz="12" w:space="0" w:color="000000"/>
              <w:bottom w:val="single" w:sz="4" w:space="0" w:color="000000"/>
              <w:right w:val="single" w:sz="4" w:space="0" w:color="000000"/>
            </w:tcBorders>
          </w:tcPr>
          <w:p>
            <w:pPr/>
          </w:p>
        </w:tc>
        <w:tc>
          <w:tcPr>
            <w:tcW w:w="1052" w:type="dxa"/>
            <w:tcBorders>
              <w:top w:val="single" w:sz="12" w:space="0" w:color="000000"/>
              <w:left w:val="single" w:sz="4" w:space="0" w:color="000000"/>
              <w:bottom w:val="single" w:sz="4" w:space="0" w:color="000000"/>
              <w:right w:val="single" w:sz="4" w:space="0" w:color="000000"/>
            </w:tcBorders>
          </w:tcPr>
          <w:p>
            <w:pPr/>
          </w:p>
        </w:tc>
        <w:tc>
          <w:tcPr>
            <w:tcW w:w="797" w:type="dxa"/>
            <w:tcBorders>
              <w:top w:val="single" w:sz="12" w:space="0" w:color="000000"/>
              <w:left w:val="single" w:sz="4" w:space="0" w:color="000000"/>
              <w:bottom w:val="single" w:sz="4" w:space="0" w:color="000000"/>
              <w:right w:val="single" w:sz="4" w:space="0" w:color="000000"/>
            </w:tcBorders>
          </w:tcPr>
          <w:p>
            <w:pPr/>
          </w:p>
        </w:tc>
        <w:tc>
          <w:tcPr>
            <w:tcW w:w="1719" w:type="dxa"/>
            <w:tcBorders>
              <w:top w:val="single" w:sz="12" w:space="0" w:color="000000"/>
              <w:left w:val="single" w:sz="4" w:space="0" w:color="000000"/>
              <w:bottom w:val="single" w:sz="4" w:space="0" w:color="000000"/>
              <w:right w:val="single" w:sz="4" w:space="0" w:color="000000"/>
            </w:tcBorders>
          </w:tcPr>
          <w:p>
            <w:pPr/>
          </w:p>
        </w:tc>
        <w:tc>
          <w:tcPr>
            <w:tcW w:w="912" w:type="dxa"/>
            <w:tcBorders>
              <w:top w:val="single" w:sz="12" w:space="0" w:color="000000"/>
              <w:left w:val="single" w:sz="4" w:space="0" w:color="000000"/>
              <w:bottom w:val="single" w:sz="4" w:space="0" w:color="000000"/>
              <w:right w:val="single" w:sz="4" w:space="0" w:color="000000"/>
            </w:tcBorders>
          </w:tcPr>
          <w:p>
            <w:pPr/>
          </w:p>
        </w:tc>
        <w:tc>
          <w:tcPr>
            <w:tcW w:w="1114" w:type="dxa"/>
            <w:tcBorders>
              <w:top w:val="single" w:sz="12" w:space="0" w:color="000000"/>
              <w:left w:val="single" w:sz="4" w:space="0" w:color="000000"/>
              <w:bottom w:val="single" w:sz="4" w:space="0" w:color="000000"/>
              <w:right w:val="single" w:sz="4" w:space="0" w:color="000000"/>
            </w:tcBorders>
          </w:tcPr>
          <w:p>
            <w:pPr/>
          </w:p>
        </w:tc>
        <w:tc>
          <w:tcPr>
            <w:tcW w:w="859" w:type="dxa"/>
            <w:tcBorders>
              <w:top w:val="single" w:sz="12" w:space="0" w:color="000000"/>
              <w:left w:val="single" w:sz="4" w:space="0" w:color="000000"/>
              <w:bottom w:val="single" w:sz="4" w:space="0" w:color="000000"/>
              <w:right w:val="single" w:sz="4" w:space="0" w:color="000000"/>
            </w:tcBorders>
          </w:tcPr>
          <w:p>
            <w:pPr>
              <w:pStyle w:val="TableParagraph"/>
              <w:spacing w:line="319" w:lineRule="auto" w:before="10"/>
              <w:ind w:left="105" w:right="199"/>
              <w:jc w:val="both"/>
              <w:rPr>
                <w:rFonts w:ascii="宋体" w:hAnsi="宋体" w:cs="宋体" w:eastAsia="宋体" w:hint="default"/>
                <w:sz w:val="18"/>
                <w:szCs w:val="18"/>
              </w:rPr>
            </w:pPr>
            <w:r>
              <w:rPr>
                <w:rFonts w:ascii="宋体" w:hAnsi="宋体" w:cs="宋体" w:eastAsia="宋体" w:hint="default"/>
                <w:sz w:val="18"/>
                <w:szCs w:val="18"/>
              </w:rPr>
              <w:t>项下光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应履行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回购义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务之日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起的</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87"/>
                <w:sz w:val="18"/>
                <w:szCs w:val="18"/>
              </w:rPr>
              <w:t> </w:t>
            </w:r>
            <w:r>
              <w:rPr>
                <w:rFonts w:ascii="宋体" w:hAnsi="宋体" w:cs="宋体" w:eastAsia="宋体" w:hint="default"/>
                <w:sz w:val="18"/>
                <w:szCs w:val="18"/>
              </w:rPr>
              <w:t>年</w:t>
            </w:r>
          </w:p>
        </w:tc>
        <w:tc>
          <w:tcPr>
            <w:tcW w:w="744" w:type="dxa"/>
            <w:tcBorders>
              <w:top w:val="single" w:sz="12" w:space="0" w:color="000000"/>
              <w:left w:val="single" w:sz="4" w:space="0" w:color="000000"/>
              <w:bottom w:val="single" w:sz="4" w:space="0" w:color="000000"/>
              <w:right w:val="single" w:sz="4" w:space="0" w:color="000000"/>
            </w:tcBorders>
          </w:tcPr>
          <w:p>
            <w:pPr/>
          </w:p>
        </w:tc>
        <w:tc>
          <w:tcPr>
            <w:tcW w:w="667" w:type="dxa"/>
            <w:tcBorders>
              <w:top w:val="single" w:sz="12" w:space="0" w:color="000000"/>
              <w:left w:val="single" w:sz="4" w:space="0" w:color="000000"/>
              <w:bottom w:val="single" w:sz="4" w:space="0" w:color="000000"/>
              <w:right w:val="single" w:sz="12" w:space="0" w:color="000000"/>
            </w:tcBorders>
          </w:tcPr>
          <w:p>
            <w:pPr/>
          </w:p>
        </w:tc>
      </w:tr>
      <w:tr>
        <w:trPr>
          <w:trHeight w:val="2583"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2" w:lineRule="auto"/>
              <w:ind w:left="95" w:right="147"/>
              <w:jc w:val="left"/>
              <w:rPr>
                <w:rFonts w:ascii="宋体" w:hAnsi="宋体" w:cs="宋体" w:eastAsia="宋体" w:hint="default"/>
                <w:sz w:val="18"/>
                <w:szCs w:val="18"/>
              </w:rPr>
            </w:pPr>
            <w:r>
              <w:rPr>
                <w:rFonts w:ascii="宋体" w:hAnsi="宋体" w:cs="宋体" w:eastAsia="宋体" w:hint="default"/>
                <w:sz w:val="18"/>
                <w:szCs w:val="18"/>
              </w:rPr>
              <w:t>无锡金投领航产业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升级并购投资企业</w:t>
            </w:r>
          </w:p>
          <w:p>
            <w:pPr>
              <w:pStyle w:val="TableParagraph"/>
              <w:spacing w:line="240" w:lineRule="auto" w:before="27"/>
              <w:ind w:left="95"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02</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94"/>
              <w:jc w:val="right"/>
              <w:rPr>
                <w:rFonts w:ascii="宋体" w:hAnsi="宋体" w:cs="宋体" w:eastAsia="宋体" w:hint="default"/>
                <w:sz w:val="18"/>
                <w:szCs w:val="18"/>
              </w:rPr>
            </w:pPr>
            <w:r>
              <w:rPr>
                <w:rFonts w:ascii="宋体"/>
                <w:spacing w:val="-1"/>
                <w:sz w:val="18"/>
              </w:rPr>
              <w:t>29,386</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94"/>
              <w:jc w:val="right"/>
              <w:rPr>
                <w:rFonts w:ascii="宋体" w:hAnsi="宋体" w:cs="宋体" w:eastAsia="宋体" w:hint="default"/>
                <w:sz w:val="18"/>
                <w:szCs w:val="18"/>
              </w:rPr>
            </w:pPr>
            <w:r>
              <w:rPr>
                <w:rFonts w:ascii="宋体"/>
                <w:spacing w:val="-1"/>
                <w:sz w:val="18"/>
              </w:rPr>
              <w:t>29,386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105" w:right="272"/>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89"/>
              <w:jc w:val="left"/>
              <w:rPr>
                <w:rFonts w:ascii="宋体" w:hAnsi="宋体" w:cs="宋体" w:eastAsia="宋体" w:hint="default"/>
                <w:sz w:val="18"/>
                <w:szCs w:val="18"/>
              </w:rPr>
            </w:pPr>
            <w:r>
              <w:rPr>
                <w:rFonts w:ascii="宋体" w:hAnsi="宋体" w:cs="宋体" w:eastAsia="宋体" w:hint="default"/>
                <w:sz w:val="18"/>
                <w:szCs w:val="18"/>
              </w:rPr>
              <w:t>南京领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航光一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合伙企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0"/>
                <w:w w:val="101"/>
                <w:sz w:val="18"/>
                <w:szCs w:val="18"/>
              </w:rPr>
              <w:t>业（有限</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pacing w:val="-20"/>
                <w:w w:val="101"/>
                <w:sz w:val="18"/>
                <w:szCs w:val="18"/>
              </w:rPr>
              <w:t>合伙）存</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续期内</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2761"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18"/>
              <w:jc w:val="left"/>
              <w:rPr>
                <w:rFonts w:ascii="宋体" w:hAnsi="宋体" w:cs="宋体" w:eastAsia="宋体" w:hint="default"/>
                <w:sz w:val="18"/>
                <w:szCs w:val="18"/>
              </w:rPr>
            </w:pPr>
            <w:r>
              <w:rPr>
                <w:rFonts w:ascii="宋体" w:hAnsi="宋体" w:cs="宋体" w:eastAsia="宋体" w:hint="default"/>
                <w:spacing w:val="-3"/>
                <w:sz w:val="18"/>
                <w:szCs w:val="18"/>
              </w:rPr>
              <w:t>报告期内审批的对外担保额度合</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计（</w:t>
            </w:r>
            <w:r>
              <w:rPr>
                <w:rFonts w:ascii="宋体" w:hAnsi="宋体" w:cs="宋体" w:eastAsia="宋体" w:hint="default"/>
                <w:sz w:val="18"/>
                <w:szCs w:val="18"/>
              </w:rPr>
              <w:t>A1</w:t>
            </w:r>
            <w:r>
              <w:rPr>
                <w:rFonts w:ascii="宋体" w:hAnsi="宋体" w:cs="宋体" w:eastAsia="宋体" w:hint="default"/>
                <w:sz w:val="18"/>
                <w:szCs w:val="18"/>
              </w:rPr>
              <w:t>）</w:t>
            </w:r>
          </w:p>
        </w:tc>
        <w:tc>
          <w:tcPr>
            <w:tcW w:w="2516" w:type="dxa"/>
            <w:gridSpan w:val="2"/>
            <w:tcBorders>
              <w:top w:val="single" w:sz="4" w:space="0" w:color="000000"/>
              <w:left w:val="single" w:sz="4" w:space="0" w:color="000000"/>
              <w:bottom w:val="single" w:sz="4" w:space="0" w:color="000000"/>
              <w:right w:val="single" w:sz="4" w:space="0" w:color="000000"/>
            </w:tcBorders>
          </w:tcPr>
          <w:p>
            <w:pPr/>
          </w:p>
        </w:tc>
        <w:tc>
          <w:tcPr>
            <w:tcW w:w="20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04"/>
              <w:jc w:val="left"/>
              <w:rPr>
                <w:rFonts w:ascii="宋体" w:hAnsi="宋体" w:cs="宋体" w:eastAsia="宋体" w:hint="default"/>
                <w:sz w:val="18"/>
                <w:szCs w:val="18"/>
              </w:rPr>
            </w:pPr>
            <w:r>
              <w:rPr>
                <w:rFonts w:ascii="宋体" w:hAnsi="宋体" w:cs="宋体" w:eastAsia="宋体" w:hint="default"/>
                <w:spacing w:val="-2"/>
                <w:sz w:val="18"/>
                <w:szCs w:val="18"/>
              </w:rPr>
              <w:t>报告期内对外担保实际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发生额合计（</w:t>
            </w:r>
            <w:r>
              <w:rPr>
                <w:rFonts w:ascii="宋体" w:hAnsi="宋体" w:cs="宋体" w:eastAsia="宋体" w:hint="default"/>
                <w:sz w:val="18"/>
                <w:szCs w:val="18"/>
              </w:rPr>
              <w:t>A2</w:t>
            </w:r>
            <w:r>
              <w:rPr>
                <w:rFonts w:ascii="宋体" w:hAnsi="宋体" w:cs="宋体" w:eastAsia="宋体" w:hint="default"/>
                <w:sz w:val="18"/>
                <w:szCs w:val="18"/>
              </w:rPr>
              <w:t>）</w:t>
            </w:r>
          </w:p>
        </w:tc>
        <w:tc>
          <w:tcPr>
            <w:tcW w:w="2271" w:type="dxa"/>
            <w:gridSpan w:val="3"/>
            <w:tcBorders>
              <w:top w:val="single" w:sz="4" w:space="0" w:color="000000"/>
              <w:left w:val="single" w:sz="4" w:space="0" w:color="000000"/>
              <w:bottom w:val="single" w:sz="4" w:space="0" w:color="000000"/>
              <w:right w:val="single" w:sz="12" w:space="0" w:color="000000"/>
            </w:tcBorders>
          </w:tcPr>
          <w:p>
            <w:pPr/>
          </w:p>
        </w:tc>
      </w:tr>
      <w:tr>
        <w:trPr>
          <w:trHeight w:val="720" w:hRule="exact"/>
        </w:trPr>
        <w:tc>
          <w:tcPr>
            <w:tcW w:w="2761"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5" w:right="118"/>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报告期末已审批的对外担保额度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宋体" w:hAnsi="宋体" w:cs="宋体" w:eastAsia="宋体" w:hint="default"/>
                <w:sz w:val="18"/>
                <w:szCs w:val="18"/>
              </w:rPr>
              <w:t>A3</w:t>
            </w:r>
            <w:r>
              <w:rPr>
                <w:rFonts w:ascii="宋体" w:hAnsi="宋体" w:cs="宋体" w:eastAsia="宋体" w:hint="default"/>
                <w:sz w:val="18"/>
                <w:szCs w:val="18"/>
              </w:rPr>
              <w:t>）</w:t>
            </w:r>
          </w:p>
        </w:tc>
        <w:tc>
          <w:tcPr>
            <w:tcW w:w="2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58,186</w:t>
            </w:r>
          </w:p>
        </w:tc>
        <w:tc>
          <w:tcPr>
            <w:tcW w:w="20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04"/>
              <w:jc w:val="left"/>
              <w:rPr>
                <w:rFonts w:ascii="宋体" w:hAnsi="宋体" w:cs="宋体" w:eastAsia="宋体" w:hint="default"/>
                <w:sz w:val="18"/>
                <w:szCs w:val="18"/>
              </w:rPr>
            </w:pPr>
            <w:r>
              <w:rPr>
                <w:rFonts w:ascii="宋体" w:hAnsi="宋体" w:cs="宋体" w:eastAsia="宋体" w:hint="default"/>
                <w:spacing w:val="-2"/>
                <w:sz w:val="18"/>
                <w:szCs w:val="18"/>
              </w:rPr>
              <w:t>报告期末实际对外担保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余额合计（</w:t>
            </w:r>
            <w:r>
              <w:rPr>
                <w:rFonts w:ascii="宋体" w:hAnsi="宋体" w:cs="宋体" w:eastAsia="宋体" w:hint="default"/>
                <w:sz w:val="18"/>
                <w:szCs w:val="18"/>
              </w:rPr>
              <w:t>A4</w:t>
            </w:r>
            <w:r>
              <w:rPr>
                <w:rFonts w:ascii="宋体" w:hAnsi="宋体" w:cs="宋体" w:eastAsia="宋体" w:hint="default"/>
                <w:sz w:val="18"/>
                <w:szCs w:val="18"/>
              </w:rPr>
              <w:t>）</w:t>
            </w:r>
          </w:p>
        </w:tc>
        <w:tc>
          <w:tcPr>
            <w:tcW w:w="2271"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79"/>
              <w:jc w:val="right"/>
              <w:rPr>
                <w:rFonts w:ascii="宋体" w:hAnsi="宋体" w:cs="宋体" w:eastAsia="宋体" w:hint="default"/>
                <w:sz w:val="18"/>
                <w:szCs w:val="18"/>
              </w:rPr>
            </w:pPr>
            <w:r>
              <w:rPr>
                <w:rFonts w:ascii="宋体"/>
                <w:spacing w:val="-1"/>
                <w:sz w:val="18"/>
              </w:rPr>
              <w:t>58,186</w:t>
            </w:r>
          </w:p>
        </w:tc>
      </w:tr>
      <w:tr>
        <w:trPr>
          <w:trHeight w:val="398" w:hRule="exact"/>
        </w:trPr>
        <w:tc>
          <w:tcPr>
            <w:tcW w:w="9575" w:type="dxa"/>
            <w:gridSpan w:val="9"/>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335" w:hRule="exact"/>
        </w:trPr>
        <w:tc>
          <w:tcPr>
            <w:tcW w:w="17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0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63" w:right="151"/>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307" w:right="118" w:hanging="183"/>
              <w:jc w:val="left"/>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9"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82" w:right="175"/>
              <w:jc w:val="left"/>
              <w:rPr>
                <w:rFonts w:ascii="宋体" w:hAnsi="宋体" w:cs="宋体" w:eastAsia="宋体" w:hint="default"/>
                <w:sz w:val="18"/>
                <w:szCs w:val="18"/>
              </w:rPr>
            </w:pPr>
            <w:r>
              <w:rPr>
                <w:rFonts w:ascii="宋体" w:hAnsi="宋体" w:cs="宋体" w:eastAsia="宋体" w:hint="default"/>
                <w:sz w:val="18"/>
                <w:szCs w:val="18"/>
              </w:rPr>
              <w:t>实际担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保金额</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91"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5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87" w:right="180"/>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完毕</w:t>
            </w:r>
          </w:p>
        </w:tc>
        <w:tc>
          <w:tcPr>
            <w:tcW w:w="667"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319" w:lineRule="auto" w:before="53"/>
              <w:ind w:left="148" w:right="132"/>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为关</w:t>
            </w:r>
            <w:r>
              <w:rPr>
                <w:rFonts w:ascii="宋体" w:hAnsi="宋体" w:cs="宋体" w:eastAsia="宋体" w:hint="default"/>
                <w:spacing w:val="-86"/>
                <w:sz w:val="18"/>
                <w:szCs w:val="18"/>
              </w:rPr>
              <w:t> </w:t>
            </w:r>
            <w:r>
              <w:rPr>
                <w:rFonts w:ascii="宋体" w:hAnsi="宋体" w:cs="宋体" w:eastAsia="宋体" w:hint="default"/>
                <w:sz w:val="18"/>
                <w:szCs w:val="18"/>
              </w:rPr>
              <w:t>联方</w:t>
            </w:r>
            <w:r>
              <w:rPr>
                <w:rFonts w:ascii="宋体" w:hAnsi="宋体" w:cs="宋体" w:eastAsia="宋体" w:hint="default"/>
                <w:spacing w:val="-86"/>
                <w:sz w:val="18"/>
                <w:szCs w:val="18"/>
              </w:rPr>
              <w:t> </w:t>
            </w:r>
            <w:r>
              <w:rPr>
                <w:rFonts w:ascii="宋体" w:hAnsi="宋体" w:cs="宋体" w:eastAsia="宋体" w:hint="default"/>
                <w:sz w:val="18"/>
                <w:szCs w:val="18"/>
              </w:rPr>
              <w:t>担保</w:t>
            </w:r>
          </w:p>
        </w:tc>
      </w:tr>
      <w:tr>
        <w:trPr>
          <w:trHeight w:val="715"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21" w:lineRule="auto" w:before="53"/>
              <w:ind w:left="95" w:right="147"/>
              <w:jc w:val="left"/>
              <w:rPr>
                <w:rFonts w:ascii="宋体" w:hAnsi="宋体" w:cs="宋体" w:eastAsia="宋体" w:hint="default"/>
                <w:sz w:val="18"/>
                <w:szCs w:val="18"/>
              </w:rPr>
            </w:pPr>
            <w:r>
              <w:rPr>
                <w:rFonts w:ascii="宋体" w:hAnsi="宋体" w:cs="宋体" w:eastAsia="宋体" w:hint="default"/>
                <w:sz w:val="18"/>
                <w:szCs w:val="18"/>
              </w:rPr>
              <w:t>江苏其厚智能电气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04</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z w:val="18"/>
              </w:rPr>
              <w:t>3,000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宋体" w:hAnsi="宋体" w:cs="宋体" w:eastAsia="宋体" w:hint="default"/>
                <w:sz w:val="18"/>
                <w:szCs w:val="18"/>
              </w:rPr>
            </w:pPr>
            <w:r>
              <w:rPr>
                <w:rFonts w:ascii="宋体"/>
                <w:sz w:val="18"/>
              </w:rPr>
              <w:t>450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72"/>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47"/>
              <w:jc w:val="left"/>
              <w:rPr>
                <w:rFonts w:ascii="宋体" w:hAnsi="宋体" w:cs="宋体" w:eastAsia="宋体" w:hint="default"/>
                <w:sz w:val="18"/>
                <w:szCs w:val="18"/>
              </w:rPr>
            </w:pPr>
            <w:r>
              <w:rPr>
                <w:rFonts w:ascii="宋体" w:hAnsi="宋体" w:cs="宋体" w:eastAsia="宋体" w:hint="default"/>
                <w:sz w:val="18"/>
                <w:szCs w:val="18"/>
              </w:rPr>
              <w:t>江苏其厚智能电气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04</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z w:val="18"/>
              </w:rPr>
              <w:t>2,000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宋体" w:hAnsi="宋体" w:cs="宋体" w:eastAsia="宋体" w:hint="default"/>
                <w:sz w:val="18"/>
                <w:szCs w:val="18"/>
              </w:rPr>
            </w:pPr>
            <w:r>
              <w:rPr>
                <w:rFonts w:ascii="宋体"/>
                <w:sz w:val="18"/>
              </w:rPr>
              <w:t>470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72"/>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4"/>
              <w:ind w:left="95" w:right="147"/>
              <w:jc w:val="left"/>
              <w:rPr>
                <w:rFonts w:ascii="宋体" w:hAnsi="宋体" w:cs="宋体" w:eastAsia="宋体" w:hint="default"/>
                <w:sz w:val="18"/>
                <w:szCs w:val="18"/>
              </w:rPr>
            </w:pPr>
            <w:r>
              <w:rPr>
                <w:rFonts w:ascii="宋体" w:hAnsi="宋体" w:cs="宋体" w:eastAsia="宋体" w:hint="default"/>
                <w:sz w:val="18"/>
                <w:szCs w:val="18"/>
              </w:rPr>
              <w:t>江苏其厚智能电气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04</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z w:val="18"/>
              </w:rPr>
              <w:t>3,000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z w:val="18"/>
              </w:rPr>
              <w:t>1,000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272"/>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47"/>
              <w:jc w:val="left"/>
              <w:rPr>
                <w:rFonts w:ascii="宋体" w:hAnsi="宋体" w:cs="宋体" w:eastAsia="宋体" w:hint="default"/>
                <w:sz w:val="18"/>
                <w:szCs w:val="18"/>
              </w:rPr>
            </w:pPr>
            <w:r>
              <w:rPr>
                <w:rFonts w:ascii="宋体" w:hAnsi="宋体" w:cs="宋体" w:eastAsia="宋体" w:hint="default"/>
                <w:sz w:val="18"/>
                <w:szCs w:val="18"/>
              </w:rPr>
              <w:t>江苏其厚智能电气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04</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z w:val="18"/>
              </w:rPr>
              <w:t>2,000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宋体" w:hAnsi="宋体" w:cs="宋体" w:eastAsia="宋体" w:hint="default"/>
                <w:sz w:val="18"/>
                <w:szCs w:val="18"/>
              </w:rPr>
            </w:pPr>
            <w:r>
              <w:rPr>
                <w:rFonts w:ascii="宋体"/>
                <w:sz w:val="18"/>
              </w:rPr>
              <w:t>500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72"/>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24" w:lineRule="auto" w:before="53"/>
              <w:ind w:left="95" w:right="147"/>
              <w:jc w:val="left"/>
              <w:rPr>
                <w:rFonts w:ascii="宋体" w:hAnsi="宋体" w:cs="宋体" w:eastAsia="宋体" w:hint="default"/>
                <w:sz w:val="18"/>
                <w:szCs w:val="18"/>
              </w:rPr>
            </w:pPr>
            <w:r>
              <w:rPr>
                <w:rFonts w:ascii="宋体" w:hAnsi="宋体" w:cs="宋体" w:eastAsia="宋体" w:hint="default"/>
                <w:sz w:val="18"/>
                <w:szCs w:val="18"/>
              </w:rPr>
              <w:t>江苏其厚智能电气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04</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z w:val="18"/>
              </w:rPr>
              <w:t>2,000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宋体" w:hAnsi="宋体" w:cs="宋体" w:eastAsia="宋体" w:hint="default"/>
                <w:sz w:val="18"/>
                <w:szCs w:val="18"/>
              </w:rPr>
            </w:pPr>
            <w:r>
              <w:rPr>
                <w:rFonts w:ascii="宋体"/>
                <w:sz w:val="18"/>
              </w:rPr>
              <w:t>500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272"/>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47"/>
              <w:jc w:val="left"/>
              <w:rPr>
                <w:rFonts w:ascii="宋体" w:hAnsi="宋体" w:cs="宋体" w:eastAsia="宋体" w:hint="default"/>
                <w:sz w:val="18"/>
                <w:szCs w:val="18"/>
              </w:rPr>
            </w:pPr>
            <w:r>
              <w:rPr>
                <w:rFonts w:ascii="宋体" w:hAnsi="宋体" w:cs="宋体" w:eastAsia="宋体" w:hint="default"/>
                <w:sz w:val="18"/>
                <w:szCs w:val="18"/>
              </w:rPr>
              <w:t>江苏其厚智能电气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10</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z w:val="18"/>
              </w:rPr>
              <w:t>2,000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z w:val="18"/>
              </w:rPr>
              <w:t>1,000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72"/>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5" w:right="147"/>
              <w:jc w:val="left"/>
              <w:rPr>
                <w:rFonts w:ascii="宋体" w:hAnsi="宋体" w:cs="宋体" w:eastAsia="宋体" w:hint="default"/>
                <w:sz w:val="18"/>
                <w:szCs w:val="18"/>
              </w:rPr>
            </w:pPr>
            <w:r>
              <w:rPr>
                <w:rFonts w:ascii="宋体" w:hAnsi="宋体" w:cs="宋体" w:eastAsia="宋体" w:hint="default"/>
                <w:sz w:val="18"/>
                <w:szCs w:val="18"/>
              </w:rPr>
              <w:t>江苏其厚智能电气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04</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z w:val="18"/>
              </w:rPr>
              <w:t>5,000</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宋体" w:hAnsi="宋体" w:cs="宋体" w:eastAsia="宋体" w:hint="default"/>
                <w:sz w:val="18"/>
                <w:szCs w:val="18"/>
              </w:rPr>
            </w:pPr>
            <w:r>
              <w:rPr>
                <w:rFonts w:ascii="宋体"/>
                <w:sz w:val="18"/>
              </w:rPr>
              <w:t>500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72"/>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25" w:hRule="exact"/>
        </w:trPr>
        <w:tc>
          <w:tcPr>
            <w:tcW w:w="1709"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3"/>
              <w:ind w:left="95" w:right="147"/>
              <w:jc w:val="left"/>
              <w:rPr>
                <w:rFonts w:ascii="宋体" w:hAnsi="宋体" w:cs="宋体" w:eastAsia="宋体" w:hint="default"/>
                <w:sz w:val="18"/>
                <w:szCs w:val="18"/>
              </w:rPr>
            </w:pPr>
            <w:r>
              <w:rPr>
                <w:rFonts w:ascii="宋体" w:hAnsi="宋体" w:cs="宋体" w:eastAsia="宋体" w:hint="default"/>
                <w:sz w:val="18"/>
                <w:szCs w:val="18"/>
              </w:rPr>
              <w:t>江苏其厚智能电气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设备有限公司</w:t>
            </w:r>
          </w:p>
        </w:tc>
        <w:tc>
          <w:tcPr>
            <w:tcW w:w="10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04</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z w:val="18"/>
              </w:rPr>
              <w:t>5,000</w:t>
            </w:r>
          </w:p>
        </w:tc>
        <w:tc>
          <w:tcPr>
            <w:tcW w:w="17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9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宋体" w:hAnsi="宋体" w:cs="宋体" w:eastAsia="宋体" w:hint="default"/>
                <w:sz w:val="18"/>
                <w:szCs w:val="18"/>
              </w:rPr>
            </w:pPr>
            <w:r>
              <w:rPr>
                <w:rFonts w:ascii="宋体"/>
                <w:sz w:val="18"/>
              </w:rPr>
              <w:t>500</w:t>
            </w:r>
          </w:p>
        </w:tc>
        <w:tc>
          <w:tcPr>
            <w:tcW w:w="1114"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3"/>
              <w:ind w:left="105" w:right="272"/>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8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6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709"/>
        <w:gridCol w:w="1052"/>
        <w:gridCol w:w="790"/>
        <w:gridCol w:w="1726"/>
        <w:gridCol w:w="624"/>
        <w:gridCol w:w="288"/>
        <w:gridCol w:w="1114"/>
        <w:gridCol w:w="859"/>
        <w:gridCol w:w="744"/>
        <w:gridCol w:w="667"/>
      </w:tblGrid>
      <w:tr>
        <w:trPr>
          <w:trHeight w:val="725" w:hRule="exact"/>
        </w:trPr>
        <w:tc>
          <w:tcPr>
            <w:tcW w:w="1709" w:type="dxa"/>
            <w:tcBorders>
              <w:top w:val="single" w:sz="12" w:space="0" w:color="000000"/>
              <w:left w:val="single" w:sz="12" w:space="0" w:color="000000"/>
              <w:bottom w:val="single" w:sz="4" w:space="0" w:color="000000"/>
              <w:right w:val="single" w:sz="4" w:space="0" w:color="000000"/>
            </w:tcBorders>
          </w:tcPr>
          <w:p>
            <w:pPr>
              <w:pStyle w:val="TableParagraph"/>
              <w:spacing w:line="321" w:lineRule="auto" w:before="53"/>
              <w:ind w:left="95" w:right="147"/>
              <w:jc w:val="left"/>
              <w:rPr>
                <w:rFonts w:ascii="宋体" w:hAnsi="宋体" w:cs="宋体" w:eastAsia="宋体" w:hint="default"/>
                <w:sz w:val="18"/>
                <w:szCs w:val="18"/>
              </w:rPr>
            </w:pPr>
            <w:r>
              <w:rPr>
                <w:rFonts w:ascii="宋体" w:hAnsi="宋体" w:cs="宋体" w:eastAsia="宋体" w:hint="default"/>
                <w:sz w:val="18"/>
                <w:szCs w:val="18"/>
              </w:rPr>
              <w:t>江苏其厚智能电气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设备有限公司</w:t>
            </w:r>
          </w:p>
        </w:tc>
        <w:tc>
          <w:tcPr>
            <w:tcW w:w="10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04</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7"/>
              <w:jc w:val="right"/>
              <w:rPr>
                <w:rFonts w:ascii="宋体" w:hAnsi="宋体" w:cs="宋体" w:eastAsia="宋体" w:hint="default"/>
                <w:sz w:val="18"/>
                <w:szCs w:val="18"/>
              </w:rPr>
            </w:pPr>
            <w:r>
              <w:rPr>
                <w:rFonts w:ascii="宋体"/>
                <w:sz w:val="18"/>
              </w:rPr>
              <w:t>5,000</w:t>
            </w:r>
          </w:p>
        </w:tc>
        <w:tc>
          <w:tcPr>
            <w:tcW w:w="172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91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50" w:right="0"/>
              <w:jc w:val="left"/>
              <w:rPr>
                <w:rFonts w:ascii="宋体" w:hAnsi="宋体" w:cs="宋体" w:eastAsia="宋体" w:hint="default"/>
                <w:sz w:val="18"/>
                <w:szCs w:val="18"/>
              </w:rPr>
            </w:pPr>
            <w:r>
              <w:rPr>
                <w:rFonts w:ascii="宋体"/>
                <w:sz w:val="18"/>
              </w:rPr>
              <w:t>1,000</w:t>
            </w:r>
          </w:p>
        </w:tc>
        <w:tc>
          <w:tcPr>
            <w:tcW w:w="1114" w:type="dxa"/>
            <w:tcBorders>
              <w:top w:val="single" w:sz="12" w:space="0" w:color="000000"/>
              <w:left w:val="single" w:sz="4" w:space="0" w:color="000000"/>
              <w:bottom w:val="single" w:sz="4" w:space="0" w:color="000000"/>
              <w:right w:val="single" w:sz="4" w:space="0" w:color="000000"/>
            </w:tcBorders>
          </w:tcPr>
          <w:p>
            <w:pPr>
              <w:pStyle w:val="TableParagraph"/>
              <w:spacing w:line="321" w:lineRule="auto" w:before="53"/>
              <w:ind w:left="105" w:right="272"/>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85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6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5" w:right="147"/>
              <w:jc w:val="left"/>
              <w:rPr>
                <w:rFonts w:ascii="宋体" w:hAnsi="宋体" w:cs="宋体" w:eastAsia="宋体" w:hint="default"/>
                <w:sz w:val="18"/>
                <w:szCs w:val="18"/>
              </w:rPr>
            </w:pPr>
            <w:r>
              <w:rPr>
                <w:rFonts w:ascii="宋体" w:hAnsi="宋体" w:cs="宋体" w:eastAsia="宋体" w:hint="default"/>
                <w:sz w:val="18"/>
                <w:szCs w:val="18"/>
              </w:rPr>
              <w:t>江苏其厚智能电气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04</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87"/>
              <w:jc w:val="right"/>
              <w:rPr>
                <w:rFonts w:ascii="宋体" w:hAnsi="宋体" w:cs="宋体" w:eastAsia="宋体" w:hint="default"/>
                <w:sz w:val="18"/>
                <w:szCs w:val="18"/>
              </w:rPr>
            </w:pPr>
            <w:r>
              <w:rPr>
                <w:rFonts w:ascii="宋体"/>
                <w:sz w:val="18"/>
              </w:rPr>
              <w:t>5,000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533" w:right="0"/>
              <w:jc w:val="left"/>
              <w:rPr>
                <w:rFonts w:ascii="宋体" w:hAnsi="宋体" w:cs="宋体" w:eastAsia="宋体" w:hint="default"/>
                <w:sz w:val="18"/>
                <w:szCs w:val="18"/>
              </w:rPr>
            </w:pPr>
            <w:r>
              <w:rPr>
                <w:rFonts w:ascii="宋体"/>
                <w:sz w:val="18"/>
              </w:rPr>
              <w:t>450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72"/>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47"/>
              <w:jc w:val="left"/>
              <w:rPr>
                <w:rFonts w:ascii="宋体" w:hAnsi="宋体" w:cs="宋体" w:eastAsia="宋体" w:hint="default"/>
                <w:sz w:val="18"/>
                <w:szCs w:val="18"/>
              </w:rPr>
            </w:pPr>
            <w:r>
              <w:rPr>
                <w:rFonts w:ascii="宋体" w:hAnsi="宋体" w:cs="宋体" w:eastAsia="宋体" w:hint="default"/>
                <w:sz w:val="18"/>
                <w:szCs w:val="18"/>
              </w:rPr>
              <w:t>江苏其厚智能电气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04</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7"/>
              <w:jc w:val="right"/>
              <w:rPr>
                <w:rFonts w:ascii="宋体" w:hAnsi="宋体" w:cs="宋体" w:eastAsia="宋体" w:hint="default"/>
                <w:sz w:val="18"/>
                <w:szCs w:val="18"/>
              </w:rPr>
            </w:pPr>
            <w:r>
              <w:rPr>
                <w:rFonts w:ascii="宋体"/>
                <w:sz w:val="18"/>
              </w:rPr>
              <w:t>5,000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33" w:right="0"/>
              <w:jc w:val="left"/>
              <w:rPr>
                <w:rFonts w:ascii="宋体" w:hAnsi="宋体" w:cs="宋体" w:eastAsia="宋体" w:hint="default"/>
                <w:sz w:val="18"/>
                <w:szCs w:val="18"/>
              </w:rPr>
            </w:pPr>
            <w:r>
              <w:rPr>
                <w:rFonts w:ascii="宋体"/>
                <w:sz w:val="18"/>
              </w:rPr>
              <w:t>500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72"/>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21" w:lineRule="auto" w:before="53"/>
              <w:ind w:left="95" w:right="147"/>
              <w:jc w:val="left"/>
              <w:rPr>
                <w:rFonts w:ascii="宋体" w:hAnsi="宋体" w:cs="宋体" w:eastAsia="宋体" w:hint="default"/>
                <w:sz w:val="18"/>
                <w:szCs w:val="18"/>
              </w:rPr>
            </w:pPr>
            <w:r>
              <w:rPr>
                <w:rFonts w:ascii="宋体" w:hAnsi="宋体" w:cs="宋体" w:eastAsia="宋体" w:hint="default"/>
                <w:sz w:val="18"/>
                <w:szCs w:val="18"/>
              </w:rPr>
              <w:t>江苏其厚智能电气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04</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7"/>
              <w:jc w:val="right"/>
              <w:rPr>
                <w:rFonts w:ascii="宋体" w:hAnsi="宋体" w:cs="宋体" w:eastAsia="宋体" w:hint="default"/>
                <w:sz w:val="18"/>
                <w:szCs w:val="18"/>
              </w:rPr>
            </w:pPr>
            <w:r>
              <w:rPr>
                <w:rFonts w:ascii="宋体"/>
                <w:sz w:val="18"/>
              </w:rPr>
              <w:t>5,000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533" w:right="0"/>
              <w:jc w:val="left"/>
              <w:rPr>
                <w:rFonts w:ascii="宋体" w:hAnsi="宋体" w:cs="宋体" w:eastAsia="宋体" w:hint="default"/>
                <w:sz w:val="18"/>
                <w:szCs w:val="18"/>
              </w:rPr>
            </w:pPr>
            <w:r>
              <w:rPr>
                <w:rFonts w:ascii="宋体"/>
                <w:sz w:val="18"/>
              </w:rPr>
              <w:t>500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72"/>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21" w:lineRule="auto" w:before="53"/>
              <w:ind w:left="95" w:right="146"/>
              <w:jc w:val="left"/>
              <w:rPr>
                <w:rFonts w:ascii="宋体" w:hAnsi="宋体" w:cs="宋体" w:eastAsia="宋体" w:hint="default"/>
                <w:sz w:val="18"/>
                <w:szCs w:val="18"/>
              </w:rPr>
            </w:pPr>
            <w:r>
              <w:rPr>
                <w:rFonts w:ascii="宋体" w:hAnsi="宋体" w:cs="宋体" w:eastAsia="宋体" w:hint="default"/>
                <w:sz w:val="18"/>
                <w:szCs w:val="18"/>
              </w:rPr>
              <w:t>江苏苏源光</w:t>
            </w:r>
            <w:r>
              <w:rPr>
                <w:rFonts w:ascii="宋体" w:hAnsi="宋体" w:cs="宋体" w:eastAsia="宋体" w:hint="default"/>
                <w:sz w:val="18"/>
                <w:szCs w:val="18"/>
              </w:rPr>
              <w:t>--</w:t>
            </w:r>
            <w:r>
              <w:rPr>
                <w:rFonts w:ascii="宋体" w:hAnsi="宋体" w:cs="宋体" w:eastAsia="宋体" w:hint="default"/>
                <w:sz w:val="18"/>
                <w:szCs w:val="18"/>
              </w:rPr>
              <w:t>科技</w:t>
            </w:r>
            <w:r>
              <w:rPr>
                <w:rFonts w:ascii="宋体" w:hAnsi="宋体" w:cs="宋体" w:eastAsia="宋体" w:hint="default"/>
                <w:spacing w:val="-86"/>
                <w:sz w:val="18"/>
                <w:szCs w:val="18"/>
              </w:rPr>
              <w:t> </w:t>
            </w:r>
            <w:r>
              <w:rPr>
                <w:rFonts w:ascii="宋体" w:hAnsi="宋体" w:cs="宋体" w:eastAsia="宋体" w:hint="default"/>
                <w:sz w:val="18"/>
                <w:szCs w:val="18"/>
              </w:rPr>
              <w:t>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03</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7"/>
              <w:jc w:val="right"/>
              <w:rPr>
                <w:rFonts w:ascii="宋体" w:hAnsi="宋体" w:cs="宋体" w:eastAsia="宋体" w:hint="default"/>
                <w:sz w:val="18"/>
                <w:szCs w:val="18"/>
              </w:rPr>
            </w:pPr>
            <w:r>
              <w:rPr>
                <w:rFonts w:ascii="宋体"/>
                <w:sz w:val="18"/>
              </w:rPr>
              <w:t>500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533" w:right="0"/>
              <w:jc w:val="left"/>
              <w:rPr>
                <w:rFonts w:ascii="宋体" w:hAnsi="宋体" w:cs="宋体" w:eastAsia="宋体" w:hint="default"/>
                <w:sz w:val="18"/>
                <w:szCs w:val="18"/>
              </w:rPr>
            </w:pPr>
            <w:r>
              <w:rPr>
                <w:rFonts w:ascii="宋体"/>
                <w:sz w:val="18"/>
              </w:rPr>
              <w:t>500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72"/>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47"/>
              <w:jc w:val="left"/>
              <w:rPr>
                <w:rFonts w:ascii="宋体" w:hAnsi="宋体" w:cs="宋体" w:eastAsia="宋体" w:hint="default"/>
                <w:sz w:val="18"/>
                <w:szCs w:val="18"/>
              </w:rPr>
            </w:pPr>
            <w:r>
              <w:rPr>
                <w:rFonts w:ascii="宋体" w:hAnsi="宋体" w:cs="宋体" w:eastAsia="宋体" w:hint="default"/>
                <w:sz w:val="18"/>
                <w:szCs w:val="18"/>
              </w:rPr>
              <w:t>南京智友尚云信息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技术有限公司</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03</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7"/>
              <w:jc w:val="right"/>
              <w:rPr>
                <w:rFonts w:ascii="宋体" w:hAnsi="宋体" w:cs="宋体" w:eastAsia="宋体" w:hint="default"/>
                <w:sz w:val="18"/>
                <w:szCs w:val="18"/>
              </w:rPr>
            </w:pPr>
            <w:r>
              <w:rPr>
                <w:rFonts w:ascii="宋体"/>
                <w:sz w:val="18"/>
              </w:rPr>
              <w:t>200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33" w:right="0"/>
              <w:jc w:val="left"/>
              <w:rPr>
                <w:rFonts w:ascii="宋体" w:hAnsi="宋体" w:cs="宋体" w:eastAsia="宋体" w:hint="default"/>
                <w:sz w:val="18"/>
                <w:szCs w:val="18"/>
              </w:rPr>
            </w:pPr>
            <w:r>
              <w:rPr>
                <w:rFonts w:ascii="宋体"/>
                <w:sz w:val="18"/>
              </w:rPr>
              <w:t>200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72"/>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2761"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4"/>
              <w:ind w:left="95" w:right="118"/>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宋体" w:hAnsi="宋体" w:cs="宋体" w:eastAsia="宋体" w:hint="default"/>
                <w:sz w:val="18"/>
                <w:szCs w:val="18"/>
              </w:rPr>
              <w:t>B1</w:t>
            </w:r>
            <w:r>
              <w:rPr>
                <w:rFonts w:ascii="宋体" w:hAnsi="宋体" w:cs="宋体" w:eastAsia="宋体" w:hint="default"/>
                <w:sz w:val="18"/>
                <w:szCs w:val="18"/>
              </w:rPr>
              <w:t>）</w:t>
            </w:r>
          </w:p>
        </w:tc>
        <w:tc>
          <w:tcPr>
            <w:tcW w:w="2516" w:type="dxa"/>
            <w:gridSpan w:val="2"/>
            <w:tcBorders>
              <w:top w:val="single" w:sz="4" w:space="0" w:color="000000"/>
              <w:left w:val="single" w:sz="4" w:space="0" w:color="000000"/>
              <w:bottom w:val="single" w:sz="4" w:space="0" w:color="000000"/>
              <w:right w:val="single" w:sz="4" w:space="0" w:color="000000"/>
            </w:tcBorders>
          </w:tcPr>
          <w:p>
            <w:pPr/>
          </w:p>
        </w:tc>
        <w:tc>
          <w:tcPr>
            <w:tcW w:w="202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04"/>
              <w:jc w:val="left"/>
              <w:rPr>
                <w:rFonts w:ascii="宋体" w:hAnsi="宋体" w:cs="宋体" w:eastAsia="宋体" w:hint="default"/>
                <w:sz w:val="18"/>
                <w:szCs w:val="18"/>
              </w:rPr>
            </w:pPr>
            <w:r>
              <w:rPr>
                <w:rFonts w:ascii="宋体" w:hAnsi="宋体" w:cs="宋体" w:eastAsia="宋体" w:hint="default"/>
                <w:spacing w:val="-2"/>
                <w:sz w:val="18"/>
                <w:szCs w:val="18"/>
              </w:rPr>
              <w:t>报告期内对子公司担保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实际发生额合计（</w:t>
            </w:r>
            <w:r>
              <w:rPr>
                <w:rFonts w:ascii="宋体" w:hAnsi="宋体" w:cs="宋体" w:eastAsia="宋体" w:hint="default"/>
                <w:spacing w:val="-2"/>
                <w:sz w:val="18"/>
                <w:szCs w:val="18"/>
              </w:rPr>
              <w:t>B2</w:t>
            </w:r>
            <w:r>
              <w:rPr>
                <w:rFonts w:ascii="宋体" w:hAnsi="宋体" w:cs="宋体" w:eastAsia="宋体" w:hint="default"/>
                <w:spacing w:val="-2"/>
                <w:sz w:val="18"/>
                <w:szCs w:val="18"/>
              </w:rPr>
              <w:t>）</w:t>
            </w:r>
          </w:p>
        </w:tc>
        <w:tc>
          <w:tcPr>
            <w:tcW w:w="2271"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9"/>
              <w:jc w:val="right"/>
              <w:rPr>
                <w:rFonts w:ascii="宋体" w:hAnsi="宋体" w:cs="宋体" w:eastAsia="宋体" w:hint="default"/>
                <w:sz w:val="18"/>
                <w:szCs w:val="18"/>
              </w:rPr>
            </w:pPr>
            <w:r>
              <w:rPr>
                <w:rFonts w:ascii="宋体"/>
                <w:sz w:val="18"/>
              </w:rPr>
              <w:t>4,150</w:t>
            </w:r>
          </w:p>
        </w:tc>
      </w:tr>
      <w:tr>
        <w:trPr>
          <w:trHeight w:val="720" w:hRule="exact"/>
        </w:trPr>
        <w:tc>
          <w:tcPr>
            <w:tcW w:w="2761"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18"/>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516" w:type="dxa"/>
            <w:gridSpan w:val="2"/>
            <w:tcBorders>
              <w:top w:val="single" w:sz="4" w:space="0" w:color="000000"/>
              <w:left w:val="single" w:sz="4" w:space="0" w:color="000000"/>
              <w:bottom w:val="single" w:sz="4" w:space="0" w:color="000000"/>
              <w:right w:val="single" w:sz="4" w:space="0" w:color="000000"/>
            </w:tcBorders>
          </w:tcPr>
          <w:p>
            <w:pPr/>
          </w:p>
        </w:tc>
        <w:tc>
          <w:tcPr>
            <w:tcW w:w="202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04"/>
              <w:jc w:val="left"/>
              <w:rPr>
                <w:rFonts w:ascii="宋体" w:hAnsi="宋体" w:cs="宋体" w:eastAsia="宋体" w:hint="default"/>
                <w:sz w:val="18"/>
                <w:szCs w:val="18"/>
              </w:rPr>
            </w:pPr>
            <w:r>
              <w:rPr>
                <w:rFonts w:ascii="宋体" w:hAnsi="宋体" w:cs="宋体" w:eastAsia="宋体" w:hint="default"/>
                <w:spacing w:val="-2"/>
                <w:sz w:val="18"/>
                <w:szCs w:val="18"/>
              </w:rPr>
              <w:t>报告期末对子公司实际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担保余额合计（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271"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79"/>
              <w:jc w:val="right"/>
              <w:rPr>
                <w:rFonts w:ascii="宋体" w:hAnsi="宋体" w:cs="宋体" w:eastAsia="宋体" w:hint="default"/>
                <w:sz w:val="18"/>
                <w:szCs w:val="18"/>
              </w:rPr>
            </w:pPr>
            <w:r>
              <w:rPr>
                <w:rFonts w:ascii="宋体"/>
                <w:sz w:val="18"/>
              </w:rPr>
              <w:t>4,150</w:t>
            </w:r>
          </w:p>
        </w:tc>
      </w:tr>
      <w:tr>
        <w:trPr>
          <w:trHeight w:val="399" w:hRule="exact"/>
        </w:trPr>
        <w:tc>
          <w:tcPr>
            <w:tcW w:w="9575" w:type="dxa"/>
            <w:gridSpan w:val="10"/>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339" w:hRule="exact"/>
        </w:trPr>
        <w:tc>
          <w:tcPr>
            <w:tcW w:w="17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0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63" w:right="151"/>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97" w:right="120" w:hanging="183"/>
              <w:jc w:val="left"/>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29" w:right="118"/>
              <w:jc w:val="both"/>
              <w:rPr>
                <w:rFonts w:ascii="宋体" w:hAnsi="宋体" w:cs="宋体" w:eastAsia="宋体" w:hint="default"/>
                <w:sz w:val="18"/>
                <w:szCs w:val="18"/>
              </w:rPr>
            </w:pPr>
            <w:r>
              <w:rPr>
                <w:rFonts w:ascii="宋体" w:hAnsi="宋体" w:cs="宋体" w:eastAsia="宋体" w:hint="default"/>
                <w:sz w:val="18"/>
                <w:szCs w:val="18"/>
              </w:rPr>
              <w:t>实际</w:t>
            </w:r>
            <w:r>
              <w:rPr>
                <w:rFonts w:ascii="宋体" w:hAnsi="宋体" w:cs="宋体" w:eastAsia="宋体" w:hint="default"/>
                <w:spacing w:val="-86"/>
                <w:sz w:val="18"/>
                <w:szCs w:val="18"/>
              </w:rPr>
              <w:t> </w:t>
            </w:r>
            <w:r>
              <w:rPr>
                <w:rFonts w:ascii="宋体" w:hAnsi="宋体" w:cs="宋体" w:eastAsia="宋体" w:hint="default"/>
                <w:sz w:val="18"/>
                <w:szCs w:val="18"/>
              </w:rPr>
              <w:t>担保</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14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35"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5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87" w:right="180"/>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履行</w:t>
            </w:r>
            <w:r>
              <w:rPr>
                <w:rFonts w:ascii="宋体" w:hAnsi="宋体" w:cs="宋体" w:eastAsia="宋体" w:hint="default"/>
                <w:spacing w:val="-86"/>
                <w:sz w:val="18"/>
                <w:szCs w:val="18"/>
              </w:rPr>
              <w:t> </w:t>
            </w:r>
            <w:r>
              <w:rPr>
                <w:rFonts w:ascii="宋体" w:hAnsi="宋体" w:cs="宋体" w:eastAsia="宋体" w:hint="default"/>
                <w:sz w:val="18"/>
                <w:szCs w:val="18"/>
              </w:rPr>
              <w:t>完毕</w:t>
            </w:r>
          </w:p>
        </w:tc>
        <w:tc>
          <w:tcPr>
            <w:tcW w:w="667"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53"/>
              <w:ind w:left="148" w:right="132"/>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spacing w:val="-86"/>
                <w:sz w:val="18"/>
                <w:szCs w:val="18"/>
              </w:rPr>
              <w:t> </w:t>
            </w:r>
            <w:r>
              <w:rPr>
                <w:rFonts w:ascii="宋体" w:hAnsi="宋体" w:cs="宋体" w:eastAsia="宋体" w:hint="default"/>
                <w:sz w:val="18"/>
                <w:szCs w:val="18"/>
              </w:rPr>
              <w:t>为关</w:t>
            </w:r>
            <w:r>
              <w:rPr>
                <w:rFonts w:ascii="宋体" w:hAnsi="宋体" w:cs="宋体" w:eastAsia="宋体" w:hint="default"/>
                <w:spacing w:val="-86"/>
                <w:sz w:val="18"/>
                <w:szCs w:val="18"/>
              </w:rPr>
              <w:t> </w:t>
            </w:r>
            <w:r>
              <w:rPr>
                <w:rFonts w:ascii="宋体" w:hAnsi="宋体" w:cs="宋体" w:eastAsia="宋体" w:hint="default"/>
                <w:sz w:val="18"/>
                <w:szCs w:val="18"/>
              </w:rPr>
              <w:t>联方</w:t>
            </w:r>
            <w:r>
              <w:rPr>
                <w:rFonts w:ascii="宋体" w:hAnsi="宋体" w:cs="宋体" w:eastAsia="宋体" w:hint="default"/>
                <w:spacing w:val="-86"/>
                <w:sz w:val="18"/>
                <w:szCs w:val="18"/>
              </w:rPr>
              <w:t> </w:t>
            </w:r>
            <w:r>
              <w:rPr>
                <w:rFonts w:ascii="宋体" w:hAnsi="宋体" w:cs="宋体" w:eastAsia="宋体" w:hint="default"/>
                <w:sz w:val="18"/>
                <w:szCs w:val="18"/>
              </w:rPr>
              <w:t>担保</w:t>
            </w:r>
          </w:p>
        </w:tc>
      </w:tr>
      <w:tr>
        <w:trPr>
          <w:trHeight w:val="399" w:hRule="exact"/>
        </w:trPr>
        <w:tc>
          <w:tcPr>
            <w:tcW w:w="1709" w:type="dxa"/>
            <w:tcBorders>
              <w:top w:val="single" w:sz="4" w:space="0" w:color="000000"/>
              <w:left w:val="single" w:sz="12"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1402" w:type="dxa"/>
            <w:gridSpan w:val="2"/>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2761"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18"/>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宋体" w:hAnsi="宋体" w:cs="宋体" w:eastAsia="宋体" w:hint="default"/>
                <w:sz w:val="18"/>
                <w:szCs w:val="18"/>
              </w:rPr>
              <w:t>C1</w:t>
            </w:r>
            <w:r>
              <w:rPr>
                <w:rFonts w:ascii="宋体" w:hAnsi="宋体" w:cs="宋体" w:eastAsia="宋体" w:hint="default"/>
                <w:sz w:val="18"/>
                <w:szCs w:val="18"/>
              </w:rPr>
              <w:t>）</w:t>
            </w:r>
          </w:p>
        </w:tc>
        <w:tc>
          <w:tcPr>
            <w:tcW w:w="2516" w:type="dxa"/>
            <w:gridSpan w:val="2"/>
            <w:tcBorders>
              <w:top w:val="single" w:sz="4" w:space="0" w:color="000000"/>
              <w:left w:val="single" w:sz="4" w:space="0" w:color="000000"/>
              <w:bottom w:val="single" w:sz="4" w:space="0" w:color="000000"/>
              <w:right w:val="single" w:sz="4" w:space="0" w:color="000000"/>
            </w:tcBorders>
          </w:tcPr>
          <w:p>
            <w:pPr/>
          </w:p>
        </w:tc>
        <w:tc>
          <w:tcPr>
            <w:tcW w:w="202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04"/>
              <w:jc w:val="left"/>
              <w:rPr>
                <w:rFonts w:ascii="宋体" w:hAnsi="宋体" w:cs="宋体" w:eastAsia="宋体" w:hint="default"/>
                <w:sz w:val="18"/>
                <w:szCs w:val="18"/>
              </w:rPr>
            </w:pPr>
            <w:r>
              <w:rPr>
                <w:rFonts w:ascii="宋体" w:hAnsi="宋体" w:cs="宋体" w:eastAsia="宋体" w:hint="default"/>
                <w:spacing w:val="-2"/>
                <w:sz w:val="18"/>
                <w:szCs w:val="18"/>
              </w:rPr>
              <w:t>报告期内对子公司担保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实际发生额合计（</w:t>
            </w:r>
            <w:r>
              <w:rPr>
                <w:rFonts w:ascii="宋体" w:hAnsi="宋体" w:cs="宋体" w:eastAsia="宋体" w:hint="default"/>
                <w:spacing w:val="-2"/>
                <w:sz w:val="18"/>
                <w:szCs w:val="18"/>
              </w:rPr>
              <w:t>C2</w:t>
            </w:r>
            <w:r>
              <w:rPr>
                <w:rFonts w:ascii="宋体" w:hAnsi="宋体" w:cs="宋体" w:eastAsia="宋体" w:hint="default"/>
                <w:spacing w:val="-2"/>
                <w:sz w:val="18"/>
                <w:szCs w:val="18"/>
              </w:rPr>
              <w:t>）</w:t>
            </w:r>
          </w:p>
        </w:tc>
        <w:tc>
          <w:tcPr>
            <w:tcW w:w="2271" w:type="dxa"/>
            <w:gridSpan w:val="3"/>
            <w:tcBorders>
              <w:top w:val="single" w:sz="4" w:space="0" w:color="000000"/>
              <w:left w:val="single" w:sz="4" w:space="0" w:color="000000"/>
              <w:bottom w:val="single" w:sz="4" w:space="0" w:color="000000"/>
              <w:right w:val="single" w:sz="12" w:space="0" w:color="000000"/>
            </w:tcBorders>
          </w:tcPr>
          <w:p>
            <w:pPr/>
          </w:p>
        </w:tc>
      </w:tr>
      <w:tr>
        <w:trPr>
          <w:trHeight w:val="720" w:hRule="exact"/>
        </w:trPr>
        <w:tc>
          <w:tcPr>
            <w:tcW w:w="2761"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18"/>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宋体" w:hAnsi="宋体" w:cs="宋体" w:eastAsia="宋体" w:hint="default"/>
                <w:sz w:val="18"/>
                <w:szCs w:val="18"/>
              </w:rPr>
              <w:t>C3</w:t>
            </w:r>
            <w:r>
              <w:rPr>
                <w:rFonts w:ascii="宋体" w:hAnsi="宋体" w:cs="宋体" w:eastAsia="宋体" w:hint="default"/>
                <w:sz w:val="18"/>
                <w:szCs w:val="18"/>
              </w:rPr>
              <w:t>）</w:t>
            </w:r>
          </w:p>
        </w:tc>
        <w:tc>
          <w:tcPr>
            <w:tcW w:w="2516" w:type="dxa"/>
            <w:gridSpan w:val="2"/>
            <w:tcBorders>
              <w:top w:val="single" w:sz="4" w:space="0" w:color="000000"/>
              <w:left w:val="single" w:sz="4" w:space="0" w:color="000000"/>
              <w:bottom w:val="single" w:sz="4" w:space="0" w:color="000000"/>
              <w:right w:val="single" w:sz="4" w:space="0" w:color="000000"/>
            </w:tcBorders>
          </w:tcPr>
          <w:p>
            <w:pPr/>
          </w:p>
        </w:tc>
        <w:tc>
          <w:tcPr>
            <w:tcW w:w="202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04"/>
              <w:jc w:val="left"/>
              <w:rPr>
                <w:rFonts w:ascii="宋体" w:hAnsi="宋体" w:cs="宋体" w:eastAsia="宋体" w:hint="default"/>
                <w:sz w:val="18"/>
                <w:szCs w:val="18"/>
              </w:rPr>
            </w:pPr>
            <w:r>
              <w:rPr>
                <w:rFonts w:ascii="宋体" w:hAnsi="宋体" w:cs="宋体" w:eastAsia="宋体" w:hint="default"/>
                <w:spacing w:val="-2"/>
                <w:sz w:val="18"/>
                <w:szCs w:val="18"/>
              </w:rPr>
              <w:t>报告期末对子公司实际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担保余额合计（</w:t>
            </w:r>
            <w:r>
              <w:rPr>
                <w:rFonts w:ascii="宋体" w:hAnsi="宋体" w:cs="宋体" w:eastAsia="宋体" w:hint="default"/>
                <w:sz w:val="18"/>
                <w:szCs w:val="18"/>
              </w:rPr>
              <w:t>C4</w:t>
            </w:r>
            <w:r>
              <w:rPr>
                <w:rFonts w:ascii="宋体" w:hAnsi="宋体" w:cs="宋体" w:eastAsia="宋体" w:hint="default"/>
                <w:sz w:val="18"/>
                <w:szCs w:val="18"/>
              </w:rPr>
              <w:t>）</w:t>
            </w:r>
          </w:p>
        </w:tc>
        <w:tc>
          <w:tcPr>
            <w:tcW w:w="2271" w:type="dxa"/>
            <w:gridSpan w:val="3"/>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9575" w:type="dxa"/>
            <w:gridSpan w:val="10"/>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15" w:hRule="exact"/>
        </w:trPr>
        <w:tc>
          <w:tcPr>
            <w:tcW w:w="2761"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A1+B1+C1</w:t>
            </w:r>
            <w:r>
              <w:rPr>
                <w:rFonts w:ascii="宋体" w:hAnsi="宋体" w:cs="宋体" w:eastAsia="宋体" w:hint="default"/>
                <w:sz w:val="18"/>
                <w:szCs w:val="18"/>
              </w:rPr>
              <w:t>）</w:t>
            </w:r>
          </w:p>
        </w:tc>
        <w:tc>
          <w:tcPr>
            <w:tcW w:w="2516" w:type="dxa"/>
            <w:gridSpan w:val="2"/>
            <w:tcBorders>
              <w:top w:val="single" w:sz="4" w:space="0" w:color="000000"/>
              <w:left w:val="single" w:sz="4" w:space="0" w:color="000000"/>
              <w:bottom w:val="single" w:sz="4" w:space="0" w:color="000000"/>
              <w:right w:val="single" w:sz="4" w:space="0" w:color="000000"/>
            </w:tcBorders>
          </w:tcPr>
          <w:p>
            <w:pPr/>
          </w:p>
        </w:tc>
        <w:tc>
          <w:tcPr>
            <w:tcW w:w="202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04"/>
              <w:jc w:val="left"/>
              <w:rPr>
                <w:rFonts w:ascii="宋体" w:hAnsi="宋体" w:cs="宋体" w:eastAsia="宋体" w:hint="default"/>
                <w:sz w:val="18"/>
                <w:szCs w:val="18"/>
              </w:rPr>
            </w:pPr>
            <w:r>
              <w:rPr>
                <w:rFonts w:ascii="宋体" w:hAnsi="宋体" w:cs="宋体" w:eastAsia="宋体" w:hint="default"/>
                <w:spacing w:val="-2"/>
                <w:sz w:val="18"/>
                <w:szCs w:val="18"/>
              </w:rPr>
              <w:t>报告期内担保实际发生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额合计（</w:t>
            </w:r>
            <w:r>
              <w:rPr>
                <w:rFonts w:ascii="宋体" w:hAnsi="宋体" w:cs="宋体" w:eastAsia="宋体" w:hint="default"/>
                <w:sz w:val="18"/>
                <w:szCs w:val="18"/>
              </w:rPr>
              <w:t>A2+B2+C2</w:t>
            </w:r>
            <w:r>
              <w:rPr>
                <w:rFonts w:ascii="宋体" w:hAnsi="宋体" w:cs="宋体" w:eastAsia="宋体" w:hint="default"/>
                <w:sz w:val="18"/>
                <w:szCs w:val="18"/>
              </w:rPr>
              <w:t>）</w:t>
            </w:r>
          </w:p>
        </w:tc>
        <w:tc>
          <w:tcPr>
            <w:tcW w:w="2271"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79"/>
              <w:jc w:val="right"/>
              <w:rPr>
                <w:rFonts w:ascii="宋体" w:hAnsi="宋体" w:cs="宋体" w:eastAsia="宋体" w:hint="default"/>
                <w:sz w:val="18"/>
                <w:szCs w:val="18"/>
              </w:rPr>
            </w:pPr>
            <w:r>
              <w:rPr>
                <w:rFonts w:ascii="宋体"/>
                <w:sz w:val="18"/>
              </w:rPr>
              <w:t>4,150</w:t>
            </w:r>
          </w:p>
        </w:tc>
      </w:tr>
      <w:tr>
        <w:trPr>
          <w:trHeight w:val="715" w:hRule="exact"/>
        </w:trPr>
        <w:tc>
          <w:tcPr>
            <w:tcW w:w="2761"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81"/>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A3+B3+C3</w:t>
            </w:r>
            <w:r>
              <w:rPr>
                <w:rFonts w:ascii="宋体" w:hAnsi="宋体" w:cs="宋体" w:eastAsia="宋体" w:hint="default"/>
                <w:sz w:val="18"/>
                <w:szCs w:val="18"/>
              </w:rPr>
              <w:t>）</w:t>
            </w:r>
          </w:p>
        </w:tc>
        <w:tc>
          <w:tcPr>
            <w:tcW w:w="2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58,186</w:t>
            </w:r>
          </w:p>
        </w:tc>
        <w:tc>
          <w:tcPr>
            <w:tcW w:w="202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04"/>
              <w:jc w:val="left"/>
              <w:rPr>
                <w:rFonts w:ascii="宋体" w:hAnsi="宋体" w:cs="宋体" w:eastAsia="宋体" w:hint="default"/>
                <w:sz w:val="18"/>
                <w:szCs w:val="18"/>
              </w:rPr>
            </w:pPr>
            <w:r>
              <w:rPr>
                <w:rFonts w:ascii="宋体" w:hAnsi="宋体" w:cs="宋体" w:eastAsia="宋体" w:hint="default"/>
                <w:spacing w:val="-2"/>
                <w:sz w:val="18"/>
                <w:szCs w:val="18"/>
              </w:rPr>
              <w:t>报告期末实际担保余额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合计（</w:t>
            </w:r>
            <w:r>
              <w:rPr>
                <w:rFonts w:ascii="宋体" w:hAnsi="宋体" w:cs="宋体" w:eastAsia="宋体" w:hint="default"/>
                <w:sz w:val="18"/>
                <w:szCs w:val="18"/>
              </w:rPr>
              <w:t>A4+B4+C4</w:t>
            </w:r>
            <w:r>
              <w:rPr>
                <w:rFonts w:ascii="宋体" w:hAnsi="宋体" w:cs="宋体" w:eastAsia="宋体" w:hint="default"/>
                <w:sz w:val="18"/>
                <w:szCs w:val="18"/>
              </w:rPr>
              <w:t>）</w:t>
            </w:r>
          </w:p>
        </w:tc>
        <w:tc>
          <w:tcPr>
            <w:tcW w:w="2271"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79"/>
              <w:jc w:val="right"/>
              <w:rPr>
                <w:rFonts w:ascii="宋体" w:hAnsi="宋体" w:cs="宋体" w:eastAsia="宋体" w:hint="default"/>
                <w:sz w:val="18"/>
                <w:szCs w:val="18"/>
              </w:rPr>
            </w:pPr>
            <w:r>
              <w:rPr>
                <w:rFonts w:ascii="宋体"/>
                <w:spacing w:val="-1"/>
                <w:sz w:val="18"/>
              </w:rPr>
              <w:t>62,336</w:t>
            </w:r>
          </w:p>
        </w:tc>
      </w:tr>
      <w:tr>
        <w:trPr>
          <w:trHeight w:val="408" w:hRule="exact"/>
        </w:trPr>
        <w:tc>
          <w:tcPr>
            <w:tcW w:w="5277"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7"/>
                <w:sz w:val="18"/>
                <w:szCs w:val="18"/>
              </w:rPr>
              <w:t> </w:t>
            </w:r>
            <w:r>
              <w:rPr>
                <w:rFonts w:ascii="宋体" w:hAnsi="宋体" w:cs="宋体" w:eastAsia="宋体" w:hint="default"/>
                <w:spacing w:val="-2"/>
                <w:sz w:val="18"/>
                <w:szCs w:val="18"/>
              </w:rPr>
              <w:t>A4+B4+C4</w:t>
            </w:r>
            <w:r>
              <w:rPr>
                <w:rFonts w:ascii="宋体" w:hAnsi="宋体" w:cs="宋体" w:eastAsia="宋体" w:hint="default"/>
                <w:spacing w:val="-2"/>
                <w:sz w:val="18"/>
                <w:szCs w:val="18"/>
              </w:rPr>
              <w:t>）占公司净资产的比例</w:t>
            </w:r>
          </w:p>
        </w:tc>
        <w:tc>
          <w:tcPr>
            <w:tcW w:w="4298" w:type="dxa"/>
            <w:gridSpan w:val="6"/>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57.80%</w:t>
            </w:r>
          </w:p>
        </w:tc>
      </w:tr>
      <w:tr>
        <w:trPr>
          <w:trHeight w:val="394" w:hRule="exact"/>
        </w:trPr>
        <w:tc>
          <w:tcPr>
            <w:tcW w:w="9575" w:type="dxa"/>
            <w:gridSpan w:val="10"/>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3" w:hRule="exact"/>
        </w:trPr>
        <w:tc>
          <w:tcPr>
            <w:tcW w:w="5277"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pacing w:val="-3"/>
                <w:sz w:val="18"/>
                <w:szCs w:val="18"/>
              </w:rPr>
              <w:t>为股东、实际控制人及其关联方提供担保的余额（</w:t>
            </w:r>
            <w:r>
              <w:rPr>
                <w:rFonts w:ascii="宋体" w:hAnsi="宋体" w:cs="宋体" w:eastAsia="宋体" w:hint="default"/>
                <w:spacing w:val="-3"/>
                <w:sz w:val="18"/>
                <w:szCs w:val="18"/>
              </w:rPr>
              <w:t>D</w:t>
            </w:r>
            <w:r>
              <w:rPr>
                <w:rFonts w:ascii="宋体" w:hAnsi="宋体" w:cs="宋体" w:eastAsia="宋体" w:hint="default"/>
                <w:spacing w:val="-3"/>
                <w:sz w:val="18"/>
                <w:szCs w:val="18"/>
              </w:rPr>
              <w:t>）</w:t>
            </w:r>
          </w:p>
        </w:tc>
        <w:tc>
          <w:tcPr>
            <w:tcW w:w="4298" w:type="dxa"/>
            <w:gridSpan w:val="6"/>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28,800</w:t>
            </w:r>
          </w:p>
        </w:tc>
      </w:tr>
      <w:tr>
        <w:trPr>
          <w:trHeight w:val="716" w:hRule="exact"/>
        </w:trPr>
        <w:tc>
          <w:tcPr>
            <w:tcW w:w="5277"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4" w:lineRule="auto" w:before="53"/>
              <w:ind w:left="95" w:right="16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18"/>
                <w:sz w:val="18"/>
                <w:szCs w:val="18"/>
              </w:rPr>
              <w:t> </w:t>
            </w:r>
            <w:r>
              <w:rPr>
                <w:rFonts w:ascii="宋体" w:hAnsi="宋体" w:cs="宋体" w:eastAsia="宋体" w:hint="default"/>
                <w:spacing w:val="-3"/>
                <w:sz w:val="18"/>
                <w:szCs w:val="18"/>
              </w:rPr>
              <w:t>70%</w:t>
            </w:r>
            <w:r>
              <w:rPr>
                <w:rFonts w:ascii="宋体" w:hAnsi="宋体" w:cs="宋体" w:eastAsia="宋体" w:hint="default"/>
                <w:spacing w:val="-3"/>
                <w:sz w:val="18"/>
                <w:szCs w:val="18"/>
              </w:rPr>
              <w:t>的被担保对象提供的债务担保</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余额（</w:t>
            </w:r>
            <w:r>
              <w:rPr>
                <w:rFonts w:ascii="宋体" w:hAnsi="宋体" w:cs="宋体" w:eastAsia="宋体" w:hint="default"/>
                <w:sz w:val="18"/>
                <w:szCs w:val="18"/>
              </w:rPr>
              <w:t>E</w:t>
            </w:r>
            <w:r>
              <w:rPr>
                <w:rFonts w:ascii="宋体" w:hAnsi="宋体" w:cs="宋体" w:eastAsia="宋体" w:hint="default"/>
                <w:sz w:val="18"/>
                <w:szCs w:val="18"/>
              </w:rPr>
              <w:t>）</w:t>
            </w:r>
          </w:p>
        </w:tc>
        <w:tc>
          <w:tcPr>
            <w:tcW w:w="4298" w:type="dxa"/>
            <w:gridSpan w:val="6"/>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5277" w:type="dxa"/>
            <w:gridSpan w:val="4"/>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12"/>
                <w:sz w:val="18"/>
                <w:szCs w:val="18"/>
              </w:rPr>
              <w:t> </w:t>
            </w:r>
            <w:r>
              <w:rPr>
                <w:rFonts w:ascii="宋体" w:hAnsi="宋体" w:cs="宋体" w:eastAsia="宋体" w:hint="default"/>
                <w:spacing w:val="-3"/>
                <w:sz w:val="18"/>
                <w:szCs w:val="18"/>
              </w:rPr>
              <w:t>50%</w:t>
            </w:r>
            <w:r>
              <w:rPr>
                <w:rFonts w:ascii="宋体" w:hAnsi="宋体" w:cs="宋体" w:eastAsia="宋体" w:hint="default"/>
                <w:spacing w:val="-3"/>
                <w:sz w:val="18"/>
                <w:szCs w:val="18"/>
              </w:rPr>
              <w:t>部分的金额（</w:t>
            </w:r>
            <w:r>
              <w:rPr>
                <w:rFonts w:ascii="宋体" w:hAnsi="宋体" w:cs="宋体" w:eastAsia="宋体" w:hint="default"/>
                <w:spacing w:val="-3"/>
                <w:sz w:val="18"/>
                <w:szCs w:val="18"/>
              </w:rPr>
              <w:t>F</w:t>
            </w:r>
            <w:r>
              <w:rPr>
                <w:rFonts w:ascii="宋体" w:hAnsi="宋体" w:cs="宋体" w:eastAsia="宋体" w:hint="default"/>
                <w:spacing w:val="-3"/>
                <w:sz w:val="18"/>
                <w:szCs w:val="18"/>
              </w:rPr>
              <w:t>）</w:t>
            </w:r>
          </w:p>
        </w:tc>
        <w:tc>
          <w:tcPr>
            <w:tcW w:w="4298" w:type="dxa"/>
            <w:gridSpan w:val="6"/>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8,377</w:t>
            </w:r>
          </w:p>
        </w:tc>
      </w:tr>
      <w:tr>
        <w:trPr>
          <w:trHeight w:val="413" w:hRule="exact"/>
        </w:trPr>
        <w:tc>
          <w:tcPr>
            <w:tcW w:w="5277" w:type="dxa"/>
            <w:gridSpan w:val="4"/>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D+E+F</w:t>
            </w:r>
            <w:r>
              <w:rPr>
                <w:rFonts w:ascii="宋体" w:hAnsi="宋体" w:cs="宋体" w:eastAsia="宋体" w:hint="default"/>
                <w:sz w:val="18"/>
                <w:szCs w:val="18"/>
              </w:rPr>
              <w:t>）</w:t>
            </w:r>
          </w:p>
        </w:tc>
        <w:tc>
          <w:tcPr>
            <w:tcW w:w="4298" w:type="dxa"/>
            <w:gridSpan w:val="6"/>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37,177</w:t>
            </w:r>
          </w:p>
        </w:tc>
      </w:tr>
    </w:tbl>
    <w:p>
      <w:pPr>
        <w:spacing w:after="0" w:line="240" w:lineRule="auto"/>
        <w:jc w:val="right"/>
        <w:rPr>
          <w:rFonts w:ascii="宋体" w:hAnsi="宋体" w:cs="宋体" w:eastAsia="宋体" w:hint="default"/>
          <w:sz w:val="18"/>
          <w:szCs w:val="18"/>
        </w:rPr>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5277"/>
        <w:gridCol w:w="4298"/>
      </w:tblGrid>
      <w:tr>
        <w:trPr>
          <w:trHeight w:val="725" w:hRule="exact"/>
        </w:trPr>
        <w:tc>
          <w:tcPr>
            <w:tcW w:w="527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19"/>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对未到期担保，报告期内已发生担保责任或可能承担连带清偿责</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任的情况说明（如有）</w:t>
            </w:r>
          </w:p>
        </w:tc>
        <w:tc>
          <w:tcPr>
            <w:tcW w:w="429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13" w:hRule="exact"/>
        </w:trPr>
        <w:tc>
          <w:tcPr>
            <w:tcW w:w="527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违反规定程序对外提供担保的说明（如有）</w:t>
            </w:r>
          </w:p>
        </w:tc>
        <w:tc>
          <w:tcPr>
            <w:tcW w:w="429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Heading4"/>
        <w:spacing w:line="240" w:lineRule="auto" w:before="66"/>
        <w:ind w:right="1024"/>
        <w:jc w:val="left"/>
        <w:rPr>
          <w:b w:val="0"/>
          <w:bCs w:val="0"/>
        </w:rPr>
      </w:pPr>
      <w:bookmarkStart w:name="（2）违规对外担保情况" w:id="136"/>
      <w:bookmarkEnd w:id="136"/>
      <w:r>
        <w:rPr>
          <w:b w:val="0"/>
          <w:bCs w:val="0"/>
        </w:rPr>
      </w:r>
      <w:r>
        <w:rPr/>
        <w:t>（</w:t>
      </w:r>
      <w:r>
        <w:rPr>
          <w:rFonts w:ascii="宋体" w:hAnsi="宋体" w:cs="宋体" w:eastAsia="宋体" w:hint="default"/>
        </w:rPr>
        <w:t>2</w:t>
      </w:r>
      <w:r>
        <w:rPr/>
        <w:t>）违规对外担保情况</w:t>
      </w:r>
      <w:r>
        <w:rPr>
          <w:b w:val="0"/>
          <w:bCs w:val="0"/>
        </w:rPr>
      </w:r>
    </w:p>
    <w:p>
      <w:pPr>
        <w:spacing w:line="240" w:lineRule="auto" w:before="8"/>
        <w:rPr>
          <w:rFonts w:ascii="宋体" w:hAnsi="宋体" w:cs="宋体" w:eastAsia="宋体" w:hint="default"/>
          <w:b/>
          <w:bCs/>
          <w:sz w:val="14"/>
          <w:szCs w:val="14"/>
        </w:rPr>
      </w:pPr>
    </w:p>
    <w:p>
      <w:pPr>
        <w:spacing w:line="408" w:lineRule="auto" w:before="0"/>
        <w:ind w:left="153" w:right="7482" w:firstLine="0"/>
        <w:jc w:val="left"/>
        <w:rPr>
          <w:rFonts w:ascii="宋体" w:hAnsi="宋体" w:cs="宋体" w:eastAsia="宋体" w:hint="default"/>
          <w:sz w:val="21"/>
          <w:szCs w:val="21"/>
        </w:rPr>
      </w:pPr>
      <w:bookmarkStart w:name="□ 适用 √ 不适用" w:id="137"/>
      <w:bookmarkEnd w:id="137"/>
      <w:r>
        <w:rPr/>
      </w: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公司报告期无违规对外担保情况。" w:id="138"/>
      <w:bookmarkEnd w:id="138"/>
      <w:r>
        <w:rPr>
          <w:rFonts w:ascii="宋体" w:hAnsi="宋体" w:cs="宋体" w:eastAsia="宋体" w:hint="default"/>
          <w:sz w:val="21"/>
          <w:szCs w:val="21"/>
        </w:rPr>
        <w:t>公司报告</w:t>
      </w:r>
      <w:r>
        <w:rPr>
          <w:rFonts w:ascii="宋体" w:hAnsi="宋体" w:cs="宋体" w:eastAsia="宋体" w:hint="default"/>
          <w:sz w:val="21"/>
          <w:szCs w:val="21"/>
        </w:rPr>
        <w:t>期无违规对外担保情况。</w:t>
      </w:r>
      <w:r>
        <w:rPr>
          <w:rFonts w:ascii="宋体" w:hAnsi="宋体" w:cs="宋体" w:eastAsia="宋体" w:hint="default"/>
          <w:spacing w:val="-102"/>
          <w:sz w:val="21"/>
          <w:szCs w:val="21"/>
        </w:rPr>
        <w:t> </w:t>
      </w:r>
      <w:r>
        <w:rPr>
          <w:rFonts w:ascii="宋体" w:hAnsi="宋体" w:cs="宋体" w:eastAsia="宋体" w:hint="default"/>
          <w:spacing w:val="-102"/>
          <w:sz w:val="21"/>
          <w:szCs w:val="21"/>
        </w:rPr>
      </w:r>
      <w:bookmarkStart w:name="3、委托他人进行现金资产管理情况" w:id="139"/>
      <w:bookmarkEnd w:id="139"/>
      <w:r>
        <w:rPr>
          <w:rFonts w:ascii="宋体" w:hAnsi="宋体" w:cs="宋体" w:eastAsia="宋体" w:hint="default"/>
          <w:spacing w:val="-102"/>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pStyle w:val="BodyText"/>
        <w:spacing w:line="240" w:lineRule="auto" w:before="48"/>
        <w:ind w:right="1024"/>
        <w:jc w:val="left"/>
      </w:pPr>
      <w:bookmarkStart w:name="（1）委托理财情况" w:id="140"/>
      <w:bookmarkEnd w:id="140"/>
      <w:r>
        <w:rPr/>
      </w:r>
      <w:r>
        <w:rPr/>
        <w:t>（</w:t>
      </w:r>
      <w:r>
        <w:rPr>
          <w:rFonts w:ascii="宋体" w:hAnsi="宋体" w:cs="宋体" w:eastAsia="宋体" w:hint="default"/>
        </w:rPr>
        <w:t>1</w:t>
      </w:r>
      <w:r>
        <w:rPr/>
        <w:t>）委托理财情况</w:t>
      </w:r>
    </w:p>
    <w:p>
      <w:pPr>
        <w:spacing w:line="240" w:lineRule="auto" w:before="8"/>
        <w:rPr>
          <w:rFonts w:ascii="宋体" w:hAnsi="宋体" w:cs="宋体" w:eastAsia="宋体" w:hint="default"/>
          <w:sz w:val="14"/>
          <w:szCs w:val="14"/>
        </w:rPr>
      </w:pPr>
    </w:p>
    <w:p>
      <w:pPr>
        <w:pStyle w:val="BodyText"/>
        <w:spacing w:line="240" w:lineRule="auto"/>
        <w:ind w:right="1024"/>
        <w:jc w:val="left"/>
      </w:pPr>
      <w:bookmarkStart w:name="□ 适用 √ 不适用" w:id="141"/>
      <w:bookmarkEnd w:id="141"/>
      <w:r>
        <w:rPr/>
      </w:r>
      <w:r>
        <w:rPr/>
        <w:t>□ 适用 √</w:t>
      </w:r>
      <w:r>
        <w:rPr>
          <w:spacing w:val="4"/>
        </w:rPr>
        <w:t> </w:t>
      </w:r>
      <w:r>
        <w:rPr/>
        <w:t>不适用</w:t>
      </w:r>
    </w:p>
    <w:p>
      <w:pPr>
        <w:spacing w:line="240" w:lineRule="auto" w:before="12"/>
        <w:rPr>
          <w:rFonts w:ascii="宋体" w:hAnsi="宋体" w:cs="宋体" w:eastAsia="宋体" w:hint="default"/>
          <w:sz w:val="14"/>
          <w:szCs w:val="14"/>
        </w:rPr>
      </w:pPr>
    </w:p>
    <w:p>
      <w:pPr>
        <w:pStyle w:val="Heading4"/>
        <w:spacing w:line="240" w:lineRule="auto" w:before="0"/>
        <w:ind w:right="1024"/>
        <w:jc w:val="left"/>
        <w:rPr>
          <w:b w:val="0"/>
          <w:bCs w:val="0"/>
        </w:rPr>
      </w:pPr>
      <w:bookmarkStart w:name="（2）委托贷款情况" w:id="142"/>
      <w:bookmarkEnd w:id="142"/>
      <w:r>
        <w:rPr>
          <w:b w:val="0"/>
          <w:bCs w:val="0"/>
        </w:rPr>
      </w:r>
      <w:r>
        <w:rPr/>
        <w:t>（</w:t>
      </w:r>
      <w:r>
        <w:rPr>
          <w:rFonts w:ascii="宋体" w:hAnsi="宋体" w:cs="宋体" w:eastAsia="宋体" w:hint="default"/>
        </w:rPr>
        <w:t>2</w:t>
      </w:r>
      <w:r>
        <w:rPr/>
        <w:t>）委托贷款情况</w:t>
      </w:r>
      <w:r>
        <w:rPr>
          <w:b w:val="0"/>
          <w:bCs w:val="0"/>
        </w:rPr>
      </w:r>
    </w:p>
    <w:p>
      <w:pPr>
        <w:spacing w:line="240" w:lineRule="auto" w:before="8"/>
        <w:rPr>
          <w:rFonts w:ascii="宋体" w:hAnsi="宋体" w:cs="宋体" w:eastAsia="宋体" w:hint="default"/>
          <w:b/>
          <w:bCs/>
          <w:sz w:val="14"/>
          <w:szCs w:val="14"/>
        </w:rPr>
      </w:pPr>
    </w:p>
    <w:p>
      <w:pPr>
        <w:spacing w:line="410" w:lineRule="auto" w:before="0"/>
        <w:ind w:left="153" w:right="8962" w:firstLine="0"/>
        <w:jc w:val="left"/>
        <w:rPr>
          <w:rFonts w:ascii="宋体" w:hAnsi="宋体" w:cs="宋体" w:eastAsia="宋体" w:hint="default"/>
          <w:sz w:val="21"/>
          <w:szCs w:val="21"/>
        </w:rPr>
      </w:pPr>
      <w:bookmarkStart w:name="□ 适用 √ 不适用" w:id="143"/>
      <w:bookmarkEnd w:id="143"/>
      <w:r>
        <w:rPr/>
      </w: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4、其他重大合同" w:id="144"/>
      <w:bookmarkEnd w:id="144"/>
      <w:r>
        <w:rPr>
          <w:rFonts w:ascii="宋体" w:hAnsi="宋体" w:cs="宋体" w:eastAsia="宋体" w:hint="default"/>
          <w:w w:val="100"/>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410" w:lineRule="auto" w:before="41"/>
        <w:ind w:left="153" w:right="7271" w:firstLine="0"/>
        <w:jc w:val="left"/>
        <w:rPr>
          <w:rFonts w:ascii="宋体" w:hAnsi="宋体" w:cs="宋体" w:eastAsia="宋体" w:hint="default"/>
          <w:sz w:val="21"/>
          <w:szCs w:val="21"/>
        </w:rPr>
      </w:pPr>
      <w:bookmarkStart w:name="□ 适用 √ 不适用" w:id="145"/>
      <w:bookmarkEnd w:id="145"/>
      <w:r>
        <w:rPr/>
      </w: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公司报告期不存在其他重大合同。" w:id="146"/>
      <w:bookmarkEnd w:id="146"/>
      <w:r>
        <w:rPr>
          <w:rFonts w:ascii="宋体" w:hAnsi="宋体" w:cs="宋体" w:eastAsia="宋体" w:hint="default"/>
          <w:spacing w:val="-1"/>
          <w:sz w:val="21"/>
          <w:szCs w:val="21"/>
        </w:rPr>
        <w:t>公司报告</w:t>
      </w:r>
      <w:r>
        <w:rPr>
          <w:rFonts w:ascii="宋体" w:hAnsi="宋体" w:cs="宋体" w:eastAsia="宋体" w:hint="default"/>
          <w:spacing w:val="-1"/>
          <w:sz w:val="21"/>
          <w:szCs w:val="21"/>
        </w:rPr>
        <w:t>期不存在其他重大合同。</w:t>
      </w:r>
      <w:r>
        <w:rPr>
          <w:rFonts w:ascii="宋体" w:hAnsi="宋体" w:cs="宋体" w:eastAsia="宋体" w:hint="default"/>
          <w:spacing w:val="-87"/>
          <w:sz w:val="21"/>
          <w:szCs w:val="21"/>
        </w:rPr>
        <w:t> </w:t>
      </w:r>
      <w:r>
        <w:rPr>
          <w:rFonts w:ascii="宋体" w:hAnsi="宋体" w:cs="宋体" w:eastAsia="宋体" w:hint="default"/>
          <w:spacing w:val="-87"/>
          <w:sz w:val="21"/>
          <w:szCs w:val="21"/>
        </w:rPr>
      </w:r>
      <w:bookmarkStart w:name="十七、社会责任情况" w:id="147"/>
      <w:bookmarkEnd w:id="147"/>
      <w:r>
        <w:rPr>
          <w:rFonts w:ascii="宋体" w:hAnsi="宋体" w:cs="宋体" w:eastAsia="宋体" w:hint="default"/>
          <w:spacing w:val="-87"/>
          <w:sz w:val="21"/>
          <w:szCs w:val="21"/>
        </w:rPr>
      </w:r>
      <w:r>
        <w:rPr>
          <w:rFonts w:ascii="宋体" w:hAnsi="宋体" w:cs="宋体" w:eastAsia="宋体" w:hint="default"/>
          <w:b/>
          <w:bCs/>
          <w:sz w:val="21"/>
          <w:szCs w:val="21"/>
        </w:rPr>
        <w:t>十七、社会责任情况</w:t>
      </w:r>
      <w:r>
        <w:rPr>
          <w:rFonts w:ascii="宋体" w:hAnsi="宋体" w:cs="宋体" w:eastAsia="宋体" w:hint="default"/>
          <w:b/>
          <w:bCs/>
          <w:spacing w:val="-103"/>
          <w:sz w:val="21"/>
          <w:szCs w:val="21"/>
        </w:rPr>
        <w:t> </w:t>
      </w:r>
      <w:bookmarkStart w:name="1、履行社会责任情况" w:id="148"/>
      <w:bookmarkEnd w:id="148"/>
      <w:r>
        <w:rPr>
          <w:rFonts w:ascii="宋体" w:hAnsi="宋体" w:cs="宋体" w:eastAsia="宋体" w:hint="default"/>
          <w:b/>
          <w:bCs/>
          <w:spacing w:val="-103"/>
          <w:sz w:val="21"/>
          <w:szCs w:val="21"/>
        </w:rPr>
      </w:r>
      <w:r>
        <w:rPr>
          <w:rFonts w:ascii="宋体" w:hAnsi="宋体" w:cs="宋体" w:eastAsia="宋体" w:hint="default"/>
          <w:sz w:val="21"/>
          <w:szCs w:val="21"/>
        </w:rPr>
        <w:t>1</w:t>
      </w:r>
      <w:r>
        <w:rPr>
          <w:rFonts w:ascii="宋体" w:hAnsi="宋体" w:cs="宋体" w:eastAsia="宋体" w:hint="default"/>
          <w:sz w:val="21"/>
          <w:szCs w:val="21"/>
        </w:rPr>
        <w:t>、履行社会责任情况</w:t>
      </w:r>
    </w:p>
    <w:p>
      <w:pPr>
        <w:pStyle w:val="BodyText"/>
        <w:spacing w:line="410" w:lineRule="auto" w:before="41"/>
        <w:ind w:left="575" w:right="1024" w:hanging="423"/>
        <w:jc w:val="left"/>
      </w:pPr>
      <w:bookmarkStart w:name="（1）宗旨和理念" w:id="149"/>
      <w:bookmarkEnd w:id="149"/>
      <w:r>
        <w:rPr/>
      </w:r>
      <w:r>
        <w:rPr/>
        <w:t>（</w:t>
      </w:r>
      <w:r>
        <w:rPr>
          <w:rFonts w:ascii="宋体" w:hAnsi="宋体" w:cs="宋体" w:eastAsia="宋体" w:hint="default"/>
        </w:rPr>
        <w:t>1</w:t>
      </w:r>
      <w:r>
        <w:rPr/>
        <w:t>）宗旨和理念</w:t>
      </w:r>
      <w:r>
        <w:rPr>
          <w:spacing w:val="-101"/>
        </w:rPr>
        <w:t> </w:t>
      </w:r>
      <w:r>
        <w:rPr>
          <w:spacing w:val="-101"/>
        </w:rPr>
      </w:r>
      <w:bookmarkStart w:name="公司以可持续发展为核心，坚持履行社会责任促进企业改革发展相结合，把履行社会责任作" w:id="150"/>
      <w:bookmarkEnd w:id="150"/>
      <w:r>
        <w:rPr>
          <w:spacing w:val="-2"/>
        </w:rPr>
        <w:t>公司以可</w:t>
      </w:r>
      <w:r>
        <w:rPr>
          <w:spacing w:val="-2"/>
        </w:rPr>
        <w:t>持续发展为核心，坚持履行社会责任促进企业改革发展相结合，把履行社会责任作为建立现</w:t>
      </w:r>
    </w:p>
    <w:p>
      <w:pPr>
        <w:pStyle w:val="BodyText"/>
        <w:spacing w:line="408" w:lineRule="auto" w:before="41"/>
        <w:ind w:right="1030"/>
        <w:jc w:val="both"/>
      </w:pPr>
      <w:r>
        <w:rPr/>
        <w:t>代企业制度的重要内容；坚持履行社会责任企业管理运营相融合，把社会责任融入到企业的战略、决策、</w:t>
      </w:r>
      <w:r>
        <w:rPr>
          <w:spacing w:val="-30"/>
        </w:rPr>
        <w:t> </w:t>
      </w:r>
      <w:r>
        <w:rPr>
          <w:spacing w:val="-30"/>
        </w:rPr>
      </w:r>
      <w:r>
        <w:rPr/>
        <w:t>运营和管理中；坚持加强制度建设和监督检查，推动企业在诚信经营、产品服务、环境保护、安全生产、</w:t>
      </w:r>
      <w:r>
        <w:rPr>
          <w:spacing w:val="-30"/>
        </w:rPr>
        <w:t> </w:t>
      </w:r>
      <w:r>
        <w:rPr>
          <w:spacing w:val="-30"/>
        </w:rPr>
      </w:r>
      <w:r>
        <w:rPr/>
        <w:t>员工权益等方面履行承诺。</w:t>
      </w:r>
    </w:p>
    <w:p>
      <w:pPr>
        <w:pStyle w:val="BodyText"/>
        <w:spacing w:line="405" w:lineRule="auto" w:before="49"/>
        <w:ind w:left="575" w:right="1024" w:hanging="423"/>
        <w:jc w:val="left"/>
      </w:pPr>
      <w:r>
        <w:rPr/>
        <w:t>（</w:t>
      </w:r>
      <w:r>
        <w:rPr>
          <w:rFonts w:ascii="宋体" w:hAnsi="宋体" w:cs="宋体" w:eastAsia="宋体" w:hint="default"/>
        </w:rPr>
        <w:t>2</w:t>
      </w:r>
      <w:r>
        <w:rPr/>
        <w:t>）股东和债权人权益保护</w:t>
      </w:r>
      <w:r>
        <w:rPr>
          <w:spacing w:val="-100"/>
        </w:rPr>
        <w:t> </w:t>
      </w:r>
      <w:r>
        <w:rPr>
          <w:spacing w:val="-100"/>
        </w:rPr>
      </w:r>
      <w:r>
        <w:rPr>
          <w:spacing w:val="-2"/>
        </w:rPr>
        <w:t>公司通过投资者热线、现场接待、电话会、业绩说明会以及邮件、电话、深交所互动易平台等方式积</w:t>
      </w:r>
    </w:p>
    <w:p>
      <w:pPr>
        <w:pStyle w:val="BodyText"/>
        <w:spacing w:line="408" w:lineRule="auto" w:before="50"/>
        <w:ind w:right="1024"/>
        <w:jc w:val="left"/>
      </w:pPr>
      <w:r>
        <w:rPr>
          <w:spacing w:val="-2"/>
        </w:rPr>
        <w:t>极听取投资者的建议与意见，鼓励股东参加股东大会，加强与股东的沟通交流，保证股东知情权、参与权</w:t>
      </w:r>
      <w:r>
        <w:rPr>
          <w:spacing w:val="-33"/>
        </w:rPr>
        <w:t> </w:t>
      </w:r>
      <w:r>
        <w:rPr>
          <w:spacing w:val="-33"/>
        </w:rPr>
      </w:r>
      <w:r>
        <w:rPr/>
        <w:t>及经营成果的分享权。</w:t>
      </w:r>
    </w:p>
    <w:p>
      <w:pPr>
        <w:pStyle w:val="BodyText"/>
        <w:spacing w:line="405" w:lineRule="auto" w:before="48"/>
        <w:ind w:left="575" w:right="1024" w:hanging="423"/>
        <w:jc w:val="left"/>
      </w:pPr>
      <w:r>
        <w:rPr>
          <w:rFonts w:ascii="宋体" w:hAnsi="宋体" w:cs="宋体" w:eastAsia="宋体" w:hint="default"/>
        </w:rPr>
        <w:t>3</w:t>
      </w:r>
      <w:r>
        <w:rPr/>
        <w:t>）职工权益保护</w:t>
      </w:r>
      <w:r>
        <w:rPr>
          <w:spacing w:val="-101"/>
        </w:rPr>
        <w:t> </w:t>
      </w:r>
      <w:r>
        <w:rPr>
          <w:spacing w:val="-101"/>
        </w:rPr>
      </w:r>
      <w:r>
        <w:rPr>
          <w:spacing w:val="-2"/>
        </w:rPr>
        <w:t>严格遵守《中华人民共和国劳动法》和集体合同相关规定的要求，按期签订劳动合同，切实维护职工</w:t>
      </w:r>
    </w:p>
    <w:p>
      <w:pPr>
        <w:pStyle w:val="BodyText"/>
        <w:spacing w:line="408" w:lineRule="auto" w:before="50"/>
        <w:ind w:right="1125"/>
        <w:jc w:val="both"/>
      </w:pPr>
      <w:r>
        <w:rPr>
          <w:spacing w:val="-2"/>
        </w:rPr>
        <w:t>权益。严格遵守《中华人民共和国劳动合同法》等法律法规及相关政策要求，坚持平等、尊重和非歧视的</w:t>
      </w:r>
      <w:r>
        <w:rPr>
          <w:spacing w:val="-38"/>
        </w:rPr>
        <w:t> </w:t>
      </w:r>
      <w:r>
        <w:rPr>
          <w:spacing w:val="-38"/>
        </w:rPr>
      </w:r>
      <w:r>
        <w:rPr>
          <w:spacing w:val="-2"/>
        </w:rPr>
        <w:t>劳动用工政策，严格履行在工作内容、劳动保护、劳动报酬、休息休假等涉及员工权益方面的约定，未发</w:t>
      </w:r>
      <w:r>
        <w:rPr>
          <w:spacing w:val="-38"/>
        </w:rPr>
        <w:t> </w:t>
      </w:r>
      <w:r>
        <w:rPr>
          <w:spacing w:val="-38"/>
        </w:rPr>
      </w:r>
      <w:r>
        <w:rPr>
          <w:spacing w:val="-2"/>
        </w:rPr>
        <w:t>生重大劳动争议事件。致力健全科学合理、规范系统的绩效薪酬等福利保障体系，依法为员工按时、足额</w:t>
      </w:r>
    </w:p>
    <w:p>
      <w:pPr>
        <w:spacing w:after="0" w:line="408" w:lineRule="auto"/>
        <w:jc w:val="both"/>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240" w:lineRule="auto" w:before="36"/>
        <w:ind w:right="1024"/>
        <w:jc w:val="left"/>
      </w:pPr>
      <w:r>
        <w:rPr/>
        <w:t>缴纳工伤、养老、医疗、失业、生育等社会保险和住房公积金。</w:t>
      </w:r>
    </w:p>
    <w:p>
      <w:pPr>
        <w:spacing w:line="240" w:lineRule="auto" w:before="8"/>
        <w:rPr>
          <w:rFonts w:ascii="宋体" w:hAnsi="宋体" w:cs="宋体" w:eastAsia="宋体" w:hint="default"/>
          <w:sz w:val="14"/>
          <w:szCs w:val="14"/>
        </w:rPr>
      </w:pPr>
    </w:p>
    <w:p>
      <w:pPr>
        <w:pStyle w:val="BodyText"/>
        <w:spacing w:line="410" w:lineRule="auto"/>
        <w:ind w:left="575" w:right="1024"/>
        <w:jc w:val="left"/>
      </w:pPr>
      <w:r>
        <w:rPr/>
        <w:t>（</w:t>
      </w:r>
      <w:r>
        <w:rPr>
          <w:rFonts w:ascii="宋体" w:hAnsi="宋体" w:cs="宋体" w:eastAsia="宋体" w:hint="default"/>
        </w:rPr>
        <w:t>4</w:t>
      </w:r>
      <w:r>
        <w:rPr/>
        <w:t>）供应商、客户权益保护</w:t>
      </w:r>
      <w:r>
        <w:rPr>
          <w:spacing w:val="-101"/>
        </w:rPr>
        <w:t> </w:t>
      </w:r>
      <w:r>
        <w:rPr>
          <w:spacing w:val="-101"/>
        </w:rPr>
      </w:r>
      <w:r>
        <w:rPr>
          <w:spacing w:val="-2"/>
        </w:rPr>
        <w:t>公司已建立供应商评价体系，对供应商进行全面的事前、事中、事后全方位考核与评估，为供应商提</w:t>
      </w:r>
    </w:p>
    <w:p>
      <w:pPr>
        <w:pStyle w:val="BodyText"/>
        <w:spacing w:line="410" w:lineRule="auto" w:before="41"/>
        <w:ind w:right="1024"/>
        <w:jc w:val="left"/>
      </w:pPr>
      <w:r>
        <w:rPr>
          <w:spacing w:val="-2"/>
        </w:rPr>
        <w:t>供公平透明的竞争环境，削减供应商寻租空间，也为优秀供应商的成长提供良好的条件，关注和保障供应</w:t>
      </w:r>
      <w:r>
        <w:rPr>
          <w:spacing w:val="-33"/>
        </w:rPr>
        <w:t> </w:t>
      </w:r>
      <w:r>
        <w:rPr>
          <w:spacing w:val="-33"/>
        </w:rPr>
      </w:r>
      <w:r>
        <w:rPr/>
        <w:t>商利益，力图与供应商实现共赢。</w:t>
      </w:r>
    </w:p>
    <w:p>
      <w:pPr>
        <w:pStyle w:val="BodyText"/>
        <w:spacing w:line="410" w:lineRule="auto" w:before="41"/>
        <w:ind w:right="1125" w:firstLine="422"/>
        <w:jc w:val="both"/>
      </w:pPr>
      <w:r>
        <w:rPr>
          <w:spacing w:val="-2"/>
        </w:rPr>
        <w:t>公司电力业务主要客户是国家电网及各网省电力公司，在产品交付中严把质量关，同时建立完善的售</w:t>
      </w:r>
      <w:r>
        <w:rPr>
          <w:w w:val="100"/>
        </w:rPr>
        <w:t> </w:t>
      </w:r>
      <w:r>
        <w:rPr/>
        <w:t>后服务体系，保质保量的完成客户需求，深受客户好评。</w:t>
      </w:r>
    </w:p>
    <w:p>
      <w:pPr>
        <w:pStyle w:val="BodyText"/>
        <w:spacing w:line="410" w:lineRule="auto" w:before="41"/>
        <w:ind w:left="575" w:right="1024" w:hanging="423"/>
        <w:jc w:val="left"/>
      </w:pPr>
      <w:r>
        <w:rPr/>
        <w:t>（</w:t>
      </w:r>
      <w:r>
        <w:rPr>
          <w:rFonts w:ascii="宋体" w:hAnsi="宋体" w:cs="宋体" w:eastAsia="宋体" w:hint="default"/>
        </w:rPr>
        <w:t>5</w:t>
      </w:r>
      <w:r>
        <w:rPr/>
        <w:t>）公共关系和社会公益事业</w:t>
      </w:r>
      <w:r>
        <w:rPr>
          <w:spacing w:val="-99"/>
        </w:rPr>
        <w:t> </w:t>
      </w:r>
      <w:r>
        <w:rPr>
          <w:spacing w:val="-99"/>
        </w:rPr>
      </w:r>
      <w:r>
        <w:rPr/>
        <w:t>公司在保持生产经营平稳发展的同时，积极履行依法纳税的义务，注重加强与相关部门的沟通联系。</w:t>
      </w:r>
    </w:p>
    <w:p>
      <w:pPr>
        <w:pStyle w:val="BodyText"/>
        <w:spacing w:line="408" w:lineRule="auto" w:before="42"/>
        <w:ind w:right="1024"/>
        <w:jc w:val="left"/>
        <w:rPr>
          <w:rFonts w:ascii="宋体" w:hAnsi="宋体" w:cs="宋体" w:eastAsia="宋体" w:hint="default"/>
        </w:rPr>
      </w:pPr>
      <w:r>
        <w:rPr>
          <w:spacing w:val="-2"/>
        </w:rPr>
        <w:t>在企业成长的同时，公司不忘积极投身于公益事业，长期关注贵州贫困地区留守儿童教育问题，定点帮助</w:t>
      </w:r>
      <w:r>
        <w:rPr>
          <w:spacing w:val="-33"/>
        </w:rPr>
        <w:t> </w:t>
      </w:r>
      <w:r>
        <w:rPr>
          <w:spacing w:val="-33"/>
        </w:rPr>
      </w:r>
      <w:r>
        <w:rPr/>
        <w:t>贵州大方县大沟小学，组织员工捐款捐物，为留守儿童身心健康成长贡献自己的力量。</w:t>
      </w:r>
      <w:r>
        <w:rPr>
          <w:w w:val="100"/>
        </w:rPr>
        <w:t> </w:t>
      </w:r>
      <w:bookmarkStart w:name="2、履行精准扶贫社会责任情况" w:id="151"/>
      <w:bookmarkEnd w:id="151"/>
      <w:r>
        <w:rPr>
          <w:w w:val="100"/>
        </w:rPr>
      </w:r>
      <w:r>
        <w:rPr>
          <w:rFonts w:ascii="宋体" w:hAnsi="宋体" w:cs="宋体" w:eastAsia="宋体" w:hint="default"/>
          <w:b/>
          <w:bCs/>
        </w:rPr>
        <w:t>2</w:t>
      </w:r>
      <w:r>
        <w:rPr>
          <w:rFonts w:ascii="宋体" w:hAnsi="宋体" w:cs="宋体" w:eastAsia="宋体" w:hint="default"/>
          <w:b/>
          <w:bCs/>
        </w:rPr>
        <w:t>、履行精准扶贫社会责任情况</w:t>
      </w:r>
      <w:r>
        <w:rPr>
          <w:rFonts w:ascii="宋体" w:hAnsi="宋体" w:cs="宋体" w:eastAsia="宋体" w:hint="default"/>
        </w:rPr>
      </w:r>
    </w:p>
    <w:p>
      <w:pPr>
        <w:spacing w:line="408" w:lineRule="auto" w:before="48"/>
        <w:ind w:left="153" w:right="2353" w:firstLine="422"/>
        <w:jc w:val="left"/>
        <w:rPr>
          <w:rFonts w:ascii="宋体" w:hAnsi="宋体" w:cs="宋体" w:eastAsia="宋体" w:hint="default"/>
          <w:sz w:val="21"/>
          <w:szCs w:val="21"/>
        </w:rPr>
      </w:pPr>
      <w:r>
        <w:rPr>
          <w:rFonts w:ascii="宋体" w:hAnsi="宋体" w:cs="宋体" w:eastAsia="宋体" w:hint="default"/>
          <w:spacing w:val="-2"/>
          <w:sz w:val="21"/>
          <w:szCs w:val="21"/>
        </w:rPr>
        <w:t>公司报告年度暂未开展精准扶贫工作，也暂无后续精准扶贫计划。</w:t>
      </w:r>
      <w:r>
        <w:rPr>
          <w:rFonts w:ascii="宋体" w:hAnsi="宋体" w:cs="宋体" w:eastAsia="宋体" w:hint="default"/>
          <w:w w:val="100"/>
          <w:sz w:val="21"/>
          <w:szCs w:val="21"/>
        </w:rPr>
        <w:t> </w:t>
      </w:r>
      <w:bookmarkStart w:name="3、环境保护相关的情况" w:id="152"/>
      <w:bookmarkEnd w:id="152"/>
      <w:r>
        <w:rPr>
          <w:rFonts w:ascii="宋体" w:hAnsi="宋体" w:cs="宋体" w:eastAsia="宋体" w:hint="default"/>
          <w:w w:val="100"/>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pStyle w:val="BodyText"/>
        <w:spacing w:line="408" w:lineRule="auto" w:before="48"/>
        <w:ind w:right="1124" w:firstLine="422"/>
        <w:jc w:val="both"/>
      </w:pPr>
      <w:r>
        <w:rPr>
          <w:spacing w:val="-2"/>
        </w:rPr>
        <w:t>公司电力业务主要从事智能电网系统的软、硬件研发、生产、销售、工程及服务，属于电力自动化行</w:t>
      </w:r>
      <w:r>
        <w:rPr>
          <w:w w:val="100"/>
        </w:rPr>
        <w:t> </w:t>
      </w:r>
      <w:r>
        <w:rPr>
          <w:spacing w:val="-2"/>
        </w:rPr>
        <w:t>业，公司及子公司不属于环境保护部门公布的重点排污单位。公司一直高度重视环境保护工作，建立了公</w:t>
      </w:r>
      <w:r>
        <w:rPr>
          <w:spacing w:val="-33"/>
        </w:rPr>
        <w:t> </w:t>
      </w:r>
      <w:r>
        <w:rPr>
          <w:spacing w:val="-33"/>
        </w:rPr>
      </w:r>
      <w:r>
        <w:rPr>
          <w:spacing w:val="-2"/>
        </w:rPr>
        <w:t>司环保管理网络</w:t>
      </w:r>
      <w:r>
        <w:rPr>
          <w:rFonts w:ascii="宋体" w:hAnsi="宋体" w:cs="宋体" w:eastAsia="宋体" w:hint="default"/>
          <w:spacing w:val="-2"/>
        </w:rPr>
        <w:t>,</w:t>
      </w:r>
      <w:r>
        <w:rPr>
          <w:spacing w:val="-2"/>
        </w:rPr>
        <w:t>完善日常巡查的运行监督机制，完善环保基础设施配置</w:t>
      </w:r>
      <w:r>
        <w:rPr>
          <w:rFonts w:ascii="宋体" w:hAnsi="宋体" w:cs="宋体" w:eastAsia="宋体" w:hint="default"/>
          <w:spacing w:val="-2"/>
        </w:rPr>
        <w:t>,</w:t>
      </w:r>
      <w:r>
        <w:rPr>
          <w:spacing w:val="-2"/>
        </w:rPr>
        <w:t>对工艺操作、设备、设施、厂区</w:t>
      </w:r>
      <w:r>
        <w:rPr>
          <w:spacing w:val="-34"/>
        </w:rPr>
        <w:t> </w:t>
      </w:r>
      <w:r>
        <w:rPr>
          <w:spacing w:val="-34"/>
        </w:rPr>
      </w:r>
      <w:r>
        <w:rPr/>
        <w:t>绿化等方面进行环保管理</w:t>
      </w:r>
      <w:r>
        <w:rPr>
          <w:rFonts w:ascii="宋体" w:hAnsi="宋体" w:cs="宋体" w:eastAsia="宋体" w:hint="default"/>
        </w:rPr>
        <w:t>,</w:t>
      </w:r>
      <w:r>
        <w:rPr>
          <w:rFonts w:ascii="宋体" w:hAnsi="宋体" w:cs="宋体" w:eastAsia="宋体" w:hint="default"/>
          <w:spacing w:val="-18"/>
        </w:rPr>
        <w:t> </w:t>
      </w:r>
      <w:r>
        <w:rPr/>
        <w:t>公司已通过环境保护治理设计，外排的各种污染物均能达到国家排放标准，报</w:t>
      </w:r>
      <w:r>
        <w:rPr>
          <w:w w:val="100"/>
        </w:rPr>
        <w:t> </w:t>
      </w:r>
      <w:r>
        <w:rPr/>
        <w:t>告期内未发生环境污染事故，亦未受到任何形式的环境保护行政处罚。</w:t>
      </w:r>
    </w:p>
    <w:p>
      <w:pPr>
        <w:pStyle w:val="Heading2"/>
        <w:spacing w:line="240" w:lineRule="auto" w:before="18"/>
        <w:ind w:right="1024"/>
        <w:jc w:val="left"/>
        <w:rPr>
          <w:b w:val="0"/>
          <w:bCs w:val="0"/>
        </w:rPr>
      </w:pPr>
      <w:bookmarkStart w:name="十八、其他重大事项的说明" w:id="153"/>
      <w:bookmarkEnd w:id="153"/>
      <w:r>
        <w:rPr>
          <w:b w:val="0"/>
          <w:bCs w:val="0"/>
        </w:rPr>
      </w:r>
      <w:r>
        <w:rPr/>
        <w:t>十八、其他重大事项的说明</w:t>
      </w:r>
      <w:r>
        <w:rPr>
          <w:b w:val="0"/>
          <w:bCs w:val="0"/>
        </w:rPr>
      </w:r>
    </w:p>
    <w:p>
      <w:pPr>
        <w:pStyle w:val="BodyText"/>
        <w:spacing w:line="240" w:lineRule="auto" w:before="182"/>
        <w:ind w:right="1024"/>
        <w:jc w:val="left"/>
      </w:pPr>
      <w:r>
        <w:rPr/>
        <w:t>□ 适用 √</w:t>
      </w:r>
      <w:r>
        <w:rPr>
          <w:spacing w:val="4"/>
        </w:rPr>
        <w:t> </w:t>
      </w:r>
      <w:r>
        <w:rPr/>
        <w:t>不适用</w:t>
      </w:r>
    </w:p>
    <w:p>
      <w:pPr>
        <w:pStyle w:val="Heading2"/>
        <w:spacing w:line="240" w:lineRule="auto" w:before="165"/>
        <w:ind w:right="1024"/>
        <w:jc w:val="left"/>
        <w:rPr>
          <w:b w:val="0"/>
          <w:bCs w:val="0"/>
        </w:rPr>
      </w:pPr>
      <w:bookmarkStart w:name="十九、公司子公司重大事项" w:id="154"/>
      <w:bookmarkEnd w:id="154"/>
      <w:r>
        <w:rPr>
          <w:b w:val="0"/>
          <w:bCs w:val="0"/>
        </w:rPr>
      </w:r>
      <w:r>
        <w:rPr/>
        <w:t>十九、公司子公司重大事项</w:t>
      </w:r>
      <w:r>
        <w:rPr>
          <w:b w:val="0"/>
          <w:bCs w:val="0"/>
        </w:rPr>
      </w:r>
    </w:p>
    <w:p>
      <w:pPr>
        <w:pStyle w:val="BodyText"/>
        <w:spacing w:line="240" w:lineRule="auto" w:before="181"/>
        <w:ind w:right="1024"/>
        <w:jc w:val="left"/>
      </w:pPr>
      <w:r>
        <w:rPr/>
        <w:t>□ 适用 √</w:t>
      </w:r>
      <w:r>
        <w:rPr>
          <w:spacing w:val="4"/>
        </w:rPr>
        <w:t> </w:t>
      </w:r>
      <w:r>
        <w:rPr/>
        <w:t>不适用</w:t>
      </w:r>
    </w:p>
    <w:p>
      <w:pPr>
        <w:spacing w:after="0" w:line="240" w:lineRule="auto"/>
        <w:jc w:val="left"/>
        <w:sectPr>
          <w:pgSz w:w="11910" w:h="16840"/>
          <w:pgMar w:header="871" w:footer="1037" w:top="110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1024"/>
        <w:jc w:val="left"/>
        <w:rPr>
          <w:b w:val="0"/>
          <w:bCs w:val="0"/>
        </w:rPr>
      </w:pPr>
      <w:bookmarkStart w:name="第六节 股份变动及股东情况" w:id="155"/>
      <w:bookmarkEnd w:id="155"/>
      <w:r>
        <w:rPr>
          <w:b w:val="0"/>
          <w:bCs w:val="0"/>
        </w:rPr>
      </w:r>
      <w:bookmarkStart w:name="_bookmark5" w:id="156"/>
      <w:bookmarkEnd w:id="156"/>
      <w:r>
        <w:rPr>
          <w:b w:val="0"/>
          <w:bCs w:val="0"/>
        </w:rPr>
      </w:r>
      <w:r>
        <w:rPr/>
        <w:t>第六节</w:t>
      </w:r>
      <w:r>
        <w:rPr>
          <w:spacing w:val="1"/>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024"/>
        <w:jc w:val="left"/>
        <w:rPr>
          <w:b w:val="0"/>
          <w:bCs w:val="0"/>
        </w:rPr>
      </w:pPr>
      <w:bookmarkStart w:name="一、股份变动情况" w:id="157"/>
      <w:bookmarkEnd w:id="157"/>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before="0"/>
        <w:ind w:right="1024"/>
        <w:jc w:val="left"/>
        <w:rPr>
          <w:b w:val="0"/>
          <w:bCs w:val="0"/>
        </w:rPr>
      </w:pPr>
      <w:bookmarkStart w:name="1、股份变动情况" w:id="158"/>
      <w:bookmarkEnd w:id="158"/>
      <w:r>
        <w:rPr>
          <w:b w:val="0"/>
          <w:bCs w:val="0"/>
        </w:rPr>
      </w:r>
      <w:r>
        <w:rPr>
          <w:rFonts w:ascii="宋体" w:hAnsi="宋体" w:cs="宋体" w:eastAsia="宋体" w:hint="default"/>
        </w:rPr>
        <w:t>1</w:t>
      </w:r>
      <w:r>
        <w:rPr/>
        <w:t>、股份变动情况</w:t>
      </w:r>
      <w:r>
        <w:rPr>
          <w:b w:val="0"/>
          <w:bCs w:val="0"/>
        </w:rPr>
      </w:r>
    </w:p>
    <w:p>
      <w:pPr>
        <w:spacing w:line="240" w:lineRule="auto" w:before="5"/>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695"/>
        <w:gridCol w:w="1301"/>
        <w:gridCol w:w="903"/>
        <w:gridCol w:w="614"/>
        <w:gridCol w:w="509"/>
        <w:gridCol w:w="720"/>
        <w:gridCol w:w="1157"/>
        <w:gridCol w:w="1215"/>
        <w:gridCol w:w="1244"/>
        <w:gridCol w:w="917"/>
      </w:tblGrid>
      <w:tr>
        <w:trPr>
          <w:trHeight w:val="408" w:hRule="exact"/>
        </w:trPr>
        <w:tc>
          <w:tcPr>
            <w:tcW w:w="1695" w:type="dxa"/>
            <w:vMerge w:val="restart"/>
            <w:tcBorders>
              <w:top w:val="single" w:sz="12" w:space="0" w:color="000000"/>
              <w:left w:val="single" w:sz="12" w:space="0" w:color="000000"/>
              <w:right w:val="single" w:sz="4" w:space="0" w:color="000000"/>
            </w:tcBorders>
            <w:shd w:val="clear" w:color="auto" w:fill="D2D2D2"/>
          </w:tcPr>
          <w:p>
            <w:pPr/>
          </w:p>
        </w:tc>
        <w:tc>
          <w:tcPr>
            <w:tcW w:w="2204"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13"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2161" w:type="dxa"/>
            <w:gridSpan w:val="2"/>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62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027" w:hRule="exact"/>
        </w:trPr>
        <w:tc>
          <w:tcPr>
            <w:tcW w:w="1695" w:type="dxa"/>
            <w:vMerge/>
            <w:tcBorders>
              <w:left w:val="single" w:sz="12" w:space="0" w:color="000000"/>
              <w:bottom w:val="single" w:sz="4" w:space="0" w:color="000000"/>
              <w:right w:val="single" w:sz="4" w:space="0" w:color="000000"/>
            </w:tcBorders>
            <w:shd w:val="clear" w:color="auto" w:fill="D2D2D2"/>
          </w:tcPr>
          <w:p>
            <w:pP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6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24" w:right="113"/>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pacing w:val="-86"/>
                <w:sz w:val="18"/>
                <w:szCs w:val="18"/>
              </w:rPr>
              <w:t> </w:t>
            </w:r>
            <w:r>
              <w:rPr>
                <w:rFonts w:ascii="宋体" w:hAnsi="宋体" w:cs="宋体" w:eastAsia="宋体" w:hint="default"/>
                <w:sz w:val="18"/>
                <w:szCs w:val="18"/>
              </w:rPr>
              <w:t>新股</w:t>
            </w:r>
          </w:p>
        </w:tc>
        <w:tc>
          <w:tcPr>
            <w:tcW w:w="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63" w:right="151"/>
              <w:jc w:val="left"/>
              <w:rPr>
                <w:rFonts w:ascii="宋体" w:hAnsi="宋体" w:cs="宋体" w:eastAsia="宋体" w:hint="default"/>
                <w:sz w:val="18"/>
                <w:szCs w:val="18"/>
              </w:rPr>
            </w:pPr>
            <w:r>
              <w:rPr>
                <w:rFonts w:ascii="宋体" w:hAnsi="宋体" w:cs="宋体" w:eastAsia="宋体" w:hint="default"/>
                <w:sz w:val="18"/>
                <w:szCs w:val="18"/>
              </w:rPr>
              <w:t>送</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77" w:right="167"/>
              <w:jc w:val="both"/>
              <w:rPr>
                <w:rFonts w:ascii="宋体" w:hAnsi="宋体" w:cs="宋体" w:eastAsia="宋体" w:hint="default"/>
                <w:sz w:val="18"/>
                <w:szCs w:val="18"/>
              </w:rPr>
            </w:pPr>
            <w:r>
              <w:rPr>
                <w:rFonts w:ascii="宋体" w:hAnsi="宋体" w:cs="宋体" w:eastAsia="宋体" w:hint="default"/>
                <w:sz w:val="18"/>
                <w:szCs w:val="18"/>
              </w:rPr>
              <w:t>公积</w:t>
            </w:r>
            <w:r>
              <w:rPr>
                <w:rFonts w:ascii="宋体" w:hAnsi="宋体" w:cs="宋体" w:eastAsia="宋体" w:hint="default"/>
                <w:spacing w:val="-86"/>
                <w:sz w:val="18"/>
                <w:szCs w:val="18"/>
              </w:rPr>
              <w:t> </w:t>
            </w:r>
            <w:r>
              <w:rPr>
                <w:rFonts w:ascii="宋体" w:hAnsi="宋体" w:cs="宋体" w:eastAsia="宋体" w:hint="default"/>
                <w:sz w:val="18"/>
                <w:szCs w:val="18"/>
              </w:rPr>
              <w:t>金转</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5"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17"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7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6" w:hRule="exact"/>
        </w:trPr>
        <w:tc>
          <w:tcPr>
            <w:tcW w:w="16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4"/>
              <w:ind w:left="95" w:right="132"/>
              <w:jc w:val="left"/>
              <w:rPr>
                <w:rFonts w:ascii="宋体" w:hAnsi="宋体" w:cs="宋体" w:eastAsia="宋体" w:hint="default"/>
                <w:sz w:val="18"/>
                <w:szCs w:val="18"/>
              </w:rPr>
            </w:pPr>
            <w:r>
              <w:rPr>
                <w:rFonts w:ascii="宋体" w:hAnsi="宋体" w:cs="宋体" w:eastAsia="宋体" w:hint="default"/>
                <w:sz w:val="18"/>
                <w:szCs w:val="18"/>
              </w:rPr>
              <w:t>一、有限售条件股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42,346,098</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10.30%</w:t>
            </w:r>
          </w:p>
        </w:tc>
        <w:tc>
          <w:tcPr>
            <w:tcW w:w="61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-4,944,725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-4,944,725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37,401,373</w:t>
            </w:r>
          </w:p>
        </w:tc>
        <w:tc>
          <w:tcPr>
            <w:tcW w:w="9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z w:val="18"/>
              </w:rPr>
              <w:t>9.10%</w:t>
            </w:r>
          </w:p>
        </w:tc>
      </w:tr>
      <w:tr>
        <w:trPr>
          <w:trHeight w:val="403" w:hRule="exact"/>
        </w:trPr>
        <w:tc>
          <w:tcPr>
            <w:tcW w:w="16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42,346,098</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10.30%</w:t>
            </w:r>
          </w:p>
        </w:tc>
        <w:tc>
          <w:tcPr>
            <w:tcW w:w="61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-4,944,725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-4,944,725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37,401,373</w:t>
            </w:r>
          </w:p>
        </w:tc>
        <w:tc>
          <w:tcPr>
            <w:tcW w:w="9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9.10%</w:t>
            </w:r>
          </w:p>
        </w:tc>
      </w:tr>
      <w:tr>
        <w:trPr>
          <w:trHeight w:val="716" w:hRule="exact"/>
        </w:trPr>
        <w:tc>
          <w:tcPr>
            <w:tcW w:w="16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32"/>
              <w:jc w:val="left"/>
              <w:rPr>
                <w:rFonts w:ascii="宋体" w:hAnsi="宋体" w:cs="宋体" w:eastAsia="宋体" w:hint="default"/>
                <w:sz w:val="18"/>
                <w:szCs w:val="18"/>
              </w:rPr>
            </w:pPr>
            <w:r>
              <w:rPr>
                <w:rFonts w:ascii="宋体" w:hAnsi="宋体" w:cs="宋体" w:eastAsia="宋体" w:hint="default"/>
                <w:sz w:val="18"/>
                <w:szCs w:val="18"/>
              </w:rPr>
              <w:t>其中：境内法人持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1301"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16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z w:val="18"/>
                <w:szCs w:val="18"/>
              </w:rPr>
              <w:t>境内自然人</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42,346,098</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10.30%</w:t>
            </w:r>
          </w:p>
        </w:tc>
        <w:tc>
          <w:tcPr>
            <w:tcW w:w="61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-4,944,725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-4,944,725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37,401,373</w:t>
            </w:r>
          </w:p>
        </w:tc>
        <w:tc>
          <w:tcPr>
            <w:tcW w:w="9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z w:val="18"/>
              </w:rPr>
              <w:t>9.10%</w:t>
            </w:r>
          </w:p>
        </w:tc>
      </w:tr>
      <w:tr>
        <w:trPr>
          <w:trHeight w:val="715" w:hRule="exact"/>
        </w:trPr>
        <w:tc>
          <w:tcPr>
            <w:tcW w:w="16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32"/>
              <w:jc w:val="left"/>
              <w:rPr>
                <w:rFonts w:ascii="宋体" w:hAnsi="宋体" w:cs="宋体" w:eastAsia="宋体" w:hint="default"/>
                <w:sz w:val="18"/>
                <w:szCs w:val="18"/>
              </w:rPr>
            </w:pPr>
            <w:r>
              <w:rPr>
                <w:rFonts w:ascii="宋体" w:hAnsi="宋体" w:cs="宋体" w:eastAsia="宋体" w:hint="default"/>
                <w:sz w:val="18"/>
                <w:szCs w:val="18"/>
              </w:rPr>
              <w:t>二、无限售条件股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368,772,272</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89.70%</w:t>
            </w:r>
          </w:p>
        </w:tc>
        <w:tc>
          <w:tcPr>
            <w:tcW w:w="61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4,944,725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4,944,725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373,716,997</w:t>
            </w:r>
          </w:p>
        </w:tc>
        <w:tc>
          <w:tcPr>
            <w:tcW w:w="9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90.90%</w:t>
            </w:r>
          </w:p>
        </w:tc>
      </w:tr>
      <w:tr>
        <w:trPr>
          <w:trHeight w:val="404" w:hRule="exact"/>
        </w:trPr>
        <w:tc>
          <w:tcPr>
            <w:tcW w:w="169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368,772,272</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89.70%</w:t>
            </w:r>
          </w:p>
        </w:tc>
        <w:tc>
          <w:tcPr>
            <w:tcW w:w="614" w:type="dxa"/>
            <w:tcBorders>
              <w:top w:val="single" w:sz="4" w:space="0" w:color="000000"/>
              <w:left w:val="single" w:sz="4" w:space="0" w:color="000000"/>
              <w:bottom w:val="single" w:sz="4" w:space="0" w:color="000000"/>
              <w:right w:val="single" w:sz="4" w:space="0" w:color="000000"/>
            </w:tcBorders>
          </w:tcPr>
          <w:p>
            <w:pPr/>
          </w:p>
        </w:tc>
        <w:tc>
          <w:tcPr>
            <w:tcW w:w="50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3"/>
              <w:jc w:val="right"/>
              <w:rPr>
                <w:rFonts w:ascii="宋体" w:hAnsi="宋体" w:cs="宋体" w:eastAsia="宋体" w:hint="default"/>
                <w:sz w:val="18"/>
                <w:szCs w:val="18"/>
              </w:rPr>
            </w:pPr>
            <w:r>
              <w:rPr>
                <w:rFonts w:ascii="宋体"/>
                <w:spacing w:val="-1"/>
                <w:sz w:val="18"/>
              </w:rPr>
              <w:t>4,944,725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3"/>
              <w:jc w:val="right"/>
              <w:rPr>
                <w:rFonts w:ascii="宋体" w:hAnsi="宋体" w:cs="宋体" w:eastAsia="宋体" w:hint="default"/>
                <w:sz w:val="18"/>
                <w:szCs w:val="18"/>
              </w:rPr>
            </w:pPr>
            <w:r>
              <w:rPr>
                <w:rFonts w:ascii="宋体"/>
                <w:spacing w:val="-1"/>
                <w:sz w:val="18"/>
              </w:rPr>
              <w:t>4,944,725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373,716,997</w:t>
            </w:r>
          </w:p>
        </w:tc>
        <w:tc>
          <w:tcPr>
            <w:tcW w:w="9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90.90%</w:t>
            </w:r>
          </w:p>
        </w:tc>
      </w:tr>
      <w:tr>
        <w:trPr>
          <w:trHeight w:val="413" w:hRule="exact"/>
        </w:trPr>
        <w:tc>
          <w:tcPr>
            <w:tcW w:w="169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411,118,370</w:t>
            </w:r>
          </w:p>
        </w:tc>
        <w:tc>
          <w:tcPr>
            <w:tcW w:w="9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100.00%</w:t>
            </w:r>
          </w:p>
        </w:tc>
        <w:tc>
          <w:tcPr>
            <w:tcW w:w="614" w:type="dxa"/>
            <w:tcBorders>
              <w:top w:val="single" w:sz="4" w:space="0" w:color="000000"/>
              <w:left w:val="single" w:sz="4" w:space="0" w:color="000000"/>
              <w:bottom w:val="single" w:sz="12" w:space="0" w:color="000000"/>
              <w:right w:val="single" w:sz="4" w:space="0" w:color="000000"/>
            </w:tcBorders>
          </w:tcPr>
          <w:p>
            <w:pPr/>
          </w:p>
        </w:tc>
        <w:tc>
          <w:tcPr>
            <w:tcW w:w="509" w:type="dxa"/>
            <w:tcBorders>
              <w:top w:val="single" w:sz="4" w:space="0" w:color="000000"/>
              <w:left w:val="single" w:sz="4" w:space="0" w:color="000000"/>
              <w:bottom w:val="single" w:sz="12" w:space="0" w:color="000000"/>
              <w:right w:val="single" w:sz="4" w:space="0" w:color="000000"/>
            </w:tcBorders>
          </w:tcPr>
          <w:p>
            <w:pPr/>
          </w:p>
        </w:tc>
        <w:tc>
          <w:tcPr>
            <w:tcW w:w="720" w:type="dxa"/>
            <w:tcBorders>
              <w:top w:val="single" w:sz="4" w:space="0" w:color="000000"/>
              <w:left w:val="single" w:sz="4" w:space="0" w:color="000000"/>
              <w:bottom w:val="single" w:sz="12" w:space="0" w:color="000000"/>
              <w:right w:val="single" w:sz="4" w:space="0" w:color="000000"/>
            </w:tcBorders>
          </w:tcPr>
          <w:p>
            <w:pPr/>
          </w:p>
        </w:tc>
        <w:tc>
          <w:tcPr>
            <w:tcW w:w="11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w w:val="101"/>
                <w:sz w:val="18"/>
              </w:rPr>
              <w:t>0</w:t>
            </w:r>
            <w:r>
              <w:rPr>
                <w:rFonts w:ascii="宋体"/>
                <w:sz w:val="18"/>
              </w:rPr>
            </w:r>
          </w:p>
        </w:tc>
        <w:tc>
          <w:tcPr>
            <w:tcW w:w="12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w w:val="101"/>
                <w:sz w:val="18"/>
              </w:rPr>
              <w:t>0</w:t>
            </w:r>
            <w:r>
              <w:rPr>
                <w:rFonts w:ascii="宋体"/>
                <w:sz w:val="18"/>
              </w:rPr>
            </w:r>
          </w:p>
        </w:tc>
        <w:tc>
          <w:tcPr>
            <w:tcW w:w="12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411,118,370</w:t>
            </w:r>
          </w:p>
        </w:tc>
        <w:tc>
          <w:tcPr>
            <w:tcW w:w="91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100.00%</w:t>
            </w:r>
          </w:p>
        </w:tc>
      </w:tr>
    </w:tbl>
    <w:p>
      <w:pPr>
        <w:spacing w:line="240" w:lineRule="auto" w:before="8"/>
        <w:rPr>
          <w:rFonts w:ascii="宋体" w:hAnsi="宋体" w:cs="宋体" w:eastAsia="宋体" w:hint="default"/>
          <w:sz w:val="5"/>
          <w:szCs w:val="5"/>
        </w:rPr>
      </w:pPr>
    </w:p>
    <w:p>
      <w:pPr>
        <w:pStyle w:val="BodyText"/>
        <w:spacing w:line="240" w:lineRule="auto" w:before="36"/>
        <w:ind w:right="1024"/>
        <w:jc w:val="left"/>
      </w:pPr>
      <w:r>
        <w:rPr/>
        <w:t>股份变动的原因</w:t>
      </w:r>
    </w:p>
    <w:p>
      <w:pPr>
        <w:spacing w:line="240" w:lineRule="auto" w:before="7"/>
        <w:rPr>
          <w:rFonts w:ascii="宋体" w:hAnsi="宋体" w:cs="宋体" w:eastAsia="宋体" w:hint="default"/>
          <w:sz w:val="17"/>
          <w:szCs w:val="17"/>
        </w:rPr>
      </w:pPr>
    </w:p>
    <w:p>
      <w:pPr>
        <w:pStyle w:val="BodyText"/>
        <w:spacing w:line="424" w:lineRule="auto"/>
        <w:ind w:right="2353"/>
        <w:jc w:val="left"/>
      </w:pPr>
      <w:r>
        <w:rPr/>
        <w:t>√ 适用 □ 不适用</w:t>
      </w:r>
      <w:r>
        <w:rPr>
          <w:spacing w:val="-101"/>
        </w:rPr>
        <w:t> </w:t>
      </w:r>
      <w:r>
        <w:rPr>
          <w:spacing w:val="-101"/>
        </w:rPr>
      </w:r>
      <w:r>
        <w:rPr>
          <w:spacing w:val="-2"/>
        </w:rPr>
        <w:t>报告期内董监高持有的限售股自动解锁，其股份性质变为无限售条件股份。</w:t>
      </w:r>
      <w:r>
        <w:rPr>
          <w:spacing w:val="-40"/>
        </w:rPr>
        <w:t> </w:t>
      </w:r>
      <w:r>
        <w:rPr>
          <w:spacing w:val="-40"/>
        </w:rPr>
      </w:r>
      <w:r>
        <w:rPr/>
        <w:t>股份变动的批准情况</w:t>
      </w:r>
    </w:p>
    <w:p>
      <w:pPr>
        <w:pStyle w:val="BodyText"/>
        <w:spacing w:line="408" w:lineRule="auto" w:before="34"/>
        <w:ind w:right="8861"/>
        <w:jc w:val="left"/>
      </w:pPr>
      <w:r>
        <w:rPr/>
        <w:t>□ 适用 √ 不适用</w:t>
      </w:r>
      <w:r>
        <w:rPr>
          <w:spacing w:val="-101"/>
        </w:rPr>
        <w:t> </w:t>
      </w:r>
      <w:r>
        <w:rPr>
          <w:spacing w:val="-101"/>
        </w:rPr>
      </w:r>
      <w:r>
        <w:rPr/>
        <w:t>股份变动的过户情况</w:t>
      </w:r>
    </w:p>
    <w:p>
      <w:pPr>
        <w:pStyle w:val="BodyText"/>
        <w:spacing w:line="405" w:lineRule="auto" w:before="48"/>
        <w:ind w:right="8452"/>
        <w:jc w:val="left"/>
      </w:pPr>
      <w:r>
        <w:rPr/>
        <w:t>□ 适用 √ 不适用</w:t>
      </w:r>
      <w:r>
        <w:rPr>
          <w:spacing w:val="-101"/>
        </w:rPr>
        <w:t> </w:t>
      </w:r>
      <w:r>
        <w:rPr>
          <w:spacing w:val="-101"/>
        </w:rPr>
      </w:r>
      <w:r>
        <w:rPr>
          <w:spacing w:val="-1"/>
        </w:rPr>
        <w:t>股份回购的实施进展情况</w:t>
      </w:r>
    </w:p>
    <w:p>
      <w:pPr>
        <w:pStyle w:val="BodyText"/>
        <w:spacing w:line="408" w:lineRule="auto" w:before="50"/>
        <w:ind w:right="5885"/>
        <w:jc w:val="left"/>
      </w:pPr>
      <w:r>
        <w:rPr/>
        <w:t>□ 适用 √ 不适用</w:t>
      </w:r>
      <w:r>
        <w:rPr>
          <w:spacing w:val="-101"/>
        </w:rPr>
        <w:t> </w:t>
      </w:r>
      <w:r>
        <w:rPr>
          <w:spacing w:val="-101"/>
        </w:rPr>
      </w:r>
      <w:r>
        <w:rPr>
          <w:spacing w:val="-1"/>
        </w:rPr>
        <w:t>采用集中竞价方式减持回购股份的实施进展情况</w:t>
      </w:r>
    </w:p>
    <w:p>
      <w:pPr>
        <w:pStyle w:val="BodyText"/>
        <w:spacing w:line="240" w:lineRule="auto" w:before="48"/>
        <w:ind w:right="1024"/>
        <w:jc w:val="left"/>
      </w:pPr>
      <w:r>
        <w:rPr/>
        <w:t>□ 适用 √</w:t>
      </w:r>
      <w:r>
        <w:rPr>
          <w:spacing w:val="4"/>
        </w:rPr>
        <w:t> </w:t>
      </w:r>
      <w:r>
        <w:rPr/>
        <w:t>不适用</w:t>
      </w:r>
    </w:p>
    <w:p>
      <w:pPr>
        <w:spacing w:after="0" w:line="240" w:lineRule="auto"/>
        <w:jc w:val="left"/>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5" w:lineRule="auto" w:before="36"/>
        <w:ind w:right="1024"/>
        <w:jc w:val="left"/>
      </w:pPr>
      <w:r>
        <w:rPr>
          <w:spacing w:val="-2"/>
        </w:rPr>
        <w:t>股份变动对最近一年和最近一期基本每股收益和稀释每股收益、归属于公司普通股股东的每股净资产等财</w:t>
      </w:r>
      <w:r>
        <w:rPr>
          <w:spacing w:val="-33"/>
        </w:rPr>
        <w:t> </w:t>
      </w:r>
      <w:r>
        <w:rPr>
          <w:spacing w:val="-33"/>
        </w:rPr>
      </w:r>
      <w:r>
        <w:rPr/>
        <w:t>务指标的影响</w:t>
      </w:r>
    </w:p>
    <w:p>
      <w:pPr>
        <w:pStyle w:val="BodyText"/>
        <w:spacing w:line="405" w:lineRule="auto" w:before="51"/>
        <w:ind w:right="5885"/>
        <w:jc w:val="left"/>
      </w:pPr>
      <w:r>
        <w:rPr/>
        <w:t>□ 适用 √ 不适用</w:t>
      </w:r>
      <w:r>
        <w:rPr>
          <w:spacing w:val="-101"/>
        </w:rPr>
        <w:t> </w:t>
      </w:r>
      <w:r>
        <w:rPr>
          <w:spacing w:val="-101"/>
        </w:rPr>
      </w:r>
      <w:r>
        <w:rPr>
          <w:spacing w:val="-2"/>
        </w:rPr>
        <w:t>公司认为必要或证券监管机构要求披露的其他内容</w:t>
      </w:r>
    </w:p>
    <w:p>
      <w:pPr>
        <w:spacing w:line="405" w:lineRule="auto" w:before="50"/>
        <w:ind w:left="153" w:right="8747"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2、限售股份变动情况" w:id="159"/>
      <w:bookmarkEnd w:id="159"/>
      <w:r>
        <w:rPr>
          <w:rFonts w:ascii="宋体" w:hAnsi="宋体" w:cs="宋体" w:eastAsia="宋体" w:hint="default"/>
          <w:spacing w:val="-101"/>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after="0" w:line="405" w:lineRule="auto"/>
        <w:jc w:val="left"/>
        <w:rPr>
          <w:rFonts w:ascii="宋体" w:hAnsi="宋体" w:cs="宋体" w:eastAsia="宋体" w:hint="default"/>
          <w:sz w:val="21"/>
          <w:szCs w:val="21"/>
        </w:rPr>
        <w:sectPr>
          <w:pgSz w:w="11910" w:h="16840"/>
          <w:pgMar w:header="871" w:footer="1037" w:top="1100" w:bottom="1220" w:left="980" w:right="0"/>
        </w:sectPr>
      </w:pPr>
    </w:p>
    <w:p>
      <w:pPr>
        <w:pStyle w:val="BodyText"/>
        <w:spacing w:line="240" w:lineRule="auto" w:before="12"/>
        <w:ind w:right="-18"/>
        <w:jc w:val="left"/>
      </w:pPr>
      <w:r>
        <w:rPr/>
        <w:t>√ 适用 □</w:t>
      </w:r>
      <w:r>
        <w:rPr>
          <w:spacing w:val="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before="157"/>
        <w:ind w:left="153"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580" w:bottom="1220" w:left="980" w:right="0"/>
          <w:cols w:num="2" w:equalWidth="0">
            <w:col w:w="1945" w:space="6977"/>
            <w:col w:w="2008"/>
          </w:cols>
        </w:sectPr>
      </w:pP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956"/>
        <w:gridCol w:w="1306"/>
        <w:gridCol w:w="1743"/>
        <w:gridCol w:w="1738"/>
        <w:gridCol w:w="1383"/>
        <w:gridCol w:w="1239"/>
        <w:gridCol w:w="1628"/>
      </w:tblGrid>
      <w:tr>
        <w:trPr>
          <w:trHeight w:val="413" w:hRule="exact"/>
        </w:trPr>
        <w:tc>
          <w:tcPr>
            <w:tcW w:w="95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0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9"/>
              <w:jc w:val="right"/>
              <w:rPr>
                <w:rFonts w:ascii="宋体" w:hAnsi="宋体" w:cs="宋体" w:eastAsia="宋体" w:hint="default"/>
                <w:sz w:val="18"/>
                <w:szCs w:val="18"/>
              </w:rPr>
            </w:pPr>
            <w:r>
              <w:rPr>
                <w:rFonts w:ascii="宋体" w:hAnsi="宋体" w:cs="宋体" w:eastAsia="宋体" w:hint="default"/>
                <w:spacing w:val="-2"/>
                <w:sz w:val="18"/>
                <w:szCs w:val="18"/>
              </w:rPr>
              <w:t>期初限售股数</w:t>
            </w:r>
          </w:p>
        </w:tc>
        <w:tc>
          <w:tcPr>
            <w:tcW w:w="174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2"/>
              <w:jc w:val="right"/>
              <w:rPr>
                <w:rFonts w:ascii="宋体" w:hAnsi="宋体" w:cs="宋体" w:eastAsia="宋体" w:hint="default"/>
                <w:sz w:val="18"/>
                <w:szCs w:val="18"/>
              </w:rPr>
            </w:pPr>
            <w:r>
              <w:rPr>
                <w:rFonts w:ascii="宋体" w:hAnsi="宋体" w:cs="宋体" w:eastAsia="宋体" w:hint="default"/>
                <w:spacing w:val="-2"/>
                <w:sz w:val="18"/>
                <w:szCs w:val="18"/>
              </w:rPr>
              <w:t>本期增加限售股数</w:t>
            </w:r>
          </w:p>
        </w:tc>
        <w:tc>
          <w:tcPr>
            <w:tcW w:w="173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2"/>
              <w:jc w:val="right"/>
              <w:rPr>
                <w:rFonts w:ascii="宋体" w:hAnsi="宋体" w:cs="宋体" w:eastAsia="宋体" w:hint="default"/>
                <w:sz w:val="18"/>
                <w:szCs w:val="18"/>
              </w:rPr>
            </w:pPr>
            <w:r>
              <w:rPr>
                <w:rFonts w:ascii="宋体" w:hAnsi="宋体" w:cs="宋体" w:eastAsia="宋体" w:hint="default"/>
                <w:spacing w:val="-2"/>
                <w:sz w:val="18"/>
                <w:szCs w:val="18"/>
              </w:rPr>
              <w:t>本期解除限售股数</w:t>
            </w:r>
          </w:p>
        </w:tc>
        <w:tc>
          <w:tcPr>
            <w:tcW w:w="138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2"/>
              <w:jc w:val="right"/>
              <w:rPr>
                <w:rFonts w:ascii="宋体" w:hAnsi="宋体" w:cs="宋体" w:eastAsia="宋体" w:hint="default"/>
                <w:sz w:val="18"/>
                <w:szCs w:val="18"/>
              </w:rPr>
            </w:pPr>
            <w:r>
              <w:rPr>
                <w:rFonts w:ascii="宋体" w:hAnsi="宋体" w:cs="宋体" w:eastAsia="宋体" w:hint="default"/>
                <w:spacing w:val="-2"/>
                <w:sz w:val="18"/>
                <w:szCs w:val="18"/>
              </w:rPr>
              <w:t>期末限售股数</w:t>
            </w:r>
          </w:p>
        </w:tc>
        <w:tc>
          <w:tcPr>
            <w:tcW w:w="123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52"/>
              <w:jc w:val="right"/>
              <w:rPr>
                <w:rFonts w:ascii="宋体" w:hAnsi="宋体" w:cs="宋体" w:eastAsia="宋体" w:hint="default"/>
                <w:sz w:val="18"/>
                <w:szCs w:val="18"/>
              </w:rPr>
            </w:pPr>
            <w:r>
              <w:rPr>
                <w:rFonts w:ascii="宋体" w:hAnsi="宋体" w:cs="宋体" w:eastAsia="宋体" w:hint="default"/>
                <w:spacing w:val="-2"/>
                <w:sz w:val="18"/>
                <w:szCs w:val="18"/>
              </w:rPr>
              <w:t>限售原因</w:t>
            </w:r>
          </w:p>
        </w:tc>
        <w:tc>
          <w:tcPr>
            <w:tcW w:w="162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pacing w:val="-3"/>
                <w:sz w:val="18"/>
                <w:szCs w:val="18"/>
              </w:rPr>
              <w:t>拟解除限售日期</w:t>
            </w:r>
          </w:p>
        </w:tc>
      </w:tr>
      <w:tr>
        <w:trPr>
          <w:trHeight w:val="403" w:hRule="exact"/>
        </w:trPr>
        <w:tc>
          <w:tcPr>
            <w:tcW w:w="95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28,172,437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4,443,362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23,729,075</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3"/>
              <w:jc w:val="right"/>
              <w:rPr>
                <w:rFonts w:ascii="宋体" w:hAnsi="宋体" w:cs="宋体" w:eastAsia="宋体" w:hint="default"/>
                <w:sz w:val="18"/>
                <w:szCs w:val="18"/>
              </w:rPr>
            </w:pPr>
            <w:r>
              <w:rPr>
                <w:rFonts w:ascii="宋体" w:hAnsi="宋体" w:cs="宋体" w:eastAsia="宋体" w:hint="default"/>
                <w:spacing w:val="-2"/>
                <w:sz w:val="18"/>
                <w:szCs w:val="18"/>
              </w:rPr>
              <w:t>高管锁定股</w:t>
            </w:r>
          </w:p>
        </w:tc>
        <w:tc>
          <w:tcPr>
            <w:tcW w:w="16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每年首个交易日</w:t>
            </w:r>
          </w:p>
        </w:tc>
      </w:tr>
      <w:tr>
        <w:trPr>
          <w:trHeight w:val="399" w:hRule="exact"/>
        </w:trPr>
        <w:tc>
          <w:tcPr>
            <w:tcW w:w="95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任昌兆</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5,236,155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5,236,155</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23"/>
              <w:jc w:val="right"/>
              <w:rPr>
                <w:rFonts w:ascii="宋体" w:hAnsi="宋体" w:cs="宋体" w:eastAsia="宋体" w:hint="default"/>
                <w:sz w:val="18"/>
                <w:szCs w:val="18"/>
              </w:rPr>
            </w:pPr>
            <w:r>
              <w:rPr>
                <w:rFonts w:ascii="宋体" w:hAnsi="宋体" w:cs="宋体" w:eastAsia="宋体" w:hint="default"/>
                <w:spacing w:val="-2"/>
                <w:sz w:val="18"/>
                <w:szCs w:val="18"/>
              </w:rPr>
              <w:t>高管锁定股</w:t>
            </w:r>
          </w:p>
        </w:tc>
        <w:tc>
          <w:tcPr>
            <w:tcW w:w="16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每年首个交易日</w:t>
            </w:r>
          </w:p>
        </w:tc>
      </w:tr>
      <w:tr>
        <w:trPr>
          <w:trHeight w:val="403" w:hRule="exact"/>
        </w:trPr>
        <w:tc>
          <w:tcPr>
            <w:tcW w:w="95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熊珂</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3,164,062</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3,164,062</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3"/>
              <w:jc w:val="right"/>
              <w:rPr>
                <w:rFonts w:ascii="宋体" w:hAnsi="宋体" w:cs="宋体" w:eastAsia="宋体" w:hint="default"/>
                <w:sz w:val="18"/>
                <w:szCs w:val="18"/>
              </w:rPr>
            </w:pPr>
            <w:r>
              <w:rPr>
                <w:rFonts w:ascii="宋体" w:hAnsi="宋体" w:cs="宋体" w:eastAsia="宋体" w:hint="default"/>
                <w:spacing w:val="-2"/>
                <w:sz w:val="18"/>
                <w:szCs w:val="18"/>
              </w:rPr>
              <w:t>高管锁定股</w:t>
            </w:r>
          </w:p>
        </w:tc>
        <w:tc>
          <w:tcPr>
            <w:tcW w:w="16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每年首个交易日</w:t>
            </w:r>
          </w:p>
        </w:tc>
      </w:tr>
      <w:tr>
        <w:trPr>
          <w:trHeight w:val="1028" w:hRule="exact"/>
        </w:trPr>
        <w:tc>
          <w:tcPr>
            <w:tcW w:w="95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王海俊</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4"/>
              <w:jc w:val="right"/>
              <w:rPr>
                <w:rFonts w:ascii="宋体" w:hAnsi="宋体" w:cs="宋体" w:eastAsia="宋体" w:hint="default"/>
                <w:sz w:val="18"/>
                <w:szCs w:val="18"/>
              </w:rPr>
            </w:pPr>
            <w:r>
              <w:rPr>
                <w:rFonts w:ascii="宋体"/>
                <w:spacing w:val="-1"/>
                <w:sz w:val="18"/>
              </w:rPr>
              <w:t>1,229,203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56,250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1,285,453</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41"/>
              <w:jc w:val="left"/>
              <w:rPr>
                <w:rFonts w:ascii="宋体" w:hAnsi="宋体" w:cs="宋体" w:eastAsia="宋体" w:hint="default"/>
                <w:sz w:val="18"/>
                <w:szCs w:val="18"/>
              </w:rPr>
            </w:pPr>
            <w:r>
              <w:rPr>
                <w:rFonts w:ascii="宋体" w:hAnsi="宋体" w:cs="宋体" w:eastAsia="宋体" w:hint="default"/>
                <w:spacing w:val="-2"/>
                <w:sz w:val="18"/>
                <w:szCs w:val="18"/>
              </w:rPr>
              <w:t>高管锁定股、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股权激励限</w:t>
            </w:r>
            <w:r>
              <w:rPr>
                <w:rFonts w:ascii="宋体" w:hAnsi="宋体" w:cs="宋体" w:eastAsia="宋体" w:hint="default"/>
                <w:w w:val="101"/>
                <w:sz w:val="18"/>
                <w:szCs w:val="18"/>
              </w:rPr>
              <w:t> </w:t>
            </w:r>
            <w:r>
              <w:rPr>
                <w:rFonts w:ascii="宋体" w:hAnsi="宋体" w:cs="宋体" w:eastAsia="宋体" w:hint="default"/>
                <w:sz w:val="18"/>
                <w:szCs w:val="18"/>
              </w:rPr>
              <w:t>售股</w:t>
            </w:r>
          </w:p>
        </w:tc>
        <w:tc>
          <w:tcPr>
            <w:tcW w:w="16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pacing w:val="-3"/>
                <w:sz w:val="18"/>
                <w:szCs w:val="18"/>
              </w:rPr>
              <w:t>每年首个交易日</w:t>
            </w:r>
          </w:p>
        </w:tc>
      </w:tr>
      <w:tr>
        <w:trPr>
          <w:trHeight w:val="1027" w:hRule="exact"/>
        </w:trPr>
        <w:tc>
          <w:tcPr>
            <w:tcW w:w="95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戴晓东</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4"/>
              <w:jc w:val="right"/>
              <w:rPr>
                <w:rFonts w:ascii="宋体" w:hAnsi="宋体" w:cs="宋体" w:eastAsia="宋体" w:hint="default"/>
                <w:sz w:val="18"/>
                <w:szCs w:val="18"/>
              </w:rPr>
            </w:pPr>
            <w:r>
              <w:rPr>
                <w:rFonts w:ascii="宋体"/>
                <w:spacing w:val="-1"/>
                <w:sz w:val="18"/>
              </w:rPr>
              <w:t>857,957</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30,000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887,957</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41"/>
              <w:jc w:val="left"/>
              <w:rPr>
                <w:rFonts w:ascii="宋体" w:hAnsi="宋体" w:cs="宋体" w:eastAsia="宋体" w:hint="default"/>
                <w:sz w:val="18"/>
                <w:szCs w:val="18"/>
              </w:rPr>
            </w:pPr>
            <w:r>
              <w:rPr>
                <w:rFonts w:ascii="宋体" w:hAnsi="宋体" w:cs="宋体" w:eastAsia="宋体" w:hint="default"/>
                <w:spacing w:val="-2"/>
                <w:sz w:val="18"/>
                <w:szCs w:val="18"/>
              </w:rPr>
              <w:t>高管锁定股、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股权激励限</w:t>
            </w:r>
            <w:r>
              <w:rPr>
                <w:rFonts w:ascii="宋体" w:hAnsi="宋体" w:cs="宋体" w:eastAsia="宋体" w:hint="default"/>
                <w:w w:val="101"/>
                <w:sz w:val="18"/>
                <w:szCs w:val="18"/>
              </w:rPr>
              <w:t> </w:t>
            </w:r>
            <w:r>
              <w:rPr>
                <w:rFonts w:ascii="宋体" w:hAnsi="宋体" w:cs="宋体" w:eastAsia="宋体" w:hint="default"/>
                <w:sz w:val="18"/>
                <w:szCs w:val="18"/>
              </w:rPr>
              <w:t>售股</w:t>
            </w:r>
          </w:p>
        </w:tc>
        <w:tc>
          <w:tcPr>
            <w:tcW w:w="16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pacing w:val="-3"/>
                <w:sz w:val="18"/>
                <w:szCs w:val="18"/>
              </w:rPr>
              <w:t>每年首个交易日</w:t>
            </w:r>
          </w:p>
        </w:tc>
      </w:tr>
      <w:tr>
        <w:trPr>
          <w:trHeight w:val="398" w:hRule="exact"/>
        </w:trPr>
        <w:tc>
          <w:tcPr>
            <w:tcW w:w="95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朱云飞</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229,921</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229,921</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23"/>
              <w:jc w:val="right"/>
              <w:rPr>
                <w:rFonts w:ascii="宋体" w:hAnsi="宋体" w:cs="宋体" w:eastAsia="宋体" w:hint="default"/>
                <w:sz w:val="18"/>
                <w:szCs w:val="18"/>
              </w:rPr>
            </w:pPr>
            <w:r>
              <w:rPr>
                <w:rFonts w:ascii="宋体" w:hAnsi="宋体" w:cs="宋体" w:eastAsia="宋体" w:hint="default"/>
                <w:spacing w:val="-2"/>
                <w:sz w:val="18"/>
                <w:szCs w:val="18"/>
              </w:rPr>
              <w:t>高管锁定股</w:t>
            </w:r>
          </w:p>
        </w:tc>
        <w:tc>
          <w:tcPr>
            <w:tcW w:w="16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每年首个交易日</w:t>
            </w:r>
          </w:p>
        </w:tc>
      </w:tr>
      <w:tr>
        <w:trPr>
          <w:trHeight w:val="716" w:hRule="exact"/>
        </w:trPr>
        <w:tc>
          <w:tcPr>
            <w:tcW w:w="95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李婷</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172,500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172,500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0" w:right="223"/>
              <w:jc w:val="left"/>
              <w:rPr>
                <w:rFonts w:ascii="宋体" w:hAnsi="宋体" w:cs="宋体" w:eastAsia="宋体" w:hint="default"/>
                <w:sz w:val="18"/>
                <w:szCs w:val="18"/>
              </w:rPr>
            </w:pPr>
            <w:r>
              <w:rPr>
                <w:rFonts w:ascii="宋体" w:hAnsi="宋体" w:cs="宋体" w:eastAsia="宋体" w:hint="default"/>
                <w:spacing w:val="-2"/>
                <w:sz w:val="18"/>
                <w:szCs w:val="18"/>
              </w:rPr>
              <w:t>股权激励限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售股</w:t>
            </w:r>
          </w:p>
        </w:tc>
        <w:tc>
          <w:tcPr>
            <w:tcW w:w="16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r>
      <w:tr>
        <w:trPr>
          <w:trHeight w:val="715" w:hRule="exact"/>
        </w:trPr>
        <w:tc>
          <w:tcPr>
            <w:tcW w:w="95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江清萍</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150,000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150,000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223"/>
              <w:jc w:val="left"/>
              <w:rPr>
                <w:rFonts w:ascii="宋体" w:hAnsi="宋体" w:cs="宋体" w:eastAsia="宋体" w:hint="default"/>
                <w:sz w:val="18"/>
                <w:szCs w:val="18"/>
              </w:rPr>
            </w:pPr>
            <w:r>
              <w:rPr>
                <w:rFonts w:ascii="宋体" w:hAnsi="宋体" w:cs="宋体" w:eastAsia="宋体" w:hint="default"/>
                <w:spacing w:val="-2"/>
                <w:sz w:val="18"/>
                <w:szCs w:val="18"/>
              </w:rPr>
              <w:t>股权激励限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售股</w:t>
            </w:r>
          </w:p>
        </w:tc>
        <w:tc>
          <w:tcPr>
            <w:tcW w:w="16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r>
      <w:tr>
        <w:trPr>
          <w:trHeight w:val="716" w:hRule="exact"/>
        </w:trPr>
        <w:tc>
          <w:tcPr>
            <w:tcW w:w="95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135,000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135,000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223"/>
              <w:jc w:val="left"/>
              <w:rPr>
                <w:rFonts w:ascii="宋体" w:hAnsi="宋体" w:cs="宋体" w:eastAsia="宋体" w:hint="default"/>
                <w:sz w:val="18"/>
                <w:szCs w:val="18"/>
              </w:rPr>
            </w:pPr>
            <w:r>
              <w:rPr>
                <w:rFonts w:ascii="宋体" w:hAnsi="宋体" w:cs="宋体" w:eastAsia="宋体" w:hint="default"/>
                <w:spacing w:val="-2"/>
                <w:sz w:val="18"/>
                <w:szCs w:val="18"/>
              </w:rPr>
              <w:t>股权激励限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售股</w:t>
            </w:r>
          </w:p>
        </w:tc>
        <w:tc>
          <w:tcPr>
            <w:tcW w:w="16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r>
      <w:tr>
        <w:trPr>
          <w:trHeight w:val="710" w:hRule="exact"/>
        </w:trPr>
        <w:tc>
          <w:tcPr>
            <w:tcW w:w="95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陈晓清</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75,000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75,000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223"/>
              <w:jc w:val="left"/>
              <w:rPr>
                <w:rFonts w:ascii="宋体" w:hAnsi="宋体" w:cs="宋体" w:eastAsia="宋体" w:hint="default"/>
                <w:sz w:val="18"/>
                <w:szCs w:val="18"/>
              </w:rPr>
            </w:pPr>
            <w:r>
              <w:rPr>
                <w:rFonts w:ascii="宋体" w:hAnsi="宋体" w:cs="宋体" w:eastAsia="宋体" w:hint="default"/>
                <w:spacing w:val="-2"/>
                <w:sz w:val="18"/>
                <w:szCs w:val="18"/>
              </w:rPr>
              <w:t>股权激励限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售股</w:t>
            </w:r>
          </w:p>
        </w:tc>
        <w:tc>
          <w:tcPr>
            <w:tcW w:w="16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r>
      <w:tr>
        <w:trPr>
          <w:trHeight w:val="716" w:hRule="exact"/>
        </w:trPr>
        <w:tc>
          <w:tcPr>
            <w:tcW w:w="95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其他小计</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2,923,863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587,613</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2,336,250</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223"/>
              <w:jc w:val="left"/>
              <w:rPr>
                <w:rFonts w:ascii="宋体" w:hAnsi="宋体" w:cs="宋体" w:eastAsia="宋体" w:hint="default"/>
                <w:sz w:val="18"/>
                <w:szCs w:val="18"/>
              </w:rPr>
            </w:pPr>
            <w:r>
              <w:rPr>
                <w:rFonts w:ascii="宋体" w:hAnsi="宋体" w:cs="宋体" w:eastAsia="宋体" w:hint="default"/>
                <w:spacing w:val="-2"/>
                <w:sz w:val="18"/>
                <w:szCs w:val="18"/>
              </w:rPr>
              <w:t>股权激励限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售股</w:t>
            </w:r>
          </w:p>
        </w:tc>
        <w:tc>
          <w:tcPr>
            <w:tcW w:w="162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sz w:val="18"/>
              </w:rPr>
              <w:t>--</w:t>
            </w:r>
          </w:p>
        </w:tc>
      </w:tr>
      <w:tr>
        <w:trPr>
          <w:trHeight w:val="413" w:hRule="exact"/>
        </w:trPr>
        <w:tc>
          <w:tcPr>
            <w:tcW w:w="95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42,346,098</w:t>
            </w:r>
          </w:p>
        </w:tc>
        <w:tc>
          <w:tcPr>
            <w:tcW w:w="17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86,250</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5,030,975</w:t>
            </w:r>
          </w:p>
        </w:tc>
        <w:tc>
          <w:tcPr>
            <w:tcW w:w="13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37,401,373</w:t>
            </w:r>
          </w:p>
        </w:tc>
        <w:tc>
          <w:tcPr>
            <w:tcW w:w="1239"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628"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17"/>
          <w:szCs w:val="17"/>
        </w:rPr>
      </w:pPr>
    </w:p>
    <w:p>
      <w:pPr>
        <w:pStyle w:val="Heading2"/>
        <w:spacing w:line="240" w:lineRule="auto" w:before="26"/>
        <w:ind w:right="1024"/>
        <w:jc w:val="left"/>
        <w:rPr>
          <w:b w:val="0"/>
          <w:bCs w:val="0"/>
        </w:rPr>
      </w:pPr>
      <w:bookmarkStart w:name="二、证券发行与上市情况" w:id="160"/>
      <w:bookmarkEnd w:id="160"/>
      <w:r>
        <w:rPr>
          <w:b w:val="0"/>
          <w:bCs w:val="0"/>
        </w:rPr>
      </w:r>
      <w:r>
        <w:rPr/>
        <w:t>二、证券发行与上市情况</w:t>
      </w:r>
      <w:r>
        <w:rPr>
          <w:b w:val="0"/>
          <w:bCs w:val="0"/>
        </w:rPr>
      </w:r>
    </w:p>
    <w:p>
      <w:pPr>
        <w:spacing w:line="240" w:lineRule="auto" w:before="2"/>
        <w:rPr>
          <w:rFonts w:ascii="宋体" w:hAnsi="宋体" w:cs="宋体" w:eastAsia="宋体" w:hint="default"/>
          <w:b/>
          <w:bCs/>
          <w:sz w:val="31"/>
          <w:szCs w:val="31"/>
        </w:rPr>
      </w:pPr>
    </w:p>
    <w:p>
      <w:pPr>
        <w:pStyle w:val="Heading4"/>
        <w:spacing w:line="240" w:lineRule="auto" w:before="0"/>
        <w:ind w:right="1024"/>
        <w:jc w:val="left"/>
        <w:rPr>
          <w:b w:val="0"/>
          <w:bCs w:val="0"/>
        </w:rPr>
      </w:pPr>
      <w:r>
        <w:rPr>
          <w:rFonts w:ascii="宋体" w:hAnsi="宋体" w:cs="宋体" w:eastAsia="宋体" w:hint="default"/>
        </w:rPr>
        <w:t>1</w:t>
      </w:r>
      <w:r>
        <w:rPr/>
        <w:t>、报告期内证券发行（不含优先股）情况</w:t>
      </w:r>
      <w:r>
        <w:rPr>
          <w:b w:val="0"/>
          <w:bCs w:val="0"/>
        </w:rPr>
      </w:r>
    </w:p>
    <w:p>
      <w:pPr>
        <w:spacing w:line="240" w:lineRule="auto" w:before="13"/>
        <w:rPr>
          <w:rFonts w:ascii="宋体" w:hAnsi="宋体" w:cs="宋体" w:eastAsia="宋体" w:hint="default"/>
          <w:b/>
          <w:bCs/>
          <w:sz w:val="14"/>
          <w:szCs w:val="14"/>
        </w:rPr>
      </w:pPr>
    </w:p>
    <w:p>
      <w:pPr>
        <w:spacing w:line="405" w:lineRule="auto" w:before="0"/>
        <w:ind w:left="153" w:right="2353"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、公司股份总数及股东结构的变动、公司资产和负债结构的变动情况说明</w:t>
      </w:r>
      <w:r>
        <w:rPr>
          <w:rFonts w:ascii="宋体" w:hAnsi="宋体" w:cs="宋体" w:eastAsia="宋体" w:hint="default"/>
          <w:spacing w:val="-1"/>
          <w:sz w:val="21"/>
          <w:szCs w:val="21"/>
        </w:rPr>
      </w:r>
    </w:p>
    <w:p>
      <w:pPr>
        <w:spacing w:after="0" w:line="405" w:lineRule="auto"/>
        <w:jc w:val="left"/>
        <w:rPr>
          <w:rFonts w:ascii="宋体" w:hAnsi="宋体" w:cs="宋体" w:eastAsia="宋体" w:hint="default"/>
          <w:sz w:val="21"/>
          <w:szCs w:val="21"/>
        </w:rPr>
        <w:sectPr>
          <w:type w:val="continuous"/>
          <w:pgSz w:w="11910" w:h="16840"/>
          <w:pgMar w:top="1580" w:bottom="1220" w:left="980" w:right="0"/>
        </w:sectPr>
      </w:pPr>
    </w:p>
    <w:p>
      <w:pPr>
        <w:spacing w:line="240" w:lineRule="auto" w:before="12"/>
        <w:rPr>
          <w:rFonts w:ascii="宋体" w:hAnsi="宋体" w:cs="宋体" w:eastAsia="宋体" w:hint="default"/>
          <w:b/>
          <w:bCs/>
          <w:sz w:val="26"/>
          <w:szCs w:val="26"/>
        </w:rPr>
      </w:pPr>
    </w:p>
    <w:p>
      <w:pPr>
        <w:spacing w:line="405" w:lineRule="auto" w:before="36"/>
        <w:ind w:left="153" w:right="8326"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pStyle w:val="BodyText"/>
        <w:spacing w:line="240" w:lineRule="auto" w:before="51"/>
        <w:ind w:right="1024"/>
        <w:jc w:val="left"/>
      </w:pPr>
      <w:r>
        <w:rPr/>
        <w:t>□ 适用 √</w:t>
      </w:r>
      <w:r>
        <w:rPr>
          <w:spacing w:val="4"/>
        </w:rPr>
        <w:t> </w:t>
      </w:r>
      <w:r>
        <w:rPr/>
        <w:t>不适用</w:t>
      </w:r>
    </w:p>
    <w:p>
      <w:pPr>
        <w:spacing w:line="240" w:lineRule="auto" w:before="2"/>
        <w:rPr>
          <w:rFonts w:ascii="宋体" w:hAnsi="宋体" w:cs="宋体" w:eastAsia="宋体" w:hint="default"/>
          <w:sz w:val="29"/>
          <w:szCs w:val="29"/>
        </w:rPr>
      </w:pPr>
    </w:p>
    <w:p>
      <w:pPr>
        <w:pStyle w:val="Heading2"/>
        <w:spacing w:line="240" w:lineRule="auto"/>
        <w:ind w:right="1024"/>
        <w:jc w:val="left"/>
        <w:rPr>
          <w:b w:val="0"/>
          <w:bCs w:val="0"/>
        </w:rPr>
      </w:pPr>
      <w:bookmarkStart w:name="三、股东和实际控制人情况" w:id="161"/>
      <w:bookmarkEnd w:id="161"/>
      <w:r>
        <w:rPr>
          <w:b w:val="0"/>
          <w:bCs w:val="0"/>
        </w:rPr>
      </w:r>
      <w:r>
        <w:rPr/>
        <w:t>三、股东和实际控制人情况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before="0"/>
        <w:ind w:right="1024"/>
        <w:jc w:val="left"/>
        <w:rPr>
          <w:b w:val="0"/>
          <w:bCs w:val="0"/>
        </w:rPr>
      </w:pPr>
      <w:bookmarkStart w:name="1、公司股东数量及持股情况" w:id="162"/>
      <w:bookmarkEnd w:id="162"/>
      <w:r>
        <w:rPr>
          <w:b w:val="0"/>
          <w:bCs w:val="0"/>
        </w:rPr>
      </w:r>
      <w:r>
        <w:rPr>
          <w:rFonts w:ascii="宋体" w:hAnsi="宋体" w:cs="宋体" w:eastAsia="宋体" w:hint="default"/>
        </w:rPr>
        <w:t>1</w:t>
      </w:r>
      <w:r>
        <w:rPr/>
        <w:t>、公司股东数量及持股情况</w:t>
      </w:r>
      <w:r>
        <w:rPr>
          <w:b w:val="0"/>
          <w:bCs w:val="0"/>
        </w:rPr>
      </w:r>
    </w:p>
    <w:p>
      <w:pPr>
        <w:spacing w:line="240" w:lineRule="auto" w:before="1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201"/>
        <w:gridCol w:w="1077"/>
        <w:gridCol w:w="810"/>
        <w:gridCol w:w="1277"/>
        <w:gridCol w:w="1229"/>
        <w:gridCol w:w="1125"/>
        <w:gridCol w:w="1262"/>
        <w:gridCol w:w="658"/>
        <w:gridCol w:w="1201"/>
      </w:tblGrid>
      <w:tr>
        <w:trPr>
          <w:trHeight w:val="2290" w:hRule="exact"/>
        </w:trPr>
        <w:tc>
          <w:tcPr>
            <w:tcW w:w="120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95" w:right="180"/>
              <w:jc w:val="both"/>
              <w:rPr>
                <w:rFonts w:ascii="宋体" w:hAnsi="宋体" w:cs="宋体" w:eastAsia="宋体" w:hint="default"/>
                <w:sz w:val="18"/>
                <w:szCs w:val="18"/>
              </w:rPr>
            </w:pPr>
            <w:r>
              <w:rPr>
                <w:rFonts w:ascii="宋体" w:hAnsi="宋体" w:cs="宋体" w:eastAsia="宋体" w:hint="default"/>
                <w:sz w:val="18"/>
                <w:szCs w:val="18"/>
              </w:rPr>
              <w:t>报告期末普</w:t>
            </w:r>
            <w:r>
              <w:rPr>
                <w:rFonts w:ascii="宋体" w:hAnsi="宋体" w:cs="宋体" w:eastAsia="宋体" w:hint="default"/>
                <w:w w:val="101"/>
                <w:sz w:val="18"/>
                <w:szCs w:val="18"/>
              </w:rPr>
              <w:t> </w:t>
            </w:r>
            <w:r>
              <w:rPr>
                <w:rFonts w:ascii="宋体" w:hAnsi="宋体" w:cs="宋体" w:eastAsia="宋体" w:hint="default"/>
                <w:sz w:val="18"/>
                <w:szCs w:val="18"/>
              </w:rPr>
              <w:t>通股股东总</w:t>
            </w:r>
            <w:r>
              <w:rPr>
                <w:rFonts w:ascii="宋体" w:hAnsi="宋体" w:cs="宋体" w:eastAsia="宋体" w:hint="default"/>
                <w:w w:val="101"/>
                <w:sz w:val="18"/>
                <w:szCs w:val="18"/>
              </w:rPr>
              <w:t> </w:t>
            </w:r>
            <w:r>
              <w:rPr>
                <w:rFonts w:ascii="宋体" w:hAnsi="宋体" w:cs="宋体" w:eastAsia="宋体" w:hint="default"/>
                <w:sz w:val="18"/>
                <w:szCs w:val="18"/>
              </w:rPr>
              <w:t>数</w:t>
            </w:r>
          </w:p>
        </w:tc>
        <w:tc>
          <w:tcPr>
            <w:tcW w:w="10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27" w:right="0"/>
              <w:jc w:val="left"/>
              <w:rPr>
                <w:rFonts w:ascii="宋体" w:hAnsi="宋体" w:cs="宋体" w:eastAsia="宋体" w:hint="default"/>
                <w:sz w:val="18"/>
                <w:szCs w:val="18"/>
              </w:rPr>
            </w:pPr>
            <w:r>
              <w:rPr>
                <w:rFonts w:ascii="宋体"/>
                <w:sz w:val="18"/>
              </w:rPr>
              <w:t>32,881</w:t>
            </w:r>
          </w:p>
        </w:tc>
        <w:tc>
          <w:tcPr>
            <w:tcW w:w="81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4" w:right="151"/>
              <w:jc w:val="both"/>
              <w:rPr>
                <w:rFonts w:ascii="宋体" w:hAnsi="宋体" w:cs="宋体" w:eastAsia="宋体" w:hint="default"/>
                <w:sz w:val="18"/>
                <w:szCs w:val="18"/>
              </w:rPr>
            </w:pPr>
            <w:r>
              <w:rPr>
                <w:rFonts w:ascii="宋体" w:hAnsi="宋体" w:cs="宋体" w:eastAsia="宋体" w:hint="default"/>
                <w:sz w:val="18"/>
                <w:szCs w:val="18"/>
              </w:rPr>
              <w:t>年度报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告披露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日前上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一月末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普通股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28,205</w:t>
            </w:r>
          </w:p>
        </w:tc>
        <w:tc>
          <w:tcPr>
            <w:tcW w:w="122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0" w:right="31"/>
              <w:jc w:val="left"/>
              <w:rPr>
                <w:rFonts w:ascii="宋体" w:hAnsi="宋体" w:cs="宋体" w:eastAsia="宋体" w:hint="default"/>
                <w:sz w:val="18"/>
                <w:szCs w:val="18"/>
              </w:rPr>
            </w:pPr>
            <w:r>
              <w:rPr>
                <w:rFonts w:ascii="宋体" w:hAnsi="宋体" w:cs="宋体" w:eastAsia="宋体" w:hint="default"/>
                <w:sz w:val="18"/>
                <w:szCs w:val="18"/>
              </w:rPr>
              <w:t>报告期末表</w:t>
            </w:r>
            <w:r>
              <w:rPr>
                <w:rFonts w:ascii="宋体" w:hAnsi="宋体" w:cs="宋体" w:eastAsia="宋体" w:hint="default"/>
                <w:w w:val="101"/>
                <w:sz w:val="18"/>
                <w:szCs w:val="18"/>
              </w:rPr>
              <w:t> </w:t>
            </w:r>
            <w:r>
              <w:rPr>
                <w:rFonts w:ascii="宋体" w:hAnsi="宋体" w:cs="宋体" w:eastAsia="宋体" w:hint="default"/>
                <w:sz w:val="18"/>
                <w:szCs w:val="18"/>
              </w:rPr>
              <w:t>决权恢复的</w:t>
            </w:r>
            <w:r>
              <w:rPr>
                <w:rFonts w:ascii="宋体" w:hAnsi="宋体" w:cs="宋体" w:eastAsia="宋体" w:hint="default"/>
                <w:w w:val="101"/>
                <w:sz w:val="18"/>
                <w:szCs w:val="18"/>
              </w:rPr>
              <w:t> </w:t>
            </w:r>
            <w:r>
              <w:rPr>
                <w:rFonts w:ascii="宋体" w:hAnsi="宋体" w:cs="宋体" w:eastAsia="宋体" w:hint="default"/>
                <w:sz w:val="18"/>
                <w:szCs w:val="18"/>
              </w:rPr>
              <w:t>优先股股东</w:t>
            </w:r>
            <w:r>
              <w:rPr>
                <w:rFonts w:ascii="宋体" w:hAnsi="宋体" w:cs="宋体" w:eastAsia="宋体" w:hint="default"/>
                <w:w w:val="101"/>
                <w:sz w:val="18"/>
                <w:szCs w:val="18"/>
              </w:rPr>
              <w:t> </w:t>
            </w:r>
            <w:r>
              <w:rPr>
                <w:rFonts w:ascii="宋体" w:hAnsi="宋体" w:cs="宋体" w:eastAsia="宋体" w:hint="default"/>
                <w:spacing w:val="-2"/>
                <w:sz w:val="18"/>
                <w:szCs w:val="18"/>
              </w:rPr>
              <w:t>总数（如有）</w:t>
            </w:r>
          </w:p>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38"/>
                <w:sz w:val="18"/>
                <w:szCs w:val="18"/>
              </w:rPr>
              <w:t> </w:t>
            </w:r>
            <w:r>
              <w:rPr>
                <w:rFonts w:ascii="宋体" w:hAnsi="宋体" w:cs="宋体" w:eastAsia="宋体" w:hint="default"/>
                <w:spacing w:val="-3"/>
                <w:sz w:val="18"/>
                <w:szCs w:val="18"/>
              </w:rPr>
              <w:t>9</w:t>
            </w:r>
            <w:r>
              <w:rPr>
                <w:rFonts w:ascii="宋体" w:hAnsi="宋体" w:cs="宋体" w:eastAsia="宋体" w:hint="default"/>
                <w:spacing w:val="-3"/>
                <w:sz w:val="18"/>
                <w:szCs w:val="18"/>
              </w:rPr>
              <w:t>）</w:t>
            </w:r>
          </w:p>
        </w:tc>
        <w:tc>
          <w:tcPr>
            <w:tcW w:w="112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w w:val="101"/>
                <w:sz w:val="18"/>
              </w:rPr>
              <w:t>0</w:t>
            </w:r>
            <w:r>
              <w:rPr>
                <w:rFonts w:ascii="宋体"/>
                <w:sz w:val="18"/>
              </w:rPr>
            </w:r>
          </w:p>
        </w:tc>
        <w:tc>
          <w:tcPr>
            <w:tcW w:w="1920"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104" w:right="181"/>
              <w:jc w:val="both"/>
              <w:rPr>
                <w:rFonts w:ascii="宋体" w:hAnsi="宋体" w:cs="宋体" w:eastAsia="宋体" w:hint="default"/>
                <w:sz w:val="18"/>
                <w:szCs w:val="18"/>
              </w:rPr>
            </w:pPr>
            <w:r>
              <w:rPr>
                <w:rFonts w:ascii="宋体" w:hAnsi="宋体" w:cs="宋体" w:eastAsia="宋体" w:hint="default"/>
                <w:spacing w:val="-3"/>
                <w:sz w:val="18"/>
                <w:szCs w:val="18"/>
              </w:rPr>
              <w:t>年度报告披露日前上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一月末表决权恢复的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优先股股东总数（如</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6"/>
                <w:w w:val="101"/>
                <w:sz w:val="18"/>
                <w:szCs w:val="18"/>
              </w:rPr>
              <w:t>有）（参见注</w:t>
            </w:r>
            <w:r>
              <w:rPr>
                <w:rFonts w:ascii="宋体" w:hAnsi="宋体" w:cs="宋体" w:eastAsia="宋体" w:hint="default"/>
                <w:spacing w:val="-55"/>
                <w:w w:val="101"/>
                <w:sz w:val="18"/>
                <w:szCs w:val="18"/>
              </w:rPr>
              <w:t> </w:t>
            </w:r>
            <w:r>
              <w:rPr>
                <w:rFonts w:ascii="宋体" w:hAnsi="宋体" w:cs="宋体" w:eastAsia="宋体" w:hint="default"/>
                <w:w w:val="101"/>
                <w:sz w:val="18"/>
                <w:szCs w:val="18"/>
              </w:rPr>
              <w:t>9</w:t>
            </w:r>
            <w:r>
              <w:rPr>
                <w:rFonts w:ascii="宋体" w:hAnsi="宋体" w:cs="宋体" w:eastAsia="宋体" w:hint="default"/>
                <w:w w:val="101"/>
                <w:sz w:val="18"/>
                <w:szCs w:val="18"/>
              </w:rPr>
              <w:t>）</w:t>
            </w:r>
            <w:r>
              <w:rPr>
                <w:rFonts w:ascii="宋体" w:hAnsi="宋体" w:cs="宋体" w:eastAsia="宋体" w:hint="default"/>
                <w:sz w:val="18"/>
                <w:szCs w:val="18"/>
              </w:rPr>
            </w:r>
          </w:p>
        </w:tc>
        <w:tc>
          <w:tcPr>
            <w:tcW w:w="120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9"/>
              <w:jc w:val="right"/>
              <w:rPr>
                <w:rFonts w:ascii="宋体" w:hAnsi="宋体" w:cs="宋体" w:eastAsia="宋体" w:hint="default"/>
                <w:sz w:val="18"/>
                <w:szCs w:val="18"/>
              </w:rPr>
            </w:pPr>
            <w:r>
              <w:rPr>
                <w:rFonts w:ascii="宋体"/>
                <w:w w:val="101"/>
                <w:sz w:val="18"/>
              </w:rPr>
              <w:t>0</w:t>
            </w:r>
            <w:r>
              <w:rPr>
                <w:rFonts w:ascii="宋体"/>
                <w:sz w:val="18"/>
              </w:rPr>
            </w:r>
          </w:p>
        </w:tc>
      </w:tr>
      <w:tr>
        <w:trPr>
          <w:trHeight w:val="398" w:hRule="exact"/>
        </w:trPr>
        <w:tc>
          <w:tcPr>
            <w:tcW w:w="9839" w:type="dxa"/>
            <w:gridSpan w:val="9"/>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3216"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3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2"/>
                <w:sz w:val="18"/>
                <w:szCs w:val="18"/>
              </w:rPr>
              <w:t> </w:t>
            </w:r>
            <w:r>
              <w:rPr>
                <w:rFonts w:ascii="宋体" w:hAnsi="宋体" w:cs="宋体" w:eastAsia="宋体" w:hint="default"/>
                <w:sz w:val="18"/>
                <w:szCs w:val="18"/>
              </w:rPr>
              <w:t>10</w:t>
            </w:r>
            <w:r>
              <w:rPr>
                <w:rFonts w:ascii="宋体" w:hAnsi="宋体" w:cs="宋体" w:eastAsia="宋体" w:hint="default"/>
                <w:spacing w:val="-36"/>
                <w:sz w:val="18"/>
                <w:szCs w:val="18"/>
              </w:rPr>
              <w:t> </w:t>
            </w:r>
            <w:r>
              <w:rPr>
                <w:rFonts w:ascii="宋体" w:hAnsi="宋体" w:cs="宋体" w:eastAsia="宋体" w:hint="default"/>
                <w:spacing w:val="-3"/>
                <w:sz w:val="18"/>
                <w:szCs w:val="18"/>
              </w:rPr>
              <w:t>名股东持股情况</w:t>
            </w:r>
          </w:p>
        </w:tc>
      </w:tr>
      <w:tr>
        <w:trPr>
          <w:trHeight w:val="399" w:hRule="exact"/>
        </w:trPr>
        <w:tc>
          <w:tcPr>
            <w:tcW w:w="1201" w:type="dxa"/>
            <w:vMerge w:val="restart"/>
            <w:tcBorders>
              <w:top w:val="single" w:sz="4"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21" w:lineRule="auto"/>
              <w:ind w:left="310" w:right="122" w:hanging="178"/>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21" w:lineRule="auto"/>
              <w:ind w:left="365" w:right="175" w:hanging="178"/>
              <w:jc w:val="left"/>
              <w:rPr>
                <w:rFonts w:ascii="宋体" w:hAnsi="宋体" w:cs="宋体" w:eastAsia="宋体" w:hint="default"/>
                <w:sz w:val="18"/>
                <w:szCs w:val="18"/>
              </w:rPr>
            </w:pPr>
            <w:r>
              <w:rPr>
                <w:rFonts w:ascii="宋体" w:hAnsi="宋体" w:cs="宋体" w:eastAsia="宋体" w:hint="default"/>
                <w:spacing w:val="-2"/>
                <w:sz w:val="18"/>
                <w:szCs w:val="18"/>
              </w:rPr>
              <w:t>报告期末持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股数量</w:t>
            </w:r>
          </w:p>
        </w:tc>
        <w:tc>
          <w:tcPr>
            <w:tcW w:w="12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21" w:lineRule="auto"/>
              <w:ind w:left="158" w:right="156"/>
              <w:jc w:val="left"/>
              <w:rPr>
                <w:rFonts w:ascii="宋体" w:hAnsi="宋体" w:cs="宋体" w:eastAsia="宋体" w:hint="default"/>
                <w:sz w:val="18"/>
                <w:szCs w:val="18"/>
              </w:rPr>
            </w:pPr>
            <w:r>
              <w:rPr>
                <w:rFonts w:ascii="宋体" w:hAnsi="宋体" w:cs="宋体" w:eastAsia="宋体" w:hint="default"/>
                <w:spacing w:val="-2"/>
                <w:sz w:val="18"/>
                <w:szCs w:val="18"/>
              </w:rPr>
              <w:t>报告期内增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减变动情况</w:t>
            </w:r>
          </w:p>
        </w:tc>
        <w:tc>
          <w:tcPr>
            <w:tcW w:w="11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0" w:right="100"/>
              <w:jc w:val="center"/>
              <w:rPr>
                <w:rFonts w:ascii="宋体" w:hAnsi="宋体" w:cs="宋体" w:eastAsia="宋体" w:hint="default"/>
                <w:sz w:val="18"/>
                <w:szCs w:val="18"/>
              </w:rPr>
            </w:pPr>
            <w:r>
              <w:rPr>
                <w:rFonts w:ascii="宋体" w:hAnsi="宋体" w:cs="宋体" w:eastAsia="宋体" w:hint="default"/>
                <w:spacing w:val="-2"/>
                <w:sz w:val="18"/>
                <w:szCs w:val="18"/>
              </w:rPr>
              <w:t>持有有限售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12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76" w:right="171"/>
              <w:jc w:val="center"/>
              <w:rPr>
                <w:rFonts w:ascii="宋体" w:hAnsi="宋体" w:cs="宋体" w:eastAsia="宋体" w:hint="default"/>
                <w:sz w:val="18"/>
                <w:szCs w:val="18"/>
              </w:rPr>
            </w:pPr>
            <w:r>
              <w:rPr>
                <w:rFonts w:ascii="宋体" w:hAnsi="宋体" w:cs="宋体" w:eastAsia="宋体" w:hint="default"/>
                <w:spacing w:val="-2"/>
                <w:sz w:val="18"/>
                <w:szCs w:val="18"/>
              </w:rPr>
              <w:t>持有无限售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1859" w:type="dxa"/>
            <w:gridSpan w:val="2"/>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297"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715" w:hRule="exact"/>
        </w:trPr>
        <w:tc>
          <w:tcPr>
            <w:tcW w:w="1201" w:type="dxa"/>
            <w:vMerge/>
            <w:tcBorders>
              <w:left w:val="single" w:sz="12" w:space="0" w:color="000000"/>
              <w:bottom w:val="single" w:sz="4" w:space="0" w:color="000000"/>
              <w:right w:val="single" w:sz="4" w:space="0" w:color="000000"/>
            </w:tcBorders>
            <w:shd w:val="clear" w:color="auto" w:fill="D2D2D2"/>
          </w:tcPr>
          <w:p>
            <w:pPr/>
          </w:p>
        </w:tc>
        <w:tc>
          <w:tcPr>
            <w:tcW w:w="1077" w:type="dxa"/>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29"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D2D2D2"/>
          </w:tcPr>
          <w:p>
            <w:pPr/>
          </w:p>
        </w:tc>
        <w:tc>
          <w:tcPr>
            <w:tcW w:w="1262"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43" w:right="137"/>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状态</w:t>
            </w:r>
          </w:p>
        </w:tc>
        <w:tc>
          <w:tcPr>
            <w:tcW w:w="1201"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028"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5" w:right="180"/>
              <w:jc w:val="both"/>
              <w:rPr>
                <w:rFonts w:ascii="宋体" w:hAnsi="宋体" w:cs="宋体" w:eastAsia="宋体" w:hint="default"/>
                <w:sz w:val="18"/>
                <w:szCs w:val="18"/>
              </w:rPr>
            </w:pPr>
            <w:r>
              <w:rPr>
                <w:rFonts w:ascii="宋体" w:hAnsi="宋体" w:cs="宋体" w:eastAsia="宋体" w:hint="default"/>
                <w:sz w:val="18"/>
                <w:szCs w:val="18"/>
              </w:rPr>
              <w:t>江苏光一投</w:t>
            </w:r>
            <w:r>
              <w:rPr>
                <w:rFonts w:ascii="宋体" w:hAnsi="宋体" w:cs="宋体" w:eastAsia="宋体" w:hint="default"/>
                <w:w w:val="101"/>
                <w:sz w:val="18"/>
                <w:szCs w:val="18"/>
              </w:rPr>
              <w:t> </w:t>
            </w:r>
            <w:r>
              <w:rPr>
                <w:rFonts w:ascii="宋体" w:hAnsi="宋体" w:cs="宋体" w:eastAsia="宋体" w:hint="default"/>
                <w:sz w:val="18"/>
                <w:szCs w:val="18"/>
              </w:rPr>
              <w:t>资管理有限</w:t>
            </w:r>
            <w:r>
              <w:rPr>
                <w:rFonts w:ascii="宋体" w:hAnsi="宋体" w:cs="宋体" w:eastAsia="宋体" w:hint="default"/>
                <w:w w:val="101"/>
                <w:sz w:val="18"/>
                <w:szCs w:val="18"/>
              </w:rPr>
              <w:t> </w:t>
            </w:r>
            <w:r>
              <w:rPr>
                <w:rFonts w:ascii="宋体" w:hAnsi="宋体" w:cs="宋体" w:eastAsia="宋体" w:hint="default"/>
                <w:sz w:val="18"/>
                <w:szCs w:val="18"/>
              </w:rPr>
              <w:t>责任公司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05" w:right="234"/>
              <w:jc w:val="left"/>
              <w:rPr>
                <w:rFonts w:ascii="宋体" w:hAnsi="宋体" w:cs="宋体" w:eastAsia="宋体" w:hint="default"/>
                <w:sz w:val="18"/>
                <w:szCs w:val="18"/>
              </w:rPr>
            </w:pPr>
            <w:r>
              <w:rPr>
                <w:rFonts w:ascii="宋体" w:hAnsi="宋体" w:cs="宋体" w:eastAsia="宋体" w:hint="default"/>
                <w:sz w:val="18"/>
                <w:szCs w:val="18"/>
              </w:rPr>
              <w:t>境内非国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66" w:right="0"/>
              <w:jc w:val="center"/>
              <w:rPr>
                <w:rFonts w:ascii="宋体" w:hAnsi="宋体" w:cs="宋体" w:eastAsia="宋体" w:hint="default"/>
                <w:sz w:val="18"/>
                <w:szCs w:val="18"/>
              </w:rPr>
            </w:pPr>
            <w:r>
              <w:rPr>
                <w:rFonts w:ascii="宋体"/>
                <w:sz w:val="18"/>
              </w:rPr>
              <w:t>19.54%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3"/>
              <w:jc w:val="right"/>
              <w:rPr>
                <w:rFonts w:ascii="宋体" w:hAnsi="宋体" w:cs="宋体" w:eastAsia="宋体" w:hint="default"/>
                <w:sz w:val="18"/>
                <w:szCs w:val="18"/>
              </w:rPr>
            </w:pPr>
            <w:r>
              <w:rPr>
                <w:rFonts w:ascii="宋体"/>
                <w:spacing w:val="-1"/>
                <w:sz w:val="18"/>
              </w:rPr>
              <w:t>80,322,816</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-19,886,884</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0"/>
              <w:jc w:val="right"/>
              <w:rPr>
                <w:rFonts w:ascii="宋体" w:hAnsi="宋体" w:cs="宋体" w:eastAsia="宋体" w:hint="default"/>
                <w:sz w:val="18"/>
                <w:szCs w:val="18"/>
              </w:rPr>
            </w:pPr>
            <w:r>
              <w:rPr>
                <w:rFonts w:ascii="宋体"/>
                <w:w w:val="101"/>
                <w:sz w:val="18"/>
              </w:rPr>
              <w:t>0</w:t>
            </w:r>
            <w:r>
              <w:rPr>
                <w:rFonts w:ascii="宋体"/>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80,322,816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84"/>
              <w:jc w:val="right"/>
              <w:rPr>
                <w:rFonts w:ascii="宋体" w:hAnsi="宋体" w:cs="宋体" w:eastAsia="宋体" w:hint="default"/>
                <w:sz w:val="18"/>
                <w:szCs w:val="18"/>
              </w:rPr>
            </w:pPr>
            <w:r>
              <w:rPr>
                <w:rFonts w:ascii="宋体"/>
                <w:spacing w:val="-1"/>
                <w:sz w:val="18"/>
              </w:rPr>
              <w:t>80,322,816</w:t>
            </w:r>
          </w:p>
        </w:tc>
      </w:tr>
      <w:tr>
        <w:trPr>
          <w:trHeight w:val="715"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80"/>
              <w:jc w:val="left"/>
              <w:rPr>
                <w:rFonts w:ascii="宋体" w:hAnsi="宋体" w:cs="宋体" w:eastAsia="宋体" w:hint="default"/>
                <w:sz w:val="18"/>
                <w:szCs w:val="18"/>
              </w:rPr>
            </w:pPr>
            <w:r>
              <w:rPr>
                <w:rFonts w:ascii="宋体" w:hAnsi="宋体" w:cs="宋体" w:eastAsia="宋体" w:hint="default"/>
                <w:sz w:val="18"/>
                <w:szCs w:val="18"/>
              </w:rPr>
              <w:t>湖北乾瀚投</w:t>
            </w:r>
            <w:r>
              <w:rPr>
                <w:rFonts w:ascii="宋体" w:hAnsi="宋体" w:cs="宋体" w:eastAsia="宋体" w:hint="default"/>
                <w:w w:val="101"/>
                <w:sz w:val="18"/>
                <w:szCs w:val="18"/>
              </w:rPr>
              <w:t> </w:t>
            </w:r>
            <w:r>
              <w:rPr>
                <w:rFonts w:ascii="宋体" w:hAnsi="宋体" w:cs="宋体" w:eastAsia="宋体" w:hint="default"/>
                <w:sz w:val="18"/>
                <w:szCs w:val="18"/>
              </w:rPr>
              <w:t>资有限公司</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34"/>
              <w:jc w:val="left"/>
              <w:rPr>
                <w:rFonts w:ascii="宋体" w:hAnsi="宋体" w:cs="宋体" w:eastAsia="宋体" w:hint="default"/>
                <w:sz w:val="18"/>
                <w:szCs w:val="18"/>
              </w:rPr>
            </w:pPr>
            <w:r>
              <w:rPr>
                <w:rFonts w:ascii="宋体" w:hAnsi="宋体" w:cs="宋体" w:eastAsia="宋体" w:hint="default"/>
                <w:sz w:val="18"/>
                <w:szCs w:val="18"/>
              </w:rPr>
              <w:t>境内非国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2" w:right="0"/>
              <w:jc w:val="center"/>
              <w:rPr>
                <w:rFonts w:ascii="宋体" w:hAnsi="宋体" w:cs="宋体" w:eastAsia="宋体" w:hint="default"/>
                <w:sz w:val="18"/>
                <w:szCs w:val="18"/>
              </w:rPr>
            </w:pPr>
            <w:r>
              <w:rPr>
                <w:rFonts w:ascii="宋体"/>
                <w:sz w:val="18"/>
              </w:rPr>
              <w:t>9.62%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39,536,727</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-9,301,300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w w:val="101"/>
                <w:sz w:val="18"/>
              </w:rPr>
              <w:t>0</w:t>
            </w:r>
            <w:r>
              <w:rPr>
                <w:rFonts w:ascii="宋体"/>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39,536,727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10,260,527</w:t>
            </w:r>
          </w:p>
        </w:tc>
      </w:tr>
      <w:tr>
        <w:trPr>
          <w:trHeight w:val="711"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34"/>
              <w:jc w:val="left"/>
              <w:rPr>
                <w:rFonts w:ascii="宋体" w:hAnsi="宋体" w:cs="宋体" w:eastAsia="宋体" w:hint="default"/>
                <w:sz w:val="18"/>
                <w:szCs w:val="18"/>
              </w:rPr>
            </w:pPr>
            <w:r>
              <w:rPr>
                <w:rFonts w:ascii="宋体" w:hAnsi="宋体" w:cs="宋体" w:eastAsia="宋体" w:hint="default"/>
                <w:sz w:val="18"/>
                <w:szCs w:val="18"/>
              </w:rPr>
              <w:t>境内自然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2" w:right="0"/>
              <w:jc w:val="center"/>
              <w:rPr>
                <w:rFonts w:ascii="宋体" w:hAnsi="宋体" w:cs="宋体" w:eastAsia="宋体" w:hint="default"/>
                <w:sz w:val="18"/>
                <w:szCs w:val="18"/>
              </w:rPr>
            </w:pPr>
            <w:r>
              <w:rPr>
                <w:rFonts w:ascii="宋体"/>
                <w:sz w:val="18"/>
              </w:rPr>
              <w:t>5.77%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23,729,075</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-13,834,175</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23,729,075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8"/>
                <w:szCs w:val="18"/>
              </w:rPr>
            </w:pPr>
            <w:r>
              <w:rPr>
                <w:rFonts w:ascii="宋体"/>
                <w:w w:val="101"/>
                <w:sz w:val="18"/>
              </w:rPr>
              <w:t>0</w:t>
            </w:r>
            <w:r>
              <w:rPr>
                <w:rFonts w:ascii="宋体"/>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23,345,029</w:t>
            </w:r>
          </w:p>
        </w:tc>
      </w:tr>
      <w:tr>
        <w:trPr>
          <w:trHeight w:val="715"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任昌兆</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34"/>
              <w:jc w:val="left"/>
              <w:rPr>
                <w:rFonts w:ascii="宋体" w:hAnsi="宋体" w:cs="宋体" w:eastAsia="宋体" w:hint="default"/>
                <w:sz w:val="18"/>
                <w:szCs w:val="18"/>
              </w:rPr>
            </w:pPr>
            <w:r>
              <w:rPr>
                <w:rFonts w:ascii="宋体" w:hAnsi="宋体" w:cs="宋体" w:eastAsia="宋体" w:hint="default"/>
                <w:sz w:val="18"/>
                <w:szCs w:val="18"/>
              </w:rPr>
              <w:t>境内自然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2" w:right="0"/>
              <w:jc w:val="center"/>
              <w:rPr>
                <w:rFonts w:ascii="宋体" w:hAnsi="宋体" w:cs="宋体" w:eastAsia="宋体" w:hint="default"/>
                <w:sz w:val="18"/>
                <w:szCs w:val="18"/>
              </w:rPr>
            </w:pPr>
            <w:r>
              <w:rPr>
                <w:rFonts w:ascii="宋体"/>
                <w:sz w:val="18"/>
              </w:rPr>
              <w:t>1.70%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6,981,540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5,236,155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1,745,385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6,981,540</w:t>
            </w:r>
          </w:p>
        </w:tc>
      </w:tr>
      <w:tr>
        <w:trPr>
          <w:trHeight w:val="715"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朱晓晖</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34"/>
              <w:jc w:val="left"/>
              <w:rPr>
                <w:rFonts w:ascii="宋体" w:hAnsi="宋体" w:cs="宋体" w:eastAsia="宋体" w:hint="default"/>
                <w:sz w:val="18"/>
                <w:szCs w:val="18"/>
              </w:rPr>
            </w:pPr>
            <w:r>
              <w:rPr>
                <w:rFonts w:ascii="宋体" w:hAnsi="宋体" w:cs="宋体" w:eastAsia="宋体" w:hint="default"/>
                <w:sz w:val="18"/>
                <w:szCs w:val="18"/>
              </w:rPr>
              <w:t>境内自然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2" w:right="0"/>
              <w:jc w:val="center"/>
              <w:rPr>
                <w:rFonts w:ascii="宋体" w:hAnsi="宋体" w:cs="宋体" w:eastAsia="宋体" w:hint="default"/>
                <w:sz w:val="18"/>
                <w:szCs w:val="18"/>
              </w:rPr>
            </w:pPr>
            <w:r>
              <w:rPr>
                <w:rFonts w:ascii="宋体"/>
                <w:sz w:val="18"/>
              </w:rPr>
              <w:t>0.80%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3,287,171</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3,287,171</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w w:val="101"/>
                <w:sz w:val="18"/>
              </w:rPr>
              <w:t>0</w:t>
            </w:r>
            <w:r>
              <w:rPr>
                <w:rFonts w:ascii="宋体"/>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3,287,171</w:t>
            </w:r>
          </w:p>
        </w:tc>
        <w:tc>
          <w:tcPr>
            <w:tcW w:w="65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熊珂</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234"/>
              <w:jc w:val="left"/>
              <w:rPr>
                <w:rFonts w:ascii="宋体" w:hAnsi="宋体" w:cs="宋体" w:eastAsia="宋体" w:hint="default"/>
                <w:sz w:val="18"/>
                <w:szCs w:val="18"/>
              </w:rPr>
            </w:pPr>
            <w:r>
              <w:rPr>
                <w:rFonts w:ascii="宋体" w:hAnsi="宋体" w:cs="宋体" w:eastAsia="宋体" w:hint="default"/>
                <w:sz w:val="18"/>
                <w:szCs w:val="18"/>
              </w:rPr>
              <w:t>境内自然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2" w:right="0"/>
              <w:jc w:val="center"/>
              <w:rPr>
                <w:rFonts w:ascii="宋体" w:hAnsi="宋体" w:cs="宋体" w:eastAsia="宋体" w:hint="default"/>
                <w:sz w:val="18"/>
                <w:szCs w:val="18"/>
              </w:rPr>
            </w:pPr>
            <w:r>
              <w:rPr>
                <w:rFonts w:ascii="宋体"/>
                <w:sz w:val="18"/>
              </w:rPr>
              <w:t>0.77%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3,164,150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-1,054,600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3,164,062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2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2,754,750</w:t>
            </w:r>
          </w:p>
        </w:tc>
      </w:tr>
      <w:tr>
        <w:trPr>
          <w:trHeight w:val="710"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谢建明</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34"/>
              <w:jc w:val="left"/>
              <w:rPr>
                <w:rFonts w:ascii="宋体" w:hAnsi="宋体" w:cs="宋体" w:eastAsia="宋体" w:hint="default"/>
                <w:sz w:val="18"/>
                <w:szCs w:val="18"/>
              </w:rPr>
            </w:pPr>
            <w:r>
              <w:rPr>
                <w:rFonts w:ascii="宋体" w:hAnsi="宋体" w:cs="宋体" w:eastAsia="宋体" w:hint="default"/>
                <w:sz w:val="18"/>
                <w:szCs w:val="18"/>
              </w:rPr>
              <w:t>境内自然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2" w:right="0"/>
              <w:jc w:val="center"/>
              <w:rPr>
                <w:rFonts w:ascii="宋体" w:hAnsi="宋体" w:cs="宋体" w:eastAsia="宋体" w:hint="default"/>
                <w:sz w:val="18"/>
                <w:szCs w:val="18"/>
              </w:rPr>
            </w:pPr>
            <w:r>
              <w:rPr>
                <w:rFonts w:ascii="宋体"/>
                <w:sz w:val="18"/>
              </w:rPr>
              <w:t>0.72%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2,978,714</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2,978,714</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w w:val="101"/>
                <w:sz w:val="18"/>
              </w:rPr>
              <w:t>0</w:t>
            </w:r>
            <w:r>
              <w:rPr>
                <w:rFonts w:ascii="宋体"/>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2,978,714</w:t>
            </w:r>
          </w:p>
        </w:tc>
        <w:tc>
          <w:tcPr>
            <w:tcW w:w="65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汤晶媚</w:t>
            </w:r>
          </w:p>
        </w:tc>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234"/>
              <w:jc w:val="left"/>
              <w:rPr>
                <w:rFonts w:ascii="宋体" w:hAnsi="宋体" w:cs="宋体" w:eastAsia="宋体" w:hint="default"/>
                <w:sz w:val="18"/>
                <w:szCs w:val="18"/>
              </w:rPr>
            </w:pPr>
            <w:r>
              <w:rPr>
                <w:rFonts w:ascii="宋体" w:hAnsi="宋体" w:cs="宋体" w:eastAsia="宋体" w:hint="default"/>
                <w:sz w:val="18"/>
                <w:szCs w:val="18"/>
              </w:rPr>
              <w:t>境内自然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2" w:right="0"/>
              <w:jc w:val="center"/>
              <w:rPr>
                <w:rFonts w:ascii="宋体" w:hAnsi="宋体" w:cs="宋体" w:eastAsia="宋体" w:hint="default"/>
                <w:sz w:val="18"/>
                <w:szCs w:val="18"/>
              </w:rPr>
            </w:pPr>
            <w:r>
              <w:rPr>
                <w:rFonts w:ascii="宋体"/>
                <w:sz w:val="18"/>
              </w:rPr>
              <w:t>0.63%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2,573,900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2,573,900</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w w:val="101"/>
                <w:sz w:val="18"/>
              </w:rPr>
              <w:t>0</w:t>
            </w:r>
            <w:r>
              <w:rPr>
                <w:rFonts w:ascii="宋体"/>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2,573,900</w:t>
            </w:r>
          </w:p>
        </w:tc>
        <w:tc>
          <w:tcPr>
            <w:tcW w:w="65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12" w:space="0" w:color="000000"/>
            </w:tcBorders>
          </w:tcPr>
          <w:p>
            <w:pPr/>
          </w:p>
        </w:tc>
      </w:tr>
      <w:tr>
        <w:trPr>
          <w:trHeight w:val="725" w:hRule="exact"/>
        </w:trPr>
        <w:tc>
          <w:tcPr>
            <w:tcW w:w="120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任晶晶</w:t>
            </w:r>
          </w:p>
        </w:tc>
        <w:tc>
          <w:tcPr>
            <w:tcW w:w="1077"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3"/>
              <w:ind w:left="105" w:right="234"/>
              <w:jc w:val="left"/>
              <w:rPr>
                <w:rFonts w:ascii="宋体" w:hAnsi="宋体" w:cs="宋体" w:eastAsia="宋体" w:hint="default"/>
                <w:sz w:val="18"/>
                <w:szCs w:val="18"/>
              </w:rPr>
            </w:pPr>
            <w:r>
              <w:rPr>
                <w:rFonts w:ascii="宋体" w:hAnsi="宋体" w:cs="宋体" w:eastAsia="宋体" w:hint="default"/>
                <w:sz w:val="18"/>
                <w:szCs w:val="18"/>
              </w:rPr>
              <w:t>境内自然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8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2" w:right="0"/>
              <w:jc w:val="center"/>
              <w:rPr>
                <w:rFonts w:ascii="宋体" w:hAnsi="宋体" w:cs="宋体" w:eastAsia="宋体" w:hint="default"/>
                <w:sz w:val="18"/>
                <w:szCs w:val="18"/>
              </w:rPr>
            </w:pPr>
            <w:r>
              <w:rPr>
                <w:rFonts w:ascii="宋体"/>
                <w:sz w:val="18"/>
              </w:rPr>
              <w:t>0.54%</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2,230,855</w:t>
            </w:r>
          </w:p>
        </w:tc>
        <w:tc>
          <w:tcPr>
            <w:tcW w:w="12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-742,500</w:t>
            </w:r>
          </w:p>
        </w:tc>
        <w:tc>
          <w:tcPr>
            <w:tcW w:w="112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宋体" w:hAnsi="宋体" w:cs="宋体" w:eastAsia="宋体" w:hint="default"/>
                <w:sz w:val="18"/>
                <w:szCs w:val="18"/>
              </w:rPr>
            </w:pPr>
            <w:r>
              <w:rPr>
                <w:rFonts w:ascii="宋体"/>
                <w:w w:val="101"/>
                <w:sz w:val="18"/>
              </w:rPr>
              <w:t>0</w:t>
            </w:r>
            <w:r>
              <w:rPr>
                <w:rFonts w:ascii="宋体"/>
                <w:sz w:val="18"/>
              </w:rPr>
            </w:r>
          </w:p>
        </w:tc>
        <w:tc>
          <w:tcPr>
            <w:tcW w:w="1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2,230,855</w:t>
            </w:r>
          </w:p>
        </w:tc>
        <w:tc>
          <w:tcPr>
            <w:tcW w:w="658" w:type="dxa"/>
            <w:tcBorders>
              <w:top w:val="single" w:sz="4" w:space="0" w:color="000000"/>
              <w:left w:val="single" w:sz="4" w:space="0" w:color="000000"/>
              <w:bottom w:val="single" w:sz="12" w:space="0" w:color="000000"/>
              <w:right w:val="single" w:sz="4" w:space="0" w:color="000000"/>
            </w:tcBorders>
          </w:tcPr>
          <w:p>
            <w:pPr/>
          </w:p>
        </w:tc>
        <w:tc>
          <w:tcPr>
            <w:tcW w:w="1201"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1201"/>
        <w:gridCol w:w="1076"/>
        <w:gridCol w:w="811"/>
        <w:gridCol w:w="1277"/>
        <w:gridCol w:w="1229"/>
        <w:gridCol w:w="1124"/>
        <w:gridCol w:w="1263"/>
        <w:gridCol w:w="658"/>
        <w:gridCol w:w="1201"/>
      </w:tblGrid>
      <w:tr>
        <w:trPr>
          <w:trHeight w:val="725" w:hRule="exact"/>
        </w:trPr>
        <w:tc>
          <w:tcPr>
            <w:tcW w:w="120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陈哲</w:t>
            </w:r>
          </w:p>
        </w:tc>
        <w:tc>
          <w:tcPr>
            <w:tcW w:w="1076" w:type="dxa"/>
            <w:tcBorders>
              <w:top w:val="single" w:sz="12" w:space="0" w:color="000000"/>
              <w:left w:val="single" w:sz="4" w:space="0" w:color="000000"/>
              <w:bottom w:val="single" w:sz="4" w:space="0" w:color="000000"/>
              <w:right w:val="single" w:sz="4" w:space="0" w:color="000000"/>
            </w:tcBorders>
          </w:tcPr>
          <w:p>
            <w:pPr>
              <w:pStyle w:val="TableParagraph"/>
              <w:spacing w:line="321" w:lineRule="auto" w:before="53"/>
              <w:ind w:left="105" w:right="233"/>
              <w:jc w:val="left"/>
              <w:rPr>
                <w:rFonts w:ascii="宋体" w:hAnsi="宋体" w:cs="宋体" w:eastAsia="宋体" w:hint="default"/>
                <w:sz w:val="18"/>
                <w:szCs w:val="18"/>
              </w:rPr>
            </w:pPr>
            <w:r>
              <w:rPr>
                <w:rFonts w:ascii="宋体" w:hAnsi="宋体" w:cs="宋体" w:eastAsia="宋体" w:hint="default"/>
                <w:sz w:val="18"/>
                <w:szCs w:val="18"/>
              </w:rPr>
              <w:t>境内自然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w:t>
            </w:r>
          </w:p>
        </w:tc>
        <w:tc>
          <w:tcPr>
            <w:tcW w:w="8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9" w:right="0"/>
              <w:jc w:val="left"/>
              <w:rPr>
                <w:rFonts w:ascii="宋体" w:hAnsi="宋体" w:cs="宋体" w:eastAsia="宋体" w:hint="default"/>
                <w:sz w:val="18"/>
                <w:szCs w:val="18"/>
              </w:rPr>
            </w:pPr>
            <w:r>
              <w:rPr>
                <w:rFonts w:ascii="宋体"/>
                <w:sz w:val="18"/>
              </w:rPr>
              <w:t>0.50%</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55" w:right="0"/>
              <w:jc w:val="left"/>
              <w:rPr>
                <w:rFonts w:ascii="宋体" w:hAnsi="宋体" w:cs="宋体" w:eastAsia="宋体" w:hint="default"/>
                <w:sz w:val="18"/>
                <w:szCs w:val="18"/>
              </w:rPr>
            </w:pPr>
            <w:r>
              <w:rPr>
                <w:rFonts w:ascii="宋体"/>
                <w:sz w:val="18"/>
              </w:rPr>
              <w:t>2,050,600</w:t>
            </w:r>
          </w:p>
        </w:tc>
        <w:tc>
          <w:tcPr>
            <w:tcW w:w="12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sz w:val="18"/>
              </w:rPr>
              <w:t>1,082,700</w:t>
            </w:r>
          </w:p>
        </w:tc>
        <w:tc>
          <w:tcPr>
            <w:tcW w:w="11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w w:val="101"/>
                <w:sz w:val="18"/>
              </w:rPr>
              <w:t>0</w:t>
            </w:r>
            <w:r>
              <w:rPr>
                <w:rFonts w:ascii="宋体"/>
                <w:sz w:val="18"/>
              </w:rPr>
            </w:r>
          </w:p>
        </w:tc>
        <w:tc>
          <w:tcPr>
            <w:tcW w:w="12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36" w:right="0"/>
              <w:jc w:val="left"/>
              <w:rPr>
                <w:rFonts w:ascii="宋体" w:hAnsi="宋体" w:cs="宋体" w:eastAsia="宋体" w:hint="default"/>
                <w:sz w:val="18"/>
                <w:szCs w:val="18"/>
              </w:rPr>
            </w:pPr>
            <w:r>
              <w:rPr>
                <w:rFonts w:ascii="宋体"/>
                <w:sz w:val="18"/>
              </w:rPr>
              <w:t>2,050,600</w:t>
            </w:r>
          </w:p>
        </w:tc>
        <w:tc>
          <w:tcPr>
            <w:tcW w:w="658" w:type="dxa"/>
            <w:tcBorders>
              <w:top w:val="single" w:sz="12" w:space="0" w:color="000000"/>
              <w:left w:val="single" w:sz="4" w:space="0" w:color="000000"/>
              <w:bottom w:val="single" w:sz="4" w:space="0" w:color="000000"/>
              <w:right w:val="single" w:sz="4" w:space="0" w:color="000000"/>
            </w:tcBorders>
          </w:tcPr>
          <w:p>
            <w:pPr/>
          </w:p>
        </w:tc>
        <w:tc>
          <w:tcPr>
            <w:tcW w:w="1201" w:type="dxa"/>
            <w:tcBorders>
              <w:top w:val="single" w:sz="12" w:space="0" w:color="000000"/>
              <w:left w:val="single" w:sz="4" w:space="0" w:color="000000"/>
              <w:bottom w:val="single" w:sz="4" w:space="0" w:color="000000"/>
              <w:right w:val="single" w:sz="12" w:space="0" w:color="000000"/>
            </w:tcBorders>
          </w:tcPr>
          <w:p>
            <w:pPr/>
          </w:p>
        </w:tc>
      </w:tr>
      <w:tr>
        <w:trPr>
          <w:trHeight w:val="1028" w:hRule="exact"/>
        </w:trPr>
        <w:tc>
          <w:tcPr>
            <w:tcW w:w="2276"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5" w:right="2"/>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配售新股成为前</w:t>
            </w:r>
            <w:r>
              <w:rPr>
                <w:rFonts w:ascii="宋体" w:hAnsi="宋体" w:cs="宋体" w:eastAsia="宋体" w:hint="default"/>
                <w:spacing w:val="-50"/>
                <w:sz w:val="18"/>
                <w:szCs w:val="18"/>
              </w:rPr>
              <w:t> </w:t>
            </w:r>
            <w:r>
              <w:rPr>
                <w:rFonts w:ascii="宋体" w:hAnsi="宋体" w:cs="宋体" w:eastAsia="宋体" w:hint="default"/>
                <w:sz w:val="18"/>
                <w:szCs w:val="18"/>
              </w:rPr>
              <w:t>10</w:t>
            </w:r>
            <w:r>
              <w:rPr>
                <w:rFonts w:ascii="宋体" w:hAnsi="宋体" w:cs="宋体" w:eastAsia="宋体" w:hint="default"/>
                <w:spacing w:val="-55"/>
                <w:sz w:val="18"/>
                <w:szCs w:val="18"/>
              </w:rPr>
              <w:t> </w:t>
            </w:r>
            <w:r>
              <w:rPr>
                <w:rFonts w:ascii="宋体" w:hAnsi="宋体" w:cs="宋体" w:eastAsia="宋体" w:hint="default"/>
                <w:sz w:val="18"/>
                <w:szCs w:val="18"/>
              </w:rPr>
              <w:t>名股东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w w:val="101"/>
                <w:sz w:val="18"/>
                <w:szCs w:val="18"/>
              </w:rPr>
              <w:t>的情况（如有）（参见注</w:t>
            </w:r>
            <w:r>
              <w:rPr>
                <w:rFonts w:ascii="宋体" w:hAnsi="宋体" w:cs="宋体" w:eastAsia="宋体" w:hint="default"/>
                <w:spacing w:val="-47"/>
                <w:w w:val="101"/>
                <w:sz w:val="18"/>
                <w:szCs w:val="18"/>
              </w:rPr>
              <w:t> </w:t>
            </w:r>
            <w:r>
              <w:rPr>
                <w:rFonts w:ascii="宋体" w:hAnsi="宋体" w:cs="宋体" w:eastAsia="宋体" w:hint="default"/>
                <w:spacing w:val="-3"/>
                <w:w w:val="101"/>
                <w:sz w:val="18"/>
                <w:szCs w:val="18"/>
              </w:rPr>
              <w:t>4</w:t>
            </w:r>
            <w:r>
              <w:rPr>
                <w:rFonts w:ascii="宋体" w:hAnsi="宋体" w:cs="宋体" w:eastAsia="宋体" w:hint="default"/>
                <w:spacing w:val="-3"/>
                <w:w w:val="101"/>
                <w:sz w:val="18"/>
                <w:szCs w:val="18"/>
              </w:rPr>
              <w:t>）</w:t>
            </w:r>
            <w:r>
              <w:rPr>
                <w:rFonts w:ascii="宋体" w:hAnsi="宋体" w:cs="宋体" w:eastAsia="宋体" w:hint="default"/>
                <w:spacing w:val="-3"/>
                <w:sz w:val="18"/>
                <w:szCs w:val="18"/>
              </w:rPr>
            </w:r>
          </w:p>
        </w:tc>
        <w:tc>
          <w:tcPr>
            <w:tcW w:w="7563" w:type="dxa"/>
            <w:gridSpan w:val="7"/>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3" w:hRule="exact"/>
        </w:trPr>
        <w:tc>
          <w:tcPr>
            <w:tcW w:w="2276" w:type="dxa"/>
            <w:gridSpan w:val="2"/>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95" w:right="176"/>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行动的说明</w:t>
            </w:r>
          </w:p>
        </w:tc>
        <w:tc>
          <w:tcPr>
            <w:tcW w:w="7563" w:type="dxa"/>
            <w:gridSpan w:val="7"/>
            <w:tcBorders>
              <w:top w:val="single" w:sz="4" w:space="0" w:color="000000"/>
              <w:left w:val="single" w:sz="4" w:space="0" w:color="000000"/>
              <w:bottom w:val="single" w:sz="4" w:space="0" w:color="000000"/>
              <w:right w:val="single" w:sz="12" w:space="0" w:color="000000"/>
            </w:tcBorders>
          </w:tcPr>
          <w:p>
            <w:pPr>
              <w:pStyle w:val="TableParagraph"/>
              <w:spacing w:line="316" w:lineRule="auto" w:before="53"/>
              <w:ind w:left="105" w:right="86"/>
              <w:jc w:val="both"/>
              <w:rPr>
                <w:rFonts w:ascii="宋体" w:hAnsi="宋体" w:cs="宋体" w:eastAsia="宋体" w:hint="default"/>
                <w:sz w:val="18"/>
                <w:szCs w:val="18"/>
              </w:rPr>
            </w:pPr>
            <w:r>
              <w:rPr>
                <w:rFonts w:ascii="宋体" w:hAnsi="宋体" w:cs="宋体" w:eastAsia="宋体" w:hint="default"/>
                <w:spacing w:val="-4"/>
                <w:sz w:val="18"/>
                <w:szCs w:val="18"/>
              </w:rPr>
              <w:t>股东江苏光一投资管理有限责任公司为实际控制人龙昌明先生控制的企业，熊珂女士为龙昌明</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4"/>
                <w:sz w:val="18"/>
                <w:szCs w:val="18"/>
              </w:rPr>
              <w:t>先生配偶；湖北乾瀚投资有限公司为公司董事任昌兆先生控制的企业，任晶晶女士为任昌兆先</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生之女；其他股东未知是否存在关联关系或一致行动。</w:t>
            </w:r>
          </w:p>
        </w:tc>
      </w:tr>
      <w:tr>
        <w:trPr>
          <w:trHeight w:val="403" w:hRule="exact"/>
        </w:trPr>
        <w:tc>
          <w:tcPr>
            <w:tcW w:w="9839" w:type="dxa"/>
            <w:gridSpan w:val="9"/>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宋体" w:hAnsi="宋体" w:cs="宋体" w:eastAsia="宋体" w:hint="default"/>
                <w:sz w:val="18"/>
                <w:szCs w:val="18"/>
              </w:rPr>
              <w:t>10</w:t>
            </w:r>
            <w:r>
              <w:rPr>
                <w:rFonts w:ascii="宋体" w:hAnsi="宋体" w:cs="宋体" w:eastAsia="宋体" w:hint="default"/>
                <w:spacing w:val="-50"/>
                <w:sz w:val="18"/>
                <w:szCs w:val="18"/>
              </w:rPr>
              <w:t> </w:t>
            </w:r>
            <w:r>
              <w:rPr>
                <w:rFonts w:ascii="宋体" w:hAnsi="宋体" w:cs="宋体" w:eastAsia="宋体" w:hint="default"/>
                <w:spacing w:val="-3"/>
                <w:sz w:val="18"/>
                <w:szCs w:val="18"/>
              </w:rPr>
              <w:t>名无限售条件股东持股情况</w:t>
            </w:r>
          </w:p>
        </w:tc>
      </w:tr>
      <w:tr>
        <w:trPr>
          <w:trHeight w:val="403" w:hRule="exact"/>
        </w:trPr>
        <w:tc>
          <w:tcPr>
            <w:tcW w:w="2276" w:type="dxa"/>
            <w:gridSpan w:val="2"/>
            <w:vMerge w:val="restart"/>
            <w:tcBorders>
              <w:top w:val="single" w:sz="4" w:space="0" w:color="000000"/>
              <w:left w:val="single" w:sz="12"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704"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498"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1859" w:type="dxa"/>
            <w:gridSpan w:val="2"/>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715" w:hRule="exact"/>
        </w:trPr>
        <w:tc>
          <w:tcPr>
            <w:tcW w:w="2276" w:type="dxa"/>
            <w:gridSpan w:val="2"/>
            <w:vMerge/>
            <w:tcBorders>
              <w:left w:val="single" w:sz="12" w:space="0" w:color="000000"/>
              <w:bottom w:val="single" w:sz="4" w:space="0" w:color="000000"/>
              <w:right w:val="single" w:sz="4" w:space="0" w:color="000000"/>
            </w:tcBorders>
            <w:shd w:val="clear" w:color="auto" w:fill="D2D2D2"/>
          </w:tcPr>
          <w:p>
            <w:pPr/>
          </w:p>
        </w:tc>
        <w:tc>
          <w:tcPr>
            <w:tcW w:w="5704" w:type="dxa"/>
            <w:gridSpan w:val="5"/>
            <w:vMerge/>
            <w:tcBorders>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43" w:right="137"/>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 </w:t>
            </w:r>
            <w:r>
              <w:rPr>
                <w:rFonts w:ascii="宋体" w:hAnsi="宋体" w:cs="宋体" w:eastAsia="宋体" w:hint="default"/>
                <w:sz w:val="18"/>
                <w:szCs w:val="18"/>
              </w:rPr>
              <w:t>种类</w:t>
            </w:r>
          </w:p>
        </w:tc>
        <w:tc>
          <w:tcPr>
            <w:tcW w:w="1201"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023" w:hRule="exact"/>
        </w:trPr>
        <w:tc>
          <w:tcPr>
            <w:tcW w:w="2276"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95" w:right="176"/>
              <w:jc w:val="left"/>
              <w:rPr>
                <w:rFonts w:ascii="宋体" w:hAnsi="宋体" w:cs="宋体" w:eastAsia="宋体" w:hint="default"/>
                <w:sz w:val="18"/>
                <w:szCs w:val="18"/>
              </w:rPr>
            </w:pPr>
            <w:r>
              <w:rPr>
                <w:rFonts w:ascii="宋体" w:hAnsi="宋体" w:cs="宋体" w:eastAsia="宋体" w:hint="default"/>
                <w:spacing w:val="-3"/>
                <w:sz w:val="18"/>
                <w:szCs w:val="18"/>
              </w:rPr>
              <w:t>江苏光一投资管理有限责</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任公司</w:t>
            </w:r>
          </w:p>
        </w:tc>
        <w:tc>
          <w:tcPr>
            <w:tcW w:w="57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99"/>
              <w:jc w:val="right"/>
              <w:rPr>
                <w:rFonts w:ascii="宋体" w:hAnsi="宋体" w:cs="宋体" w:eastAsia="宋体" w:hint="default"/>
                <w:sz w:val="18"/>
                <w:szCs w:val="18"/>
              </w:rPr>
            </w:pPr>
            <w:r>
              <w:rPr>
                <w:rFonts w:ascii="宋体"/>
                <w:spacing w:val="-1"/>
                <w:sz w:val="18"/>
              </w:rPr>
              <w:t>80,322,816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77"/>
              <w:jc w:val="both"/>
              <w:rPr>
                <w:rFonts w:ascii="宋体" w:hAnsi="宋体" w:cs="宋体" w:eastAsia="宋体" w:hint="default"/>
                <w:sz w:val="18"/>
                <w:szCs w:val="18"/>
              </w:rPr>
            </w:pPr>
            <w:r>
              <w:rPr>
                <w:rFonts w:ascii="宋体" w:hAnsi="宋体" w:cs="宋体" w:eastAsia="宋体" w:hint="default"/>
                <w:sz w:val="18"/>
                <w:szCs w:val="18"/>
              </w:rPr>
              <w:t>人民</w:t>
            </w:r>
            <w:r>
              <w:rPr>
                <w:rFonts w:ascii="宋体" w:hAnsi="宋体" w:cs="宋体" w:eastAsia="宋体" w:hint="default"/>
                <w:spacing w:val="-86"/>
                <w:sz w:val="18"/>
                <w:szCs w:val="18"/>
              </w:rPr>
              <w:t> </w:t>
            </w:r>
            <w:r>
              <w:rPr>
                <w:rFonts w:ascii="宋体" w:hAnsi="宋体" w:cs="宋体" w:eastAsia="宋体" w:hint="default"/>
                <w:sz w:val="18"/>
                <w:szCs w:val="18"/>
              </w:rPr>
              <w:t>币普</w:t>
            </w:r>
            <w:r>
              <w:rPr>
                <w:rFonts w:ascii="宋体" w:hAnsi="宋体" w:cs="宋体" w:eastAsia="宋体" w:hint="default"/>
                <w:spacing w:val="-86"/>
                <w:sz w:val="18"/>
                <w:szCs w:val="18"/>
              </w:rPr>
              <w:t> </w:t>
            </w:r>
            <w:r>
              <w:rPr>
                <w:rFonts w:ascii="宋体" w:hAnsi="宋体" w:cs="宋体" w:eastAsia="宋体" w:hint="default"/>
                <w:sz w:val="18"/>
                <w:szCs w:val="18"/>
              </w:rPr>
              <w:t>通股</w:t>
            </w:r>
          </w:p>
        </w:tc>
        <w:tc>
          <w:tcPr>
            <w:tcW w:w="12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84"/>
              <w:jc w:val="right"/>
              <w:rPr>
                <w:rFonts w:ascii="宋体" w:hAnsi="宋体" w:cs="宋体" w:eastAsia="宋体" w:hint="default"/>
                <w:sz w:val="18"/>
                <w:szCs w:val="18"/>
              </w:rPr>
            </w:pPr>
            <w:r>
              <w:rPr>
                <w:rFonts w:ascii="宋体"/>
                <w:spacing w:val="-1"/>
                <w:sz w:val="18"/>
              </w:rPr>
              <w:t>80,322,816</w:t>
            </w:r>
          </w:p>
        </w:tc>
      </w:tr>
      <w:tr>
        <w:trPr>
          <w:trHeight w:val="1028" w:hRule="exact"/>
        </w:trPr>
        <w:tc>
          <w:tcPr>
            <w:tcW w:w="2276"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95" w:right="0"/>
              <w:jc w:val="left"/>
              <w:rPr>
                <w:rFonts w:ascii="宋体" w:hAnsi="宋体" w:cs="宋体" w:eastAsia="宋体" w:hint="default"/>
                <w:sz w:val="18"/>
                <w:szCs w:val="18"/>
              </w:rPr>
            </w:pPr>
            <w:r>
              <w:rPr>
                <w:rFonts w:ascii="宋体" w:hAnsi="宋体" w:cs="宋体" w:eastAsia="宋体" w:hint="default"/>
                <w:sz w:val="18"/>
                <w:szCs w:val="18"/>
              </w:rPr>
              <w:t>湖北乾瀚投资有限公司</w:t>
            </w:r>
          </w:p>
        </w:tc>
        <w:tc>
          <w:tcPr>
            <w:tcW w:w="57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9"/>
              <w:jc w:val="right"/>
              <w:rPr>
                <w:rFonts w:ascii="宋体" w:hAnsi="宋体" w:cs="宋体" w:eastAsia="宋体" w:hint="default"/>
                <w:sz w:val="18"/>
                <w:szCs w:val="18"/>
              </w:rPr>
            </w:pPr>
            <w:r>
              <w:rPr>
                <w:rFonts w:ascii="宋体"/>
                <w:spacing w:val="-1"/>
                <w:sz w:val="18"/>
              </w:rPr>
              <w:t>39,536,727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7"/>
              <w:jc w:val="both"/>
              <w:rPr>
                <w:rFonts w:ascii="宋体" w:hAnsi="宋体" w:cs="宋体" w:eastAsia="宋体" w:hint="default"/>
                <w:sz w:val="18"/>
                <w:szCs w:val="18"/>
              </w:rPr>
            </w:pPr>
            <w:r>
              <w:rPr>
                <w:rFonts w:ascii="宋体" w:hAnsi="宋体" w:cs="宋体" w:eastAsia="宋体" w:hint="default"/>
                <w:sz w:val="18"/>
                <w:szCs w:val="18"/>
              </w:rPr>
              <w:t>人民</w:t>
            </w:r>
            <w:r>
              <w:rPr>
                <w:rFonts w:ascii="宋体" w:hAnsi="宋体" w:cs="宋体" w:eastAsia="宋体" w:hint="default"/>
                <w:spacing w:val="-86"/>
                <w:sz w:val="18"/>
                <w:szCs w:val="18"/>
              </w:rPr>
              <w:t> </w:t>
            </w:r>
            <w:r>
              <w:rPr>
                <w:rFonts w:ascii="宋体" w:hAnsi="宋体" w:cs="宋体" w:eastAsia="宋体" w:hint="default"/>
                <w:sz w:val="18"/>
                <w:szCs w:val="18"/>
              </w:rPr>
              <w:t>币普</w:t>
            </w:r>
            <w:r>
              <w:rPr>
                <w:rFonts w:ascii="宋体" w:hAnsi="宋体" w:cs="宋体" w:eastAsia="宋体" w:hint="default"/>
                <w:spacing w:val="-86"/>
                <w:sz w:val="18"/>
                <w:szCs w:val="18"/>
              </w:rPr>
              <w:t> </w:t>
            </w:r>
            <w:r>
              <w:rPr>
                <w:rFonts w:ascii="宋体" w:hAnsi="宋体" w:cs="宋体" w:eastAsia="宋体" w:hint="default"/>
                <w:sz w:val="18"/>
                <w:szCs w:val="18"/>
              </w:rPr>
              <w:t>通股</w:t>
            </w:r>
          </w:p>
        </w:tc>
        <w:tc>
          <w:tcPr>
            <w:tcW w:w="12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84"/>
              <w:jc w:val="right"/>
              <w:rPr>
                <w:rFonts w:ascii="宋体" w:hAnsi="宋体" w:cs="宋体" w:eastAsia="宋体" w:hint="default"/>
                <w:sz w:val="18"/>
                <w:szCs w:val="18"/>
              </w:rPr>
            </w:pPr>
            <w:r>
              <w:rPr>
                <w:rFonts w:ascii="宋体"/>
                <w:spacing w:val="-1"/>
                <w:sz w:val="18"/>
              </w:rPr>
              <w:t>39,536,727</w:t>
            </w:r>
          </w:p>
        </w:tc>
      </w:tr>
      <w:tr>
        <w:trPr>
          <w:trHeight w:val="1027" w:hRule="exact"/>
        </w:trPr>
        <w:tc>
          <w:tcPr>
            <w:tcW w:w="2276"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95" w:right="0"/>
              <w:jc w:val="left"/>
              <w:rPr>
                <w:rFonts w:ascii="宋体" w:hAnsi="宋体" w:cs="宋体" w:eastAsia="宋体" w:hint="default"/>
                <w:sz w:val="18"/>
                <w:szCs w:val="18"/>
              </w:rPr>
            </w:pPr>
            <w:r>
              <w:rPr>
                <w:rFonts w:ascii="宋体" w:hAnsi="宋体" w:cs="宋体" w:eastAsia="宋体" w:hint="default"/>
                <w:sz w:val="18"/>
                <w:szCs w:val="18"/>
              </w:rPr>
              <w:t>朱晓晖</w:t>
            </w:r>
          </w:p>
        </w:tc>
        <w:tc>
          <w:tcPr>
            <w:tcW w:w="57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8"/>
              <w:jc w:val="right"/>
              <w:rPr>
                <w:rFonts w:ascii="宋体" w:hAnsi="宋体" w:cs="宋体" w:eastAsia="宋体" w:hint="default"/>
                <w:sz w:val="18"/>
                <w:szCs w:val="18"/>
              </w:rPr>
            </w:pPr>
            <w:r>
              <w:rPr>
                <w:rFonts w:ascii="宋体"/>
                <w:spacing w:val="-1"/>
                <w:sz w:val="18"/>
              </w:rPr>
              <w:t>3,287,171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7"/>
              <w:jc w:val="both"/>
              <w:rPr>
                <w:rFonts w:ascii="宋体" w:hAnsi="宋体" w:cs="宋体" w:eastAsia="宋体" w:hint="default"/>
                <w:sz w:val="18"/>
                <w:szCs w:val="18"/>
              </w:rPr>
            </w:pPr>
            <w:r>
              <w:rPr>
                <w:rFonts w:ascii="宋体" w:hAnsi="宋体" w:cs="宋体" w:eastAsia="宋体" w:hint="default"/>
                <w:sz w:val="18"/>
                <w:szCs w:val="18"/>
              </w:rPr>
              <w:t>人民</w:t>
            </w:r>
            <w:r>
              <w:rPr>
                <w:rFonts w:ascii="宋体" w:hAnsi="宋体" w:cs="宋体" w:eastAsia="宋体" w:hint="default"/>
                <w:spacing w:val="-86"/>
                <w:sz w:val="18"/>
                <w:szCs w:val="18"/>
              </w:rPr>
              <w:t> </w:t>
            </w:r>
            <w:r>
              <w:rPr>
                <w:rFonts w:ascii="宋体" w:hAnsi="宋体" w:cs="宋体" w:eastAsia="宋体" w:hint="default"/>
                <w:sz w:val="18"/>
                <w:szCs w:val="18"/>
              </w:rPr>
              <w:t>币普</w:t>
            </w:r>
            <w:r>
              <w:rPr>
                <w:rFonts w:ascii="宋体" w:hAnsi="宋体" w:cs="宋体" w:eastAsia="宋体" w:hint="default"/>
                <w:spacing w:val="-86"/>
                <w:sz w:val="18"/>
                <w:szCs w:val="18"/>
              </w:rPr>
              <w:t> </w:t>
            </w:r>
            <w:r>
              <w:rPr>
                <w:rFonts w:ascii="宋体" w:hAnsi="宋体" w:cs="宋体" w:eastAsia="宋体" w:hint="default"/>
                <w:sz w:val="18"/>
                <w:szCs w:val="18"/>
              </w:rPr>
              <w:t>通股</w:t>
            </w:r>
          </w:p>
        </w:tc>
        <w:tc>
          <w:tcPr>
            <w:tcW w:w="12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84"/>
              <w:jc w:val="right"/>
              <w:rPr>
                <w:rFonts w:ascii="宋体" w:hAnsi="宋体" w:cs="宋体" w:eastAsia="宋体" w:hint="default"/>
                <w:sz w:val="18"/>
                <w:szCs w:val="18"/>
              </w:rPr>
            </w:pPr>
            <w:r>
              <w:rPr>
                <w:rFonts w:ascii="宋体"/>
                <w:spacing w:val="-1"/>
                <w:sz w:val="18"/>
              </w:rPr>
              <w:t>3,287,171</w:t>
            </w:r>
          </w:p>
        </w:tc>
      </w:tr>
      <w:tr>
        <w:trPr>
          <w:trHeight w:val="1028" w:hRule="exact"/>
        </w:trPr>
        <w:tc>
          <w:tcPr>
            <w:tcW w:w="2276"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95" w:right="0"/>
              <w:jc w:val="left"/>
              <w:rPr>
                <w:rFonts w:ascii="宋体" w:hAnsi="宋体" w:cs="宋体" w:eastAsia="宋体" w:hint="default"/>
                <w:sz w:val="18"/>
                <w:szCs w:val="18"/>
              </w:rPr>
            </w:pPr>
            <w:r>
              <w:rPr>
                <w:rFonts w:ascii="宋体" w:hAnsi="宋体" w:cs="宋体" w:eastAsia="宋体" w:hint="default"/>
                <w:sz w:val="18"/>
                <w:szCs w:val="18"/>
              </w:rPr>
              <w:t>谢建明</w:t>
            </w:r>
          </w:p>
        </w:tc>
        <w:tc>
          <w:tcPr>
            <w:tcW w:w="57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98"/>
              <w:jc w:val="right"/>
              <w:rPr>
                <w:rFonts w:ascii="宋体" w:hAnsi="宋体" w:cs="宋体" w:eastAsia="宋体" w:hint="default"/>
                <w:sz w:val="18"/>
                <w:szCs w:val="18"/>
              </w:rPr>
            </w:pPr>
            <w:r>
              <w:rPr>
                <w:rFonts w:ascii="宋体"/>
                <w:spacing w:val="-1"/>
                <w:sz w:val="18"/>
              </w:rPr>
              <w:t>2,978,714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7"/>
              <w:jc w:val="both"/>
              <w:rPr>
                <w:rFonts w:ascii="宋体" w:hAnsi="宋体" w:cs="宋体" w:eastAsia="宋体" w:hint="default"/>
                <w:sz w:val="18"/>
                <w:szCs w:val="18"/>
              </w:rPr>
            </w:pPr>
            <w:r>
              <w:rPr>
                <w:rFonts w:ascii="宋体" w:hAnsi="宋体" w:cs="宋体" w:eastAsia="宋体" w:hint="default"/>
                <w:sz w:val="18"/>
                <w:szCs w:val="18"/>
              </w:rPr>
              <w:t>人民</w:t>
            </w:r>
            <w:r>
              <w:rPr>
                <w:rFonts w:ascii="宋体" w:hAnsi="宋体" w:cs="宋体" w:eastAsia="宋体" w:hint="default"/>
                <w:spacing w:val="-86"/>
                <w:sz w:val="18"/>
                <w:szCs w:val="18"/>
              </w:rPr>
              <w:t> </w:t>
            </w:r>
            <w:r>
              <w:rPr>
                <w:rFonts w:ascii="宋体" w:hAnsi="宋体" w:cs="宋体" w:eastAsia="宋体" w:hint="default"/>
                <w:sz w:val="18"/>
                <w:szCs w:val="18"/>
              </w:rPr>
              <w:t>币普</w:t>
            </w:r>
            <w:r>
              <w:rPr>
                <w:rFonts w:ascii="宋体" w:hAnsi="宋体" w:cs="宋体" w:eastAsia="宋体" w:hint="default"/>
                <w:spacing w:val="-86"/>
                <w:sz w:val="18"/>
                <w:szCs w:val="18"/>
              </w:rPr>
              <w:t> </w:t>
            </w:r>
            <w:r>
              <w:rPr>
                <w:rFonts w:ascii="宋体" w:hAnsi="宋体" w:cs="宋体" w:eastAsia="宋体" w:hint="default"/>
                <w:sz w:val="18"/>
                <w:szCs w:val="18"/>
              </w:rPr>
              <w:t>通股</w:t>
            </w:r>
          </w:p>
        </w:tc>
        <w:tc>
          <w:tcPr>
            <w:tcW w:w="12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84"/>
              <w:jc w:val="right"/>
              <w:rPr>
                <w:rFonts w:ascii="宋体" w:hAnsi="宋体" w:cs="宋体" w:eastAsia="宋体" w:hint="default"/>
                <w:sz w:val="18"/>
                <w:szCs w:val="18"/>
              </w:rPr>
            </w:pPr>
            <w:r>
              <w:rPr>
                <w:rFonts w:ascii="宋体"/>
                <w:spacing w:val="-1"/>
                <w:sz w:val="18"/>
              </w:rPr>
              <w:t>2,978,714</w:t>
            </w:r>
          </w:p>
        </w:tc>
      </w:tr>
      <w:tr>
        <w:trPr>
          <w:trHeight w:val="1022" w:hRule="exact"/>
        </w:trPr>
        <w:tc>
          <w:tcPr>
            <w:tcW w:w="2276"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95" w:right="0"/>
              <w:jc w:val="left"/>
              <w:rPr>
                <w:rFonts w:ascii="宋体" w:hAnsi="宋体" w:cs="宋体" w:eastAsia="宋体" w:hint="default"/>
                <w:sz w:val="18"/>
                <w:szCs w:val="18"/>
              </w:rPr>
            </w:pPr>
            <w:r>
              <w:rPr>
                <w:rFonts w:ascii="宋体" w:hAnsi="宋体" w:cs="宋体" w:eastAsia="宋体" w:hint="default"/>
                <w:sz w:val="18"/>
                <w:szCs w:val="18"/>
              </w:rPr>
              <w:t>汤晶媚</w:t>
            </w:r>
          </w:p>
        </w:tc>
        <w:tc>
          <w:tcPr>
            <w:tcW w:w="57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8"/>
              <w:jc w:val="right"/>
              <w:rPr>
                <w:rFonts w:ascii="宋体" w:hAnsi="宋体" w:cs="宋体" w:eastAsia="宋体" w:hint="default"/>
                <w:sz w:val="18"/>
                <w:szCs w:val="18"/>
              </w:rPr>
            </w:pPr>
            <w:r>
              <w:rPr>
                <w:rFonts w:ascii="宋体"/>
                <w:spacing w:val="-1"/>
                <w:sz w:val="18"/>
              </w:rPr>
              <w:t>2,573,900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7"/>
              <w:jc w:val="both"/>
              <w:rPr>
                <w:rFonts w:ascii="宋体" w:hAnsi="宋体" w:cs="宋体" w:eastAsia="宋体" w:hint="default"/>
                <w:sz w:val="18"/>
                <w:szCs w:val="18"/>
              </w:rPr>
            </w:pPr>
            <w:r>
              <w:rPr>
                <w:rFonts w:ascii="宋体" w:hAnsi="宋体" w:cs="宋体" w:eastAsia="宋体" w:hint="default"/>
                <w:sz w:val="18"/>
                <w:szCs w:val="18"/>
              </w:rPr>
              <w:t>人民</w:t>
            </w:r>
            <w:r>
              <w:rPr>
                <w:rFonts w:ascii="宋体" w:hAnsi="宋体" w:cs="宋体" w:eastAsia="宋体" w:hint="default"/>
                <w:spacing w:val="-86"/>
                <w:sz w:val="18"/>
                <w:szCs w:val="18"/>
              </w:rPr>
              <w:t> </w:t>
            </w:r>
            <w:r>
              <w:rPr>
                <w:rFonts w:ascii="宋体" w:hAnsi="宋体" w:cs="宋体" w:eastAsia="宋体" w:hint="default"/>
                <w:sz w:val="18"/>
                <w:szCs w:val="18"/>
              </w:rPr>
              <w:t>币普</w:t>
            </w:r>
            <w:r>
              <w:rPr>
                <w:rFonts w:ascii="宋体" w:hAnsi="宋体" w:cs="宋体" w:eastAsia="宋体" w:hint="default"/>
                <w:spacing w:val="-86"/>
                <w:sz w:val="18"/>
                <w:szCs w:val="18"/>
              </w:rPr>
              <w:t> </w:t>
            </w:r>
            <w:r>
              <w:rPr>
                <w:rFonts w:ascii="宋体" w:hAnsi="宋体" w:cs="宋体" w:eastAsia="宋体" w:hint="default"/>
                <w:sz w:val="18"/>
                <w:szCs w:val="18"/>
              </w:rPr>
              <w:t>通股</w:t>
            </w:r>
          </w:p>
        </w:tc>
        <w:tc>
          <w:tcPr>
            <w:tcW w:w="12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84"/>
              <w:jc w:val="right"/>
              <w:rPr>
                <w:rFonts w:ascii="宋体" w:hAnsi="宋体" w:cs="宋体" w:eastAsia="宋体" w:hint="default"/>
                <w:sz w:val="18"/>
                <w:szCs w:val="18"/>
              </w:rPr>
            </w:pPr>
            <w:r>
              <w:rPr>
                <w:rFonts w:ascii="宋体"/>
                <w:spacing w:val="-1"/>
                <w:sz w:val="18"/>
              </w:rPr>
              <w:t>2,573,900</w:t>
            </w:r>
          </w:p>
        </w:tc>
      </w:tr>
      <w:tr>
        <w:trPr>
          <w:trHeight w:val="1028" w:hRule="exact"/>
        </w:trPr>
        <w:tc>
          <w:tcPr>
            <w:tcW w:w="2276"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95" w:right="0"/>
              <w:jc w:val="left"/>
              <w:rPr>
                <w:rFonts w:ascii="宋体" w:hAnsi="宋体" w:cs="宋体" w:eastAsia="宋体" w:hint="default"/>
                <w:sz w:val="18"/>
                <w:szCs w:val="18"/>
              </w:rPr>
            </w:pPr>
            <w:r>
              <w:rPr>
                <w:rFonts w:ascii="宋体" w:hAnsi="宋体" w:cs="宋体" w:eastAsia="宋体" w:hint="default"/>
                <w:sz w:val="18"/>
                <w:szCs w:val="18"/>
              </w:rPr>
              <w:t>任晶晶</w:t>
            </w:r>
          </w:p>
        </w:tc>
        <w:tc>
          <w:tcPr>
            <w:tcW w:w="57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98"/>
              <w:jc w:val="right"/>
              <w:rPr>
                <w:rFonts w:ascii="宋体" w:hAnsi="宋体" w:cs="宋体" w:eastAsia="宋体" w:hint="default"/>
                <w:sz w:val="18"/>
                <w:szCs w:val="18"/>
              </w:rPr>
            </w:pPr>
            <w:r>
              <w:rPr>
                <w:rFonts w:ascii="宋体"/>
                <w:spacing w:val="-1"/>
                <w:sz w:val="18"/>
              </w:rPr>
              <w:t>2,230,855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5" w:right="177"/>
              <w:jc w:val="both"/>
              <w:rPr>
                <w:rFonts w:ascii="宋体" w:hAnsi="宋体" w:cs="宋体" w:eastAsia="宋体" w:hint="default"/>
                <w:sz w:val="18"/>
                <w:szCs w:val="18"/>
              </w:rPr>
            </w:pPr>
            <w:r>
              <w:rPr>
                <w:rFonts w:ascii="宋体" w:hAnsi="宋体" w:cs="宋体" w:eastAsia="宋体" w:hint="default"/>
                <w:sz w:val="18"/>
                <w:szCs w:val="18"/>
              </w:rPr>
              <w:t>人民</w:t>
            </w:r>
            <w:r>
              <w:rPr>
                <w:rFonts w:ascii="宋体" w:hAnsi="宋体" w:cs="宋体" w:eastAsia="宋体" w:hint="default"/>
                <w:spacing w:val="-86"/>
                <w:sz w:val="18"/>
                <w:szCs w:val="18"/>
              </w:rPr>
              <w:t> </w:t>
            </w:r>
            <w:r>
              <w:rPr>
                <w:rFonts w:ascii="宋体" w:hAnsi="宋体" w:cs="宋体" w:eastAsia="宋体" w:hint="default"/>
                <w:sz w:val="18"/>
                <w:szCs w:val="18"/>
              </w:rPr>
              <w:t>币普</w:t>
            </w:r>
            <w:r>
              <w:rPr>
                <w:rFonts w:ascii="宋体" w:hAnsi="宋体" w:cs="宋体" w:eastAsia="宋体" w:hint="default"/>
                <w:spacing w:val="-86"/>
                <w:sz w:val="18"/>
                <w:szCs w:val="18"/>
              </w:rPr>
              <w:t> </w:t>
            </w:r>
            <w:r>
              <w:rPr>
                <w:rFonts w:ascii="宋体" w:hAnsi="宋体" w:cs="宋体" w:eastAsia="宋体" w:hint="default"/>
                <w:sz w:val="18"/>
                <w:szCs w:val="18"/>
              </w:rPr>
              <w:t>通股</w:t>
            </w:r>
          </w:p>
        </w:tc>
        <w:tc>
          <w:tcPr>
            <w:tcW w:w="12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84"/>
              <w:jc w:val="right"/>
              <w:rPr>
                <w:rFonts w:ascii="宋体" w:hAnsi="宋体" w:cs="宋体" w:eastAsia="宋体" w:hint="default"/>
                <w:sz w:val="18"/>
                <w:szCs w:val="18"/>
              </w:rPr>
            </w:pPr>
            <w:r>
              <w:rPr>
                <w:rFonts w:ascii="宋体"/>
                <w:spacing w:val="-1"/>
                <w:sz w:val="18"/>
              </w:rPr>
              <w:t>2,230,855</w:t>
            </w:r>
          </w:p>
        </w:tc>
      </w:tr>
      <w:tr>
        <w:trPr>
          <w:trHeight w:val="1028" w:hRule="exact"/>
        </w:trPr>
        <w:tc>
          <w:tcPr>
            <w:tcW w:w="2276"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95" w:right="0"/>
              <w:jc w:val="left"/>
              <w:rPr>
                <w:rFonts w:ascii="宋体" w:hAnsi="宋体" w:cs="宋体" w:eastAsia="宋体" w:hint="default"/>
                <w:sz w:val="18"/>
                <w:szCs w:val="18"/>
              </w:rPr>
            </w:pPr>
            <w:r>
              <w:rPr>
                <w:rFonts w:ascii="宋体" w:hAnsi="宋体" w:cs="宋体" w:eastAsia="宋体" w:hint="default"/>
                <w:sz w:val="18"/>
                <w:szCs w:val="18"/>
              </w:rPr>
              <w:t>陈哲</w:t>
            </w:r>
          </w:p>
        </w:tc>
        <w:tc>
          <w:tcPr>
            <w:tcW w:w="57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8"/>
              <w:jc w:val="right"/>
              <w:rPr>
                <w:rFonts w:ascii="宋体" w:hAnsi="宋体" w:cs="宋体" w:eastAsia="宋体" w:hint="default"/>
                <w:sz w:val="18"/>
                <w:szCs w:val="18"/>
              </w:rPr>
            </w:pPr>
            <w:r>
              <w:rPr>
                <w:rFonts w:ascii="宋体"/>
                <w:spacing w:val="-1"/>
                <w:sz w:val="18"/>
              </w:rPr>
              <w:t>2,050,600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7"/>
              <w:jc w:val="both"/>
              <w:rPr>
                <w:rFonts w:ascii="宋体" w:hAnsi="宋体" w:cs="宋体" w:eastAsia="宋体" w:hint="default"/>
                <w:sz w:val="18"/>
                <w:szCs w:val="18"/>
              </w:rPr>
            </w:pPr>
            <w:r>
              <w:rPr>
                <w:rFonts w:ascii="宋体" w:hAnsi="宋体" w:cs="宋体" w:eastAsia="宋体" w:hint="default"/>
                <w:sz w:val="18"/>
                <w:szCs w:val="18"/>
              </w:rPr>
              <w:t>人民</w:t>
            </w:r>
            <w:r>
              <w:rPr>
                <w:rFonts w:ascii="宋体" w:hAnsi="宋体" w:cs="宋体" w:eastAsia="宋体" w:hint="default"/>
                <w:spacing w:val="-86"/>
                <w:sz w:val="18"/>
                <w:szCs w:val="18"/>
              </w:rPr>
              <w:t> </w:t>
            </w:r>
            <w:r>
              <w:rPr>
                <w:rFonts w:ascii="宋体" w:hAnsi="宋体" w:cs="宋体" w:eastAsia="宋体" w:hint="default"/>
                <w:sz w:val="18"/>
                <w:szCs w:val="18"/>
              </w:rPr>
              <w:t>币普</w:t>
            </w:r>
            <w:r>
              <w:rPr>
                <w:rFonts w:ascii="宋体" w:hAnsi="宋体" w:cs="宋体" w:eastAsia="宋体" w:hint="default"/>
                <w:spacing w:val="-86"/>
                <w:sz w:val="18"/>
                <w:szCs w:val="18"/>
              </w:rPr>
              <w:t> </w:t>
            </w:r>
            <w:r>
              <w:rPr>
                <w:rFonts w:ascii="宋体" w:hAnsi="宋体" w:cs="宋体" w:eastAsia="宋体" w:hint="default"/>
                <w:sz w:val="18"/>
                <w:szCs w:val="18"/>
              </w:rPr>
              <w:t>通股</w:t>
            </w:r>
          </w:p>
        </w:tc>
        <w:tc>
          <w:tcPr>
            <w:tcW w:w="12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84"/>
              <w:jc w:val="right"/>
              <w:rPr>
                <w:rFonts w:ascii="宋体" w:hAnsi="宋体" w:cs="宋体" w:eastAsia="宋体" w:hint="default"/>
                <w:sz w:val="18"/>
                <w:szCs w:val="18"/>
              </w:rPr>
            </w:pPr>
            <w:r>
              <w:rPr>
                <w:rFonts w:ascii="宋体"/>
                <w:spacing w:val="-1"/>
                <w:sz w:val="18"/>
              </w:rPr>
              <w:t>2,050,600</w:t>
            </w:r>
          </w:p>
        </w:tc>
      </w:tr>
      <w:tr>
        <w:trPr>
          <w:trHeight w:val="1027" w:hRule="exact"/>
        </w:trPr>
        <w:tc>
          <w:tcPr>
            <w:tcW w:w="2276" w:type="dxa"/>
            <w:gridSpan w:val="2"/>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95" w:right="0"/>
              <w:jc w:val="left"/>
              <w:rPr>
                <w:rFonts w:ascii="宋体" w:hAnsi="宋体" w:cs="宋体" w:eastAsia="宋体" w:hint="default"/>
                <w:sz w:val="18"/>
                <w:szCs w:val="18"/>
              </w:rPr>
            </w:pPr>
            <w:r>
              <w:rPr>
                <w:rFonts w:ascii="宋体" w:hAnsi="宋体" w:cs="宋体" w:eastAsia="宋体" w:hint="default"/>
                <w:sz w:val="18"/>
                <w:szCs w:val="18"/>
              </w:rPr>
              <w:t>任昌兆</w:t>
            </w:r>
          </w:p>
        </w:tc>
        <w:tc>
          <w:tcPr>
            <w:tcW w:w="57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8"/>
              <w:jc w:val="right"/>
              <w:rPr>
                <w:rFonts w:ascii="宋体" w:hAnsi="宋体" w:cs="宋体" w:eastAsia="宋体" w:hint="default"/>
                <w:sz w:val="18"/>
                <w:szCs w:val="18"/>
              </w:rPr>
            </w:pPr>
            <w:r>
              <w:rPr>
                <w:rFonts w:ascii="宋体"/>
                <w:spacing w:val="-1"/>
                <w:sz w:val="18"/>
              </w:rPr>
              <w:t>1,745,385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7"/>
              <w:jc w:val="both"/>
              <w:rPr>
                <w:rFonts w:ascii="宋体" w:hAnsi="宋体" w:cs="宋体" w:eastAsia="宋体" w:hint="default"/>
                <w:sz w:val="18"/>
                <w:szCs w:val="18"/>
              </w:rPr>
            </w:pPr>
            <w:r>
              <w:rPr>
                <w:rFonts w:ascii="宋体" w:hAnsi="宋体" w:cs="宋体" w:eastAsia="宋体" w:hint="default"/>
                <w:sz w:val="18"/>
                <w:szCs w:val="18"/>
              </w:rPr>
              <w:t>人民</w:t>
            </w:r>
            <w:r>
              <w:rPr>
                <w:rFonts w:ascii="宋体" w:hAnsi="宋体" w:cs="宋体" w:eastAsia="宋体" w:hint="default"/>
                <w:spacing w:val="-86"/>
                <w:sz w:val="18"/>
                <w:szCs w:val="18"/>
              </w:rPr>
              <w:t> </w:t>
            </w:r>
            <w:r>
              <w:rPr>
                <w:rFonts w:ascii="宋体" w:hAnsi="宋体" w:cs="宋体" w:eastAsia="宋体" w:hint="default"/>
                <w:sz w:val="18"/>
                <w:szCs w:val="18"/>
              </w:rPr>
              <w:t>币普</w:t>
            </w:r>
            <w:r>
              <w:rPr>
                <w:rFonts w:ascii="宋体" w:hAnsi="宋体" w:cs="宋体" w:eastAsia="宋体" w:hint="default"/>
                <w:spacing w:val="-86"/>
                <w:sz w:val="18"/>
                <w:szCs w:val="18"/>
              </w:rPr>
              <w:t> </w:t>
            </w:r>
            <w:r>
              <w:rPr>
                <w:rFonts w:ascii="宋体" w:hAnsi="宋体" w:cs="宋体" w:eastAsia="宋体" w:hint="default"/>
                <w:sz w:val="18"/>
                <w:szCs w:val="18"/>
              </w:rPr>
              <w:t>通股</w:t>
            </w:r>
          </w:p>
        </w:tc>
        <w:tc>
          <w:tcPr>
            <w:tcW w:w="12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84"/>
              <w:jc w:val="right"/>
              <w:rPr>
                <w:rFonts w:ascii="宋体" w:hAnsi="宋体" w:cs="宋体" w:eastAsia="宋体" w:hint="default"/>
                <w:sz w:val="18"/>
                <w:szCs w:val="18"/>
              </w:rPr>
            </w:pPr>
            <w:r>
              <w:rPr>
                <w:rFonts w:ascii="宋体"/>
                <w:spacing w:val="-1"/>
                <w:sz w:val="18"/>
              </w:rPr>
              <w:t>1,745,385</w:t>
            </w:r>
          </w:p>
        </w:tc>
      </w:tr>
      <w:tr>
        <w:trPr>
          <w:trHeight w:val="1037" w:hRule="exact"/>
        </w:trPr>
        <w:tc>
          <w:tcPr>
            <w:tcW w:w="2276" w:type="dxa"/>
            <w:gridSpan w:val="2"/>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95" w:right="0"/>
              <w:jc w:val="left"/>
              <w:rPr>
                <w:rFonts w:ascii="宋体" w:hAnsi="宋体" w:cs="宋体" w:eastAsia="宋体" w:hint="default"/>
                <w:sz w:val="18"/>
                <w:szCs w:val="18"/>
              </w:rPr>
            </w:pPr>
            <w:r>
              <w:rPr>
                <w:rFonts w:ascii="宋体" w:hAnsi="宋体" w:cs="宋体" w:eastAsia="宋体" w:hint="default"/>
                <w:sz w:val="18"/>
                <w:szCs w:val="18"/>
              </w:rPr>
              <w:t>樊一凡</w:t>
            </w:r>
          </w:p>
        </w:tc>
        <w:tc>
          <w:tcPr>
            <w:tcW w:w="5704" w:type="dxa"/>
            <w:gridSpan w:val="5"/>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98"/>
              <w:jc w:val="right"/>
              <w:rPr>
                <w:rFonts w:ascii="宋体" w:hAnsi="宋体" w:cs="宋体" w:eastAsia="宋体" w:hint="default"/>
                <w:sz w:val="18"/>
                <w:szCs w:val="18"/>
              </w:rPr>
            </w:pPr>
            <w:r>
              <w:rPr>
                <w:rFonts w:ascii="宋体"/>
                <w:spacing w:val="-1"/>
                <w:sz w:val="18"/>
              </w:rPr>
              <w:t>1,640,000</w:t>
            </w:r>
          </w:p>
        </w:tc>
        <w:tc>
          <w:tcPr>
            <w:tcW w:w="658" w:type="dxa"/>
            <w:tcBorders>
              <w:top w:val="single" w:sz="4" w:space="0" w:color="000000"/>
              <w:left w:val="single" w:sz="4" w:space="0" w:color="000000"/>
              <w:bottom w:val="single" w:sz="12" w:space="0" w:color="000000"/>
              <w:right w:val="single" w:sz="4" w:space="0" w:color="000000"/>
            </w:tcBorders>
          </w:tcPr>
          <w:p>
            <w:pPr>
              <w:pStyle w:val="TableParagraph"/>
              <w:spacing w:line="319" w:lineRule="auto" w:before="53"/>
              <w:ind w:left="105" w:right="177"/>
              <w:jc w:val="both"/>
              <w:rPr>
                <w:rFonts w:ascii="宋体" w:hAnsi="宋体" w:cs="宋体" w:eastAsia="宋体" w:hint="default"/>
                <w:sz w:val="18"/>
                <w:szCs w:val="18"/>
              </w:rPr>
            </w:pPr>
            <w:r>
              <w:rPr>
                <w:rFonts w:ascii="宋体" w:hAnsi="宋体" w:cs="宋体" w:eastAsia="宋体" w:hint="default"/>
                <w:sz w:val="18"/>
                <w:szCs w:val="18"/>
              </w:rPr>
              <w:t>人民</w:t>
            </w:r>
            <w:r>
              <w:rPr>
                <w:rFonts w:ascii="宋体" w:hAnsi="宋体" w:cs="宋体" w:eastAsia="宋体" w:hint="default"/>
                <w:spacing w:val="-86"/>
                <w:sz w:val="18"/>
                <w:szCs w:val="18"/>
              </w:rPr>
              <w:t> </w:t>
            </w:r>
            <w:r>
              <w:rPr>
                <w:rFonts w:ascii="宋体" w:hAnsi="宋体" w:cs="宋体" w:eastAsia="宋体" w:hint="default"/>
                <w:sz w:val="18"/>
                <w:szCs w:val="18"/>
              </w:rPr>
              <w:t>币普</w:t>
            </w:r>
            <w:r>
              <w:rPr>
                <w:rFonts w:ascii="宋体" w:hAnsi="宋体" w:cs="宋体" w:eastAsia="宋体" w:hint="default"/>
                <w:spacing w:val="-86"/>
                <w:sz w:val="18"/>
                <w:szCs w:val="18"/>
              </w:rPr>
              <w:t> </w:t>
            </w:r>
            <w:r>
              <w:rPr>
                <w:rFonts w:ascii="宋体" w:hAnsi="宋体" w:cs="宋体" w:eastAsia="宋体" w:hint="default"/>
                <w:sz w:val="18"/>
                <w:szCs w:val="18"/>
              </w:rPr>
              <w:t>通股</w:t>
            </w:r>
          </w:p>
        </w:tc>
        <w:tc>
          <w:tcPr>
            <w:tcW w:w="120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84"/>
              <w:jc w:val="right"/>
              <w:rPr>
                <w:rFonts w:ascii="宋体" w:hAnsi="宋体" w:cs="宋体" w:eastAsia="宋体" w:hint="default"/>
                <w:sz w:val="18"/>
                <w:szCs w:val="18"/>
              </w:rPr>
            </w:pPr>
            <w:r>
              <w:rPr>
                <w:rFonts w:ascii="宋体"/>
                <w:spacing w:val="-1"/>
                <w:sz w:val="18"/>
              </w:rPr>
              <w:t>1,640,000</w:t>
            </w:r>
          </w:p>
        </w:tc>
      </w:tr>
    </w:tbl>
    <w:p>
      <w:pPr>
        <w:spacing w:after="0" w:line="240" w:lineRule="auto"/>
        <w:jc w:val="right"/>
        <w:rPr>
          <w:rFonts w:ascii="宋体" w:hAnsi="宋体" w:cs="宋体" w:eastAsia="宋体" w:hint="default"/>
          <w:sz w:val="18"/>
          <w:szCs w:val="18"/>
        </w:rPr>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276"/>
        <w:gridCol w:w="5704"/>
        <w:gridCol w:w="658"/>
        <w:gridCol w:w="1201"/>
      </w:tblGrid>
      <w:tr>
        <w:trPr>
          <w:trHeight w:val="1037" w:hRule="exact"/>
        </w:trPr>
        <w:tc>
          <w:tcPr>
            <w:tcW w:w="2276" w:type="dxa"/>
            <w:tcBorders>
              <w:top w:val="single" w:sz="12" w:space="0" w:color="000000"/>
              <w:left w:val="single" w:sz="12" w:space="0" w:color="000000"/>
              <w:bottom w:val="single" w:sz="4" w:space="0" w:color="000000"/>
              <w:right w:val="single" w:sz="4" w:space="0" w:color="000000"/>
            </w:tcBorders>
          </w:tcPr>
          <w:p>
            <w:pPr>
              <w:pStyle w:val="TableParagraph"/>
              <w:spacing w:line="319" w:lineRule="auto" w:before="53"/>
              <w:ind w:left="95" w:right="176"/>
              <w:jc w:val="both"/>
              <w:rPr>
                <w:rFonts w:ascii="宋体" w:hAnsi="宋体" w:cs="宋体" w:eastAsia="宋体" w:hint="default"/>
                <w:sz w:val="18"/>
                <w:szCs w:val="18"/>
              </w:rPr>
            </w:pPr>
            <w:r>
              <w:rPr>
                <w:rFonts w:ascii="宋体" w:hAnsi="宋体" w:cs="宋体" w:eastAsia="宋体" w:hint="default"/>
                <w:spacing w:val="-3"/>
                <w:sz w:val="18"/>
                <w:szCs w:val="18"/>
              </w:rPr>
              <w:t>厦门慕阳资产管理有限公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司－慕阳私募证券投资基</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金</w:t>
            </w:r>
          </w:p>
        </w:tc>
        <w:tc>
          <w:tcPr>
            <w:tcW w:w="57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98"/>
              <w:jc w:val="right"/>
              <w:rPr>
                <w:rFonts w:ascii="宋体" w:hAnsi="宋体" w:cs="宋体" w:eastAsia="宋体" w:hint="default"/>
                <w:sz w:val="18"/>
                <w:szCs w:val="18"/>
              </w:rPr>
            </w:pPr>
            <w:r>
              <w:rPr>
                <w:rFonts w:ascii="宋体"/>
                <w:spacing w:val="-1"/>
                <w:sz w:val="18"/>
              </w:rPr>
              <w:t>1,329,900</w:t>
            </w:r>
          </w:p>
        </w:tc>
        <w:tc>
          <w:tcPr>
            <w:tcW w:w="658" w:type="dxa"/>
            <w:tcBorders>
              <w:top w:val="single" w:sz="12" w:space="0" w:color="000000"/>
              <w:left w:val="single" w:sz="4" w:space="0" w:color="000000"/>
              <w:bottom w:val="single" w:sz="4" w:space="0" w:color="000000"/>
              <w:right w:val="single" w:sz="4" w:space="0" w:color="000000"/>
            </w:tcBorders>
          </w:tcPr>
          <w:p>
            <w:pPr>
              <w:pStyle w:val="TableParagraph"/>
              <w:spacing w:line="319" w:lineRule="auto" w:before="53"/>
              <w:ind w:left="105" w:right="177"/>
              <w:jc w:val="both"/>
              <w:rPr>
                <w:rFonts w:ascii="宋体" w:hAnsi="宋体" w:cs="宋体" w:eastAsia="宋体" w:hint="default"/>
                <w:sz w:val="18"/>
                <w:szCs w:val="18"/>
              </w:rPr>
            </w:pPr>
            <w:r>
              <w:rPr>
                <w:rFonts w:ascii="宋体" w:hAnsi="宋体" w:cs="宋体" w:eastAsia="宋体" w:hint="default"/>
                <w:sz w:val="18"/>
                <w:szCs w:val="18"/>
              </w:rPr>
              <w:t>人民</w:t>
            </w:r>
            <w:r>
              <w:rPr>
                <w:rFonts w:ascii="宋体" w:hAnsi="宋体" w:cs="宋体" w:eastAsia="宋体" w:hint="default"/>
                <w:spacing w:val="-86"/>
                <w:sz w:val="18"/>
                <w:szCs w:val="18"/>
              </w:rPr>
              <w:t> </w:t>
            </w:r>
            <w:r>
              <w:rPr>
                <w:rFonts w:ascii="宋体" w:hAnsi="宋体" w:cs="宋体" w:eastAsia="宋体" w:hint="default"/>
                <w:sz w:val="18"/>
                <w:szCs w:val="18"/>
              </w:rPr>
              <w:t>币普</w:t>
            </w:r>
            <w:r>
              <w:rPr>
                <w:rFonts w:ascii="宋体" w:hAnsi="宋体" w:cs="宋体" w:eastAsia="宋体" w:hint="default"/>
                <w:spacing w:val="-86"/>
                <w:sz w:val="18"/>
                <w:szCs w:val="18"/>
              </w:rPr>
              <w:t> </w:t>
            </w:r>
            <w:r>
              <w:rPr>
                <w:rFonts w:ascii="宋体" w:hAnsi="宋体" w:cs="宋体" w:eastAsia="宋体" w:hint="default"/>
                <w:sz w:val="18"/>
                <w:szCs w:val="18"/>
              </w:rPr>
              <w:t>通股</w:t>
            </w:r>
          </w:p>
        </w:tc>
        <w:tc>
          <w:tcPr>
            <w:tcW w:w="120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78" w:right="0"/>
              <w:jc w:val="left"/>
              <w:rPr>
                <w:rFonts w:ascii="宋体" w:hAnsi="宋体" w:cs="宋体" w:eastAsia="宋体" w:hint="default"/>
                <w:sz w:val="18"/>
                <w:szCs w:val="18"/>
              </w:rPr>
            </w:pPr>
            <w:r>
              <w:rPr>
                <w:rFonts w:ascii="宋体"/>
                <w:sz w:val="18"/>
              </w:rPr>
              <w:t>1,329,900</w:t>
            </w:r>
          </w:p>
        </w:tc>
      </w:tr>
      <w:tr>
        <w:trPr>
          <w:trHeight w:val="1652" w:hRule="exact"/>
        </w:trPr>
        <w:tc>
          <w:tcPr>
            <w:tcW w:w="227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前 </w:t>
            </w:r>
            <w:r>
              <w:rPr>
                <w:rFonts w:ascii="宋体" w:hAnsi="宋体" w:cs="宋体" w:eastAsia="宋体" w:hint="default"/>
                <w:sz w:val="18"/>
                <w:szCs w:val="18"/>
              </w:rPr>
              <w:t>10</w:t>
            </w:r>
            <w:r>
              <w:rPr>
                <w:rFonts w:ascii="宋体" w:hAnsi="宋体" w:cs="宋体" w:eastAsia="宋体" w:hint="default"/>
                <w:spacing w:val="-71"/>
                <w:sz w:val="18"/>
                <w:szCs w:val="18"/>
              </w:rPr>
              <w:t> </w:t>
            </w:r>
            <w:r>
              <w:rPr>
                <w:rFonts w:ascii="宋体" w:hAnsi="宋体" w:cs="宋体" w:eastAsia="宋体" w:hint="default"/>
                <w:spacing w:val="-3"/>
                <w:sz w:val="18"/>
                <w:szCs w:val="18"/>
              </w:rPr>
              <w:t>名无限售流通股股东</w:t>
            </w:r>
          </w:p>
          <w:p>
            <w:pPr>
              <w:pStyle w:val="TableParagraph"/>
              <w:spacing w:line="240" w:lineRule="auto" w:before="71"/>
              <w:ind w:left="95" w:right="0"/>
              <w:jc w:val="left"/>
              <w:rPr>
                <w:rFonts w:ascii="宋体" w:hAnsi="宋体" w:cs="宋体" w:eastAsia="宋体" w:hint="default"/>
                <w:sz w:val="18"/>
                <w:szCs w:val="18"/>
              </w:rPr>
            </w:pPr>
            <w:r>
              <w:rPr>
                <w:rFonts w:ascii="宋体" w:hAnsi="宋体" w:cs="宋体" w:eastAsia="宋体" w:hint="default"/>
                <w:spacing w:val="-4"/>
                <w:sz w:val="18"/>
                <w:szCs w:val="18"/>
              </w:rPr>
              <w:t>之间，以及前 </w:t>
            </w:r>
            <w:r>
              <w:rPr>
                <w:rFonts w:ascii="宋体" w:hAnsi="宋体" w:cs="宋体" w:eastAsia="宋体" w:hint="default"/>
                <w:sz w:val="18"/>
                <w:szCs w:val="18"/>
              </w:rPr>
              <w:t>10</w:t>
            </w:r>
            <w:r>
              <w:rPr>
                <w:rFonts w:ascii="宋体" w:hAnsi="宋体" w:cs="宋体" w:eastAsia="宋体" w:hint="default"/>
                <w:spacing w:val="-58"/>
                <w:sz w:val="18"/>
                <w:szCs w:val="18"/>
              </w:rPr>
              <w:t> </w:t>
            </w:r>
            <w:r>
              <w:rPr>
                <w:rFonts w:ascii="宋体" w:hAnsi="宋体" w:cs="宋体" w:eastAsia="宋体" w:hint="default"/>
                <w:spacing w:val="-3"/>
                <w:sz w:val="18"/>
                <w:szCs w:val="18"/>
              </w:rPr>
              <w:t>名无限售</w:t>
            </w:r>
          </w:p>
          <w:p>
            <w:pPr>
              <w:pStyle w:val="TableParagraph"/>
              <w:spacing w:line="319" w:lineRule="auto" w:before="76"/>
              <w:ind w:left="95" w:right="94"/>
              <w:jc w:val="left"/>
              <w:rPr>
                <w:rFonts w:ascii="宋体" w:hAnsi="宋体" w:cs="宋体" w:eastAsia="宋体" w:hint="default"/>
                <w:sz w:val="18"/>
                <w:szCs w:val="18"/>
              </w:rPr>
            </w:pPr>
            <w:r>
              <w:rPr>
                <w:rFonts w:ascii="宋体" w:hAnsi="宋体" w:cs="宋体" w:eastAsia="宋体" w:hint="default"/>
                <w:sz w:val="18"/>
                <w:szCs w:val="18"/>
              </w:rPr>
              <w:t>流通股股东和前</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54"/>
                <w:sz w:val="18"/>
                <w:szCs w:val="18"/>
              </w:rPr>
              <w:t> </w:t>
            </w:r>
            <w:r>
              <w:rPr>
                <w:rFonts w:ascii="宋体" w:hAnsi="宋体" w:cs="宋体" w:eastAsia="宋体" w:hint="default"/>
                <w:sz w:val="18"/>
                <w:szCs w:val="18"/>
              </w:rPr>
              <w:t>名股东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之间关联关系或一致行动</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的说明</w:t>
            </w:r>
          </w:p>
        </w:tc>
        <w:tc>
          <w:tcPr>
            <w:tcW w:w="7563"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9"/>
              <w:ind w:left="105" w:right="86"/>
              <w:jc w:val="left"/>
              <w:rPr>
                <w:rFonts w:ascii="宋体" w:hAnsi="宋体" w:cs="宋体" w:eastAsia="宋体" w:hint="default"/>
                <w:sz w:val="18"/>
                <w:szCs w:val="18"/>
              </w:rPr>
            </w:pPr>
            <w:r>
              <w:rPr>
                <w:rFonts w:ascii="宋体" w:hAnsi="宋体" w:cs="宋体" w:eastAsia="宋体" w:hint="default"/>
                <w:spacing w:val="-4"/>
                <w:sz w:val="18"/>
                <w:szCs w:val="18"/>
              </w:rPr>
              <w:t>湖北乾瀚投资有限公司为董事任昌兆先生控制的企业，任晶晶女士为任昌兆先生之女；除此之</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5"/>
                <w:sz w:val="18"/>
                <w:szCs w:val="18"/>
              </w:rPr>
              <w:t>外，前 </w:t>
            </w:r>
            <w:r>
              <w:rPr>
                <w:rFonts w:ascii="宋体" w:hAnsi="宋体" w:cs="宋体" w:eastAsia="宋体" w:hint="default"/>
                <w:sz w:val="18"/>
                <w:szCs w:val="18"/>
              </w:rPr>
              <w:t>10 </w:t>
            </w:r>
            <w:r>
              <w:rPr>
                <w:rFonts w:ascii="宋体" w:hAnsi="宋体" w:cs="宋体" w:eastAsia="宋体" w:hint="default"/>
                <w:spacing w:val="-4"/>
                <w:sz w:val="18"/>
                <w:szCs w:val="18"/>
              </w:rPr>
              <w:t>名其它无限售流通股股东之间，公司未知是否存在关联关系或一致行动；前 </w:t>
            </w:r>
            <w:r>
              <w:rPr>
                <w:rFonts w:ascii="宋体" w:hAnsi="宋体" w:cs="宋体" w:eastAsia="宋体" w:hint="default"/>
                <w:sz w:val="18"/>
                <w:szCs w:val="18"/>
              </w:rPr>
              <w:t>10</w:t>
            </w:r>
            <w:r>
              <w:rPr>
                <w:rFonts w:ascii="宋体" w:hAnsi="宋体" w:cs="宋体" w:eastAsia="宋体" w:hint="default"/>
                <w:spacing w:val="-55"/>
                <w:sz w:val="18"/>
                <w:szCs w:val="18"/>
              </w:rPr>
              <w:t> </w:t>
            </w:r>
            <w:r>
              <w:rPr>
                <w:rFonts w:ascii="宋体" w:hAnsi="宋体" w:cs="宋体" w:eastAsia="宋体" w:hint="default"/>
                <w:spacing w:val="-5"/>
                <w:sz w:val="18"/>
                <w:szCs w:val="18"/>
              </w:rPr>
              <w:t>名其</w:t>
            </w:r>
            <w:r>
              <w:rPr>
                <w:rFonts w:ascii="宋体" w:hAnsi="宋体" w:cs="宋体" w:eastAsia="宋体" w:hint="default"/>
                <w:sz w:val="18"/>
                <w:szCs w:val="18"/>
              </w:rPr>
            </w:r>
          </w:p>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sz w:val="18"/>
                <w:szCs w:val="18"/>
              </w:rPr>
              <w:t>它无限售流通股股东和前 </w:t>
            </w:r>
            <w:r>
              <w:rPr>
                <w:rFonts w:ascii="宋体" w:hAnsi="宋体" w:cs="宋体" w:eastAsia="宋体" w:hint="default"/>
                <w:sz w:val="18"/>
                <w:szCs w:val="18"/>
              </w:rPr>
              <w:t>10</w:t>
            </w:r>
            <w:r>
              <w:rPr>
                <w:rFonts w:ascii="宋体" w:hAnsi="宋体" w:cs="宋体" w:eastAsia="宋体" w:hint="default"/>
                <w:spacing w:val="-10"/>
                <w:sz w:val="18"/>
                <w:szCs w:val="18"/>
              </w:rPr>
              <w:t> </w:t>
            </w:r>
            <w:r>
              <w:rPr>
                <w:rFonts w:ascii="宋体" w:hAnsi="宋体" w:cs="宋体" w:eastAsia="宋体" w:hint="default"/>
                <w:spacing w:val="-3"/>
                <w:sz w:val="18"/>
                <w:szCs w:val="18"/>
              </w:rPr>
              <w:t>名其它股东之间，公司未知是否存在关联关系或一致行动。</w:t>
            </w:r>
          </w:p>
        </w:tc>
      </w:tr>
      <w:tr>
        <w:trPr>
          <w:trHeight w:val="725" w:hRule="exact"/>
        </w:trPr>
        <w:tc>
          <w:tcPr>
            <w:tcW w:w="227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4"/>
              <w:ind w:left="95" w:right="2"/>
              <w:jc w:val="left"/>
              <w:rPr>
                <w:rFonts w:ascii="宋体" w:hAnsi="宋体" w:cs="宋体" w:eastAsia="宋体" w:hint="default"/>
                <w:sz w:val="18"/>
                <w:szCs w:val="18"/>
              </w:rPr>
            </w:pPr>
            <w:r>
              <w:rPr>
                <w:rFonts w:ascii="宋体" w:hAnsi="宋体" w:cs="宋体" w:eastAsia="宋体" w:hint="default"/>
                <w:spacing w:val="-3"/>
                <w:sz w:val="18"/>
                <w:szCs w:val="18"/>
              </w:rPr>
              <w:t>参与融资融券业务股东情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15"/>
                <w:w w:val="101"/>
                <w:sz w:val="18"/>
                <w:szCs w:val="18"/>
              </w:rPr>
              <w:t>况说明（如有）（参见注</w:t>
            </w:r>
            <w:r>
              <w:rPr>
                <w:rFonts w:ascii="宋体" w:hAnsi="宋体" w:cs="宋体" w:eastAsia="宋体" w:hint="default"/>
                <w:spacing w:val="-47"/>
                <w:w w:val="101"/>
                <w:sz w:val="18"/>
                <w:szCs w:val="18"/>
              </w:rPr>
              <w:t> </w:t>
            </w:r>
            <w:r>
              <w:rPr>
                <w:rFonts w:ascii="宋体" w:hAnsi="宋体" w:cs="宋体" w:eastAsia="宋体" w:hint="default"/>
                <w:spacing w:val="-3"/>
                <w:w w:val="101"/>
                <w:sz w:val="18"/>
                <w:szCs w:val="18"/>
              </w:rPr>
              <w:t>5</w:t>
            </w:r>
            <w:r>
              <w:rPr>
                <w:rFonts w:ascii="宋体" w:hAnsi="宋体" w:cs="宋体" w:eastAsia="宋体" w:hint="default"/>
                <w:spacing w:val="-3"/>
                <w:w w:val="101"/>
                <w:sz w:val="18"/>
                <w:szCs w:val="18"/>
              </w:rPr>
              <w:t>）</w:t>
            </w:r>
            <w:r>
              <w:rPr>
                <w:rFonts w:ascii="宋体" w:hAnsi="宋体" w:cs="宋体" w:eastAsia="宋体" w:hint="default"/>
                <w:spacing w:val="-3"/>
                <w:sz w:val="18"/>
                <w:szCs w:val="18"/>
              </w:rPr>
            </w:r>
          </w:p>
        </w:tc>
        <w:tc>
          <w:tcPr>
            <w:tcW w:w="7563" w:type="dxa"/>
            <w:gridSpan w:val="3"/>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6"/>
        <w:ind w:right="1024"/>
        <w:jc w:val="left"/>
      </w:pPr>
      <w:r>
        <w:rPr/>
        <w:t>公司前</w:t>
      </w:r>
      <w:r>
        <w:rPr>
          <w:spacing w:val="-52"/>
        </w:rPr>
        <w:t> </w:t>
      </w:r>
      <w:r>
        <w:rPr>
          <w:rFonts w:ascii="宋体" w:hAnsi="宋体" w:cs="宋体" w:eastAsia="宋体" w:hint="default"/>
        </w:rPr>
        <w:t>10</w:t>
      </w:r>
      <w:r>
        <w:rPr>
          <w:rFonts w:ascii="宋体" w:hAnsi="宋体" w:cs="宋体" w:eastAsia="宋体" w:hint="default"/>
          <w:spacing w:val="-51"/>
        </w:rPr>
        <w:t> </w:t>
      </w:r>
      <w:r>
        <w:rPr/>
        <w:t>名普通股股东、前</w:t>
      </w:r>
      <w:r>
        <w:rPr>
          <w:spacing w:val="-51"/>
        </w:rPr>
        <w:t> </w:t>
      </w:r>
      <w:r>
        <w:rPr>
          <w:rFonts w:ascii="宋体" w:hAnsi="宋体" w:cs="宋体" w:eastAsia="宋体" w:hint="default"/>
          <w:spacing w:val="-3"/>
        </w:rPr>
        <w:t>10</w:t>
      </w:r>
      <w:r>
        <w:rPr>
          <w:rFonts w:ascii="宋体" w:hAnsi="宋体" w:cs="宋体" w:eastAsia="宋体" w:hint="default"/>
          <w:spacing w:val="-52"/>
        </w:rPr>
        <w:t> </w:t>
      </w:r>
      <w:r>
        <w:rPr/>
        <w:t>名无限售条件普通股股东在报告期内是否进行约定购回交易</w:t>
      </w:r>
    </w:p>
    <w:p>
      <w:pPr>
        <w:spacing w:line="240" w:lineRule="auto" w:before="8"/>
        <w:rPr>
          <w:rFonts w:ascii="宋体" w:hAnsi="宋体" w:cs="宋体" w:eastAsia="宋体" w:hint="default"/>
          <w:sz w:val="14"/>
          <w:szCs w:val="14"/>
        </w:rPr>
      </w:pPr>
    </w:p>
    <w:p>
      <w:pPr>
        <w:pStyle w:val="BodyText"/>
        <w:spacing w:line="240" w:lineRule="auto"/>
        <w:ind w:right="1024"/>
        <w:jc w:val="left"/>
      </w:pPr>
      <w:r>
        <w:rPr/>
        <w:t>□ 是 √</w:t>
      </w:r>
      <w:r>
        <w:rPr>
          <w:spacing w:val="5"/>
        </w:rPr>
        <w:t> </w:t>
      </w:r>
      <w:r>
        <w:rPr/>
        <w:t>否</w:t>
      </w:r>
    </w:p>
    <w:p>
      <w:pPr>
        <w:spacing w:line="240" w:lineRule="auto" w:before="13"/>
        <w:rPr>
          <w:rFonts w:ascii="宋体" w:hAnsi="宋体" w:cs="宋体" w:eastAsia="宋体" w:hint="default"/>
          <w:sz w:val="14"/>
          <w:szCs w:val="14"/>
        </w:rPr>
      </w:pPr>
    </w:p>
    <w:p>
      <w:pPr>
        <w:pStyle w:val="BodyText"/>
        <w:spacing w:line="405" w:lineRule="auto"/>
        <w:ind w:right="2353"/>
        <w:jc w:val="left"/>
        <w:rPr>
          <w:rFonts w:ascii="宋体" w:hAnsi="宋体" w:cs="宋体" w:eastAsia="宋体" w:hint="default"/>
        </w:rPr>
      </w:pPr>
      <w:r>
        <w:rPr/>
        <w:t>公司前</w:t>
      </w:r>
      <w:r>
        <w:rPr>
          <w:spacing w:val="-52"/>
        </w:rPr>
        <w:t> </w:t>
      </w:r>
      <w:r>
        <w:rPr>
          <w:rFonts w:ascii="宋体" w:hAnsi="宋体" w:cs="宋体" w:eastAsia="宋体" w:hint="default"/>
        </w:rPr>
        <w:t>10</w:t>
      </w:r>
      <w:r>
        <w:rPr>
          <w:rFonts w:ascii="宋体" w:hAnsi="宋体" w:cs="宋体" w:eastAsia="宋体" w:hint="default"/>
          <w:spacing w:val="-51"/>
        </w:rPr>
        <w:t> </w:t>
      </w:r>
      <w:r>
        <w:rPr/>
        <w:t>名普通股股东、前</w:t>
      </w:r>
      <w:r>
        <w:rPr>
          <w:spacing w:val="-51"/>
        </w:rPr>
        <w:t> </w:t>
      </w:r>
      <w:r>
        <w:rPr>
          <w:rFonts w:ascii="宋体" w:hAnsi="宋体" w:cs="宋体" w:eastAsia="宋体" w:hint="default"/>
          <w:spacing w:val="-3"/>
        </w:rPr>
        <w:t>10</w:t>
      </w:r>
      <w:r>
        <w:rPr>
          <w:rFonts w:ascii="宋体" w:hAnsi="宋体" w:cs="宋体" w:eastAsia="宋体" w:hint="default"/>
          <w:spacing w:val="-52"/>
        </w:rPr>
        <w:t> </w:t>
      </w:r>
      <w:r>
        <w:rPr/>
        <w:t>名无限售条件普通股股东在报告期内未进行约定购回交易。</w:t>
      </w:r>
      <w:r>
        <w:rPr>
          <w:w w:val="100"/>
        </w:rPr>
        <w:t> </w:t>
      </w:r>
      <w:bookmarkStart w:name="2、公司控股股东情况" w:id="163"/>
      <w:bookmarkEnd w:id="163"/>
      <w:r>
        <w:rPr>
          <w:w w:val="100"/>
        </w:rPr>
      </w:r>
      <w:r>
        <w:rPr>
          <w:rFonts w:ascii="宋体" w:hAnsi="宋体" w:cs="宋体" w:eastAsia="宋体" w:hint="default"/>
          <w:b/>
          <w:bCs/>
        </w:rPr>
        <w:t>2</w:t>
      </w:r>
      <w:r>
        <w:rPr>
          <w:rFonts w:ascii="宋体" w:hAnsi="宋体" w:cs="宋体" w:eastAsia="宋体" w:hint="default"/>
          <w:b/>
          <w:bCs/>
        </w:rPr>
        <w:t>、公司控股股东情况</w:t>
      </w:r>
      <w:r>
        <w:rPr>
          <w:rFonts w:ascii="宋体" w:hAnsi="宋体" w:cs="宋体" w:eastAsia="宋体" w:hint="default"/>
        </w:rPr>
      </w:r>
    </w:p>
    <w:p>
      <w:pPr>
        <w:pStyle w:val="BodyText"/>
        <w:spacing w:line="405" w:lineRule="auto" w:before="50"/>
        <w:ind w:right="8243"/>
        <w:jc w:val="left"/>
      </w:pPr>
      <w:r>
        <w:rPr>
          <w:spacing w:val="-1"/>
        </w:rPr>
        <w:t>控股股东性质：自然人控股</w:t>
      </w:r>
      <w:r>
        <w:rPr>
          <w:spacing w:val="-89"/>
        </w:rPr>
        <w:t> </w:t>
      </w:r>
      <w:r>
        <w:rPr>
          <w:spacing w:val="-89"/>
        </w:rPr>
      </w:r>
      <w:r>
        <w:rPr/>
        <w:t>控股股东类型：法人</w:t>
      </w:r>
    </w:p>
    <w:tbl>
      <w:tblPr>
        <w:tblW w:w="0" w:type="auto"/>
        <w:jc w:val="left"/>
        <w:tblInd w:w="138" w:type="dxa"/>
        <w:tblLayout w:type="fixed"/>
        <w:tblCellMar>
          <w:top w:w="0" w:type="dxa"/>
          <w:left w:w="0" w:type="dxa"/>
          <w:bottom w:w="0" w:type="dxa"/>
          <w:right w:w="0" w:type="dxa"/>
        </w:tblCellMar>
        <w:tblLook w:val="01E0"/>
      </w:tblPr>
      <w:tblGrid>
        <w:gridCol w:w="2742"/>
        <w:gridCol w:w="1849"/>
        <w:gridCol w:w="1632"/>
        <w:gridCol w:w="1935"/>
        <w:gridCol w:w="1412"/>
      </w:tblGrid>
      <w:tr>
        <w:trPr>
          <w:trHeight w:val="413" w:hRule="exact"/>
        </w:trPr>
        <w:tc>
          <w:tcPr>
            <w:tcW w:w="274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8"/>
              <w:ind w:right="2"/>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84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3"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163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4"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41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8"/>
              <w:ind w:left="19"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98" w:hRule="exact"/>
        </w:trPr>
        <w:tc>
          <w:tcPr>
            <w:tcW w:w="274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8"/>
              <w:ind w:right="3"/>
              <w:jc w:val="center"/>
              <w:rPr>
                <w:rFonts w:ascii="宋体" w:hAnsi="宋体" w:cs="宋体" w:eastAsia="宋体" w:hint="default"/>
                <w:sz w:val="18"/>
                <w:szCs w:val="18"/>
              </w:rPr>
            </w:pPr>
            <w:r>
              <w:rPr>
                <w:rFonts w:ascii="宋体" w:hAnsi="宋体" w:cs="宋体" w:eastAsia="宋体" w:hint="default"/>
                <w:spacing w:val="-3"/>
                <w:sz w:val="18"/>
                <w:szCs w:val="18"/>
              </w:rPr>
              <w:t>江苏光一投资管理有限责任公司</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龙昌明</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59"/>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宋体" w:hAnsi="宋体" w:cs="宋体" w:eastAsia="宋体" w:hint="default"/>
                <w:sz w:val="18"/>
                <w:szCs w:val="18"/>
              </w:rPr>
              <w:t>01</w:t>
            </w:r>
            <w:r>
              <w:rPr>
                <w:rFonts w:ascii="宋体" w:hAnsi="宋体" w:cs="宋体" w:eastAsia="宋体" w:hint="default"/>
                <w:spacing w:val="-5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pacing w:val="-3"/>
                <w:sz w:val="18"/>
                <w:szCs w:val="18"/>
              </w:rPr>
              <w:t>09</w:t>
            </w:r>
            <w:r>
              <w:rPr>
                <w:rFonts w:ascii="宋体" w:hAnsi="宋体" w:cs="宋体" w:eastAsia="宋体" w:hint="default"/>
                <w:spacing w:val="-52"/>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5" w:right="0"/>
              <w:jc w:val="left"/>
              <w:rPr>
                <w:rFonts w:ascii="宋体" w:hAnsi="宋体" w:cs="宋体" w:eastAsia="宋体" w:hint="default"/>
                <w:sz w:val="18"/>
                <w:szCs w:val="18"/>
              </w:rPr>
            </w:pPr>
            <w:r>
              <w:rPr>
                <w:rFonts w:ascii="宋体"/>
                <w:sz w:val="18"/>
              </w:rPr>
              <w:t>91320115682517743A</w:t>
            </w:r>
          </w:p>
        </w:tc>
        <w:tc>
          <w:tcPr>
            <w:tcW w:w="141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8"/>
              <w:ind w:left="14" w:right="0"/>
              <w:jc w:val="center"/>
              <w:rPr>
                <w:rFonts w:ascii="宋体" w:hAnsi="宋体" w:cs="宋体" w:eastAsia="宋体" w:hint="default"/>
                <w:sz w:val="18"/>
                <w:szCs w:val="18"/>
              </w:rPr>
            </w:pPr>
            <w:r>
              <w:rPr>
                <w:rFonts w:ascii="宋体" w:hAnsi="宋体" w:cs="宋体" w:eastAsia="宋体" w:hint="default"/>
                <w:sz w:val="18"/>
                <w:szCs w:val="18"/>
              </w:rPr>
              <w:t>投资管理</w:t>
            </w:r>
          </w:p>
        </w:tc>
      </w:tr>
      <w:tr>
        <w:trPr>
          <w:trHeight w:val="725" w:hRule="exact"/>
        </w:trPr>
        <w:tc>
          <w:tcPr>
            <w:tcW w:w="274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21" w:lineRule="auto" w:before="38"/>
              <w:ind w:left="95" w:right="99"/>
              <w:jc w:val="left"/>
              <w:rPr>
                <w:rFonts w:ascii="宋体" w:hAnsi="宋体" w:cs="宋体" w:eastAsia="宋体" w:hint="default"/>
                <w:sz w:val="18"/>
                <w:szCs w:val="18"/>
              </w:rPr>
            </w:pPr>
            <w:r>
              <w:rPr>
                <w:rFonts w:ascii="宋体" w:hAnsi="宋体" w:cs="宋体" w:eastAsia="宋体" w:hint="default"/>
                <w:spacing w:val="-3"/>
                <w:sz w:val="18"/>
                <w:szCs w:val="18"/>
              </w:rPr>
              <w:t>控股股东报告期内控股和参股的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其他境内外上市公司的股权情况</w:t>
            </w:r>
          </w:p>
        </w:tc>
        <w:tc>
          <w:tcPr>
            <w:tcW w:w="6828" w:type="dxa"/>
            <w:gridSpan w:val="4"/>
            <w:tcBorders>
              <w:top w:val="single" w:sz="4" w:space="0" w:color="000000"/>
              <w:left w:val="single" w:sz="4" w:space="0" w:color="000000"/>
              <w:bottom w:val="single" w:sz="12" w:space="0" w:color="000000"/>
              <w:right w:val="single" w:sz="12"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1"/>
        <w:ind w:right="1024"/>
        <w:jc w:val="left"/>
      </w:pPr>
      <w:r>
        <w:rPr/>
        <w:t>控股股东报告期内变更</w:t>
      </w:r>
    </w:p>
    <w:p>
      <w:pPr>
        <w:spacing w:line="240" w:lineRule="auto" w:before="12"/>
        <w:rPr>
          <w:rFonts w:ascii="宋体" w:hAnsi="宋体" w:cs="宋体" w:eastAsia="宋体" w:hint="default"/>
          <w:sz w:val="14"/>
          <w:szCs w:val="14"/>
        </w:rPr>
      </w:pPr>
    </w:p>
    <w:p>
      <w:pPr>
        <w:spacing w:line="408" w:lineRule="auto" w:before="0"/>
        <w:ind w:left="153" w:right="7482" w:firstLine="0"/>
        <w:jc w:val="left"/>
        <w:rPr>
          <w:rFonts w:ascii="宋体" w:hAnsi="宋体" w:cs="宋体" w:eastAsia="宋体" w:hint="default"/>
          <w:sz w:val="21"/>
          <w:szCs w:val="21"/>
        </w:rPr>
      </w:pPr>
      <w:r>
        <w:rPr/>
        <w:pict>
          <v:shape style="position:absolute;margin-left:55.944pt;margin-top:113.693672pt;width:480.7pt;height:154.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1"/>
                    <w:gridCol w:w="2396"/>
                    <w:gridCol w:w="2391"/>
                    <w:gridCol w:w="2391"/>
                  </w:tblGrid>
                  <w:tr>
                    <w:trPr>
                      <w:trHeight w:val="723" w:hRule="exact"/>
                    </w:trPr>
                    <w:tc>
                      <w:tcPr>
                        <w:tcW w:w="239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3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9" w:lineRule="auto" w:before="56"/>
                          <w:ind w:left="1012" w:right="94" w:hanging="903"/>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留权</w:t>
                        </w: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935" w:hRule="exact"/>
                    </w:trPr>
                    <w:tc>
                      <w:tcPr>
                        <w:tcW w:w="239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7179" w:type="dxa"/>
                        <w:gridSpan w:val="3"/>
                        <w:tcBorders>
                          <w:top w:val="single" w:sz="4" w:space="0" w:color="000000"/>
                          <w:left w:val="single" w:sz="4" w:space="0" w:color="000000"/>
                          <w:bottom w:val="single" w:sz="12" w:space="0" w:color="000000"/>
                          <w:right w:val="single" w:sz="12" w:space="0" w:color="000000"/>
                        </w:tcBorders>
                      </w:tcPr>
                      <w:p>
                        <w:pPr>
                          <w:pStyle w:val="TableParagraph"/>
                          <w:spacing w:line="316" w:lineRule="auto" w:before="53"/>
                          <w:ind w:left="105" w:right="-4"/>
                          <w:jc w:val="left"/>
                          <w:rPr>
                            <w:rFonts w:ascii="宋体" w:hAnsi="宋体" w:cs="宋体" w:eastAsia="宋体" w:hint="default"/>
                            <w:sz w:val="18"/>
                            <w:szCs w:val="18"/>
                          </w:rPr>
                        </w:pPr>
                        <w:r>
                          <w:rPr>
                            <w:rFonts w:ascii="宋体" w:hAnsi="宋体" w:cs="宋体" w:eastAsia="宋体" w:hint="default"/>
                            <w:spacing w:val="-4"/>
                            <w:sz w:val="18"/>
                            <w:szCs w:val="18"/>
                          </w:rPr>
                          <w:t>龙昌明先生，中国致公党党员，南京巿人大代表，江苏省贵州商会会长，江苏省致公党省</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委委员。光一科技股份有限公司第一届、第二届、第三届、第四届董事会董事长；</w:t>
                        </w:r>
                        <w:r>
                          <w:rPr>
                            <w:rFonts w:ascii="宋体" w:hAnsi="宋体" w:cs="宋体" w:eastAsia="宋体" w:hint="default"/>
                            <w:spacing w:val="-3"/>
                            <w:sz w:val="18"/>
                            <w:szCs w:val="18"/>
                          </w:rPr>
                          <w:t>2009</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w w:val="101"/>
                            <w:sz w:val="18"/>
                            <w:szCs w:val="18"/>
                          </w:rPr>
                          <w:t>年至今任光一投资执行董事兼总经理；全资子公司苏源光一董事长；全资子公司智友尚云、</w:t>
                        </w:r>
                        <w:r>
                          <w:rPr>
                            <w:rFonts w:ascii="宋体" w:hAnsi="宋体" w:cs="宋体" w:eastAsia="宋体" w:hint="default"/>
                            <w:w w:val="101"/>
                            <w:sz w:val="18"/>
                            <w:szCs w:val="18"/>
                          </w:rPr>
                          <w:t> </w:t>
                        </w:r>
                        <w:r>
                          <w:rPr>
                            <w:rFonts w:ascii="宋体" w:hAnsi="宋体" w:cs="宋体" w:eastAsia="宋体" w:hint="default"/>
                            <w:spacing w:val="-3"/>
                            <w:sz w:val="18"/>
                            <w:szCs w:val="18"/>
                          </w:rPr>
                          <w:t>光一贵仁、德能工程执行董事；全资子公司索瑞电气董事；控股子公司云商天下董事长；</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4"/>
                            <w:sz w:val="18"/>
                            <w:szCs w:val="18"/>
                          </w:rPr>
                          <w:t>参股公司中云文化大数据董事；天擎华媒董事长、南京医科大学第三届董事会董事；江苏</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4"/>
                            <w:sz w:val="18"/>
                            <w:szCs w:val="18"/>
                          </w:rPr>
                          <w:t>黔首网络科技有限公司董事长；江苏数道科技有限公司董事长、总经理；南京建盈鸿亿科</w:t>
                        </w:r>
                      </w:p>
                    </w:tc>
                  </w:tr>
                </w:tbl>
                <w:p>
                  <w:pPr/>
                </w:p>
              </w:txbxContent>
            </v:textbox>
            <w10:wrap type="none"/>
          </v:shape>
        </w:pict>
      </w: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公司报告期控股股东未发生变更。</w:t>
      </w:r>
      <w:r>
        <w:rPr>
          <w:rFonts w:ascii="宋体" w:hAnsi="宋体" w:cs="宋体" w:eastAsia="宋体" w:hint="default"/>
          <w:spacing w:val="-102"/>
          <w:sz w:val="21"/>
          <w:szCs w:val="21"/>
        </w:rPr>
        <w:t> </w:t>
      </w:r>
      <w:r>
        <w:rPr>
          <w:rFonts w:ascii="宋体" w:hAnsi="宋体" w:cs="宋体" w:eastAsia="宋体" w:hint="default"/>
          <w:spacing w:val="-102"/>
          <w:sz w:val="21"/>
          <w:szCs w:val="21"/>
        </w:rPr>
      </w:r>
      <w:bookmarkStart w:name="3、公司实际控制人及其一致行动人" w:id="164"/>
      <w:bookmarkEnd w:id="164"/>
      <w:r>
        <w:rPr>
          <w:rFonts w:ascii="宋体" w:hAnsi="宋体" w:cs="宋体" w:eastAsia="宋体" w:hint="default"/>
          <w:spacing w:val="-102"/>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、公司实际控制人及其一致行动人</w:t>
      </w:r>
      <w:r>
        <w:rPr>
          <w:rFonts w:ascii="宋体" w:hAnsi="宋体" w:cs="宋体" w:eastAsia="宋体" w:hint="default"/>
          <w:b/>
          <w:bCs/>
          <w:spacing w:val="-101"/>
          <w:sz w:val="21"/>
          <w:szCs w:val="21"/>
        </w:rPr>
        <w:t> </w:t>
      </w:r>
      <w:r>
        <w:rPr>
          <w:rFonts w:ascii="宋体" w:hAnsi="宋体" w:cs="宋体" w:eastAsia="宋体" w:hint="default"/>
          <w:sz w:val="21"/>
          <w:szCs w:val="21"/>
        </w:rPr>
        <w:t>实际控制人性质：境内自然人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实际控制人类型：自然人</w:t>
      </w:r>
    </w:p>
    <w:p>
      <w:pPr>
        <w:spacing w:after="0" w:line="408" w:lineRule="auto"/>
        <w:jc w:val="left"/>
        <w:rPr>
          <w:rFonts w:ascii="宋体" w:hAnsi="宋体" w:cs="宋体" w:eastAsia="宋体" w:hint="default"/>
          <w:sz w:val="21"/>
          <w:szCs w:val="21"/>
        </w:rPr>
        <w:sectPr>
          <w:pgSz w:w="11910" w:h="16840"/>
          <w:pgMar w:header="871" w:footer="1037" w:top="1100" w:bottom="1220" w:left="980" w:right="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391"/>
        <w:gridCol w:w="7179"/>
      </w:tblGrid>
      <w:tr>
        <w:trPr>
          <w:trHeight w:val="374" w:hRule="exact"/>
        </w:trPr>
        <w:tc>
          <w:tcPr>
            <w:tcW w:w="2391"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717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pacing w:val="-3"/>
                <w:sz w:val="18"/>
                <w:szCs w:val="18"/>
              </w:rPr>
              <w:t>技发展有限公司、贵州贵银投资有限公司董事。</w:t>
            </w:r>
          </w:p>
        </w:tc>
      </w:tr>
      <w:tr>
        <w:trPr>
          <w:trHeight w:val="725" w:hRule="exact"/>
        </w:trPr>
        <w:tc>
          <w:tcPr>
            <w:tcW w:w="239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3"/>
              <w:ind w:left="95" w:right="20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36"/>
                <w:sz w:val="18"/>
                <w:szCs w:val="18"/>
              </w:rPr>
              <w:t> </w:t>
            </w:r>
            <w:r>
              <w:rPr>
                <w:rFonts w:ascii="宋体" w:hAnsi="宋体" w:cs="宋体" w:eastAsia="宋体" w:hint="default"/>
                <w:sz w:val="18"/>
                <w:szCs w:val="18"/>
              </w:rPr>
              <w:t>10</w:t>
            </w:r>
            <w:r>
              <w:rPr>
                <w:rFonts w:ascii="宋体" w:hAnsi="宋体" w:cs="宋体" w:eastAsia="宋体" w:hint="default"/>
                <w:spacing w:val="-36"/>
                <w:sz w:val="18"/>
                <w:szCs w:val="18"/>
              </w:rPr>
              <w:t> </w:t>
            </w:r>
            <w:r>
              <w:rPr>
                <w:rFonts w:ascii="宋体" w:hAnsi="宋体" w:cs="宋体" w:eastAsia="宋体" w:hint="default"/>
                <w:spacing w:val="-3"/>
                <w:sz w:val="18"/>
                <w:szCs w:val="18"/>
              </w:rPr>
              <w:t>年曾控股的境内外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上市公司情况</w:t>
            </w:r>
          </w:p>
        </w:tc>
        <w:tc>
          <w:tcPr>
            <w:tcW w:w="717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龙昌明先生除控股光一科技以外，不存在控股其它境内外上市公司情况。</w:t>
            </w:r>
          </w:p>
        </w:tc>
      </w:tr>
    </w:tbl>
    <w:p>
      <w:pPr>
        <w:pStyle w:val="BodyText"/>
        <w:spacing w:line="240" w:lineRule="auto" w:before="66"/>
        <w:ind w:right="1024"/>
        <w:jc w:val="left"/>
      </w:pPr>
      <w:r>
        <w:rPr/>
        <w:t>实际控制人报告期内变更</w:t>
      </w:r>
    </w:p>
    <w:p>
      <w:pPr>
        <w:spacing w:line="240" w:lineRule="auto" w:before="8"/>
        <w:rPr>
          <w:rFonts w:ascii="宋体" w:hAnsi="宋体" w:cs="宋体" w:eastAsia="宋体" w:hint="default"/>
          <w:sz w:val="14"/>
          <w:szCs w:val="14"/>
        </w:rPr>
      </w:pPr>
    </w:p>
    <w:p>
      <w:pPr>
        <w:pStyle w:val="BodyText"/>
        <w:spacing w:line="391" w:lineRule="auto"/>
        <w:ind w:right="5885"/>
        <w:jc w:val="left"/>
      </w:pPr>
      <w:r>
        <w:rPr/>
        <w:t>□ 适用 √ 不适用</w:t>
      </w:r>
      <w:r>
        <w:rPr>
          <w:spacing w:val="-101"/>
        </w:rPr>
        <w:t> </w:t>
      </w:r>
      <w:r>
        <w:rPr>
          <w:spacing w:val="-101"/>
        </w:rPr>
      </w:r>
      <w:r>
        <w:rPr/>
        <w:t>公司报告期实际控制人未发生变更。</w:t>
      </w:r>
      <w:r>
        <w:rPr>
          <w:spacing w:val="-101"/>
        </w:rPr>
        <w:t> </w:t>
      </w:r>
      <w:r>
        <w:rPr>
          <w:spacing w:val="-101"/>
        </w:rPr>
      </w:r>
      <w:r>
        <w:rPr>
          <w:spacing w:val="-2"/>
        </w:rPr>
        <w:t>公司与实际控制人之间的产权及控制关系的方框图</w:t>
      </w:r>
    </w:p>
    <w:p>
      <w:pPr>
        <w:spacing w:line="240" w:lineRule="auto" w:before="2"/>
        <w:rPr>
          <w:rFonts w:ascii="宋体" w:hAnsi="宋体" w:cs="宋体" w:eastAsia="宋体" w:hint="default"/>
          <w:sz w:val="19"/>
          <w:szCs w:val="19"/>
        </w:rPr>
      </w:pPr>
    </w:p>
    <w:p>
      <w:pPr>
        <w:spacing w:line="4410" w:lineRule="exact"/>
        <w:ind w:left="1358"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4591050" cy="280035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4" cstate="print"/>
                    <a:stretch>
                      <a:fillRect/>
                    </a:stretch>
                  </pic:blipFill>
                  <pic:spPr>
                    <a:xfrm>
                      <a:off x="0" y="0"/>
                      <a:ext cx="4591050" cy="2800350"/>
                    </a:xfrm>
                    <a:prstGeom prst="rect">
                      <a:avLst/>
                    </a:prstGeom>
                  </pic:spPr>
                </pic:pic>
              </a:graphicData>
            </a:graphic>
          </wp:inline>
        </w:drawing>
      </w:r>
      <w:r>
        <w:rPr>
          <w:rFonts w:ascii="宋体" w:hAnsi="宋体" w:cs="宋体" w:eastAsia="宋体" w:hint="default"/>
          <w:position w:val="-87"/>
          <w:sz w:val="20"/>
          <w:szCs w:val="20"/>
        </w:rPr>
      </w:r>
    </w:p>
    <w:p>
      <w:pPr>
        <w:spacing w:line="240" w:lineRule="auto" w:before="0"/>
        <w:rPr>
          <w:rFonts w:ascii="宋体" w:hAnsi="宋体" w:cs="宋体" w:eastAsia="宋体" w:hint="default"/>
          <w:sz w:val="20"/>
          <w:szCs w:val="20"/>
        </w:rPr>
      </w:pPr>
    </w:p>
    <w:p>
      <w:pPr>
        <w:pStyle w:val="BodyText"/>
        <w:spacing w:line="240" w:lineRule="auto" w:before="144"/>
        <w:ind w:right="1024"/>
        <w:jc w:val="left"/>
      </w:pPr>
      <w:r>
        <w:rPr/>
        <w:t>实际控制人通过信托或其他资产管理方式控制公司</w:t>
      </w:r>
    </w:p>
    <w:p>
      <w:pPr>
        <w:spacing w:line="240" w:lineRule="auto" w:before="8"/>
        <w:rPr>
          <w:rFonts w:ascii="宋体" w:hAnsi="宋体" w:cs="宋体" w:eastAsia="宋体" w:hint="default"/>
          <w:sz w:val="14"/>
          <w:szCs w:val="14"/>
        </w:rPr>
      </w:pPr>
    </w:p>
    <w:p>
      <w:pPr>
        <w:pStyle w:val="BodyText"/>
        <w:spacing w:line="240" w:lineRule="auto"/>
        <w:ind w:right="1024"/>
        <w:jc w:val="left"/>
      </w:pPr>
      <w:r>
        <w:rPr/>
        <w:t>□ 适用 √</w:t>
      </w:r>
      <w:r>
        <w:rPr>
          <w:spacing w:val="4"/>
        </w:rPr>
        <w:t> </w:t>
      </w:r>
      <w:r>
        <w:rPr/>
        <w:t>不适用</w:t>
      </w:r>
    </w:p>
    <w:p>
      <w:pPr>
        <w:spacing w:line="240" w:lineRule="auto" w:before="12"/>
        <w:rPr>
          <w:rFonts w:ascii="宋体" w:hAnsi="宋体" w:cs="宋体" w:eastAsia="宋体" w:hint="default"/>
          <w:sz w:val="14"/>
          <w:szCs w:val="14"/>
        </w:rPr>
      </w:pPr>
    </w:p>
    <w:p>
      <w:pPr>
        <w:pStyle w:val="Heading4"/>
        <w:spacing w:line="240" w:lineRule="auto" w:before="0"/>
        <w:ind w:right="1024"/>
        <w:jc w:val="left"/>
        <w:rPr>
          <w:b w:val="0"/>
          <w:bCs w:val="0"/>
        </w:rPr>
      </w:pPr>
      <w:bookmarkStart w:name="4、其他持股在10%以上的法人股东" w:id="165"/>
      <w:bookmarkEnd w:id="165"/>
      <w:r>
        <w:rPr>
          <w:b w:val="0"/>
          <w:bCs w:val="0"/>
        </w:rPr>
      </w:r>
      <w:r>
        <w:rPr>
          <w:rFonts w:ascii="宋体" w:hAnsi="宋体" w:cs="宋体" w:eastAsia="宋体" w:hint="default"/>
        </w:rPr>
        <w:t>4</w:t>
      </w:r>
      <w:r>
        <w:rPr/>
        <w:t>、其他持股在</w:t>
      </w:r>
      <w:r>
        <w:rPr>
          <w:spacing w:val="-49"/>
        </w:rPr>
        <w:t> </w:t>
      </w:r>
      <w:r>
        <w:rPr>
          <w:rFonts w:ascii="宋体" w:hAnsi="宋体" w:cs="宋体" w:eastAsia="宋体" w:hint="default"/>
        </w:rPr>
        <w:t>10%</w:t>
      </w:r>
      <w:r>
        <w:rPr/>
        <w:t>以上的法人股东</w:t>
      </w:r>
      <w:r>
        <w:rPr>
          <w:b w:val="0"/>
          <w:bCs w:val="0"/>
        </w:rPr>
      </w:r>
    </w:p>
    <w:p>
      <w:pPr>
        <w:spacing w:line="240" w:lineRule="auto" w:before="8"/>
        <w:rPr>
          <w:rFonts w:ascii="宋体" w:hAnsi="宋体" w:cs="宋体" w:eastAsia="宋体" w:hint="default"/>
          <w:b/>
          <w:bCs/>
          <w:sz w:val="14"/>
          <w:szCs w:val="14"/>
        </w:rPr>
      </w:pPr>
    </w:p>
    <w:p>
      <w:pPr>
        <w:spacing w:line="410" w:lineRule="auto" w:before="0"/>
        <w:ind w:left="153" w:right="4245"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5、控股股东、实际控制人、重组方及其他承诺主体股份限制减持情况" w:id="166"/>
      <w:bookmarkEnd w:id="166"/>
      <w:r>
        <w:rPr>
          <w:rFonts w:ascii="宋体" w:hAnsi="宋体" w:cs="宋体" w:eastAsia="宋体" w:hint="default"/>
          <w:spacing w:val="-101"/>
          <w:sz w:val="21"/>
          <w:szCs w:val="21"/>
        </w:rPr>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、控股股东、实际控制人、重组方及其他承诺主体股份限制减持情况</w:t>
      </w:r>
      <w:r>
        <w:rPr>
          <w:rFonts w:ascii="宋体" w:hAnsi="宋体" w:cs="宋体" w:eastAsia="宋体" w:hint="default"/>
          <w:spacing w:val="-1"/>
          <w:sz w:val="21"/>
          <w:szCs w:val="21"/>
        </w:rPr>
      </w:r>
    </w:p>
    <w:p>
      <w:pPr>
        <w:pStyle w:val="BodyText"/>
        <w:spacing w:line="410" w:lineRule="auto" w:before="41"/>
        <w:ind w:left="575" w:right="1024" w:hanging="423"/>
        <w:jc w:val="left"/>
      </w:pPr>
      <w:r>
        <w:rPr/>
        <w:t>√ 适用 □ 不适用</w:t>
      </w:r>
      <w:r>
        <w:rPr>
          <w:spacing w:val="-101"/>
        </w:rPr>
        <w:t> </w:t>
      </w:r>
      <w:r>
        <w:rPr>
          <w:spacing w:val="-101"/>
        </w:rPr>
      </w:r>
      <w:r>
        <w:rPr>
          <w:spacing w:val="-2"/>
        </w:rPr>
        <w:t>湖北乾瀚投资有限公司、任昌兆、任晶晶在《发行股份及支付现金购买资产协议》中特别承诺自本次</w:t>
      </w:r>
    </w:p>
    <w:p>
      <w:pPr>
        <w:pStyle w:val="BodyText"/>
        <w:spacing w:line="410" w:lineRule="auto" w:before="42"/>
        <w:ind w:right="1024"/>
        <w:jc w:val="left"/>
      </w:pPr>
      <w:r>
        <w:rPr>
          <w:spacing w:val="-2"/>
        </w:rPr>
        <w:t>交易所获得股份锁定期结束至</w:t>
      </w:r>
      <w:r>
        <w:rPr>
          <w:rFonts w:ascii="宋体" w:hAnsi="宋体" w:cs="宋体" w:eastAsia="宋体" w:hint="default"/>
          <w:spacing w:val="-2"/>
        </w:rPr>
        <w:t>2020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w:t>
      </w:r>
      <w:r>
        <w:rPr>
          <w:rFonts w:ascii="宋体" w:hAnsi="宋体" w:cs="宋体" w:eastAsia="宋体" w:hint="default"/>
          <w:spacing w:val="-2"/>
        </w:rPr>
        <w:t>/</w:t>
      </w:r>
      <w:r>
        <w:rPr>
          <w:spacing w:val="-2"/>
        </w:rPr>
        <w:t>本人每年可减持的光一科技股份数量不超过上年</w:t>
      </w:r>
      <w:r>
        <w:rPr>
          <w:spacing w:val="-5"/>
        </w:rPr>
        <w:t> </w:t>
      </w:r>
      <w:r>
        <w:rPr>
          <w:spacing w:val="-5"/>
        </w:rPr>
      </w:r>
      <w:r>
        <w:rPr/>
        <w:t>末本公司</w:t>
      </w:r>
      <w:r>
        <w:rPr>
          <w:rFonts w:ascii="宋体" w:hAnsi="宋体" w:cs="宋体" w:eastAsia="宋体" w:hint="default"/>
        </w:rPr>
        <w:t>/</w:t>
      </w:r>
      <w:r>
        <w:rPr/>
        <w:t>本人持有光一科技股份总数的</w:t>
      </w:r>
      <w:r>
        <w:rPr>
          <w:rFonts w:ascii="宋体" w:hAnsi="宋体" w:cs="宋体" w:eastAsia="宋体" w:hint="default"/>
        </w:rPr>
        <w:t>25%</w:t>
      </w:r>
      <w:r>
        <w:rPr/>
        <w:t>。</w:t>
      </w:r>
    </w:p>
    <w:p>
      <w:pPr>
        <w:spacing w:after="0" w:line="410" w:lineRule="auto"/>
        <w:jc w:val="left"/>
        <w:sectPr>
          <w:pgSz w:w="11910" w:h="16840"/>
          <w:pgMar w:header="871" w:footer="1037" w:top="1100" w:bottom="1220" w:left="980" w:right="0"/>
        </w:sectPr>
      </w:pPr>
    </w:p>
    <w:p>
      <w:pPr>
        <w:spacing w:line="240" w:lineRule="auto" w:before="0"/>
        <w:rPr>
          <w:rFonts w:ascii="宋体" w:hAnsi="宋体" w:cs="宋体" w:eastAsia="宋体" w:hint="default"/>
          <w:sz w:val="20"/>
          <w:szCs w:val="20"/>
        </w:rPr>
      </w:pPr>
    </w:p>
    <w:p>
      <w:pPr>
        <w:pStyle w:val="Heading1"/>
        <w:spacing w:line="240" w:lineRule="auto" w:before="180"/>
        <w:ind w:left="3283" w:right="1024"/>
        <w:jc w:val="left"/>
        <w:rPr>
          <w:b w:val="0"/>
          <w:bCs w:val="0"/>
        </w:rPr>
      </w:pPr>
      <w:bookmarkStart w:name="第七节 优先股相关情况" w:id="167"/>
      <w:bookmarkEnd w:id="167"/>
      <w:r>
        <w:rPr>
          <w:b w:val="0"/>
          <w:bCs w:val="0"/>
        </w:rPr>
      </w:r>
      <w:bookmarkStart w:name="_bookmark6" w:id="168"/>
      <w:bookmarkEnd w:id="168"/>
      <w:r>
        <w:rPr>
          <w:b w:val="0"/>
          <w:bCs w:val="0"/>
        </w:rPr>
      </w:r>
      <w:r>
        <w:rPr/>
        <w:t>第七节 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3"/>
          <w:szCs w:val="23"/>
        </w:rPr>
      </w:pPr>
    </w:p>
    <w:p>
      <w:pPr>
        <w:pStyle w:val="BodyText"/>
        <w:spacing w:line="410" w:lineRule="auto" w:before="36"/>
        <w:ind w:right="8243"/>
        <w:jc w:val="left"/>
      </w:pPr>
      <w:r>
        <w:rPr/>
        <w:t>□ 适用 √ 不适用</w:t>
      </w:r>
      <w:r>
        <w:rPr>
          <w:spacing w:val="-101"/>
        </w:rPr>
        <w:t> </w:t>
      </w:r>
      <w:r>
        <w:rPr>
          <w:spacing w:val="-101"/>
        </w:rPr>
      </w:r>
      <w:r>
        <w:rPr>
          <w:spacing w:val="-1"/>
        </w:rPr>
        <w:t>报告期公司不存在优先股。</w:t>
      </w:r>
    </w:p>
    <w:p>
      <w:pPr>
        <w:spacing w:after="0" w:line="410" w:lineRule="auto"/>
        <w:jc w:val="left"/>
        <w:sectPr>
          <w:pgSz w:w="11910" w:h="16840"/>
          <w:pgMar w:header="871" w:footer="1037" w:top="110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005" w:right="0"/>
        <w:jc w:val="left"/>
        <w:rPr>
          <w:b w:val="0"/>
          <w:bCs w:val="0"/>
        </w:rPr>
      </w:pPr>
      <w:bookmarkStart w:name="第八节 可转换公司债券相关情况" w:id="169"/>
      <w:bookmarkEnd w:id="169"/>
      <w:r>
        <w:rPr>
          <w:b w:val="0"/>
          <w:bCs w:val="0"/>
        </w:rPr>
      </w:r>
      <w:bookmarkStart w:name="_bookmark7" w:id="170"/>
      <w:bookmarkEnd w:id="170"/>
      <w:r>
        <w:rPr>
          <w:b w:val="0"/>
          <w:bCs w:val="0"/>
        </w:rPr>
      </w:r>
      <w:r>
        <w:rPr/>
        <w:t>第八节</w:t>
      </w:r>
      <w:r>
        <w:rPr>
          <w:spacing w:val="1"/>
        </w:rPr>
        <w:t> </w:t>
      </w:r>
      <w:r>
        <w:rPr/>
        <w:t>可转换公司债券相关情况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p>
      <w:pPr>
        <w:pStyle w:val="BodyText"/>
        <w:spacing w:line="405" w:lineRule="auto" w:before="36"/>
        <w:ind w:left="513" w:right="5662"/>
        <w:jc w:val="left"/>
      </w:pPr>
      <w:r>
        <w:rPr/>
        <w:t>□ 适用 √ 不适用</w:t>
      </w:r>
      <w:r>
        <w:rPr>
          <w:spacing w:val="-101"/>
        </w:rPr>
        <w:t> </w:t>
      </w:r>
      <w:r>
        <w:rPr>
          <w:spacing w:val="-101"/>
        </w:rPr>
      </w:r>
      <w:r>
        <w:rPr>
          <w:spacing w:val="-1"/>
        </w:rPr>
        <w:t>报告期公司不存在可转换公司债券。</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1"/>
        <w:spacing w:line="240" w:lineRule="auto" w:before="0"/>
        <w:ind w:left="2040" w:right="0"/>
        <w:jc w:val="left"/>
        <w:rPr>
          <w:b w:val="0"/>
          <w:bCs w:val="0"/>
        </w:rPr>
      </w:pPr>
      <w:bookmarkStart w:name="第九节 董事、监事、高级管理人员和员工情况" w:id="171"/>
      <w:bookmarkEnd w:id="171"/>
      <w:r>
        <w:rPr>
          <w:b w:val="0"/>
          <w:bCs w:val="0"/>
        </w:rPr>
      </w:r>
      <w:bookmarkStart w:name="_bookmark8" w:id="172"/>
      <w:bookmarkEnd w:id="172"/>
      <w:r>
        <w:rPr>
          <w:b w:val="0"/>
          <w:bCs w:val="0"/>
        </w:rPr>
      </w:r>
      <w:r>
        <w:rPr/>
        <w:t>第九节</w:t>
      </w:r>
      <w:r>
        <w:rPr>
          <w:spacing w:val="-2"/>
        </w:rPr>
        <w:t> </w:t>
      </w:r>
      <w:r>
        <w:rPr/>
        <w:t>董事、监事、高级管理人员和员工情况</w:t>
      </w:r>
      <w:r>
        <w:rPr>
          <w:b w:val="0"/>
          <w:bCs w:val="0"/>
        </w:rPr>
      </w:r>
    </w:p>
    <w:p>
      <w:pPr>
        <w:spacing w:line="240" w:lineRule="auto" w:before="11"/>
        <w:rPr>
          <w:rFonts w:ascii="宋体" w:hAnsi="宋体" w:cs="宋体" w:eastAsia="宋体" w:hint="default"/>
          <w:b/>
          <w:bCs/>
          <w:sz w:val="37"/>
          <w:szCs w:val="37"/>
        </w:rPr>
      </w:pPr>
    </w:p>
    <w:p>
      <w:pPr>
        <w:pStyle w:val="Heading2"/>
        <w:spacing w:line="240" w:lineRule="auto"/>
        <w:ind w:left="513" w:right="0"/>
        <w:jc w:val="left"/>
        <w:rPr>
          <w:b w:val="0"/>
          <w:bCs w:val="0"/>
        </w:rPr>
      </w:pPr>
      <w:bookmarkStart w:name="一、董事、监事和高级管理人员持股变动" w:id="173"/>
      <w:bookmarkEnd w:id="173"/>
      <w:r>
        <w:rPr>
          <w:b w:val="0"/>
          <w:bCs w:val="0"/>
        </w:rPr>
      </w:r>
      <w:r>
        <w:rPr/>
        <w:t>一、董事、监事和高级管理人员持股变动</w:t>
      </w:r>
      <w:r>
        <w:rPr>
          <w:b w:val="0"/>
          <w:bCs w:val="0"/>
        </w:rPr>
      </w:r>
    </w:p>
    <w:p>
      <w:pPr>
        <w:spacing w:line="240" w:lineRule="auto" w:before="1"/>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888"/>
        <w:gridCol w:w="807"/>
        <w:gridCol w:w="677"/>
        <w:gridCol w:w="615"/>
        <w:gridCol w:w="614"/>
        <w:gridCol w:w="994"/>
        <w:gridCol w:w="927"/>
        <w:gridCol w:w="1263"/>
        <w:gridCol w:w="773"/>
        <w:gridCol w:w="802"/>
        <w:gridCol w:w="1229"/>
        <w:gridCol w:w="1157"/>
      </w:tblGrid>
      <w:tr>
        <w:trPr>
          <w:trHeight w:val="1037" w:hRule="exact"/>
        </w:trPr>
        <w:tc>
          <w:tcPr>
            <w:tcW w:w="8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0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7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53" w:right="146"/>
              <w:jc w:val="left"/>
              <w:rPr>
                <w:rFonts w:ascii="宋体" w:hAnsi="宋体" w:cs="宋体" w:eastAsia="宋体" w:hint="default"/>
                <w:sz w:val="18"/>
                <w:szCs w:val="18"/>
              </w:rPr>
            </w:pPr>
            <w:r>
              <w:rPr>
                <w:rFonts w:ascii="宋体" w:hAnsi="宋体" w:cs="宋体" w:eastAsia="宋体" w:hint="default"/>
                <w:sz w:val="18"/>
                <w:szCs w:val="18"/>
              </w:rPr>
              <w:t>任职</w:t>
            </w:r>
            <w:r>
              <w:rPr>
                <w:rFonts w:ascii="宋体" w:hAnsi="宋体" w:cs="宋体" w:eastAsia="宋体" w:hint="default"/>
                <w:spacing w:val="-86"/>
                <w:sz w:val="18"/>
                <w:szCs w:val="18"/>
              </w:rPr>
              <w:t> </w:t>
            </w:r>
            <w:r>
              <w:rPr>
                <w:rFonts w:ascii="宋体" w:hAnsi="宋体" w:cs="宋体" w:eastAsia="宋体" w:hint="default"/>
                <w:sz w:val="18"/>
                <w:szCs w:val="18"/>
              </w:rPr>
              <w:t>状态</w:t>
            </w:r>
          </w:p>
        </w:tc>
        <w:tc>
          <w:tcPr>
            <w:tcW w:w="61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2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13"/>
              <w:jc w:val="right"/>
              <w:rPr>
                <w:rFonts w:ascii="宋体" w:hAnsi="宋体" w:cs="宋体" w:eastAsia="宋体" w:hint="default"/>
                <w:sz w:val="18"/>
                <w:szCs w:val="18"/>
              </w:rPr>
            </w:pPr>
            <w:r>
              <w:rPr>
                <w:rFonts w:ascii="宋体" w:hAnsi="宋体" w:cs="宋体" w:eastAsia="宋体" w:hint="default"/>
                <w:sz w:val="18"/>
                <w:szCs w:val="18"/>
              </w:rPr>
              <w:t>年龄</w:t>
            </w:r>
          </w:p>
        </w:tc>
        <w:tc>
          <w:tcPr>
            <w:tcW w:w="9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12" w:right="127" w:hanging="183"/>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92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87" w:right="185"/>
              <w:jc w:val="left"/>
              <w:rPr>
                <w:rFonts w:ascii="宋体" w:hAnsi="宋体" w:cs="宋体" w:eastAsia="宋体" w:hint="default"/>
                <w:sz w:val="18"/>
                <w:szCs w:val="18"/>
              </w:rPr>
            </w:pPr>
            <w:r>
              <w:rPr>
                <w:rFonts w:ascii="宋体" w:hAnsi="宋体" w:cs="宋体" w:eastAsia="宋体" w:hint="default"/>
                <w:sz w:val="18"/>
                <w:szCs w:val="18"/>
              </w:rPr>
              <w:t>任期终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止日期</w:t>
            </w:r>
          </w:p>
        </w:tc>
        <w:tc>
          <w:tcPr>
            <w:tcW w:w="126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71"/>
              <w:jc w:val="right"/>
              <w:rPr>
                <w:rFonts w:ascii="宋体" w:hAnsi="宋体" w:cs="宋体" w:eastAsia="宋体" w:hint="default"/>
                <w:sz w:val="18"/>
                <w:szCs w:val="18"/>
              </w:rPr>
            </w:pPr>
            <w:r>
              <w:rPr>
                <w:rFonts w:ascii="宋体" w:hAnsi="宋体" w:cs="宋体" w:eastAsia="宋体" w:hint="default"/>
                <w:spacing w:val="-2"/>
                <w:sz w:val="18"/>
                <w:szCs w:val="18"/>
              </w:rPr>
              <w:t>期初持股数</w:t>
            </w:r>
          </w:p>
        </w:tc>
        <w:tc>
          <w:tcPr>
            <w:tcW w:w="77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0" w:right="108"/>
              <w:jc w:val="both"/>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tc>
        <w:tc>
          <w:tcPr>
            <w:tcW w:w="80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4" w:right="122"/>
              <w:jc w:val="both"/>
              <w:rPr>
                <w:rFonts w:ascii="宋体" w:hAnsi="宋体" w:cs="宋体" w:eastAsia="宋体" w:hint="default"/>
                <w:sz w:val="18"/>
                <w:szCs w:val="18"/>
              </w:rPr>
            </w:pPr>
            <w:r>
              <w:rPr>
                <w:rFonts w:ascii="宋体" w:hAnsi="宋体" w:cs="宋体" w:eastAsia="宋体" w:hint="default"/>
                <w:sz w:val="18"/>
                <w:szCs w:val="18"/>
              </w:rPr>
              <w:t>本期减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tc>
        <w:tc>
          <w:tcPr>
            <w:tcW w:w="122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518" w:right="156" w:hanging="361"/>
              <w:jc w:val="left"/>
              <w:rPr>
                <w:rFonts w:ascii="宋体" w:hAnsi="宋体" w:cs="宋体" w:eastAsia="宋体" w:hint="default"/>
                <w:sz w:val="18"/>
                <w:szCs w:val="18"/>
              </w:rPr>
            </w:pPr>
            <w:r>
              <w:rPr>
                <w:rFonts w:ascii="宋体" w:hAnsi="宋体" w:cs="宋体" w:eastAsia="宋体" w:hint="default"/>
                <w:spacing w:val="-2"/>
                <w:sz w:val="18"/>
                <w:szCs w:val="18"/>
              </w:rPr>
              <w:t>其他增减变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动</w:t>
            </w:r>
          </w:p>
        </w:tc>
        <w:tc>
          <w:tcPr>
            <w:tcW w:w="115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 w:right="0"/>
              <w:jc w:val="center"/>
              <w:rPr>
                <w:rFonts w:ascii="宋体" w:hAnsi="宋体" w:cs="宋体" w:eastAsia="宋体" w:hint="default"/>
                <w:sz w:val="18"/>
                <w:szCs w:val="18"/>
              </w:rPr>
            </w:pPr>
            <w:r>
              <w:rPr>
                <w:rFonts w:ascii="宋体" w:hAnsi="宋体" w:cs="宋体" w:eastAsia="宋体" w:hint="default"/>
                <w:sz w:val="18"/>
                <w:szCs w:val="18"/>
              </w:rPr>
              <w:t>期末持股数</w:t>
            </w:r>
          </w:p>
        </w:tc>
      </w:tr>
      <w:tr>
        <w:trPr>
          <w:trHeight w:val="1028" w:hRule="exact"/>
        </w:trPr>
        <w:tc>
          <w:tcPr>
            <w:tcW w:w="8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152"/>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6"/>
                <w:sz w:val="18"/>
                <w:szCs w:val="18"/>
              </w:rPr>
              <w:t> </w:t>
            </w:r>
            <w:r>
              <w:rPr>
                <w:rFonts w:ascii="宋体" w:hAnsi="宋体" w:cs="宋体" w:eastAsia="宋体" w:hint="default"/>
                <w:sz w:val="18"/>
                <w:szCs w:val="18"/>
              </w:rPr>
              <w:t>长、总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5"/>
              <w:jc w:val="right"/>
              <w:rPr>
                <w:rFonts w:ascii="宋体" w:hAnsi="宋体" w:cs="宋体" w:eastAsia="宋体" w:hint="default"/>
                <w:sz w:val="18"/>
                <w:szCs w:val="18"/>
              </w:rPr>
            </w:pPr>
            <w:r>
              <w:rPr>
                <w:rFonts w:ascii="宋体"/>
                <w:sz w:val="18"/>
              </w:rPr>
              <w:t>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11</w:t>
            </w:r>
          </w:p>
          <w:p>
            <w:pPr>
              <w:pStyle w:val="TableParagraph"/>
              <w:spacing w:line="240" w:lineRule="auto" w:before="76"/>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37,563,250</w:t>
            </w:r>
          </w:p>
        </w:tc>
        <w:tc>
          <w:tcPr>
            <w:tcW w:w="7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13,834,175</w:t>
            </w:r>
          </w:p>
        </w:tc>
        <w:tc>
          <w:tcPr>
            <w:tcW w:w="11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61" w:right="0"/>
              <w:jc w:val="center"/>
              <w:rPr>
                <w:rFonts w:ascii="宋体" w:hAnsi="宋体" w:cs="宋体" w:eastAsia="宋体" w:hint="default"/>
                <w:sz w:val="18"/>
                <w:szCs w:val="18"/>
              </w:rPr>
            </w:pPr>
            <w:r>
              <w:rPr>
                <w:rFonts w:ascii="宋体"/>
                <w:sz w:val="18"/>
              </w:rPr>
              <w:t>23,729,075</w:t>
            </w:r>
          </w:p>
        </w:tc>
      </w:tr>
      <w:tr>
        <w:trPr>
          <w:trHeight w:val="1022" w:hRule="exact"/>
        </w:trPr>
        <w:tc>
          <w:tcPr>
            <w:tcW w:w="8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王海俊</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152"/>
              <w:jc w:val="both"/>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常务副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5"/>
              <w:jc w:val="right"/>
              <w:rPr>
                <w:rFonts w:ascii="宋体" w:hAnsi="宋体" w:cs="宋体" w:eastAsia="宋体" w:hint="default"/>
                <w:sz w:val="18"/>
                <w:szCs w:val="18"/>
              </w:rPr>
            </w:pPr>
            <w:r>
              <w:rPr>
                <w:rFonts w:ascii="宋体"/>
                <w:sz w:val="18"/>
              </w:rPr>
              <w:t>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11</w:t>
            </w:r>
          </w:p>
          <w:p>
            <w:pPr>
              <w:pStyle w:val="TableParagraph"/>
              <w:spacing w:line="240" w:lineRule="auto" w:before="81"/>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100"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21</w:t>
            </w:r>
          </w:p>
          <w:p>
            <w:pPr>
              <w:pStyle w:val="TableParagraph"/>
              <w:spacing w:line="240" w:lineRule="auto" w:before="81"/>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1,713,938</w:t>
            </w:r>
          </w:p>
        </w:tc>
        <w:tc>
          <w:tcPr>
            <w:tcW w:w="7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264,200</w:t>
            </w:r>
          </w:p>
        </w:tc>
        <w:tc>
          <w:tcPr>
            <w:tcW w:w="11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48" w:right="0"/>
              <w:jc w:val="center"/>
              <w:rPr>
                <w:rFonts w:ascii="宋体" w:hAnsi="宋体" w:cs="宋体" w:eastAsia="宋体" w:hint="default"/>
                <w:sz w:val="18"/>
                <w:szCs w:val="18"/>
              </w:rPr>
            </w:pPr>
            <w:r>
              <w:rPr>
                <w:rFonts w:ascii="宋体"/>
                <w:sz w:val="18"/>
              </w:rPr>
              <w:t>1,449,738</w:t>
            </w:r>
          </w:p>
        </w:tc>
      </w:tr>
      <w:tr>
        <w:trPr>
          <w:trHeight w:val="716" w:hRule="exact"/>
        </w:trPr>
        <w:tc>
          <w:tcPr>
            <w:tcW w:w="8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任昌兆</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5"/>
              <w:jc w:val="right"/>
              <w:rPr>
                <w:rFonts w:ascii="宋体" w:hAnsi="宋体" w:cs="宋体" w:eastAsia="宋体" w:hint="default"/>
                <w:sz w:val="18"/>
                <w:szCs w:val="18"/>
              </w:rPr>
            </w:pPr>
            <w:r>
              <w:rPr>
                <w:rFonts w:ascii="宋体"/>
                <w:sz w:val="18"/>
              </w:rPr>
              <w:t>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05</w:t>
            </w:r>
          </w:p>
          <w:p>
            <w:pPr>
              <w:pStyle w:val="TableParagraph"/>
              <w:spacing w:line="240" w:lineRule="auto" w:before="76"/>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6,981,540</w:t>
            </w:r>
          </w:p>
        </w:tc>
        <w:tc>
          <w:tcPr>
            <w:tcW w:w="7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8" w:right="0"/>
              <w:jc w:val="center"/>
              <w:rPr>
                <w:rFonts w:ascii="宋体" w:hAnsi="宋体" w:cs="宋体" w:eastAsia="宋体" w:hint="default"/>
                <w:sz w:val="18"/>
                <w:szCs w:val="18"/>
              </w:rPr>
            </w:pPr>
            <w:r>
              <w:rPr>
                <w:rFonts w:ascii="宋体"/>
                <w:sz w:val="18"/>
              </w:rPr>
              <w:t>6,981,540</w:t>
            </w:r>
          </w:p>
        </w:tc>
      </w:tr>
      <w:tr>
        <w:trPr>
          <w:trHeight w:val="1028" w:hRule="exact"/>
        </w:trPr>
        <w:tc>
          <w:tcPr>
            <w:tcW w:w="8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戴晓东</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152"/>
              <w:jc w:val="both"/>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董事会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秘书</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5"/>
              <w:jc w:val="right"/>
              <w:rPr>
                <w:rFonts w:ascii="宋体" w:hAnsi="宋体" w:cs="宋体" w:eastAsia="宋体" w:hint="default"/>
                <w:sz w:val="18"/>
                <w:szCs w:val="18"/>
              </w:rPr>
            </w:pPr>
            <w:r>
              <w:rPr>
                <w:rFonts w:ascii="宋体"/>
                <w:sz w:val="18"/>
              </w:rPr>
              <w:t>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11</w:t>
            </w:r>
          </w:p>
          <w:p>
            <w:pPr>
              <w:pStyle w:val="TableParagraph"/>
              <w:spacing w:line="240" w:lineRule="auto" w:before="76"/>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1,183,943</w:t>
            </w:r>
          </w:p>
        </w:tc>
        <w:tc>
          <w:tcPr>
            <w:tcW w:w="7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48" w:right="0"/>
              <w:jc w:val="center"/>
              <w:rPr>
                <w:rFonts w:ascii="宋体" w:hAnsi="宋体" w:cs="宋体" w:eastAsia="宋体" w:hint="default"/>
                <w:sz w:val="18"/>
                <w:szCs w:val="18"/>
              </w:rPr>
            </w:pPr>
            <w:r>
              <w:rPr>
                <w:rFonts w:ascii="宋体"/>
                <w:sz w:val="18"/>
              </w:rPr>
              <w:t>1,183,943</w:t>
            </w:r>
          </w:p>
        </w:tc>
      </w:tr>
      <w:tr>
        <w:trPr>
          <w:trHeight w:val="715" w:hRule="exact"/>
        </w:trPr>
        <w:tc>
          <w:tcPr>
            <w:tcW w:w="8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刘向明</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152"/>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5"/>
              <w:jc w:val="right"/>
              <w:rPr>
                <w:rFonts w:ascii="宋体" w:hAnsi="宋体" w:cs="宋体" w:eastAsia="宋体" w:hint="default"/>
                <w:sz w:val="18"/>
                <w:szCs w:val="18"/>
              </w:rPr>
            </w:pPr>
            <w:r>
              <w:rPr>
                <w:rFonts w:ascii="宋体"/>
                <w:sz w:val="18"/>
              </w:rPr>
              <w:t>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01</w:t>
            </w:r>
          </w:p>
          <w:p>
            <w:pPr>
              <w:pStyle w:val="TableParagraph"/>
              <w:spacing w:line="240" w:lineRule="auto" w:before="76"/>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8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周友梅</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152"/>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sz w:val="18"/>
              </w:rPr>
              <w:t>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01</w:t>
            </w:r>
          </w:p>
          <w:p>
            <w:pPr>
              <w:pStyle w:val="TableParagraph"/>
              <w:spacing w:line="240" w:lineRule="auto" w:before="76"/>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8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周卫东</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0" w:right="152"/>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5"/>
              <w:jc w:val="right"/>
              <w:rPr>
                <w:rFonts w:ascii="宋体" w:hAnsi="宋体" w:cs="宋体" w:eastAsia="宋体" w:hint="default"/>
                <w:sz w:val="18"/>
                <w:szCs w:val="18"/>
              </w:rPr>
            </w:pPr>
            <w:r>
              <w:rPr>
                <w:rFonts w:ascii="宋体"/>
                <w:sz w:val="18"/>
              </w:rPr>
              <w:t>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03</w:t>
            </w:r>
          </w:p>
          <w:p>
            <w:pPr>
              <w:pStyle w:val="TableParagraph"/>
              <w:spacing w:line="240" w:lineRule="auto" w:before="76"/>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8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许晶</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5"/>
              <w:jc w:val="right"/>
              <w:rPr>
                <w:rFonts w:ascii="宋体" w:hAnsi="宋体" w:cs="宋体" w:eastAsia="宋体" w:hint="default"/>
                <w:sz w:val="18"/>
                <w:szCs w:val="18"/>
              </w:rPr>
            </w:pPr>
            <w:r>
              <w:rPr>
                <w:rFonts w:ascii="宋体"/>
                <w:sz w:val="18"/>
              </w:rPr>
              <w:t>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03</w:t>
            </w:r>
          </w:p>
          <w:p>
            <w:pPr>
              <w:pStyle w:val="TableParagraph"/>
              <w:spacing w:line="240" w:lineRule="auto" w:before="81"/>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8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王昊</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sz w:val="18"/>
              </w:rPr>
              <w:t>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03</w:t>
            </w:r>
          </w:p>
          <w:p>
            <w:pPr>
              <w:pStyle w:val="TableParagraph"/>
              <w:spacing w:line="240" w:lineRule="auto" w:before="77"/>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12" w:space="0" w:color="000000"/>
            </w:tcBorders>
          </w:tcPr>
          <w:p>
            <w:pPr/>
          </w:p>
        </w:tc>
      </w:tr>
      <w:tr>
        <w:trPr>
          <w:trHeight w:val="725" w:hRule="exact"/>
        </w:trPr>
        <w:tc>
          <w:tcPr>
            <w:tcW w:w="8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佟岩</w:t>
            </w:r>
          </w:p>
        </w:tc>
        <w:tc>
          <w:tcPr>
            <w:tcW w:w="807"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3"/>
              <w:ind w:left="100" w:right="152"/>
              <w:jc w:val="left"/>
              <w:rPr>
                <w:rFonts w:ascii="宋体" w:hAnsi="宋体" w:cs="宋体" w:eastAsia="宋体" w:hint="default"/>
                <w:sz w:val="18"/>
                <w:szCs w:val="18"/>
              </w:rPr>
            </w:pPr>
            <w:r>
              <w:rPr>
                <w:rFonts w:ascii="宋体" w:hAnsi="宋体" w:cs="宋体" w:eastAsia="宋体" w:hint="default"/>
                <w:sz w:val="18"/>
                <w:szCs w:val="18"/>
              </w:rPr>
              <w:t>财务总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w:t>
            </w:r>
          </w:p>
        </w:tc>
        <w:tc>
          <w:tcPr>
            <w:tcW w:w="6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sz w:val="18"/>
              </w:rPr>
              <w:t>44</w:t>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07</w:t>
            </w:r>
          </w:p>
          <w:p>
            <w:pPr>
              <w:pStyle w:val="TableParagraph"/>
              <w:spacing w:line="240" w:lineRule="auto" w:before="76"/>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12" w:space="0" w:color="000000"/>
              <w:right w:val="single" w:sz="4" w:space="0" w:color="000000"/>
            </w:tcBorders>
          </w:tcPr>
          <w:p>
            <w:pPr/>
          </w:p>
        </w:tc>
        <w:tc>
          <w:tcPr>
            <w:tcW w:w="1263" w:type="dxa"/>
            <w:tcBorders>
              <w:top w:val="single" w:sz="4" w:space="0" w:color="000000"/>
              <w:left w:val="single" w:sz="4" w:space="0" w:color="000000"/>
              <w:bottom w:val="single" w:sz="12" w:space="0" w:color="000000"/>
              <w:right w:val="single" w:sz="4" w:space="0" w:color="000000"/>
            </w:tcBorders>
          </w:tcPr>
          <w:p>
            <w:pPr/>
          </w:p>
        </w:tc>
        <w:tc>
          <w:tcPr>
            <w:tcW w:w="773" w:type="dxa"/>
            <w:tcBorders>
              <w:top w:val="single" w:sz="4" w:space="0" w:color="000000"/>
              <w:left w:val="single" w:sz="4" w:space="0" w:color="000000"/>
              <w:bottom w:val="single" w:sz="12" w:space="0" w:color="000000"/>
              <w:right w:val="single" w:sz="4" w:space="0" w:color="000000"/>
            </w:tcBorders>
          </w:tcPr>
          <w:p>
            <w:pPr/>
          </w:p>
        </w:tc>
        <w:tc>
          <w:tcPr>
            <w:tcW w:w="802" w:type="dxa"/>
            <w:tcBorders>
              <w:top w:val="single" w:sz="4" w:space="0" w:color="000000"/>
              <w:left w:val="single" w:sz="4" w:space="0" w:color="000000"/>
              <w:bottom w:val="single" w:sz="12" w:space="0" w:color="000000"/>
              <w:right w:val="single" w:sz="4" w:space="0" w:color="000000"/>
            </w:tcBorders>
          </w:tcPr>
          <w:p>
            <w:pPr/>
          </w:p>
        </w:tc>
        <w:tc>
          <w:tcPr>
            <w:tcW w:w="1229" w:type="dxa"/>
            <w:tcBorders>
              <w:top w:val="single" w:sz="4" w:space="0" w:color="000000"/>
              <w:left w:val="single" w:sz="4" w:space="0" w:color="000000"/>
              <w:bottom w:val="single" w:sz="12" w:space="0" w:color="000000"/>
              <w:right w:val="single" w:sz="4" w:space="0" w:color="000000"/>
            </w:tcBorders>
          </w:tcPr>
          <w:p>
            <w:pPr/>
          </w:p>
        </w:tc>
        <w:tc>
          <w:tcPr>
            <w:tcW w:w="1157"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100" w:bottom="1220" w:left="620" w:right="0"/>
        </w:sectPr>
      </w:pPr>
    </w:p>
    <w:p>
      <w:pPr>
        <w:spacing w:line="240" w:lineRule="auto" w:before="8"/>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888"/>
        <w:gridCol w:w="807"/>
        <w:gridCol w:w="677"/>
        <w:gridCol w:w="615"/>
        <w:gridCol w:w="614"/>
        <w:gridCol w:w="994"/>
        <w:gridCol w:w="927"/>
        <w:gridCol w:w="1263"/>
        <w:gridCol w:w="773"/>
        <w:gridCol w:w="802"/>
        <w:gridCol w:w="1229"/>
        <w:gridCol w:w="1157"/>
      </w:tblGrid>
      <w:tr>
        <w:trPr>
          <w:trHeight w:val="725" w:hRule="exact"/>
        </w:trPr>
        <w:tc>
          <w:tcPr>
            <w:tcW w:w="88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朱云飞</w:t>
            </w:r>
          </w:p>
        </w:tc>
        <w:tc>
          <w:tcPr>
            <w:tcW w:w="807" w:type="dxa"/>
            <w:tcBorders>
              <w:top w:val="single" w:sz="12" w:space="0" w:color="000000"/>
              <w:left w:val="single" w:sz="4" w:space="0" w:color="000000"/>
              <w:bottom w:val="single" w:sz="4" w:space="0" w:color="000000"/>
              <w:right w:val="single" w:sz="4" w:space="0" w:color="000000"/>
            </w:tcBorders>
          </w:tcPr>
          <w:p>
            <w:pPr>
              <w:pStyle w:val="TableParagraph"/>
              <w:spacing w:line="321" w:lineRule="auto" w:before="53"/>
              <w:ind w:left="100" w:right="152"/>
              <w:jc w:val="left"/>
              <w:rPr>
                <w:rFonts w:ascii="宋体" w:hAnsi="宋体" w:cs="宋体" w:eastAsia="宋体" w:hint="default"/>
                <w:sz w:val="18"/>
                <w:szCs w:val="18"/>
              </w:rPr>
            </w:pPr>
            <w:r>
              <w:rPr>
                <w:rFonts w:ascii="宋体" w:hAnsi="宋体" w:cs="宋体" w:eastAsia="宋体" w:hint="default"/>
                <w:sz w:val="18"/>
                <w:szCs w:val="18"/>
              </w:rPr>
              <w:t>监事会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主席</w:t>
            </w:r>
          </w:p>
        </w:tc>
        <w:tc>
          <w:tcPr>
            <w:tcW w:w="6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6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5"/>
              <w:jc w:val="right"/>
              <w:rPr>
                <w:rFonts w:ascii="宋体" w:hAnsi="宋体" w:cs="宋体" w:eastAsia="宋体" w:hint="default"/>
                <w:sz w:val="18"/>
                <w:szCs w:val="18"/>
              </w:rPr>
            </w:pPr>
            <w:r>
              <w:rPr>
                <w:rFonts w:ascii="宋体"/>
                <w:sz w:val="18"/>
              </w:rPr>
              <w:t>55</w:t>
            </w:r>
          </w:p>
        </w:tc>
        <w:tc>
          <w:tcPr>
            <w:tcW w:w="9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11</w:t>
            </w:r>
          </w:p>
          <w:p>
            <w:pPr>
              <w:pStyle w:val="TableParagraph"/>
              <w:spacing w:line="240" w:lineRule="auto" w:before="81"/>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7" w:type="dxa"/>
            <w:tcBorders>
              <w:top w:val="single" w:sz="12" w:space="0" w:color="000000"/>
              <w:left w:val="single" w:sz="4" w:space="0" w:color="000000"/>
              <w:bottom w:val="single" w:sz="4" w:space="0" w:color="000000"/>
              <w:right w:val="single" w:sz="4" w:space="0" w:color="000000"/>
            </w:tcBorders>
          </w:tcPr>
          <w:p>
            <w:pPr/>
          </w:p>
        </w:tc>
        <w:tc>
          <w:tcPr>
            <w:tcW w:w="12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306,562</w:t>
            </w:r>
          </w:p>
        </w:tc>
        <w:tc>
          <w:tcPr>
            <w:tcW w:w="773" w:type="dxa"/>
            <w:tcBorders>
              <w:top w:val="single" w:sz="12" w:space="0" w:color="000000"/>
              <w:left w:val="single" w:sz="4" w:space="0" w:color="000000"/>
              <w:bottom w:val="single" w:sz="4" w:space="0" w:color="000000"/>
              <w:right w:val="single" w:sz="4" w:space="0" w:color="000000"/>
            </w:tcBorders>
          </w:tcPr>
          <w:p>
            <w:pPr/>
          </w:p>
        </w:tc>
        <w:tc>
          <w:tcPr>
            <w:tcW w:w="802" w:type="dxa"/>
            <w:tcBorders>
              <w:top w:val="single" w:sz="12" w:space="0" w:color="000000"/>
              <w:left w:val="single" w:sz="4" w:space="0" w:color="000000"/>
              <w:bottom w:val="single" w:sz="4" w:space="0" w:color="000000"/>
              <w:right w:val="single" w:sz="4" w:space="0" w:color="000000"/>
            </w:tcBorders>
          </w:tcPr>
          <w:p>
            <w:pPr/>
          </w:p>
        </w:tc>
        <w:tc>
          <w:tcPr>
            <w:tcW w:w="1229" w:type="dxa"/>
            <w:tcBorders>
              <w:top w:val="single" w:sz="12" w:space="0" w:color="000000"/>
              <w:left w:val="single" w:sz="4" w:space="0" w:color="000000"/>
              <w:bottom w:val="single" w:sz="4" w:space="0" w:color="000000"/>
              <w:right w:val="single" w:sz="4" w:space="0" w:color="000000"/>
            </w:tcBorders>
          </w:tcPr>
          <w:p>
            <w:pPr/>
          </w:p>
        </w:tc>
        <w:tc>
          <w:tcPr>
            <w:tcW w:w="115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306,562</w:t>
            </w:r>
          </w:p>
        </w:tc>
      </w:tr>
      <w:tr>
        <w:trPr>
          <w:trHeight w:val="716" w:hRule="exact"/>
        </w:trPr>
        <w:tc>
          <w:tcPr>
            <w:tcW w:w="8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钱卫民</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29"/>
              <w:jc w:val="right"/>
              <w:rPr>
                <w:rFonts w:ascii="宋体" w:hAnsi="宋体" w:cs="宋体" w:eastAsia="宋体" w:hint="default"/>
                <w:sz w:val="18"/>
                <w:szCs w:val="18"/>
              </w:rPr>
            </w:pPr>
            <w:r>
              <w:rPr>
                <w:rFonts w:ascii="宋体" w:hAnsi="宋体" w:cs="宋体" w:eastAsia="宋体" w:hint="default"/>
                <w:sz w:val="18"/>
                <w:szCs w:val="18"/>
              </w:rPr>
              <w:t>监事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sz w:val="18"/>
              </w:rPr>
              <w:t>56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01</w:t>
            </w:r>
          </w:p>
          <w:p>
            <w:pPr>
              <w:pStyle w:val="TableParagraph"/>
              <w:spacing w:line="240" w:lineRule="auto" w:before="77"/>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8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葛兹俊</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152"/>
              <w:jc w:val="left"/>
              <w:rPr>
                <w:rFonts w:ascii="宋体" w:hAnsi="宋体" w:cs="宋体" w:eastAsia="宋体" w:hint="default"/>
                <w:sz w:val="18"/>
                <w:szCs w:val="18"/>
              </w:rPr>
            </w:pPr>
            <w:r>
              <w:rPr>
                <w:rFonts w:ascii="宋体" w:hAnsi="宋体" w:cs="宋体" w:eastAsia="宋体" w:hint="default"/>
                <w:sz w:val="18"/>
                <w:szCs w:val="18"/>
              </w:rPr>
              <w:t>职工监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4"/>
              <w:jc w:val="right"/>
              <w:rPr>
                <w:rFonts w:ascii="宋体" w:hAnsi="宋体" w:cs="宋体" w:eastAsia="宋体" w:hint="default"/>
                <w:sz w:val="18"/>
                <w:szCs w:val="18"/>
              </w:rPr>
            </w:pPr>
            <w:r>
              <w:rPr>
                <w:rFonts w:ascii="宋体" w:hAnsi="宋体" w:cs="宋体" w:eastAsia="宋体" w:hint="default"/>
                <w:sz w:val="18"/>
                <w:szCs w:val="18"/>
              </w:rPr>
              <w:t>现任</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sz w:val="18"/>
              </w:rPr>
              <w:t>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01</w:t>
            </w:r>
          </w:p>
          <w:p>
            <w:pPr>
              <w:pStyle w:val="TableParagraph"/>
              <w:spacing w:line="240" w:lineRule="auto" w:before="76"/>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12" w:space="0" w:color="000000"/>
            </w:tcBorders>
          </w:tcPr>
          <w:p>
            <w:pPr/>
          </w:p>
        </w:tc>
      </w:tr>
      <w:tr>
        <w:trPr>
          <w:trHeight w:val="1028" w:hRule="exact"/>
        </w:trPr>
        <w:tc>
          <w:tcPr>
            <w:tcW w:w="8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熊俊</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29"/>
              <w:jc w:val="right"/>
              <w:rPr>
                <w:rFonts w:ascii="宋体" w:hAnsi="宋体" w:cs="宋体" w:eastAsia="宋体" w:hint="default"/>
                <w:sz w:val="18"/>
                <w:szCs w:val="18"/>
              </w:rPr>
            </w:pPr>
            <w:r>
              <w:rPr>
                <w:rFonts w:ascii="宋体" w:hAnsi="宋体" w:cs="宋体" w:eastAsia="宋体" w:hint="default"/>
                <w:sz w:val="18"/>
                <w:szCs w:val="18"/>
              </w:rPr>
              <w:t>董事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94"/>
              <w:jc w:val="right"/>
              <w:rPr>
                <w:rFonts w:ascii="宋体" w:hAnsi="宋体" w:cs="宋体" w:eastAsia="宋体" w:hint="default"/>
                <w:sz w:val="18"/>
                <w:szCs w:val="18"/>
              </w:rPr>
            </w:pPr>
            <w:r>
              <w:rPr>
                <w:rFonts w:ascii="宋体" w:hAnsi="宋体" w:cs="宋体" w:eastAsia="宋体" w:hint="default"/>
                <w:sz w:val="18"/>
                <w:szCs w:val="18"/>
              </w:rPr>
              <w:t>离任</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5"/>
              <w:jc w:val="right"/>
              <w:rPr>
                <w:rFonts w:ascii="宋体" w:hAnsi="宋体" w:cs="宋体" w:eastAsia="宋体" w:hint="default"/>
                <w:sz w:val="18"/>
                <w:szCs w:val="18"/>
              </w:rPr>
            </w:pPr>
            <w:r>
              <w:rPr>
                <w:rFonts w:ascii="宋体"/>
                <w:sz w:val="18"/>
              </w:rPr>
              <w:t>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10</w:t>
            </w:r>
          </w:p>
          <w:p>
            <w:pPr>
              <w:pStyle w:val="TableParagraph"/>
              <w:spacing w:line="240" w:lineRule="auto" w:before="77"/>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p>
          <w:p>
            <w:pPr>
              <w:pStyle w:val="TableParagraph"/>
              <w:spacing w:line="240" w:lineRule="auto" w:before="81"/>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63"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8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茅宁</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0" w:right="152"/>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94"/>
              <w:jc w:val="right"/>
              <w:rPr>
                <w:rFonts w:ascii="宋体" w:hAnsi="宋体" w:cs="宋体" w:eastAsia="宋体" w:hint="default"/>
                <w:sz w:val="18"/>
                <w:szCs w:val="18"/>
              </w:rPr>
            </w:pPr>
            <w:r>
              <w:rPr>
                <w:rFonts w:ascii="宋体" w:hAnsi="宋体" w:cs="宋体" w:eastAsia="宋体" w:hint="default"/>
                <w:sz w:val="18"/>
                <w:szCs w:val="18"/>
              </w:rPr>
              <w:t>离任</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5"/>
              <w:jc w:val="right"/>
              <w:rPr>
                <w:rFonts w:ascii="宋体" w:hAnsi="宋体" w:cs="宋体" w:eastAsia="宋体" w:hint="default"/>
                <w:sz w:val="18"/>
                <w:szCs w:val="18"/>
              </w:rPr>
            </w:pPr>
            <w:r>
              <w:rPr>
                <w:rFonts w:ascii="宋体"/>
                <w:sz w:val="18"/>
              </w:rPr>
              <w:t>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05</w:t>
            </w:r>
          </w:p>
          <w:p>
            <w:pPr>
              <w:pStyle w:val="TableParagraph"/>
              <w:spacing w:line="240" w:lineRule="auto" w:before="76"/>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6"/>
              <w:ind w:left="100"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p>
          <w:p>
            <w:pPr>
              <w:pStyle w:val="TableParagraph"/>
              <w:spacing w:line="240" w:lineRule="auto" w:before="81"/>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63"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12" w:space="0" w:color="000000"/>
            </w:tcBorders>
          </w:tcPr>
          <w:p>
            <w:pPr/>
          </w:p>
        </w:tc>
      </w:tr>
      <w:tr>
        <w:trPr>
          <w:trHeight w:val="1028" w:hRule="exact"/>
        </w:trPr>
        <w:tc>
          <w:tcPr>
            <w:tcW w:w="8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95" w:right="0"/>
              <w:jc w:val="left"/>
              <w:rPr>
                <w:rFonts w:ascii="宋体" w:hAnsi="宋体" w:cs="宋体" w:eastAsia="宋体" w:hint="default"/>
                <w:sz w:val="18"/>
                <w:szCs w:val="18"/>
              </w:rPr>
            </w:pPr>
            <w:r>
              <w:rPr>
                <w:rFonts w:ascii="宋体" w:hAnsi="宋体" w:cs="宋体" w:eastAsia="宋体" w:hint="default"/>
                <w:sz w:val="18"/>
                <w:szCs w:val="18"/>
              </w:rPr>
              <w:t>李宝亮</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100" w:right="152"/>
              <w:jc w:val="left"/>
              <w:rPr>
                <w:rFonts w:ascii="宋体" w:hAnsi="宋体" w:cs="宋体" w:eastAsia="宋体" w:hint="default"/>
                <w:sz w:val="18"/>
                <w:szCs w:val="18"/>
              </w:rPr>
            </w:pP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194"/>
              <w:jc w:val="right"/>
              <w:rPr>
                <w:rFonts w:ascii="宋体" w:hAnsi="宋体" w:cs="宋体" w:eastAsia="宋体" w:hint="default"/>
                <w:sz w:val="18"/>
                <w:szCs w:val="18"/>
              </w:rPr>
            </w:pPr>
            <w:r>
              <w:rPr>
                <w:rFonts w:ascii="宋体" w:hAnsi="宋体" w:cs="宋体" w:eastAsia="宋体" w:hint="default"/>
                <w:sz w:val="18"/>
                <w:szCs w:val="18"/>
              </w:rPr>
              <w:t>离任</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5"/>
              <w:jc w:val="right"/>
              <w:rPr>
                <w:rFonts w:ascii="宋体" w:hAnsi="宋体" w:cs="宋体" w:eastAsia="宋体" w:hint="default"/>
                <w:sz w:val="18"/>
                <w:szCs w:val="18"/>
              </w:rPr>
            </w:pPr>
            <w:r>
              <w:rPr>
                <w:rFonts w:ascii="宋体"/>
                <w:sz w:val="18"/>
              </w:rPr>
              <w:t>40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01</w:t>
            </w:r>
          </w:p>
          <w:p>
            <w:pPr>
              <w:pStyle w:val="TableParagraph"/>
              <w:spacing w:line="240" w:lineRule="auto" w:before="81"/>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100"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p>
          <w:p>
            <w:pPr>
              <w:pStyle w:val="TableParagraph"/>
              <w:spacing w:line="240" w:lineRule="auto" w:before="81"/>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63"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12" w:space="0" w:color="000000"/>
            </w:tcBorders>
          </w:tcPr>
          <w:p>
            <w:pPr/>
          </w:p>
        </w:tc>
      </w:tr>
      <w:tr>
        <w:trPr>
          <w:trHeight w:val="1023" w:hRule="exact"/>
        </w:trPr>
        <w:tc>
          <w:tcPr>
            <w:tcW w:w="8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汪梦余</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00" w:right="152"/>
              <w:jc w:val="left"/>
              <w:rPr>
                <w:rFonts w:ascii="宋体" w:hAnsi="宋体" w:cs="宋体" w:eastAsia="宋体" w:hint="default"/>
                <w:sz w:val="18"/>
                <w:szCs w:val="18"/>
              </w:rPr>
            </w:pPr>
            <w:r>
              <w:rPr>
                <w:rFonts w:ascii="宋体" w:hAnsi="宋体" w:cs="宋体" w:eastAsia="宋体" w:hint="default"/>
                <w:sz w:val="18"/>
                <w:szCs w:val="18"/>
              </w:rPr>
              <w:t>副总经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94"/>
              <w:jc w:val="right"/>
              <w:rPr>
                <w:rFonts w:ascii="宋体" w:hAnsi="宋体" w:cs="宋体" w:eastAsia="宋体" w:hint="default"/>
                <w:sz w:val="18"/>
                <w:szCs w:val="18"/>
              </w:rPr>
            </w:pPr>
            <w:r>
              <w:rPr>
                <w:rFonts w:ascii="宋体" w:hAnsi="宋体" w:cs="宋体" w:eastAsia="宋体" w:hint="default"/>
                <w:sz w:val="18"/>
                <w:szCs w:val="18"/>
              </w:rPr>
              <w:t>离任</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5"/>
              <w:jc w:val="right"/>
              <w:rPr>
                <w:rFonts w:ascii="宋体" w:hAnsi="宋体" w:cs="宋体" w:eastAsia="宋体" w:hint="default"/>
                <w:sz w:val="18"/>
                <w:szCs w:val="18"/>
              </w:rPr>
            </w:pPr>
            <w:r>
              <w:rPr>
                <w:rFonts w:ascii="宋体"/>
                <w:sz w:val="18"/>
              </w:rPr>
              <w:t>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62"/>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宋体" w:hAnsi="宋体" w:cs="宋体" w:eastAsia="宋体" w:hint="default"/>
                <w:sz w:val="18"/>
                <w:szCs w:val="18"/>
              </w:rPr>
              <w:t>04</w:t>
            </w:r>
          </w:p>
          <w:p>
            <w:pPr>
              <w:pStyle w:val="TableParagraph"/>
              <w:spacing w:line="240" w:lineRule="auto" w:before="81"/>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p>
          <w:p>
            <w:pPr>
              <w:pStyle w:val="TableParagraph"/>
              <w:spacing w:line="240" w:lineRule="auto" w:before="71"/>
              <w:ind w:left="100"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p>
          <w:p>
            <w:pPr>
              <w:pStyle w:val="TableParagraph"/>
              <w:spacing w:line="240" w:lineRule="auto" w:before="81"/>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160,000</w:t>
            </w:r>
          </w:p>
        </w:tc>
        <w:tc>
          <w:tcPr>
            <w:tcW w:w="773"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8"/>
              <w:jc w:val="right"/>
              <w:rPr>
                <w:rFonts w:ascii="宋体" w:hAnsi="宋体" w:cs="宋体" w:eastAsia="宋体" w:hint="default"/>
                <w:sz w:val="18"/>
                <w:szCs w:val="18"/>
              </w:rPr>
            </w:pPr>
            <w:r>
              <w:rPr>
                <w:rFonts w:ascii="宋体"/>
                <w:sz w:val="18"/>
              </w:rPr>
              <w:t>5,000</w:t>
            </w:r>
          </w:p>
        </w:tc>
        <w:tc>
          <w:tcPr>
            <w:tcW w:w="115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84"/>
              <w:jc w:val="right"/>
              <w:rPr>
                <w:rFonts w:ascii="宋体" w:hAnsi="宋体" w:cs="宋体" w:eastAsia="宋体" w:hint="default"/>
                <w:sz w:val="18"/>
                <w:szCs w:val="18"/>
              </w:rPr>
            </w:pPr>
            <w:r>
              <w:rPr>
                <w:rFonts w:ascii="宋体"/>
                <w:spacing w:val="-1"/>
                <w:sz w:val="18"/>
              </w:rPr>
              <w:t>155,000</w:t>
            </w:r>
          </w:p>
        </w:tc>
      </w:tr>
      <w:tr>
        <w:trPr>
          <w:trHeight w:val="413" w:hRule="exact"/>
        </w:trPr>
        <w:tc>
          <w:tcPr>
            <w:tcW w:w="8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7"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right="305"/>
              <w:jc w:val="right"/>
              <w:rPr>
                <w:rFonts w:ascii="宋体" w:hAnsi="宋体" w:cs="宋体" w:eastAsia="宋体" w:hint="default"/>
                <w:sz w:val="18"/>
                <w:szCs w:val="18"/>
              </w:rPr>
            </w:pPr>
            <w:r>
              <w:rPr>
                <w:rFonts w:ascii="宋体"/>
                <w:sz w:val="18"/>
              </w:rPr>
              <w:t>--</w:t>
            </w:r>
          </w:p>
        </w:tc>
        <w:tc>
          <w:tcPr>
            <w:tcW w:w="677"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right="239"/>
              <w:jc w:val="right"/>
              <w:rPr>
                <w:rFonts w:ascii="宋体" w:hAnsi="宋体" w:cs="宋体" w:eastAsia="宋体" w:hint="default"/>
                <w:sz w:val="18"/>
                <w:szCs w:val="18"/>
              </w:rPr>
            </w:pPr>
            <w:r>
              <w:rPr>
                <w:rFonts w:ascii="宋体"/>
                <w:sz w:val="18"/>
              </w:rPr>
              <w:t>--</w:t>
            </w:r>
          </w:p>
        </w:tc>
        <w:tc>
          <w:tcPr>
            <w:tcW w:w="615"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sz w:val="18"/>
              </w:rPr>
              <w:t>--</w:t>
            </w:r>
          </w:p>
        </w:tc>
        <w:tc>
          <w:tcPr>
            <w:tcW w:w="614"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sz w:val="18"/>
              </w:rPr>
              <w:t>--</w:t>
            </w:r>
          </w:p>
        </w:tc>
        <w:tc>
          <w:tcPr>
            <w:tcW w:w="927"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sz w:val="18"/>
              </w:rPr>
              <w:t>--</w:t>
            </w:r>
          </w:p>
        </w:tc>
        <w:tc>
          <w:tcPr>
            <w:tcW w:w="12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47,909,233</w:t>
            </w:r>
          </w:p>
        </w:tc>
        <w:tc>
          <w:tcPr>
            <w:tcW w:w="7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w w:val="101"/>
                <w:sz w:val="18"/>
              </w:rPr>
              <w:t>0</w:t>
            </w:r>
            <w:r>
              <w:rPr>
                <w:rFonts w:ascii="宋体"/>
                <w:sz w:val="18"/>
              </w:rPr>
            </w:r>
          </w:p>
        </w:tc>
        <w:tc>
          <w:tcPr>
            <w:tcW w:w="8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2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14,103,375</w:t>
            </w:r>
          </w:p>
        </w:tc>
        <w:tc>
          <w:tcPr>
            <w:tcW w:w="115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33,805,858</w:t>
            </w:r>
          </w:p>
        </w:tc>
      </w:tr>
    </w:tbl>
    <w:p>
      <w:pPr>
        <w:pStyle w:val="Heading2"/>
        <w:spacing w:line="240" w:lineRule="auto" w:before="41"/>
        <w:ind w:left="513" w:right="0"/>
        <w:jc w:val="left"/>
        <w:rPr>
          <w:b w:val="0"/>
          <w:bCs w:val="0"/>
        </w:rPr>
      </w:pPr>
      <w:bookmarkStart w:name="二、公司董事、监事、高级管理人员变动情况" w:id="174"/>
      <w:bookmarkEnd w:id="174"/>
      <w:r>
        <w:rPr>
          <w:b w:val="0"/>
          <w:bCs w:val="0"/>
        </w:rPr>
      </w:r>
      <w:r>
        <w:rPr/>
        <w:t>二、公司董事、监事、高级管理人员变动情况</w:t>
      </w:r>
      <w:r>
        <w:rPr>
          <w:b w:val="0"/>
          <w:bCs w:val="0"/>
        </w:rPr>
      </w:r>
    </w:p>
    <w:p>
      <w:pPr>
        <w:pStyle w:val="BodyText"/>
        <w:spacing w:line="240" w:lineRule="auto" w:before="181"/>
        <w:ind w:left="513" w:right="0"/>
        <w:jc w:val="left"/>
      </w:pPr>
      <w:r>
        <w:rPr/>
        <w:t>√ 适用 □</w:t>
      </w:r>
      <w:r>
        <w:rPr>
          <w:spacing w:val="4"/>
        </w:rPr>
        <w:t> </w:t>
      </w:r>
      <w:r>
        <w:rPr/>
        <w:t>不适用</w:t>
      </w:r>
    </w:p>
    <w:p>
      <w:pPr>
        <w:spacing w:line="240" w:lineRule="auto" w:before="9"/>
        <w:rPr>
          <w:rFonts w:ascii="宋体" w:hAnsi="宋体" w:cs="宋体" w:eastAsia="宋体" w:hint="default"/>
          <w:sz w:val="9"/>
          <w:szCs w:val="9"/>
        </w:rPr>
      </w:pPr>
    </w:p>
    <w:tbl>
      <w:tblPr>
        <w:tblW w:w="0" w:type="auto"/>
        <w:jc w:val="left"/>
        <w:tblInd w:w="498" w:type="dxa"/>
        <w:tblLayout w:type="fixed"/>
        <w:tblCellMar>
          <w:top w:w="0" w:type="dxa"/>
          <w:left w:w="0" w:type="dxa"/>
          <w:bottom w:w="0" w:type="dxa"/>
          <w:right w:w="0" w:type="dxa"/>
        </w:tblCellMar>
        <w:tblLook w:val="01E0"/>
      </w:tblPr>
      <w:tblGrid>
        <w:gridCol w:w="1330"/>
        <w:gridCol w:w="1330"/>
        <w:gridCol w:w="1330"/>
        <w:gridCol w:w="1921"/>
        <w:gridCol w:w="3659"/>
      </w:tblGrid>
      <w:tr>
        <w:trPr>
          <w:trHeight w:val="411" w:hRule="exact"/>
        </w:trPr>
        <w:tc>
          <w:tcPr>
            <w:tcW w:w="1330"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2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65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熊俊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届满</w:t>
            </w:r>
          </w:p>
        </w:tc>
      </w:tr>
      <w:tr>
        <w:trPr>
          <w:trHeight w:val="403" w:hRule="exact"/>
        </w:trPr>
        <w:tc>
          <w:tcPr>
            <w:tcW w:w="13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茅宁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届满</w:t>
            </w:r>
          </w:p>
        </w:tc>
      </w:tr>
      <w:tr>
        <w:trPr>
          <w:trHeight w:val="403" w:hRule="exact"/>
        </w:trPr>
        <w:tc>
          <w:tcPr>
            <w:tcW w:w="133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李宝亮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413" w:hRule="exact"/>
        </w:trPr>
        <w:tc>
          <w:tcPr>
            <w:tcW w:w="133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汪梦余</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65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职务变更</w:t>
            </w:r>
          </w:p>
        </w:tc>
      </w:tr>
    </w:tbl>
    <w:p>
      <w:pPr>
        <w:spacing w:line="240" w:lineRule="auto" w:before="9"/>
        <w:rPr>
          <w:rFonts w:ascii="宋体" w:hAnsi="宋体" w:cs="宋体" w:eastAsia="宋体" w:hint="default"/>
          <w:sz w:val="17"/>
          <w:szCs w:val="17"/>
        </w:rPr>
      </w:pPr>
    </w:p>
    <w:p>
      <w:pPr>
        <w:pStyle w:val="Heading2"/>
        <w:spacing w:line="240" w:lineRule="auto" w:before="26"/>
        <w:ind w:left="513" w:right="0"/>
        <w:jc w:val="both"/>
        <w:rPr>
          <w:b w:val="0"/>
          <w:bCs w:val="0"/>
        </w:rPr>
      </w:pPr>
      <w:bookmarkStart w:name="三、任职情况" w:id="175"/>
      <w:bookmarkEnd w:id="175"/>
      <w:r>
        <w:rPr>
          <w:b w:val="0"/>
          <w:bCs w:val="0"/>
        </w:rPr>
      </w:r>
      <w:r>
        <w:rPr/>
        <w:t>三、任职情况</w:t>
      </w:r>
      <w:r>
        <w:rPr>
          <w:b w:val="0"/>
          <w:bCs w:val="0"/>
        </w:rPr>
      </w:r>
    </w:p>
    <w:p>
      <w:pPr>
        <w:spacing w:line="240" w:lineRule="auto" w:before="3"/>
        <w:rPr>
          <w:rFonts w:ascii="宋体" w:hAnsi="宋体" w:cs="宋体" w:eastAsia="宋体" w:hint="default"/>
          <w:b/>
          <w:bCs/>
          <w:sz w:val="25"/>
          <w:szCs w:val="25"/>
        </w:rPr>
      </w:pPr>
    </w:p>
    <w:p>
      <w:pPr>
        <w:pStyle w:val="BodyText"/>
        <w:spacing w:line="374" w:lineRule="auto"/>
        <w:ind w:left="935" w:right="0" w:hanging="423"/>
        <w:jc w:val="left"/>
      </w:pPr>
      <w:r>
        <w:rPr/>
        <w:t>公司现任董事、监事、高级管理人员专业背景、主要工作经历以及目前在公司的主要职责</w:t>
      </w:r>
      <w:r>
        <w:rPr>
          <w:w w:val="100"/>
        </w:rPr>
        <w:t> </w:t>
      </w:r>
      <w:r>
        <w:rPr>
          <w:rFonts w:ascii="宋体" w:hAnsi="宋体" w:cs="宋体" w:eastAsia="宋体" w:hint="default"/>
          <w:spacing w:val="-4"/>
        </w:rPr>
        <w:t>1</w:t>
      </w:r>
      <w:r>
        <w:rPr>
          <w:spacing w:val="-4"/>
        </w:rPr>
        <w:t>、董事长、总裁龙昌明先生，</w:t>
      </w:r>
      <w:r>
        <w:rPr>
          <w:rFonts w:ascii="宋体" w:hAnsi="宋体" w:cs="宋体" w:eastAsia="宋体" w:hint="default"/>
          <w:spacing w:val="-4"/>
        </w:rPr>
        <w:t>1987</w:t>
      </w:r>
      <w:r>
        <w:rPr>
          <w:spacing w:val="-4"/>
        </w:rPr>
        <w:t>年毕业于东南大学无线电系，硕士研究生学历，中国致公党党员，</w:t>
      </w:r>
    </w:p>
    <w:p>
      <w:pPr>
        <w:pStyle w:val="BodyText"/>
        <w:spacing w:line="408" w:lineRule="auto" w:before="78"/>
        <w:ind w:left="513" w:right="1124"/>
        <w:jc w:val="both"/>
      </w:pPr>
      <w:r>
        <w:rPr>
          <w:spacing w:val="-2"/>
        </w:rPr>
        <w:t>南京巿人大代表，江苏省贵州商会会长，江苏省致公党省委委员。光一科技第一届、第二届、第三届董事</w:t>
      </w:r>
      <w:r>
        <w:rPr>
          <w:spacing w:val="-38"/>
        </w:rPr>
        <w:t> </w:t>
      </w:r>
      <w:r>
        <w:rPr>
          <w:spacing w:val="-38"/>
        </w:rPr>
      </w:r>
      <w:r>
        <w:rPr>
          <w:spacing w:val="-6"/>
        </w:rPr>
        <w:t>长，第四届董事会董事长、总裁；</w:t>
      </w:r>
      <w:r>
        <w:rPr>
          <w:rFonts w:ascii="宋体" w:hAnsi="宋体" w:cs="宋体" w:eastAsia="宋体" w:hint="default"/>
          <w:spacing w:val="-6"/>
        </w:rPr>
        <w:t>2009</w:t>
      </w:r>
      <w:r>
        <w:rPr>
          <w:spacing w:val="-6"/>
        </w:rPr>
        <w:t>年至今任光一投资执行董事兼总经理；全资子公司苏源光一董事长；</w:t>
      </w:r>
      <w:r>
        <w:rPr>
          <w:spacing w:val="-41"/>
        </w:rPr>
        <w:t> </w:t>
      </w:r>
      <w:r>
        <w:rPr>
          <w:spacing w:val="-41"/>
        </w:rPr>
      </w:r>
      <w:r>
        <w:rPr>
          <w:spacing w:val="-2"/>
        </w:rPr>
        <w:t>全资子公司智友尚云、光一贵仁、德能工程执行董事；全资子公司索瑞电气董事；控股子公司云商天下董</w:t>
      </w:r>
      <w:r>
        <w:rPr>
          <w:spacing w:val="-33"/>
        </w:rPr>
        <w:t> </w:t>
      </w:r>
      <w:r>
        <w:rPr>
          <w:spacing w:val="-33"/>
        </w:rPr>
      </w:r>
      <w:r>
        <w:rPr>
          <w:spacing w:val="-2"/>
        </w:rPr>
        <w:t>事长；参股公司中云文化大数据董事；天擎华媒董事长、中广文影股权投资基金管理（上海）有限公司董</w:t>
      </w:r>
      <w:r>
        <w:rPr>
          <w:spacing w:val="-38"/>
        </w:rPr>
        <w:t> </w:t>
      </w:r>
      <w:r>
        <w:rPr>
          <w:spacing w:val="-38"/>
        </w:rPr>
      </w:r>
      <w:r>
        <w:rPr>
          <w:spacing w:val="-7"/>
        </w:rPr>
        <w:t>事、南京医科大学第三届董事会董事；江苏黔首网络科技有限公司董事长；江苏数道科技有限公司董事长、</w:t>
      </w:r>
    </w:p>
    <w:p>
      <w:pPr>
        <w:spacing w:after="0" w:line="408" w:lineRule="auto"/>
        <w:jc w:val="both"/>
        <w:sectPr>
          <w:pgSz w:w="11910" w:h="16840"/>
          <w:pgMar w:header="871" w:footer="1037" w:top="1100" w:bottom="1220" w:left="620" w:right="0"/>
        </w:sectPr>
      </w:pPr>
    </w:p>
    <w:p>
      <w:pPr>
        <w:spacing w:line="240" w:lineRule="auto" w:before="12"/>
        <w:rPr>
          <w:rFonts w:ascii="宋体" w:hAnsi="宋体" w:cs="宋体" w:eastAsia="宋体" w:hint="default"/>
          <w:sz w:val="26"/>
          <w:szCs w:val="26"/>
        </w:rPr>
      </w:pPr>
    </w:p>
    <w:p>
      <w:pPr>
        <w:pStyle w:val="BodyText"/>
        <w:spacing w:line="405" w:lineRule="auto" w:before="36"/>
        <w:ind w:right="1024"/>
        <w:jc w:val="left"/>
      </w:pPr>
      <w:r>
        <w:rPr>
          <w:spacing w:val="-2"/>
        </w:rPr>
        <w:t>总经理；南京建盈鸿亿科技发展有限公司、贵州贵银投资有限公司董事。目前，龙昌明先生主要负责公司</w:t>
      </w:r>
      <w:r>
        <w:rPr>
          <w:spacing w:val="-33"/>
        </w:rPr>
        <w:t> </w:t>
      </w:r>
      <w:r>
        <w:rPr>
          <w:spacing w:val="-33"/>
        </w:rPr>
      </w:r>
      <w:r>
        <w:rPr/>
        <w:t>战略规划和经营管理。</w:t>
      </w:r>
    </w:p>
    <w:p>
      <w:pPr>
        <w:pStyle w:val="BodyText"/>
        <w:spacing w:line="408" w:lineRule="auto" w:before="51"/>
        <w:ind w:right="1126" w:firstLine="422"/>
        <w:jc w:val="both"/>
      </w:pPr>
      <w:r>
        <w:rPr>
          <w:rFonts w:ascii="宋体" w:hAnsi="宋体" w:cs="宋体" w:eastAsia="宋体" w:hint="default"/>
        </w:rPr>
        <w:t>2</w:t>
      </w:r>
      <w:r>
        <w:rPr/>
        <w:t>、董事、常务副总裁王海俊先生，</w:t>
      </w:r>
      <w:r>
        <w:rPr>
          <w:rFonts w:ascii="宋体" w:hAnsi="宋体" w:cs="宋体" w:eastAsia="宋体" w:hint="default"/>
        </w:rPr>
        <w:t>1993</w:t>
      </w:r>
      <w:r>
        <w:rPr/>
        <w:t>年毕业于南京理工大学机械制造系，硕士研究生学历，</w:t>
      </w:r>
      <w:r>
        <w:rPr>
          <w:rFonts w:ascii="宋体" w:hAnsi="宋体" w:cs="宋体" w:eastAsia="宋体" w:hint="default"/>
        </w:rPr>
        <w:t>2009</w:t>
      </w:r>
      <w:r>
        <w:rPr>
          <w:rFonts w:ascii="宋体" w:hAnsi="宋体" w:cs="宋体" w:eastAsia="宋体" w:hint="default"/>
          <w:w w:val="100"/>
        </w:rPr>
        <w:t> </w:t>
      </w:r>
      <w:r>
        <w:rPr>
          <w:spacing w:val="-2"/>
        </w:rPr>
        <w:t>年至今任光一科技第一届、第二届、第三届董事会董事、总经理，第四届董事会董事、常务副总裁；全资</w:t>
      </w:r>
      <w:r>
        <w:rPr>
          <w:spacing w:val="-33"/>
        </w:rPr>
        <w:t> </w:t>
      </w:r>
      <w:r>
        <w:rPr>
          <w:spacing w:val="-33"/>
        </w:rPr>
      </w:r>
      <w:r>
        <w:rPr>
          <w:spacing w:val="-2"/>
        </w:rPr>
        <w:t>子公司苏源光一董事、索瑞电气董事；控股子公司云商天下董事、德能设计董事。目前，王海俊先生不在</w:t>
      </w:r>
      <w:r>
        <w:rPr>
          <w:spacing w:val="-38"/>
        </w:rPr>
        <w:t> </w:t>
      </w:r>
      <w:r>
        <w:rPr>
          <w:spacing w:val="-38"/>
        </w:rPr>
      </w:r>
      <w:r>
        <w:rPr/>
        <w:t>公司继续任职。</w:t>
      </w:r>
    </w:p>
    <w:p>
      <w:pPr>
        <w:pStyle w:val="BodyText"/>
        <w:spacing w:line="408" w:lineRule="auto" w:before="49"/>
        <w:ind w:right="1127" w:firstLine="422"/>
        <w:jc w:val="both"/>
      </w:pPr>
      <w:r>
        <w:rPr>
          <w:rFonts w:ascii="宋体" w:hAnsi="宋体" w:cs="宋体" w:eastAsia="宋体" w:hint="default"/>
        </w:rPr>
        <w:t>3</w:t>
      </w:r>
      <w:r>
        <w:rPr/>
        <w:t>、董事任昌兆先生，</w:t>
      </w:r>
      <w:r>
        <w:rPr>
          <w:rFonts w:ascii="宋体" w:hAnsi="宋体" w:cs="宋体" w:eastAsia="宋体" w:hint="default"/>
        </w:rPr>
        <w:t>1991</w:t>
      </w:r>
      <w:r>
        <w:rPr/>
        <w:t>年毕业于武汉工学院，大专学历，高级工程师。</w:t>
      </w:r>
      <w:r>
        <w:rPr>
          <w:rFonts w:ascii="宋体" w:hAnsi="宋体" w:cs="宋体" w:eastAsia="宋体" w:hint="default"/>
        </w:rPr>
        <w:t>2005</w:t>
      </w:r>
      <w:r>
        <w:rPr/>
        <w:t>年</w:t>
      </w:r>
      <w:r>
        <w:rPr>
          <w:rFonts w:ascii="宋体" w:hAnsi="宋体" w:cs="宋体" w:eastAsia="宋体" w:hint="default"/>
        </w:rPr>
        <w:t>11</w:t>
      </w:r>
      <w:r>
        <w:rPr/>
        <w:t>月至今任湖北索</w:t>
      </w:r>
      <w:r>
        <w:rPr>
          <w:w w:val="100"/>
        </w:rPr>
        <w:t> </w:t>
      </w:r>
      <w:r>
        <w:rPr>
          <w:spacing w:val="-2"/>
        </w:rPr>
        <w:t>瑞电气有限公司董事长、总经理，</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月至今任湖北乾瀚投资有限公司执行董事、经理；</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月至</w:t>
      </w:r>
      <w:r>
        <w:rPr>
          <w:spacing w:val="-30"/>
        </w:rPr>
        <w:t> </w:t>
      </w:r>
      <w:r>
        <w:rPr>
          <w:spacing w:val="-2"/>
        </w:rPr>
        <w:t>今任光一科技第二届、第三届、第四届董事会董事；</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月至今任武汉联畅股权投资管理有限公司董</w:t>
      </w:r>
      <w:r>
        <w:rPr>
          <w:spacing w:val="-30"/>
        </w:rPr>
        <w:t> </w:t>
      </w:r>
      <w:r>
        <w:rPr>
          <w:spacing w:val="-30"/>
        </w:rPr>
      </w:r>
      <w:r>
        <w:rPr/>
        <w:t>事；</w:t>
      </w:r>
      <w:r>
        <w:rPr>
          <w:rFonts w:ascii="宋体" w:hAnsi="宋体" w:cs="宋体" w:eastAsia="宋体" w:hint="default"/>
        </w:rPr>
        <w:t>2018</w:t>
      </w:r>
      <w:r>
        <w:rPr/>
        <w:t>年</w:t>
      </w:r>
      <w:r>
        <w:rPr>
          <w:rFonts w:ascii="宋体" w:hAnsi="宋体" w:cs="宋体" w:eastAsia="宋体" w:hint="default"/>
        </w:rPr>
        <w:t>8</w:t>
      </w:r>
      <w:r>
        <w:rPr/>
        <w:t>月至今任襄阳先天下环保设备有限公司董事。</w:t>
      </w:r>
    </w:p>
    <w:p>
      <w:pPr>
        <w:pStyle w:val="BodyText"/>
        <w:spacing w:line="408" w:lineRule="auto" w:before="48"/>
        <w:ind w:right="1126" w:firstLine="422"/>
        <w:jc w:val="both"/>
      </w:pPr>
      <w:r>
        <w:rPr>
          <w:rFonts w:ascii="宋体" w:hAnsi="宋体" w:cs="宋体" w:eastAsia="宋体" w:hint="default"/>
        </w:rPr>
        <w:t>4</w:t>
      </w:r>
      <w:r>
        <w:rPr/>
        <w:t>、董事、董事会秘书戴晓东先生，</w:t>
      </w:r>
      <w:r>
        <w:rPr>
          <w:rFonts w:ascii="宋体" w:hAnsi="宋体" w:cs="宋体" w:eastAsia="宋体" w:hint="default"/>
        </w:rPr>
        <w:t>2000</w:t>
      </w:r>
      <w:r>
        <w:rPr/>
        <w:t>年毕业于南京财经大学工业会计专业，硕士研究生学历，非</w:t>
      </w:r>
      <w:r>
        <w:rPr>
          <w:w w:val="100"/>
        </w:rPr>
        <w:t> </w:t>
      </w:r>
      <w:r>
        <w:rPr>
          <w:spacing w:val="-2"/>
        </w:rPr>
        <w:t>执业注册会计师、高级会计师。光一科技第一届董事会董事、财务总监；第二届、第三届董事会董事、副</w:t>
      </w:r>
      <w:r>
        <w:rPr>
          <w:spacing w:val="-33"/>
        </w:rPr>
        <w:t> </w:t>
      </w:r>
      <w:r>
        <w:rPr>
          <w:spacing w:val="-33"/>
        </w:rPr>
      </w:r>
      <w:r>
        <w:rPr>
          <w:spacing w:val="-2"/>
        </w:rPr>
        <w:t>总经理；第四届董事会董事、董事会秘书；全资子公司苏源光一董事；全资子公司索瑞电气董事、副总经</w:t>
      </w:r>
      <w:r>
        <w:rPr>
          <w:spacing w:val="-37"/>
        </w:rPr>
        <w:t> </w:t>
      </w:r>
      <w:r>
        <w:rPr>
          <w:spacing w:val="-37"/>
        </w:rPr>
      </w:r>
      <w:r>
        <w:rPr/>
        <w:t>理、财务总监。戴晓东先生主要负责公司总裁办统筹管理等工作。</w:t>
      </w:r>
    </w:p>
    <w:p>
      <w:pPr>
        <w:pStyle w:val="BodyText"/>
        <w:spacing w:line="408" w:lineRule="auto" w:before="48"/>
        <w:ind w:right="1127" w:firstLine="422"/>
        <w:jc w:val="both"/>
      </w:pPr>
      <w:r>
        <w:rPr>
          <w:rFonts w:ascii="宋体" w:hAnsi="宋体" w:cs="宋体" w:eastAsia="宋体" w:hint="default"/>
        </w:rPr>
        <w:t>5</w:t>
      </w:r>
      <w:r>
        <w:rPr/>
        <w:t>、独立董事刘向明先生，</w:t>
      </w:r>
      <w:r>
        <w:rPr>
          <w:rFonts w:ascii="宋体" w:hAnsi="宋体" w:cs="宋体" w:eastAsia="宋体" w:hint="default"/>
        </w:rPr>
        <w:t>1989</w:t>
      </w:r>
      <w:r>
        <w:rPr/>
        <w:t>年毕业于苏州大学，法学学士、律师证券从业资格，民盟成员。</w:t>
      </w:r>
      <w:r>
        <w:rPr>
          <w:rFonts w:ascii="宋体" w:hAnsi="宋体" w:cs="宋体" w:eastAsia="宋体" w:hint="default"/>
        </w:rPr>
        <w:t>2000</w:t>
      </w:r>
      <w:r>
        <w:rPr>
          <w:rFonts w:ascii="宋体" w:hAnsi="宋体" w:cs="宋体" w:eastAsia="宋体" w:hint="default"/>
          <w:w w:val="100"/>
        </w:rPr>
        <w:t> </w:t>
      </w:r>
      <w:r>
        <w:rPr/>
        <w:t>年</w:t>
      </w:r>
      <w:r>
        <w:rPr>
          <w:rFonts w:ascii="宋体" w:hAnsi="宋体" w:cs="宋体" w:eastAsia="宋体" w:hint="default"/>
        </w:rPr>
        <w:t>6</w:t>
      </w:r>
      <w:r>
        <w:rPr/>
        <w:t>月至</w:t>
      </w:r>
      <w:r>
        <w:rPr>
          <w:rFonts w:ascii="宋体" w:hAnsi="宋体" w:cs="宋体" w:eastAsia="宋体" w:hint="default"/>
        </w:rPr>
        <w:t>2015</w:t>
      </w:r>
      <w:r>
        <w:rPr/>
        <w:t>年</w:t>
      </w:r>
      <w:r>
        <w:rPr>
          <w:rFonts w:ascii="宋体" w:hAnsi="宋体" w:cs="宋体" w:eastAsia="宋体" w:hint="default"/>
        </w:rPr>
        <w:t>4</w:t>
      </w:r>
      <w:r>
        <w:rPr/>
        <w:t>月任江苏金鼎英杰律师事务所合伙人；</w:t>
      </w:r>
      <w:r>
        <w:rPr>
          <w:rFonts w:ascii="宋体" w:hAnsi="宋体" w:cs="宋体" w:eastAsia="宋体" w:hint="default"/>
        </w:rPr>
        <w:t>2010</w:t>
      </w:r>
      <w:r>
        <w:rPr/>
        <w:t>年</w:t>
      </w:r>
      <w:r>
        <w:rPr>
          <w:rFonts w:ascii="宋体" w:hAnsi="宋体" w:cs="宋体" w:eastAsia="宋体" w:hint="default"/>
        </w:rPr>
        <w:t>2</w:t>
      </w:r>
      <w:r>
        <w:rPr/>
        <w:t>月至</w:t>
      </w:r>
      <w:r>
        <w:rPr>
          <w:rFonts w:ascii="宋体" w:hAnsi="宋体" w:cs="宋体" w:eastAsia="宋体" w:hint="default"/>
        </w:rPr>
        <w:t>2015</w:t>
      </w:r>
      <w:r>
        <w:rPr/>
        <w:t>年</w:t>
      </w:r>
      <w:r>
        <w:rPr>
          <w:rFonts w:ascii="宋体" w:hAnsi="宋体" w:cs="宋体" w:eastAsia="宋体" w:hint="default"/>
        </w:rPr>
        <w:t>10</w:t>
      </w:r>
      <w:r>
        <w:rPr/>
        <w:t>月任亿通科技（</w:t>
      </w:r>
      <w:r>
        <w:rPr>
          <w:rFonts w:ascii="宋体" w:hAnsi="宋体" w:cs="宋体" w:eastAsia="宋体" w:hint="default"/>
        </w:rPr>
        <w:t>300211</w:t>
      </w:r>
      <w:r>
        <w:rPr/>
        <w:t>）独</w:t>
      </w:r>
      <w:r>
        <w:rPr>
          <w:spacing w:val="-29"/>
        </w:rPr>
        <w:t> </w:t>
      </w:r>
      <w:r>
        <w:rPr/>
        <w:t>立董事；</w:t>
      </w:r>
      <w:r>
        <w:rPr>
          <w:rFonts w:ascii="宋体" w:hAnsi="宋体" w:cs="宋体" w:eastAsia="宋体" w:hint="default"/>
        </w:rPr>
        <w:t>2013</w:t>
      </w:r>
      <w:r>
        <w:rPr/>
        <w:t>年</w:t>
      </w:r>
      <w:r>
        <w:rPr>
          <w:rFonts w:ascii="宋体" w:hAnsi="宋体" w:cs="宋体" w:eastAsia="宋体" w:hint="default"/>
        </w:rPr>
        <w:t>3</w:t>
      </w:r>
      <w:r>
        <w:rPr/>
        <w:t>月至</w:t>
      </w:r>
      <w:r>
        <w:rPr>
          <w:rFonts w:ascii="宋体" w:hAnsi="宋体" w:cs="宋体" w:eastAsia="宋体" w:hint="default"/>
        </w:rPr>
        <w:t>2016</w:t>
      </w:r>
      <w:r>
        <w:rPr/>
        <w:t>年</w:t>
      </w:r>
      <w:r>
        <w:rPr>
          <w:rFonts w:ascii="宋体" w:hAnsi="宋体" w:cs="宋体" w:eastAsia="宋体" w:hint="default"/>
        </w:rPr>
        <w:t>5</w:t>
      </w:r>
      <w:r>
        <w:rPr/>
        <w:t>月任维格娜丝（</w:t>
      </w:r>
      <w:r>
        <w:rPr>
          <w:rFonts w:ascii="宋体" w:hAnsi="宋体" w:cs="宋体" w:eastAsia="宋体" w:hint="default"/>
        </w:rPr>
        <w:t>603518</w:t>
      </w:r>
      <w:r>
        <w:rPr/>
        <w:t>）独立董事；</w:t>
      </w:r>
      <w:r>
        <w:rPr>
          <w:rFonts w:ascii="宋体" w:hAnsi="宋体" w:cs="宋体" w:eastAsia="宋体" w:hint="default"/>
        </w:rPr>
        <w:t>2015</w:t>
      </w:r>
      <w:r>
        <w:rPr/>
        <w:t>年</w:t>
      </w:r>
      <w:r>
        <w:rPr>
          <w:rFonts w:ascii="宋体" w:hAnsi="宋体" w:cs="宋体" w:eastAsia="宋体" w:hint="default"/>
        </w:rPr>
        <w:t>5</w:t>
      </w:r>
      <w:r>
        <w:rPr/>
        <w:t>月至今任国浩律师（南京）事</w:t>
      </w:r>
      <w:r>
        <w:rPr>
          <w:spacing w:val="-30"/>
        </w:rPr>
        <w:t> </w:t>
      </w:r>
      <w:r>
        <w:rPr>
          <w:spacing w:val="-30"/>
        </w:rPr>
      </w:r>
      <w:r>
        <w:rPr>
          <w:spacing w:val="-2"/>
          <w:w w:val="100"/>
        </w:rPr>
        <w:t>务所合伙人；现任国电南瑞（</w:t>
      </w:r>
      <w:r>
        <w:rPr>
          <w:rFonts w:ascii="宋体" w:hAnsi="宋体" w:cs="宋体" w:eastAsia="宋体" w:hint="default"/>
          <w:spacing w:val="-2"/>
          <w:w w:val="100"/>
        </w:rPr>
        <w:t>600406</w:t>
      </w:r>
      <w:r>
        <w:rPr>
          <w:spacing w:val="-2"/>
          <w:w w:val="100"/>
        </w:rPr>
        <w:t>）、蓝英装备（</w:t>
      </w:r>
      <w:r>
        <w:rPr>
          <w:rFonts w:ascii="宋体" w:hAnsi="宋体" w:cs="宋体" w:eastAsia="宋体" w:hint="default"/>
          <w:spacing w:val="-2"/>
          <w:w w:val="100"/>
        </w:rPr>
        <w:t>300293</w:t>
      </w:r>
      <w:r>
        <w:rPr>
          <w:spacing w:val="-2"/>
          <w:w w:val="100"/>
        </w:rPr>
        <w:t>）独立董事；光一科技第三届、第四届董事会</w:t>
      </w:r>
      <w:r>
        <w:rPr>
          <w:spacing w:val="-86"/>
          <w:w w:val="100"/>
        </w:rPr>
        <w:t> </w:t>
      </w:r>
      <w:r>
        <w:rPr>
          <w:spacing w:val="-86"/>
          <w:w w:val="100"/>
        </w:rPr>
      </w:r>
      <w:r>
        <w:rPr/>
        <w:t>独立董事。</w:t>
      </w:r>
    </w:p>
    <w:p>
      <w:pPr>
        <w:pStyle w:val="BodyText"/>
        <w:spacing w:line="410" w:lineRule="auto" w:before="43"/>
        <w:ind w:right="1122" w:firstLine="422"/>
        <w:jc w:val="both"/>
      </w:pPr>
      <w:r>
        <w:rPr>
          <w:rFonts w:ascii="宋体" w:hAnsi="宋体" w:cs="宋体" w:eastAsia="宋体" w:hint="default"/>
        </w:rPr>
        <w:t>6</w:t>
      </w:r>
      <w:r>
        <w:rPr/>
        <w:t>、独立董事周友梅先生，</w:t>
      </w:r>
      <w:r>
        <w:rPr>
          <w:rFonts w:ascii="宋体" w:hAnsi="宋体" w:cs="宋体" w:eastAsia="宋体" w:hint="default"/>
        </w:rPr>
        <w:t>1984</w:t>
      </w:r>
      <w:r>
        <w:rPr/>
        <w:t>年毕业于安徽财经大学，会计学硕士，中国民建会员。现任南京财经</w:t>
      </w:r>
      <w:r>
        <w:rPr>
          <w:w w:val="100"/>
        </w:rPr>
        <w:t> </w:t>
      </w:r>
      <w:r>
        <w:rPr>
          <w:spacing w:val="-2"/>
        </w:rPr>
        <w:t>大学会计学院会计学教授，兼任中国对外经济贸易会计学会副会长。</w:t>
      </w:r>
      <w:r>
        <w:rPr>
          <w:rFonts w:ascii="宋体" w:hAnsi="宋体" w:cs="宋体" w:eastAsia="宋体" w:hint="default"/>
          <w:spacing w:val="-2"/>
        </w:rPr>
        <w:t>2015</w:t>
      </w:r>
      <w:r>
        <w:rPr>
          <w:spacing w:val="-2"/>
        </w:rPr>
        <w:t>年</w:t>
      </w:r>
      <w:r>
        <w:rPr>
          <w:rFonts w:ascii="宋体" w:hAnsi="宋体" w:cs="宋体" w:eastAsia="宋体" w:hint="default"/>
          <w:spacing w:val="-2"/>
        </w:rPr>
        <w:t>10</w:t>
      </w:r>
      <w:r>
        <w:rPr>
          <w:spacing w:val="-2"/>
        </w:rPr>
        <w:t>月至</w:t>
      </w:r>
      <w:r>
        <w:rPr>
          <w:rFonts w:ascii="宋体" w:hAnsi="宋体" w:cs="宋体" w:eastAsia="宋体" w:hint="default"/>
          <w:spacing w:val="-2"/>
        </w:rPr>
        <w:t>2018</w:t>
      </w:r>
      <w:r>
        <w:rPr>
          <w:spacing w:val="-2"/>
        </w:rPr>
        <w:t>年</w:t>
      </w:r>
      <w:r>
        <w:rPr>
          <w:rFonts w:ascii="宋体" w:hAnsi="宋体" w:cs="宋体" w:eastAsia="宋体" w:hint="default"/>
          <w:spacing w:val="-2"/>
        </w:rPr>
        <w:t>10</w:t>
      </w:r>
      <w:r>
        <w:rPr>
          <w:spacing w:val="-2"/>
        </w:rPr>
        <w:t>月任路通视信</w:t>
      </w:r>
    </w:p>
    <w:p>
      <w:pPr>
        <w:pStyle w:val="BodyText"/>
        <w:spacing w:line="410" w:lineRule="auto" w:before="41"/>
        <w:ind w:right="1024"/>
        <w:jc w:val="left"/>
      </w:pPr>
      <w:r>
        <w:rPr>
          <w:spacing w:val="-7"/>
          <w:w w:val="100"/>
        </w:rPr>
        <w:t>（</w:t>
      </w:r>
      <w:r>
        <w:rPr>
          <w:rFonts w:ascii="宋体" w:hAnsi="宋体" w:cs="宋体" w:eastAsia="宋体" w:hint="default"/>
          <w:spacing w:val="-7"/>
          <w:w w:val="100"/>
        </w:rPr>
        <w:t>300555</w:t>
      </w:r>
      <w:r>
        <w:rPr>
          <w:spacing w:val="-7"/>
          <w:w w:val="100"/>
        </w:rPr>
        <w:t>）独立董事，</w:t>
      </w:r>
      <w:r>
        <w:rPr>
          <w:rFonts w:ascii="宋体" w:hAnsi="宋体" w:cs="宋体" w:eastAsia="宋体" w:hint="default"/>
          <w:spacing w:val="-7"/>
          <w:w w:val="100"/>
        </w:rPr>
        <w:t>2016</w:t>
      </w:r>
      <w:r>
        <w:rPr>
          <w:spacing w:val="-7"/>
          <w:w w:val="100"/>
        </w:rPr>
        <w:t>年</w:t>
      </w:r>
      <w:r>
        <w:rPr>
          <w:rFonts w:ascii="宋体" w:hAnsi="宋体" w:cs="宋体" w:eastAsia="宋体" w:hint="default"/>
          <w:spacing w:val="-7"/>
          <w:w w:val="100"/>
        </w:rPr>
        <w:t>1</w:t>
      </w:r>
      <w:r>
        <w:rPr>
          <w:spacing w:val="-7"/>
          <w:w w:val="100"/>
        </w:rPr>
        <w:t>月至</w:t>
      </w:r>
      <w:r>
        <w:rPr>
          <w:rFonts w:ascii="宋体" w:hAnsi="宋体" w:cs="宋体" w:eastAsia="宋体" w:hint="default"/>
          <w:spacing w:val="-7"/>
          <w:w w:val="100"/>
        </w:rPr>
        <w:t>2019</w:t>
      </w:r>
      <w:r>
        <w:rPr>
          <w:spacing w:val="-7"/>
          <w:w w:val="100"/>
        </w:rPr>
        <w:t>年</w:t>
      </w:r>
      <w:r>
        <w:rPr>
          <w:rFonts w:ascii="宋体" w:hAnsi="宋体" w:cs="宋体" w:eastAsia="宋体" w:hint="default"/>
          <w:spacing w:val="-7"/>
          <w:w w:val="100"/>
        </w:rPr>
        <w:t>1</w:t>
      </w:r>
      <w:r>
        <w:rPr>
          <w:spacing w:val="-7"/>
          <w:w w:val="100"/>
        </w:rPr>
        <w:t>月任亚夏汽车（</w:t>
      </w:r>
      <w:r>
        <w:rPr>
          <w:rFonts w:ascii="宋体" w:hAnsi="宋体" w:cs="宋体" w:eastAsia="宋体" w:hint="default"/>
          <w:spacing w:val="-7"/>
          <w:w w:val="100"/>
        </w:rPr>
        <w:t>002607</w:t>
      </w:r>
      <w:r>
        <w:rPr>
          <w:spacing w:val="-7"/>
          <w:w w:val="100"/>
        </w:rPr>
        <w:t>）独立董事；现任江苏舜天（</w:t>
      </w:r>
      <w:r>
        <w:rPr>
          <w:rFonts w:ascii="宋体" w:hAnsi="宋体" w:cs="宋体" w:eastAsia="宋体" w:hint="default"/>
          <w:spacing w:val="-7"/>
          <w:w w:val="100"/>
        </w:rPr>
        <w:t>600287</w:t>
      </w:r>
      <w:r>
        <w:rPr>
          <w:spacing w:val="-7"/>
          <w:w w:val="100"/>
        </w:rPr>
        <w:t>）、</w:t>
      </w:r>
      <w:r>
        <w:rPr>
          <w:spacing w:val="-84"/>
          <w:w w:val="100"/>
        </w:rPr>
        <w:t> </w:t>
      </w:r>
      <w:r>
        <w:rPr/>
        <w:t>南京盛航海运股份有限公司独立董事，光一科技第三届、第四届董事会独立董事。</w:t>
      </w:r>
    </w:p>
    <w:p>
      <w:pPr>
        <w:pStyle w:val="BodyText"/>
        <w:spacing w:line="410" w:lineRule="auto" w:before="41"/>
        <w:ind w:right="1123" w:firstLine="422"/>
        <w:jc w:val="both"/>
      </w:pPr>
      <w:r>
        <w:rPr>
          <w:rFonts w:ascii="宋体" w:hAnsi="宋体" w:cs="宋体" w:eastAsia="宋体" w:hint="default"/>
          <w:spacing w:val="-4"/>
          <w:w w:val="100"/>
        </w:rPr>
        <w:t>7</w:t>
      </w:r>
      <w:r>
        <w:rPr>
          <w:spacing w:val="-4"/>
          <w:w w:val="100"/>
        </w:rPr>
        <w:t>、独立董事周卫东先生，</w:t>
      </w:r>
      <w:r>
        <w:rPr>
          <w:rFonts w:ascii="宋体" w:hAnsi="宋体" w:cs="宋体" w:eastAsia="宋体" w:hint="default"/>
          <w:spacing w:val="-4"/>
          <w:w w:val="100"/>
        </w:rPr>
        <w:t>1985</w:t>
      </w:r>
      <w:r>
        <w:rPr>
          <w:spacing w:val="-4"/>
          <w:w w:val="100"/>
        </w:rPr>
        <w:t>毕业于南京工学院（现东南大学），工学学士学位，后续学历东南大学</w:t>
      </w:r>
      <w:r>
        <w:rPr>
          <w:w w:val="100"/>
        </w:rPr>
        <w:t> </w:t>
      </w:r>
      <w:r>
        <w:rPr>
          <w:spacing w:val="-4"/>
          <w:w w:val="100"/>
        </w:rPr>
        <w:t>工商管理硕士（</w:t>
      </w:r>
      <w:r>
        <w:rPr>
          <w:rFonts w:ascii="宋体" w:hAnsi="宋体" w:cs="宋体" w:eastAsia="宋体" w:hint="default"/>
          <w:spacing w:val="-4"/>
          <w:w w:val="100"/>
        </w:rPr>
        <w:t>EMBA</w:t>
      </w:r>
      <w:r>
        <w:rPr>
          <w:spacing w:val="-4"/>
          <w:w w:val="100"/>
        </w:rPr>
        <w:t>）。</w:t>
      </w:r>
      <w:r>
        <w:rPr>
          <w:rFonts w:ascii="宋体" w:hAnsi="宋体" w:cs="宋体" w:eastAsia="宋体" w:hint="default"/>
          <w:spacing w:val="-4"/>
          <w:w w:val="100"/>
        </w:rPr>
        <w:t>1985</w:t>
      </w:r>
      <w:r>
        <w:rPr>
          <w:spacing w:val="-4"/>
          <w:w w:val="100"/>
        </w:rPr>
        <w:t>年</w:t>
      </w:r>
      <w:r>
        <w:rPr>
          <w:rFonts w:ascii="宋体" w:hAnsi="宋体" w:cs="宋体" w:eastAsia="宋体" w:hint="default"/>
          <w:spacing w:val="-4"/>
          <w:w w:val="100"/>
        </w:rPr>
        <w:t>7</w:t>
      </w:r>
      <w:r>
        <w:rPr>
          <w:spacing w:val="-4"/>
          <w:w w:val="100"/>
        </w:rPr>
        <w:t>月至</w:t>
      </w:r>
      <w:r>
        <w:rPr>
          <w:rFonts w:ascii="宋体" w:hAnsi="宋体" w:cs="宋体" w:eastAsia="宋体" w:hint="default"/>
          <w:spacing w:val="-4"/>
          <w:w w:val="100"/>
        </w:rPr>
        <w:t>2012</w:t>
      </w:r>
      <w:r>
        <w:rPr>
          <w:spacing w:val="-4"/>
          <w:w w:val="100"/>
        </w:rPr>
        <w:t>年</w:t>
      </w:r>
      <w:r>
        <w:rPr>
          <w:rFonts w:ascii="宋体" w:hAnsi="宋体" w:cs="宋体" w:eastAsia="宋体" w:hint="default"/>
          <w:spacing w:val="-4"/>
          <w:w w:val="100"/>
        </w:rPr>
        <w:t>12</w:t>
      </w:r>
      <w:r>
        <w:rPr>
          <w:spacing w:val="-4"/>
          <w:w w:val="100"/>
        </w:rPr>
        <w:t>月任职于徐州供电公司，新沂供电公司。先后担任需求侧管</w:t>
      </w:r>
      <w:r>
        <w:rPr>
          <w:spacing w:val="-71"/>
          <w:w w:val="100"/>
        </w:rPr>
        <w:t> </w:t>
      </w:r>
      <w:r>
        <w:rPr>
          <w:spacing w:val="-71"/>
          <w:w w:val="100"/>
        </w:rPr>
      </w:r>
      <w:r>
        <w:rPr>
          <w:spacing w:val="-2"/>
        </w:rPr>
        <w:t>理中心主任，营销副总等职务。电力高级工程师。</w:t>
      </w:r>
      <w:r>
        <w:rPr>
          <w:rFonts w:ascii="宋体" w:hAnsi="宋体" w:cs="宋体" w:eastAsia="宋体" w:hint="default"/>
          <w:spacing w:val="-2"/>
        </w:rPr>
        <w:t>2013</w:t>
      </w:r>
      <w:r>
        <w:rPr>
          <w:spacing w:val="-2"/>
        </w:rPr>
        <w:t>年至今担任南京市嘉隆电气科技有限公司副总经理</w:t>
      </w:r>
      <w:r>
        <w:rPr>
          <w:spacing w:val="-32"/>
        </w:rPr>
        <w:t> </w:t>
      </w:r>
      <w:r>
        <w:rPr>
          <w:spacing w:val="-32"/>
        </w:rPr>
      </w:r>
      <w:r>
        <w:rPr/>
        <w:t>一职，光一科技第四届董事会独立董事。</w:t>
      </w:r>
    </w:p>
    <w:p>
      <w:pPr>
        <w:pStyle w:val="BodyText"/>
        <w:spacing w:line="408" w:lineRule="auto" w:before="42"/>
        <w:ind w:right="1127" w:firstLine="422"/>
        <w:jc w:val="both"/>
      </w:pPr>
      <w:r>
        <w:rPr>
          <w:rFonts w:ascii="宋体" w:hAnsi="宋体" w:cs="宋体" w:eastAsia="宋体" w:hint="default"/>
        </w:rPr>
        <w:t>8</w:t>
      </w:r>
      <w:r>
        <w:rPr/>
        <w:t>、监事会主席朱云飞先生，</w:t>
      </w:r>
      <w:r>
        <w:rPr>
          <w:rFonts w:ascii="宋体" w:hAnsi="宋体" w:cs="宋体" w:eastAsia="宋体" w:hint="default"/>
        </w:rPr>
        <w:t>1987</w:t>
      </w:r>
      <w:r>
        <w:rPr/>
        <w:t>年毕业于东南大学无线电系，大学本科学历。</w:t>
      </w:r>
      <w:r>
        <w:rPr>
          <w:rFonts w:ascii="宋体" w:hAnsi="宋体" w:cs="宋体" w:eastAsia="宋体" w:hint="default"/>
        </w:rPr>
        <w:t>2009</w:t>
      </w:r>
      <w:r>
        <w:rPr/>
        <w:t>年至今任光一科</w:t>
      </w:r>
      <w:r>
        <w:rPr>
          <w:w w:val="100"/>
        </w:rPr>
        <w:t> </w:t>
      </w:r>
      <w:r>
        <w:rPr>
          <w:spacing w:val="-2"/>
        </w:rPr>
        <w:t>技第一届、第二届、第三届、第四届监事会主席；全资子公司索瑞电气、苏源光一、智友尚云、德能工程</w:t>
      </w:r>
      <w:r>
        <w:rPr>
          <w:spacing w:val="-38"/>
        </w:rPr>
        <w:t> </w:t>
      </w:r>
      <w:r>
        <w:rPr>
          <w:spacing w:val="-38"/>
        </w:rPr>
      </w:r>
      <w:r>
        <w:rPr/>
        <w:t>监事；控股子公司德能设计、云商天下监事；光一投资监事。</w:t>
      </w:r>
    </w:p>
    <w:p>
      <w:pPr>
        <w:spacing w:after="0" w:line="408" w:lineRule="auto"/>
        <w:jc w:val="both"/>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1127" w:firstLine="422"/>
        <w:jc w:val="both"/>
      </w:pPr>
      <w:r>
        <w:rPr>
          <w:rFonts w:ascii="宋体" w:hAnsi="宋体" w:cs="宋体" w:eastAsia="宋体" w:hint="default"/>
        </w:rPr>
        <w:t>9</w:t>
      </w:r>
      <w:r>
        <w:rPr/>
        <w:t>、监事钱卫民先生，</w:t>
      </w:r>
      <w:r>
        <w:rPr>
          <w:rFonts w:ascii="宋体" w:hAnsi="宋体" w:cs="宋体" w:eastAsia="宋体" w:hint="default"/>
        </w:rPr>
        <w:t>1987</w:t>
      </w:r>
      <w:r>
        <w:rPr/>
        <w:t>年毕业于南京大学理论物理专业，大学本科学历，高级工程师。</w:t>
      </w:r>
      <w:r>
        <w:rPr>
          <w:rFonts w:ascii="宋体" w:hAnsi="宋体" w:cs="宋体" w:eastAsia="宋体" w:hint="default"/>
        </w:rPr>
        <w:t>2010</w:t>
      </w:r>
      <w:r>
        <w:rPr/>
        <w:t>年</w:t>
      </w:r>
      <w:r>
        <w:rPr>
          <w:rFonts w:ascii="宋体" w:hAnsi="宋体" w:cs="宋体" w:eastAsia="宋体" w:hint="default"/>
        </w:rPr>
        <w:t>12</w:t>
      </w:r>
      <w:r>
        <w:rPr>
          <w:rFonts w:ascii="宋体" w:hAnsi="宋体" w:cs="宋体" w:eastAsia="宋体" w:hint="default"/>
          <w:w w:val="100"/>
        </w:rPr>
        <w:t> </w:t>
      </w:r>
      <w:r>
        <w:rPr>
          <w:spacing w:val="-2"/>
        </w:rPr>
        <w:t>月至</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月任上海彩码信息科技有限公司总工程师；</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月至今任控股子公司云商天下董事、总经</w:t>
      </w:r>
      <w:r>
        <w:rPr>
          <w:spacing w:val="-26"/>
        </w:rPr>
        <w:t> </w:t>
      </w:r>
      <w:r>
        <w:rPr>
          <w:spacing w:val="-26"/>
        </w:rPr>
      </w:r>
      <w:r>
        <w:rPr/>
        <w:t>理；</w:t>
      </w:r>
      <w:r>
        <w:rPr>
          <w:rFonts w:ascii="宋体" w:hAnsi="宋体" w:cs="宋体" w:eastAsia="宋体" w:hint="default"/>
        </w:rPr>
        <w:t>2015</w:t>
      </w:r>
      <w:r>
        <w:rPr/>
        <w:t>年</w:t>
      </w:r>
      <w:r>
        <w:rPr>
          <w:rFonts w:ascii="宋体" w:hAnsi="宋体" w:cs="宋体" w:eastAsia="宋体" w:hint="default"/>
        </w:rPr>
        <w:t>7</w:t>
      </w:r>
      <w:r>
        <w:rPr/>
        <w:t>月至今任贵州健康云科技执行董事、总经理；光一科技第三届、第四届监事会监事。钱卫民</w:t>
      </w:r>
      <w:r>
        <w:rPr>
          <w:spacing w:val="-31"/>
        </w:rPr>
        <w:t> </w:t>
      </w:r>
      <w:r>
        <w:rPr>
          <w:spacing w:val="-31"/>
        </w:rPr>
      </w:r>
      <w:r>
        <w:rPr/>
        <w:t>先生主要负责控股子公司云商天下的经营管理工作。</w:t>
      </w:r>
    </w:p>
    <w:p>
      <w:pPr>
        <w:pStyle w:val="BodyText"/>
        <w:spacing w:line="408" w:lineRule="auto" w:before="48"/>
        <w:ind w:right="1122" w:firstLine="422"/>
        <w:jc w:val="both"/>
      </w:pPr>
      <w:r>
        <w:rPr>
          <w:rFonts w:ascii="宋体" w:hAnsi="宋体" w:cs="宋体" w:eastAsia="宋体" w:hint="default"/>
          <w:spacing w:val="-2"/>
        </w:rPr>
        <w:t>10</w:t>
      </w:r>
      <w:r>
        <w:rPr>
          <w:spacing w:val="-2"/>
        </w:rPr>
        <w:t>、职工监事葛兹俊先生，</w:t>
      </w:r>
      <w:r>
        <w:rPr>
          <w:rFonts w:ascii="宋体" w:hAnsi="宋体" w:cs="宋体" w:eastAsia="宋体" w:hint="default"/>
          <w:spacing w:val="-2"/>
        </w:rPr>
        <w:t>1982</w:t>
      </w:r>
      <w:r>
        <w:rPr>
          <w:spacing w:val="-2"/>
        </w:rPr>
        <w:t>年毕业于河海大学电子计算机专业，大学本科学历，电子信息工程高</w:t>
      </w:r>
      <w:r>
        <w:rPr>
          <w:w w:val="100"/>
        </w:rPr>
        <w:t> </w:t>
      </w:r>
      <w:r>
        <w:rPr>
          <w:spacing w:val="-2"/>
        </w:rPr>
        <w:t>级工程师。</w:t>
      </w:r>
      <w:r>
        <w:rPr>
          <w:rFonts w:ascii="宋体" w:hAnsi="宋体" w:cs="宋体" w:eastAsia="宋体" w:hint="default"/>
          <w:spacing w:val="-2"/>
        </w:rPr>
        <w:t>2010</w:t>
      </w:r>
      <w:r>
        <w:rPr>
          <w:spacing w:val="-2"/>
        </w:rPr>
        <w:t>年至今任公司项目申报主管、高级工程师。葛兹俊先生主要负责公司项目、资质的申报工</w:t>
      </w:r>
      <w:r>
        <w:rPr>
          <w:spacing w:val="-27"/>
        </w:rPr>
        <w:t> </w:t>
      </w:r>
      <w:r>
        <w:rPr>
          <w:spacing w:val="-27"/>
        </w:rPr>
      </w:r>
      <w:r>
        <w:rPr/>
        <w:t>作。</w:t>
      </w:r>
    </w:p>
    <w:p>
      <w:pPr>
        <w:pStyle w:val="BodyText"/>
        <w:spacing w:line="240" w:lineRule="auto" w:before="43"/>
        <w:ind w:left="575" w:right="1024"/>
        <w:jc w:val="left"/>
      </w:pPr>
      <w:r>
        <w:rPr>
          <w:rFonts w:ascii="宋体" w:hAnsi="宋体" w:cs="宋体" w:eastAsia="宋体" w:hint="default"/>
        </w:rPr>
        <w:t>11</w:t>
      </w:r>
      <w:r>
        <w:rPr/>
        <w:t>、副总裁许晶先生，硕士研究生学历，高级工程师、高级政工师、高级人力资源师。</w:t>
      </w:r>
      <w:r>
        <w:rPr>
          <w:rFonts w:ascii="宋体" w:hAnsi="宋体" w:cs="宋体" w:eastAsia="宋体" w:hint="default"/>
        </w:rPr>
        <w:t>1997</w:t>
      </w:r>
      <w:r>
        <w:rPr/>
        <w:t>年</w:t>
      </w:r>
      <w:r>
        <w:rPr>
          <w:rFonts w:ascii="宋体" w:hAnsi="宋体" w:cs="宋体" w:eastAsia="宋体" w:hint="default"/>
        </w:rPr>
        <w:t>8</w:t>
      </w:r>
      <w:r>
        <w:rPr/>
        <w:t>月至</w:t>
      </w:r>
    </w:p>
    <w:p>
      <w:pPr>
        <w:spacing w:line="240" w:lineRule="auto" w:before="12"/>
        <w:rPr>
          <w:rFonts w:ascii="宋体" w:hAnsi="宋体" w:cs="宋体" w:eastAsia="宋体" w:hint="default"/>
          <w:sz w:val="14"/>
          <w:szCs w:val="14"/>
        </w:rPr>
      </w:pPr>
    </w:p>
    <w:p>
      <w:pPr>
        <w:pStyle w:val="BodyText"/>
        <w:spacing w:line="408" w:lineRule="auto"/>
        <w:ind w:right="1024"/>
        <w:jc w:val="left"/>
      </w:pPr>
      <w:r>
        <w:rPr>
          <w:rFonts w:ascii="宋体" w:hAnsi="宋体" w:cs="宋体" w:eastAsia="宋体" w:hint="default"/>
        </w:rPr>
        <w:t>2011</w:t>
      </w:r>
      <w:r>
        <w:rPr/>
        <w:t>年</w:t>
      </w:r>
      <w:r>
        <w:rPr>
          <w:rFonts w:ascii="宋体" w:hAnsi="宋体" w:cs="宋体" w:eastAsia="宋体" w:hint="default"/>
        </w:rPr>
        <w:t>6</w:t>
      </w:r>
      <w:r>
        <w:rPr/>
        <w:t>月徐州供电公司工作；</w:t>
      </w:r>
      <w:r>
        <w:rPr>
          <w:rFonts w:ascii="宋体" w:hAnsi="宋体" w:cs="宋体" w:eastAsia="宋体" w:hint="default"/>
        </w:rPr>
        <w:t>2011</w:t>
      </w:r>
      <w:r>
        <w:rPr/>
        <w:t>年</w:t>
      </w:r>
      <w:r>
        <w:rPr>
          <w:rFonts w:ascii="宋体" w:hAnsi="宋体" w:cs="宋体" w:eastAsia="宋体" w:hint="default"/>
        </w:rPr>
        <w:t>7</w:t>
      </w:r>
      <w:r>
        <w:rPr/>
        <w:t>月至</w:t>
      </w:r>
      <w:r>
        <w:rPr>
          <w:rFonts w:ascii="宋体" w:hAnsi="宋体" w:cs="宋体" w:eastAsia="宋体" w:hint="default"/>
        </w:rPr>
        <w:t>2016</w:t>
      </w:r>
      <w:r>
        <w:rPr/>
        <w:t>年</w:t>
      </w:r>
      <w:r>
        <w:rPr>
          <w:rFonts w:ascii="宋体" w:hAnsi="宋体" w:cs="宋体" w:eastAsia="宋体" w:hint="default"/>
        </w:rPr>
        <w:t>3</w:t>
      </w:r>
      <w:r>
        <w:rPr/>
        <w:t>月国网丰县供电公司副总经理；</w:t>
      </w:r>
      <w:r>
        <w:rPr>
          <w:rFonts w:ascii="宋体" w:hAnsi="宋体" w:cs="宋体" w:eastAsia="宋体" w:hint="default"/>
        </w:rPr>
        <w:t>2016</w:t>
      </w:r>
      <w:r>
        <w:rPr/>
        <w:t>年</w:t>
      </w:r>
      <w:r>
        <w:rPr>
          <w:rFonts w:ascii="宋体" w:hAnsi="宋体" w:cs="宋体" w:eastAsia="宋体" w:hint="default"/>
        </w:rPr>
        <w:t>4</w:t>
      </w:r>
      <w:r>
        <w:rPr/>
        <w:t>月至</w:t>
      </w:r>
      <w:r>
        <w:rPr>
          <w:rFonts w:ascii="宋体" w:hAnsi="宋体" w:cs="宋体" w:eastAsia="宋体" w:hint="default"/>
        </w:rPr>
        <w:t>2017</w:t>
      </w:r>
      <w:r>
        <w:rPr/>
        <w:t>年</w:t>
      </w:r>
      <w:r>
        <w:rPr>
          <w:rFonts w:ascii="宋体" w:hAnsi="宋体" w:cs="宋体" w:eastAsia="宋体" w:hint="default"/>
        </w:rPr>
        <w:t>4</w:t>
      </w:r>
      <w:r>
        <w:rPr>
          <w:rFonts w:ascii="宋体" w:hAnsi="宋体" w:cs="宋体" w:eastAsia="宋体" w:hint="default"/>
          <w:spacing w:val="-29"/>
        </w:rPr>
        <w:t> </w:t>
      </w:r>
      <w:r>
        <w:rPr/>
        <w:t>月任国网邳州市供电公司党委书记兼副总经理；</w:t>
      </w:r>
      <w:r>
        <w:rPr>
          <w:rFonts w:ascii="宋体" w:hAnsi="宋体" w:cs="宋体" w:eastAsia="宋体" w:hint="default"/>
        </w:rPr>
        <w:t>2017</w:t>
      </w:r>
      <w:r>
        <w:rPr/>
        <w:t>年</w:t>
      </w:r>
      <w:r>
        <w:rPr>
          <w:rFonts w:ascii="宋体" w:hAnsi="宋体" w:cs="宋体" w:eastAsia="宋体" w:hint="default"/>
        </w:rPr>
        <w:t>5</w:t>
      </w:r>
      <w:r>
        <w:rPr/>
        <w:t>月至</w:t>
      </w:r>
      <w:r>
        <w:rPr>
          <w:rFonts w:ascii="宋体" w:hAnsi="宋体" w:cs="宋体" w:eastAsia="宋体" w:hint="default"/>
        </w:rPr>
        <w:t>2019</w:t>
      </w:r>
      <w:r>
        <w:rPr/>
        <w:t>年</w:t>
      </w:r>
      <w:r>
        <w:rPr>
          <w:rFonts w:ascii="宋体" w:hAnsi="宋体" w:cs="宋体" w:eastAsia="宋体" w:hint="default"/>
        </w:rPr>
        <w:t>2</w:t>
      </w:r>
      <w:r>
        <w:rPr/>
        <w:t>月任国网徐州供电公司纪委副书记、</w:t>
      </w:r>
      <w:r>
        <w:rPr>
          <w:spacing w:val="-28"/>
        </w:rPr>
        <w:t> </w:t>
      </w:r>
      <w:r>
        <w:rPr>
          <w:spacing w:val="-28"/>
        </w:rPr>
      </w:r>
      <w:r>
        <w:rPr/>
        <w:t>监察部主任。目前，担任光一科技副总裁，协助总裁开展经营管理工作。</w:t>
      </w:r>
    </w:p>
    <w:p>
      <w:pPr>
        <w:pStyle w:val="BodyText"/>
        <w:spacing w:line="408" w:lineRule="auto" w:before="43"/>
        <w:ind w:right="1122" w:firstLine="422"/>
        <w:jc w:val="both"/>
      </w:pPr>
      <w:r>
        <w:rPr>
          <w:rFonts w:ascii="宋体" w:hAnsi="宋体" w:cs="宋体" w:eastAsia="宋体" w:hint="default"/>
          <w:spacing w:val="-2"/>
        </w:rPr>
        <w:t>12</w:t>
      </w:r>
      <w:r>
        <w:rPr>
          <w:spacing w:val="-2"/>
        </w:rPr>
        <w:t>、副总裁王昊先生，硕士研究生学历，民建会员，</w:t>
      </w:r>
      <w:r>
        <w:rPr>
          <w:rFonts w:ascii="宋体" w:hAnsi="宋体" w:cs="宋体" w:eastAsia="宋体" w:hint="default"/>
          <w:spacing w:val="-2"/>
        </w:rPr>
        <w:t>2009</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2013</w:t>
      </w:r>
      <w:r>
        <w:rPr>
          <w:spacing w:val="-2"/>
        </w:rPr>
        <w:t>年</w:t>
      </w:r>
      <w:r>
        <w:rPr>
          <w:rFonts w:ascii="宋体" w:hAnsi="宋体" w:cs="宋体" w:eastAsia="宋体" w:hint="default"/>
          <w:spacing w:val="-2"/>
        </w:rPr>
        <w:t>3</w:t>
      </w:r>
      <w:r>
        <w:rPr>
          <w:spacing w:val="-2"/>
        </w:rPr>
        <w:t>月任中国电信股份有限公司</w:t>
      </w:r>
      <w:r>
        <w:rPr>
          <w:w w:val="100"/>
        </w:rPr>
        <w:t> </w:t>
      </w:r>
      <w:r>
        <w:rPr>
          <w:spacing w:val="-2"/>
        </w:rPr>
        <w:t>江苏分公司无线网络中心</w:t>
      </w:r>
      <w:r>
        <w:rPr>
          <w:rFonts w:ascii="宋体" w:hAnsi="宋体" w:cs="宋体" w:eastAsia="宋体" w:hint="default"/>
          <w:spacing w:val="-2"/>
        </w:rPr>
        <w:t>WIFI</w:t>
      </w:r>
      <w:r>
        <w:rPr>
          <w:spacing w:val="-2"/>
        </w:rPr>
        <w:t>主管、工程师；</w:t>
      </w:r>
      <w:r>
        <w:rPr>
          <w:rFonts w:ascii="宋体" w:hAnsi="宋体" w:cs="宋体" w:eastAsia="宋体" w:hint="default"/>
          <w:spacing w:val="-2"/>
        </w:rPr>
        <w:t>2013</w:t>
      </w:r>
      <w:r>
        <w:rPr>
          <w:spacing w:val="-2"/>
        </w:rPr>
        <w:t>年</w:t>
      </w:r>
      <w:r>
        <w:rPr>
          <w:rFonts w:ascii="宋体" w:hAnsi="宋体" w:cs="宋体" w:eastAsia="宋体" w:hint="default"/>
          <w:spacing w:val="-2"/>
        </w:rPr>
        <w:t>3</w:t>
      </w:r>
      <w:r>
        <w:rPr>
          <w:spacing w:val="-2"/>
        </w:rPr>
        <w:t>月至</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月任中国电信股份有限公司江苏分公司</w:t>
      </w:r>
      <w:r>
        <w:rPr>
          <w:spacing w:val="-22"/>
        </w:rPr>
        <w:t> </w:t>
      </w:r>
      <w:r>
        <w:rPr>
          <w:spacing w:val="-22"/>
        </w:rPr>
      </w:r>
      <w:r>
        <w:rPr/>
        <w:t>江苏号百</w:t>
      </w:r>
      <w:r>
        <w:rPr>
          <w:rFonts w:ascii="宋体" w:hAnsi="宋体" w:cs="宋体" w:eastAsia="宋体" w:hint="default"/>
        </w:rPr>
        <w:t>WiFi</w:t>
      </w:r>
      <w:r>
        <w:rPr/>
        <w:t>运营中心负责人；</w:t>
      </w:r>
      <w:r>
        <w:rPr>
          <w:rFonts w:ascii="宋体" w:hAnsi="宋体" w:cs="宋体" w:eastAsia="宋体" w:hint="default"/>
        </w:rPr>
        <w:t>2015</w:t>
      </w:r>
      <w:r>
        <w:rPr/>
        <w:t>年</w:t>
      </w:r>
      <w:r>
        <w:rPr>
          <w:rFonts w:ascii="宋体" w:hAnsi="宋体" w:cs="宋体" w:eastAsia="宋体" w:hint="default"/>
        </w:rPr>
        <w:t>4</w:t>
      </w:r>
      <w:r>
        <w:rPr/>
        <w:t>月至</w:t>
      </w:r>
      <w:r>
        <w:rPr>
          <w:rFonts w:ascii="宋体" w:hAnsi="宋体" w:cs="宋体" w:eastAsia="宋体" w:hint="default"/>
        </w:rPr>
        <w:t>2017</w:t>
      </w:r>
      <w:r>
        <w:rPr/>
        <w:t>年</w:t>
      </w:r>
      <w:r>
        <w:rPr>
          <w:rFonts w:ascii="宋体" w:hAnsi="宋体" w:cs="宋体" w:eastAsia="宋体" w:hint="default"/>
        </w:rPr>
        <w:t>3</w:t>
      </w:r>
      <w:r>
        <w:rPr/>
        <w:t>月任中国电信集团号百新媒体部运营总监；</w:t>
      </w:r>
      <w:r>
        <w:rPr>
          <w:rFonts w:ascii="宋体" w:hAnsi="宋体" w:cs="宋体" w:eastAsia="宋体" w:hint="default"/>
        </w:rPr>
        <w:t>2017</w:t>
      </w:r>
      <w:r>
        <w:rPr/>
        <w:t>年</w:t>
      </w:r>
      <w:r>
        <w:rPr>
          <w:rFonts w:ascii="宋体" w:hAnsi="宋体" w:cs="宋体" w:eastAsia="宋体" w:hint="default"/>
        </w:rPr>
        <w:t>3</w:t>
      </w:r>
      <w:r>
        <w:rPr>
          <w:rFonts w:ascii="宋体" w:hAnsi="宋体" w:cs="宋体" w:eastAsia="宋体" w:hint="default"/>
          <w:spacing w:val="-30"/>
        </w:rPr>
        <w:t> </w:t>
      </w:r>
      <w:r>
        <w:rPr/>
        <w:t>月至</w:t>
      </w:r>
      <w:r>
        <w:rPr>
          <w:rFonts w:ascii="宋体" w:hAnsi="宋体" w:cs="宋体" w:eastAsia="宋体" w:hint="default"/>
        </w:rPr>
        <w:t>2017</w:t>
      </w:r>
      <w:r>
        <w:rPr/>
        <w:t>年</w:t>
      </w:r>
      <w:r>
        <w:rPr>
          <w:rFonts w:ascii="宋体" w:hAnsi="宋体" w:cs="宋体" w:eastAsia="宋体" w:hint="default"/>
        </w:rPr>
        <w:t>11</w:t>
      </w:r>
      <w:r>
        <w:rPr/>
        <w:t>月任中国电信集团号百大数据应用信息服务部产品运营中心总经理；</w:t>
      </w:r>
      <w:r>
        <w:rPr>
          <w:rFonts w:ascii="宋体" w:hAnsi="宋体" w:cs="宋体" w:eastAsia="宋体" w:hint="default"/>
        </w:rPr>
        <w:t>2017</w:t>
      </w:r>
      <w:r>
        <w:rPr/>
        <w:t>年</w:t>
      </w:r>
      <w:r>
        <w:rPr>
          <w:rFonts w:ascii="宋体" w:hAnsi="宋体" w:cs="宋体" w:eastAsia="宋体" w:hint="default"/>
        </w:rPr>
        <w:t>12</w:t>
      </w:r>
      <w:r>
        <w:rPr/>
        <w:t>月至</w:t>
      </w:r>
      <w:r>
        <w:rPr>
          <w:rFonts w:ascii="宋体" w:hAnsi="宋体" w:cs="宋体" w:eastAsia="宋体" w:hint="default"/>
        </w:rPr>
        <w:t>2019</w:t>
      </w:r>
      <w:r>
        <w:rPr/>
        <w:t>年</w:t>
      </w:r>
      <w:r>
        <w:rPr>
          <w:rFonts w:ascii="宋体" w:hAnsi="宋体" w:cs="宋体" w:eastAsia="宋体" w:hint="default"/>
        </w:rPr>
        <w:t>3</w:t>
      </w:r>
      <w:r>
        <w:rPr>
          <w:rFonts w:ascii="宋体" w:hAnsi="宋体" w:cs="宋体" w:eastAsia="宋体" w:hint="default"/>
          <w:spacing w:val="-28"/>
        </w:rPr>
        <w:t> </w:t>
      </w:r>
      <w:r>
        <w:rPr/>
        <w:t>月任光一科技投资部总监，目前，担任光一科技副总裁。</w:t>
      </w:r>
    </w:p>
    <w:p>
      <w:pPr>
        <w:pStyle w:val="BodyText"/>
        <w:spacing w:line="240" w:lineRule="auto" w:before="48"/>
        <w:ind w:left="575" w:right="1024"/>
        <w:jc w:val="left"/>
      </w:pPr>
      <w:r>
        <w:rPr>
          <w:rFonts w:ascii="宋体" w:hAnsi="宋体" w:cs="宋体" w:eastAsia="宋体" w:hint="default"/>
          <w:w w:val="100"/>
        </w:rPr>
        <w:t>13</w:t>
      </w:r>
      <w:r>
        <w:rPr>
          <w:spacing w:val="-20"/>
          <w:w w:val="100"/>
        </w:rPr>
        <w:t>、</w:t>
      </w:r>
      <w:r>
        <w:rPr>
          <w:w w:val="100"/>
        </w:rPr>
        <w:t>财</w:t>
      </w:r>
      <w:r>
        <w:rPr>
          <w:spacing w:val="-5"/>
          <w:w w:val="100"/>
        </w:rPr>
        <w:t>务</w:t>
      </w:r>
      <w:r>
        <w:rPr>
          <w:w w:val="100"/>
        </w:rPr>
        <w:t>总监佟</w:t>
      </w:r>
      <w:r>
        <w:rPr>
          <w:spacing w:val="-5"/>
          <w:w w:val="100"/>
        </w:rPr>
        <w:t>岩</w:t>
      </w:r>
      <w:r>
        <w:rPr>
          <w:w w:val="100"/>
        </w:rPr>
        <w:t>先</w:t>
      </w:r>
      <w:r>
        <w:rPr>
          <w:spacing w:val="-5"/>
          <w:w w:val="100"/>
        </w:rPr>
        <w:t>生</w:t>
      </w:r>
      <w:r>
        <w:rPr>
          <w:spacing w:val="-19"/>
          <w:w w:val="100"/>
        </w:rPr>
        <w:t>，</w:t>
      </w:r>
      <w:r>
        <w:rPr>
          <w:rFonts w:ascii="宋体" w:hAnsi="宋体" w:cs="宋体" w:eastAsia="宋体" w:hint="default"/>
          <w:w w:val="100"/>
        </w:rPr>
        <w:t>2010</w:t>
      </w:r>
      <w:r>
        <w:rPr>
          <w:spacing w:val="-5"/>
          <w:w w:val="100"/>
        </w:rPr>
        <w:t>年</w:t>
      </w:r>
      <w:r>
        <w:rPr>
          <w:w w:val="100"/>
        </w:rPr>
        <w:t>毕业于</w:t>
      </w:r>
      <w:r>
        <w:rPr>
          <w:spacing w:val="-5"/>
          <w:w w:val="100"/>
        </w:rPr>
        <w:t>东</w:t>
      </w:r>
      <w:r>
        <w:rPr>
          <w:w w:val="100"/>
        </w:rPr>
        <w:t>南大</w:t>
      </w:r>
      <w:r>
        <w:rPr>
          <w:spacing w:val="1"/>
          <w:w w:val="100"/>
        </w:rPr>
        <w:t>学</w:t>
      </w:r>
      <w:r>
        <w:rPr>
          <w:rFonts w:ascii="宋体" w:hAnsi="宋体" w:cs="宋体" w:eastAsia="宋体" w:hint="default"/>
          <w:w w:val="100"/>
        </w:rPr>
        <w:t>M</w:t>
      </w:r>
      <w:r>
        <w:rPr>
          <w:rFonts w:ascii="宋体" w:hAnsi="宋体" w:cs="宋体" w:eastAsia="宋体" w:hint="default"/>
          <w:spacing w:val="-5"/>
          <w:w w:val="100"/>
        </w:rPr>
        <w:t>B</w:t>
      </w:r>
      <w:r>
        <w:rPr>
          <w:rFonts w:ascii="宋体" w:hAnsi="宋体" w:cs="宋体" w:eastAsia="宋体" w:hint="default"/>
          <w:w w:val="100"/>
        </w:rPr>
        <w:t>A</w:t>
      </w:r>
      <w:r>
        <w:rPr>
          <w:spacing w:val="-25"/>
          <w:w w:val="100"/>
        </w:rPr>
        <w:t>，</w:t>
      </w:r>
      <w:r>
        <w:rPr>
          <w:w w:val="100"/>
        </w:rPr>
        <w:t>硕士研究</w:t>
      </w:r>
      <w:r>
        <w:rPr>
          <w:spacing w:val="-5"/>
          <w:w w:val="100"/>
        </w:rPr>
        <w:t>生</w:t>
      </w:r>
      <w:r>
        <w:rPr>
          <w:w w:val="100"/>
        </w:rPr>
        <w:t>学历</w:t>
      </w:r>
      <w:r>
        <w:rPr>
          <w:spacing w:val="-25"/>
          <w:w w:val="100"/>
        </w:rPr>
        <w:t>，</w:t>
      </w:r>
      <w:r>
        <w:rPr>
          <w:w w:val="100"/>
        </w:rPr>
        <w:t>注册会</w:t>
      </w:r>
      <w:r>
        <w:rPr>
          <w:spacing w:val="-5"/>
          <w:w w:val="100"/>
        </w:rPr>
        <w:t>计</w:t>
      </w:r>
      <w:r>
        <w:rPr>
          <w:spacing w:val="-20"/>
          <w:w w:val="100"/>
        </w:rPr>
        <w:t>师</w:t>
      </w:r>
      <w:r>
        <w:rPr>
          <w:spacing w:val="-4"/>
          <w:w w:val="100"/>
        </w:rPr>
        <w:t>（</w:t>
      </w:r>
      <w:r>
        <w:rPr>
          <w:rFonts w:ascii="宋体" w:hAnsi="宋体" w:cs="宋体" w:eastAsia="宋体" w:hint="default"/>
          <w:w w:val="100"/>
        </w:rPr>
        <w:t>CPA</w:t>
      </w:r>
      <w:r>
        <w:rPr>
          <w:spacing w:val="-111"/>
          <w:w w:val="100"/>
        </w:rPr>
        <w:t>）</w:t>
      </w:r>
      <w:r>
        <w:rPr>
          <w:spacing w:val="-20"/>
          <w:w w:val="100"/>
        </w:rPr>
        <w:t>、</w:t>
      </w:r>
      <w:r>
        <w:rPr>
          <w:w w:val="100"/>
        </w:rPr>
        <w:t>会计</w:t>
      </w:r>
      <w:r>
        <w:rPr>
          <w:spacing w:val="-5"/>
          <w:w w:val="100"/>
        </w:rPr>
        <w:t>师</w:t>
      </w:r>
      <w:r>
        <w:rPr>
          <w:w w:val="100"/>
        </w:rPr>
        <w:t>。</w:t>
      </w:r>
    </w:p>
    <w:p>
      <w:pPr>
        <w:spacing w:line="240" w:lineRule="auto" w:before="8"/>
        <w:rPr>
          <w:rFonts w:ascii="宋体" w:hAnsi="宋体" w:cs="宋体" w:eastAsia="宋体" w:hint="default"/>
          <w:sz w:val="14"/>
          <w:szCs w:val="14"/>
        </w:rPr>
      </w:pPr>
    </w:p>
    <w:p>
      <w:pPr>
        <w:pStyle w:val="BodyText"/>
        <w:spacing w:line="408" w:lineRule="auto"/>
        <w:ind w:right="1024"/>
        <w:jc w:val="left"/>
      </w:pPr>
      <w:r>
        <w:rPr>
          <w:rFonts w:ascii="宋体" w:hAnsi="宋体" w:cs="宋体" w:eastAsia="宋体" w:hint="default"/>
        </w:rPr>
        <w:t>2006</w:t>
      </w:r>
      <w:r>
        <w:rPr/>
        <w:t>年</w:t>
      </w:r>
      <w:r>
        <w:rPr>
          <w:rFonts w:ascii="宋体" w:hAnsi="宋体" w:cs="宋体" w:eastAsia="宋体" w:hint="default"/>
        </w:rPr>
        <w:t>1</w:t>
      </w:r>
      <w:r>
        <w:rPr/>
        <w:t>月至</w:t>
      </w:r>
      <w:r>
        <w:rPr>
          <w:rFonts w:ascii="宋体" w:hAnsi="宋体" w:cs="宋体" w:eastAsia="宋体" w:hint="default"/>
        </w:rPr>
        <w:t>2011</w:t>
      </w:r>
      <w:r>
        <w:rPr/>
        <w:t>年</w:t>
      </w:r>
      <w:r>
        <w:rPr>
          <w:rFonts w:ascii="宋体" w:hAnsi="宋体" w:cs="宋体" w:eastAsia="宋体" w:hint="default"/>
        </w:rPr>
        <w:t>10</w:t>
      </w:r>
      <w:r>
        <w:rPr/>
        <w:t>月，任金陵帝斯曼树脂有限公司财务总监；</w:t>
      </w:r>
      <w:r>
        <w:rPr>
          <w:rFonts w:ascii="宋体" w:hAnsi="宋体" w:cs="宋体" w:eastAsia="宋体" w:hint="default"/>
        </w:rPr>
        <w:t>2011</w:t>
      </w:r>
      <w:r>
        <w:rPr/>
        <w:t>年</w:t>
      </w:r>
      <w:r>
        <w:rPr>
          <w:rFonts w:ascii="宋体" w:hAnsi="宋体" w:cs="宋体" w:eastAsia="宋体" w:hint="default"/>
        </w:rPr>
        <w:t>11</w:t>
      </w:r>
      <w:r>
        <w:rPr/>
        <w:t>月至</w:t>
      </w:r>
      <w:r>
        <w:rPr>
          <w:rFonts w:ascii="宋体" w:hAnsi="宋体" w:cs="宋体" w:eastAsia="宋体" w:hint="default"/>
        </w:rPr>
        <w:t>2015</w:t>
      </w:r>
      <w:r>
        <w:rPr/>
        <w:t>年</w:t>
      </w:r>
      <w:r>
        <w:rPr>
          <w:rFonts w:ascii="宋体" w:hAnsi="宋体" w:cs="宋体" w:eastAsia="宋体" w:hint="default"/>
        </w:rPr>
        <w:t>11</w:t>
      </w:r>
      <w:r>
        <w:rPr/>
        <w:t>月任江苏中铁奥</w:t>
      </w:r>
      <w:r>
        <w:rPr>
          <w:spacing w:val="-30"/>
        </w:rPr>
        <w:t> </w:t>
      </w:r>
      <w:r>
        <w:rPr>
          <w:spacing w:val="-30"/>
        </w:rPr>
      </w:r>
      <w:r>
        <w:rPr>
          <w:spacing w:val="-2"/>
        </w:rPr>
        <w:t>莱特新材料股份有限公司财务总监；</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月至</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月任江苏瑞华投资控股集团有限公司财务总监，</w:t>
      </w:r>
      <w:r>
        <w:rPr>
          <w:spacing w:val="-24"/>
        </w:rPr>
        <w:t> </w:t>
      </w:r>
      <w:r>
        <w:rPr>
          <w:spacing w:val="-24"/>
        </w:rPr>
      </w:r>
      <w:r>
        <w:rPr>
          <w:rFonts w:ascii="宋体" w:hAnsi="宋体" w:cs="宋体" w:eastAsia="宋体" w:hint="default"/>
        </w:rPr>
        <w:t>2019</w:t>
      </w:r>
      <w:r>
        <w:rPr/>
        <w:t>年</w:t>
      </w:r>
      <w:r>
        <w:rPr>
          <w:rFonts w:ascii="宋体" w:hAnsi="宋体" w:cs="宋体" w:eastAsia="宋体" w:hint="default"/>
        </w:rPr>
        <w:t>3</w:t>
      </w:r>
      <w:r>
        <w:rPr/>
        <w:t>月入职公司财务部，</w:t>
      </w:r>
      <w:r>
        <w:rPr>
          <w:rFonts w:ascii="宋体" w:hAnsi="宋体" w:cs="宋体" w:eastAsia="宋体" w:hint="default"/>
        </w:rPr>
        <w:t>7</w:t>
      </w:r>
      <w:r>
        <w:rPr/>
        <w:t>月</w:t>
      </w:r>
      <w:r>
        <w:rPr>
          <w:rFonts w:ascii="宋体" w:hAnsi="宋体" w:cs="宋体" w:eastAsia="宋体" w:hint="default"/>
        </w:rPr>
        <w:t>1</w:t>
      </w:r>
      <w:r>
        <w:rPr/>
        <w:t>日担任财务总监。</w:t>
      </w:r>
    </w:p>
    <w:p>
      <w:pPr>
        <w:pStyle w:val="BodyText"/>
        <w:spacing w:line="240" w:lineRule="auto" w:before="49"/>
        <w:ind w:right="1024"/>
        <w:jc w:val="left"/>
      </w:pPr>
      <w:r>
        <w:rPr/>
        <w:t>在股东单位任职情况</w:t>
      </w:r>
    </w:p>
    <w:p>
      <w:pPr>
        <w:spacing w:line="240" w:lineRule="auto" w:before="8"/>
        <w:rPr>
          <w:rFonts w:ascii="宋体" w:hAnsi="宋体" w:cs="宋体" w:eastAsia="宋体" w:hint="default"/>
          <w:sz w:val="14"/>
          <w:szCs w:val="14"/>
        </w:rPr>
      </w:pPr>
    </w:p>
    <w:p>
      <w:pPr>
        <w:pStyle w:val="BodyText"/>
        <w:spacing w:line="240" w:lineRule="auto"/>
        <w:ind w:right="1024"/>
        <w:jc w:val="left"/>
      </w:pPr>
      <w:r>
        <w:rPr/>
        <w:t>√ 适用 □</w:t>
      </w:r>
      <w:r>
        <w:rPr>
          <w:spacing w:val="4"/>
        </w:rPr>
        <w:t> </w:t>
      </w:r>
      <w:r>
        <w:rPr/>
        <w:t>不适用</w:t>
      </w:r>
    </w:p>
    <w:p>
      <w:pPr>
        <w:spacing w:line="240" w:lineRule="auto" w:before="11"/>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201"/>
        <w:gridCol w:w="3193"/>
        <w:gridCol w:w="1061"/>
        <w:gridCol w:w="1715"/>
        <w:gridCol w:w="816"/>
        <w:gridCol w:w="1585"/>
      </w:tblGrid>
      <w:tr>
        <w:trPr>
          <w:trHeight w:val="1037" w:hRule="exact"/>
        </w:trPr>
        <w:tc>
          <w:tcPr>
            <w:tcW w:w="120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99" w:right="137" w:hanging="360"/>
              <w:jc w:val="left"/>
              <w:rPr>
                <w:rFonts w:ascii="宋体" w:hAnsi="宋体" w:cs="宋体" w:eastAsia="宋体" w:hint="default"/>
                <w:sz w:val="18"/>
                <w:szCs w:val="18"/>
              </w:rPr>
            </w:pPr>
            <w:r>
              <w:rPr>
                <w:rFonts w:ascii="宋体" w:hAnsi="宋体" w:cs="宋体" w:eastAsia="宋体" w:hint="default"/>
                <w:sz w:val="18"/>
                <w:szCs w:val="18"/>
              </w:rPr>
              <w:t>任职人员姓</w:t>
            </w:r>
            <w:r>
              <w:rPr>
                <w:rFonts w:ascii="宋体" w:hAnsi="宋体" w:cs="宋体" w:eastAsia="宋体" w:hint="default"/>
                <w:w w:val="101"/>
                <w:sz w:val="18"/>
                <w:szCs w:val="18"/>
              </w:rPr>
              <w:t> </w:t>
            </w:r>
            <w:r>
              <w:rPr>
                <w:rFonts w:ascii="宋体" w:hAnsi="宋体" w:cs="宋体" w:eastAsia="宋体" w:hint="default"/>
                <w:sz w:val="18"/>
                <w:szCs w:val="18"/>
              </w:rPr>
              <w:t>名</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63" w:right="161"/>
              <w:jc w:val="center"/>
              <w:rPr>
                <w:rFonts w:ascii="宋体" w:hAnsi="宋体" w:cs="宋体" w:eastAsia="宋体" w:hint="default"/>
                <w:sz w:val="18"/>
                <w:szCs w:val="18"/>
              </w:rPr>
            </w:pPr>
            <w:r>
              <w:rPr>
                <w:rFonts w:ascii="宋体" w:hAnsi="宋体" w:cs="宋体" w:eastAsia="宋体" w:hint="default"/>
                <w:spacing w:val="-2"/>
                <w:sz w:val="18"/>
                <w:szCs w:val="18"/>
              </w:rPr>
              <w:t>在股东单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位担任的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职务</w:t>
            </w:r>
          </w:p>
        </w:tc>
        <w:tc>
          <w:tcPr>
            <w:tcW w:w="171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8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34" w:right="127"/>
              <w:jc w:val="left"/>
              <w:rPr>
                <w:rFonts w:ascii="宋体" w:hAnsi="宋体" w:cs="宋体" w:eastAsia="宋体" w:hint="default"/>
                <w:sz w:val="18"/>
                <w:szCs w:val="18"/>
              </w:rPr>
            </w:pPr>
            <w:r>
              <w:rPr>
                <w:rFonts w:ascii="宋体" w:hAnsi="宋体" w:cs="宋体" w:eastAsia="宋体" w:hint="default"/>
                <w:sz w:val="18"/>
                <w:szCs w:val="18"/>
              </w:rPr>
              <w:t>任期终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止日期</w:t>
            </w:r>
          </w:p>
        </w:tc>
        <w:tc>
          <w:tcPr>
            <w:tcW w:w="1585"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4" w:right="142" w:hanging="87"/>
              <w:jc w:val="left"/>
              <w:rPr>
                <w:rFonts w:ascii="宋体" w:hAnsi="宋体" w:cs="宋体" w:eastAsia="宋体" w:hint="default"/>
                <w:sz w:val="18"/>
                <w:szCs w:val="18"/>
              </w:rPr>
            </w:pPr>
            <w:r>
              <w:rPr>
                <w:rFonts w:ascii="宋体" w:hAnsi="宋体" w:cs="宋体" w:eastAsia="宋体" w:hint="default"/>
                <w:spacing w:val="-3"/>
                <w:sz w:val="18"/>
                <w:szCs w:val="18"/>
              </w:rPr>
              <w:t>在股东单位是否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715"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江苏光一投资管理有限责任公司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223"/>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兼总经理</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朱云飞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江苏光一投资管理有限责任公司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25" w:hRule="exact"/>
        </w:trPr>
        <w:tc>
          <w:tcPr>
            <w:tcW w:w="120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任昌兆</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湖北乾瀚投资有限公司</w:t>
            </w:r>
          </w:p>
        </w:tc>
        <w:tc>
          <w:tcPr>
            <w:tcW w:w="1061" w:type="dxa"/>
            <w:tcBorders>
              <w:top w:val="single" w:sz="4" w:space="0" w:color="000000"/>
              <w:left w:val="single" w:sz="4" w:space="0" w:color="000000"/>
              <w:bottom w:val="single" w:sz="12" w:space="0" w:color="000000"/>
              <w:right w:val="single" w:sz="4" w:space="0" w:color="000000"/>
            </w:tcBorders>
          </w:tcPr>
          <w:p>
            <w:pPr>
              <w:pStyle w:val="TableParagraph"/>
              <w:spacing w:line="324" w:lineRule="auto" w:before="53"/>
              <w:ind w:left="100" w:right="41"/>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经理</w:t>
            </w:r>
          </w:p>
        </w:tc>
        <w:tc>
          <w:tcPr>
            <w:tcW w:w="17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816" w:type="dxa"/>
            <w:tcBorders>
              <w:top w:val="single" w:sz="4" w:space="0" w:color="000000"/>
              <w:left w:val="single" w:sz="4" w:space="0" w:color="000000"/>
              <w:bottom w:val="single" w:sz="12" w:space="0" w:color="000000"/>
              <w:right w:val="single" w:sz="4" w:space="0" w:color="000000"/>
            </w:tcBorders>
          </w:tcPr>
          <w:p>
            <w:pPr/>
          </w:p>
        </w:tc>
        <w:tc>
          <w:tcPr>
            <w:tcW w:w="15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66"/>
        <w:ind w:right="1024"/>
        <w:jc w:val="left"/>
      </w:pPr>
      <w:r>
        <w:rPr/>
        <w:t>在其他单位任职情况</w:t>
      </w:r>
    </w:p>
    <w:p>
      <w:pPr>
        <w:spacing w:after="0" w:line="240" w:lineRule="auto"/>
        <w:jc w:val="left"/>
        <w:sectPr>
          <w:footerReference w:type="default" r:id="rId15"/>
          <w:pgSz w:w="11910" w:h="16840"/>
          <w:pgMar w:footer="1037" w:header="871" w:top="1100" w:bottom="1220" w:left="980" w:right="0"/>
          <w:pgNumType w:start="63"/>
        </w:sectPr>
      </w:pPr>
    </w:p>
    <w:p>
      <w:pPr>
        <w:spacing w:line="240" w:lineRule="auto" w:before="12"/>
        <w:rPr>
          <w:rFonts w:ascii="宋体" w:hAnsi="宋体" w:cs="宋体" w:eastAsia="宋体" w:hint="default"/>
          <w:sz w:val="26"/>
          <w:szCs w:val="26"/>
        </w:rPr>
      </w:pPr>
    </w:p>
    <w:p>
      <w:pPr>
        <w:pStyle w:val="BodyText"/>
        <w:spacing w:line="240" w:lineRule="auto" w:before="36"/>
        <w:ind w:right="1024"/>
        <w:jc w:val="left"/>
      </w:pPr>
      <w:r>
        <w:rPr/>
        <w:t>√ 适用 □</w:t>
      </w:r>
      <w:r>
        <w:rPr>
          <w:spacing w:val="4"/>
        </w:rPr>
        <w:t> </w:t>
      </w:r>
      <w:r>
        <w:rPr/>
        <w:t>不适用</w:t>
      </w:r>
    </w:p>
    <w:p>
      <w:pPr>
        <w:spacing w:line="240" w:lineRule="auto" w:before="9"/>
        <w:rPr>
          <w:rFonts w:ascii="宋体" w:hAnsi="宋体" w:cs="宋体" w:eastAsia="宋体" w:hint="default"/>
          <w:sz w:val="9"/>
          <w:szCs w:val="9"/>
        </w:rPr>
      </w:pPr>
    </w:p>
    <w:tbl>
      <w:tblPr>
        <w:tblW w:w="0" w:type="auto"/>
        <w:jc w:val="left"/>
        <w:tblInd w:w="138" w:type="dxa"/>
        <w:tblLayout w:type="fixed"/>
        <w:tblCellMar>
          <w:top w:w="0" w:type="dxa"/>
          <w:left w:w="0" w:type="dxa"/>
          <w:bottom w:w="0" w:type="dxa"/>
          <w:right w:w="0" w:type="dxa"/>
        </w:tblCellMar>
        <w:tblLook w:val="01E0"/>
      </w:tblPr>
      <w:tblGrid>
        <w:gridCol w:w="1201"/>
        <w:gridCol w:w="2862"/>
        <w:gridCol w:w="1392"/>
        <w:gridCol w:w="1743"/>
        <w:gridCol w:w="778"/>
        <w:gridCol w:w="1594"/>
      </w:tblGrid>
      <w:tr>
        <w:trPr>
          <w:trHeight w:val="723" w:hRule="exact"/>
        </w:trPr>
        <w:tc>
          <w:tcPr>
            <w:tcW w:w="120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6"/>
              <w:ind w:left="499" w:right="137" w:hanging="360"/>
              <w:jc w:val="left"/>
              <w:rPr>
                <w:rFonts w:ascii="宋体" w:hAnsi="宋体" w:cs="宋体" w:eastAsia="宋体" w:hint="default"/>
                <w:sz w:val="18"/>
                <w:szCs w:val="18"/>
              </w:rPr>
            </w:pPr>
            <w:r>
              <w:rPr>
                <w:rFonts w:ascii="宋体" w:hAnsi="宋体" w:cs="宋体" w:eastAsia="宋体" w:hint="default"/>
                <w:sz w:val="18"/>
                <w:szCs w:val="18"/>
              </w:rPr>
              <w:t>任职人员姓</w:t>
            </w:r>
            <w:r>
              <w:rPr>
                <w:rFonts w:ascii="宋体" w:hAnsi="宋体" w:cs="宋体" w:eastAsia="宋体" w:hint="default"/>
                <w:w w:val="101"/>
                <w:sz w:val="18"/>
                <w:szCs w:val="18"/>
              </w:rPr>
              <w:t> </w:t>
            </w:r>
            <w:r>
              <w:rPr>
                <w:rFonts w:ascii="宋体" w:hAnsi="宋体" w:cs="宋体" w:eastAsia="宋体" w:hint="default"/>
                <w:sz w:val="18"/>
                <w:szCs w:val="18"/>
              </w:rPr>
              <w:t>名</w:t>
            </w:r>
          </w:p>
        </w:tc>
        <w:tc>
          <w:tcPr>
            <w:tcW w:w="286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39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31" w:right="142" w:hanging="178"/>
              <w:jc w:val="left"/>
              <w:rPr>
                <w:rFonts w:ascii="宋体" w:hAnsi="宋体" w:cs="宋体" w:eastAsia="宋体" w:hint="default"/>
                <w:sz w:val="18"/>
                <w:szCs w:val="18"/>
              </w:rPr>
            </w:pPr>
            <w:r>
              <w:rPr>
                <w:rFonts w:ascii="宋体" w:hAnsi="宋体" w:cs="宋体" w:eastAsia="宋体" w:hint="default"/>
                <w:spacing w:val="-2"/>
                <w:sz w:val="18"/>
                <w:szCs w:val="18"/>
              </w:rPr>
              <w:t>在其他单位担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任的职务</w:t>
            </w:r>
          </w:p>
        </w:tc>
        <w:tc>
          <w:tcPr>
            <w:tcW w:w="174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77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5" w:right="108"/>
              <w:jc w:val="left"/>
              <w:rPr>
                <w:rFonts w:ascii="宋体" w:hAnsi="宋体" w:cs="宋体" w:eastAsia="宋体" w:hint="default"/>
                <w:sz w:val="18"/>
                <w:szCs w:val="18"/>
              </w:rPr>
            </w:pPr>
            <w:r>
              <w:rPr>
                <w:rFonts w:ascii="宋体" w:hAnsi="宋体" w:cs="宋体" w:eastAsia="宋体" w:hint="default"/>
                <w:sz w:val="18"/>
                <w:szCs w:val="18"/>
              </w:rPr>
              <w:t>任期终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止日期</w:t>
            </w:r>
          </w:p>
        </w:tc>
        <w:tc>
          <w:tcPr>
            <w:tcW w:w="159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56"/>
              <w:ind w:left="254" w:right="147" w:hanging="92"/>
              <w:jc w:val="left"/>
              <w:rPr>
                <w:rFonts w:ascii="宋体" w:hAnsi="宋体" w:cs="宋体" w:eastAsia="宋体" w:hint="default"/>
                <w:sz w:val="18"/>
                <w:szCs w:val="18"/>
              </w:rPr>
            </w:pPr>
            <w:r>
              <w:rPr>
                <w:rFonts w:ascii="宋体" w:hAnsi="宋体" w:cs="宋体" w:eastAsia="宋体" w:hint="default"/>
                <w:spacing w:val="-3"/>
                <w:sz w:val="18"/>
                <w:szCs w:val="18"/>
              </w:rPr>
              <w:t>在其他单位是否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江苏苏源光一科技有限公司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pacing w:val="-3"/>
                <w:sz w:val="18"/>
                <w:szCs w:val="18"/>
              </w:rPr>
              <w:t>南京云商天下信息技术有限公司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贵州贵银投资有限公司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pacing w:val="-3"/>
                <w:sz w:val="18"/>
                <w:szCs w:val="18"/>
              </w:rPr>
              <w:t>天擎华媒（北京）科技有限公司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pacing w:val="-3"/>
                <w:sz w:val="18"/>
                <w:szCs w:val="18"/>
              </w:rPr>
              <w:t>南京智友尚云信息技术有限公司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65" w:right="157" w:hanging="898"/>
              <w:jc w:val="left"/>
              <w:rPr>
                <w:rFonts w:ascii="宋体" w:hAnsi="宋体" w:cs="宋体" w:eastAsia="宋体" w:hint="default"/>
                <w:sz w:val="18"/>
                <w:szCs w:val="18"/>
              </w:rPr>
            </w:pPr>
            <w:r>
              <w:rPr>
                <w:rFonts w:ascii="宋体" w:hAnsi="宋体" w:cs="宋体" w:eastAsia="宋体" w:hint="default"/>
                <w:spacing w:val="-3"/>
                <w:sz w:val="18"/>
                <w:szCs w:val="18"/>
              </w:rPr>
              <w:t>江苏光一贵仁股权投资基金管理</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pacing w:val="-3"/>
                <w:sz w:val="18"/>
                <w:szCs w:val="18"/>
              </w:rPr>
              <w:t>中云文化大数据科技有限公司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pacing w:val="-3"/>
                <w:sz w:val="18"/>
                <w:szCs w:val="18"/>
              </w:rPr>
              <w:t>江苏光一德能电气工程有限公司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鼎一科技有限公司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江苏数道科技有限公司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江苏黔首网络科技有限公司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江苏光一环保工程有限公司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pacing w:val="-3"/>
                <w:sz w:val="18"/>
                <w:szCs w:val="18"/>
              </w:rPr>
              <w:t>南京建盈鸿亿科技发展有限公司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王海俊</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江苏苏源光一科技有限公司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王海俊</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pacing w:val="-3"/>
                <w:sz w:val="18"/>
                <w:szCs w:val="18"/>
              </w:rPr>
              <w:t>南京云商天下信息技术有限公司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王海俊</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王海俊</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pacing w:val="-3"/>
                <w:sz w:val="18"/>
                <w:szCs w:val="18"/>
              </w:rPr>
              <w:t>江苏德能电力设计咨询有限公司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戴晓东</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江苏苏源光一科技有限公司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戴晓东</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武汉睿博电气有限责任公司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戴晓东</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spacing w:val="-87"/>
                <w:w w:val="101"/>
                <w:sz w:val="18"/>
                <w:szCs w:val="18"/>
              </w:rPr>
              <w:t>、</w:t>
            </w:r>
            <w:r>
              <w:rPr>
                <w:rFonts w:ascii="宋体" w:hAnsi="宋体" w:cs="宋体" w:eastAsia="宋体" w:hint="default"/>
                <w:w w:val="101"/>
                <w:sz w:val="18"/>
                <w:szCs w:val="18"/>
              </w:rPr>
              <w:t>副</w:t>
            </w:r>
            <w:r>
              <w:rPr>
                <w:rFonts w:ascii="宋体" w:hAnsi="宋体" w:cs="宋体" w:eastAsia="宋体" w:hint="default"/>
                <w:spacing w:val="-5"/>
                <w:w w:val="101"/>
                <w:sz w:val="18"/>
                <w:szCs w:val="18"/>
              </w:rPr>
              <w:t>总</w:t>
            </w:r>
            <w:r>
              <w:rPr>
                <w:rFonts w:ascii="宋体" w:hAnsi="宋体" w:cs="宋体" w:eastAsia="宋体" w:hint="default"/>
                <w:w w:val="101"/>
                <w:sz w:val="18"/>
                <w:szCs w:val="18"/>
              </w:rPr>
              <w:t>经理</w:t>
            </w:r>
            <w:r>
              <w:rPr>
                <w:rFonts w:ascii="宋体" w:hAnsi="宋体" w:cs="宋体" w:eastAsia="宋体" w:hint="default"/>
                <w:sz w:val="18"/>
                <w:szCs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任昌兆</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董</w:t>
            </w:r>
            <w:r>
              <w:rPr>
                <w:rFonts w:ascii="宋体" w:hAnsi="宋体" w:cs="宋体" w:eastAsia="宋体" w:hint="default"/>
                <w:spacing w:val="-5"/>
                <w:w w:val="101"/>
                <w:sz w:val="18"/>
                <w:szCs w:val="18"/>
              </w:rPr>
              <w:t>事长</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总</w:t>
            </w:r>
            <w:r>
              <w:rPr>
                <w:rFonts w:ascii="宋体" w:hAnsi="宋体" w:cs="宋体" w:eastAsia="宋体" w:hint="default"/>
                <w:w w:val="101"/>
                <w:sz w:val="18"/>
                <w:szCs w:val="18"/>
              </w:rPr>
              <w:t>经理</w:t>
            </w:r>
            <w:r>
              <w:rPr>
                <w:rFonts w:ascii="宋体" w:hAnsi="宋体" w:cs="宋体" w:eastAsia="宋体" w:hint="default"/>
                <w:sz w:val="18"/>
                <w:szCs w:val="18"/>
              </w:rPr>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任昌兆</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pacing w:val="-3"/>
                <w:sz w:val="18"/>
                <w:szCs w:val="18"/>
              </w:rPr>
              <w:t>武汉联畅股权投资管理有限公司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刘向明</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国浩律师（南京）事务所</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合伙人</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刘向明</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国电南瑞科技股份有限公司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刘向明</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157" w:right="157" w:hanging="990"/>
              <w:jc w:val="left"/>
              <w:rPr>
                <w:rFonts w:ascii="宋体" w:hAnsi="宋体" w:cs="宋体" w:eastAsia="宋体" w:hint="default"/>
                <w:sz w:val="18"/>
                <w:szCs w:val="18"/>
              </w:rPr>
            </w:pPr>
            <w:r>
              <w:rPr>
                <w:rFonts w:ascii="宋体" w:hAnsi="宋体" w:cs="宋体" w:eastAsia="宋体" w:hint="default"/>
                <w:spacing w:val="-3"/>
                <w:sz w:val="18"/>
                <w:szCs w:val="18"/>
              </w:rPr>
              <w:t>沈阳蓝英工业自动化装备股份有</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周友梅</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江苏舜天股份有限公司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9"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周友梅</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南京盛航海运股份有限公司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江苏苏源光一科技有限公司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13" w:hRule="exact"/>
        </w:trPr>
        <w:tc>
          <w:tcPr>
            <w:tcW w:w="120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8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pacing w:val="-3"/>
                <w:sz w:val="18"/>
                <w:szCs w:val="18"/>
              </w:rPr>
              <w:t>南京云商天下信息技术有限公司</w:t>
            </w:r>
          </w:p>
        </w:tc>
        <w:tc>
          <w:tcPr>
            <w:tcW w:w="1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1" w:footer="1037" w:top="1100" w:bottom="1220" w:left="980" w:right="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201"/>
        <w:gridCol w:w="2862"/>
        <w:gridCol w:w="1392"/>
        <w:gridCol w:w="1743"/>
        <w:gridCol w:w="778"/>
        <w:gridCol w:w="1594"/>
      </w:tblGrid>
      <w:tr>
        <w:trPr>
          <w:trHeight w:val="413" w:hRule="exact"/>
        </w:trPr>
        <w:tc>
          <w:tcPr>
            <w:tcW w:w="120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8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pacing w:val="-3"/>
                <w:sz w:val="18"/>
                <w:szCs w:val="18"/>
              </w:rPr>
              <w:t>南京智友尚云信息技术有限公司</w:t>
            </w:r>
          </w:p>
        </w:tc>
        <w:tc>
          <w:tcPr>
            <w:tcW w:w="13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18"/>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12" w:space="0" w:color="000000"/>
              <w:left w:val="single" w:sz="4" w:space="0" w:color="000000"/>
              <w:bottom w:val="single" w:sz="4" w:space="0" w:color="000000"/>
              <w:right w:val="single" w:sz="4" w:space="0" w:color="000000"/>
            </w:tcBorders>
          </w:tcPr>
          <w:p>
            <w:pPr/>
          </w:p>
        </w:tc>
        <w:tc>
          <w:tcPr>
            <w:tcW w:w="159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8"/>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江苏德能电气工程有限公司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18"/>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pacing w:val="-3"/>
                <w:sz w:val="18"/>
                <w:szCs w:val="18"/>
              </w:rPr>
              <w:t>江苏德能电力设计咨询有限公司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8"/>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钱卫民</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pacing w:val="-3"/>
                <w:sz w:val="18"/>
                <w:szCs w:val="18"/>
              </w:rPr>
              <w:t>南京云商天下信息技术有限公司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8"/>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钱卫民</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贵州健康云科技有限公司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8"/>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13" w:hRule="exact"/>
        </w:trPr>
        <w:tc>
          <w:tcPr>
            <w:tcW w:w="120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王昊</w:t>
            </w:r>
          </w:p>
        </w:tc>
        <w:tc>
          <w:tcPr>
            <w:tcW w:w="28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pacing w:val="-3"/>
                <w:sz w:val="18"/>
                <w:szCs w:val="18"/>
              </w:rPr>
              <w:t>北京海域动想科技股份有限公司</w:t>
            </w:r>
          </w:p>
        </w:tc>
        <w:tc>
          <w:tcPr>
            <w:tcW w:w="1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118"/>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66"/>
        <w:ind w:right="1024"/>
        <w:jc w:val="left"/>
      </w:pPr>
      <w:r>
        <w:rPr/>
        <w:t>公司现任及报告期内离任董事、监事和高级管理人员近三年证券监管机构处罚的情况</w:t>
      </w:r>
    </w:p>
    <w:p>
      <w:pPr>
        <w:spacing w:line="240" w:lineRule="auto" w:before="8"/>
        <w:rPr>
          <w:rFonts w:ascii="宋体" w:hAnsi="宋体" w:cs="宋体" w:eastAsia="宋体" w:hint="default"/>
          <w:sz w:val="14"/>
          <w:szCs w:val="14"/>
        </w:rPr>
      </w:pPr>
    </w:p>
    <w:p>
      <w:pPr>
        <w:pStyle w:val="BodyText"/>
        <w:spacing w:line="410" w:lineRule="auto"/>
        <w:ind w:left="575" w:right="1024" w:hanging="423"/>
        <w:jc w:val="left"/>
      </w:pPr>
      <w:r>
        <w:rPr/>
        <w:t>√ 适用 □ 不适用</w:t>
      </w:r>
      <w:r>
        <w:rPr>
          <w:spacing w:val="-101"/>
        </w:rPr>
        <w:t> </w:t>
      </w:r>
      <w:r>
        <w:rPr>
          <w:spacing w:val="-101"/>
        </w:rPr>
      </w:r>
      <w:r>
        <w:rPr>
          <w:spacing w:val="-7"/>
        </w:rPr>
        <w:t>因违规减持（被动减持产生的减持股份超比例、敏感期交易）以及未按规定披露简式权益变动报告书，</w:t>
      </w:r>
    </w:p>
    <w:p>
      <w:pPr>
        <w:pStyle w:val="BodyText"/>
        <w:spacing w:line="240" w:lineRule="auto" w:before="42"/>
        <w:ind w:right="1024"/>
        <w:jc w:val="left"/>
      </w:pPr>
      <w:r>
        <w:rPr/>
        <w:t>龙昌明先生于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27</w:t>
      </w:r>
      <w:r>
        <w:rPr/>
        <w:t>日被深圳证券交易所通报批评。</w:t>
      </w:r>
    </w:p>
    <w:p>
      <w:pPr>
        <w:spacing w:line="240" w:lineRule="auto" w:before="7"/>
        <w:rPr>
          <w:rFonts w:ascii="宋体" w:hAnsi="宋体" w:cs="宋体" w:eastAsia="宋体" w:hint="default"/>
          <w:sz w:val="29"/>
          <w:szCs w:val="29"/>
        </w:rPr>
      </w:pPr>
    </w:p>
    <w:p>
      <w:pPr>
        <w:pStyle w:val="Heading2"/>
        <w:spacing w:line="240" w:lineRule="auto"/>
        <w:ind w:right="1024"/>
        <w:jc w:val="left"/>
        <w:rPr>
          <w:b w:val="0"/>
          <w:bCs w:val="0"/>
        </w:rPr>
      </w:pPr>
      <w:bookmarkStart w:name="四、董事、监事、高级管理人员报酬情况" w:id="176"/>
      <w:bookmarkEnd w:id="176"/>
      <w:r>
        <w:rPr>
          <w:b w:val="0"/>
          <w:bCs w:val="0"/>
        </w:rPr>
      </w:r>
      <w:r>
        <w:rPr/>
        <w:t>四、董事、监事、高级管理人员报酬情况</w:t>
      </w:r>
      <w:r>
        <w:rPr>
          <w:b w:val="0"/>
          <w:bCs w:val="0"/>
        </w:rPr>
      </w:r>
    </w:p>
    <w:p>
      <w:pPr>
        <w:spacing w:line="240" w:lineRule="auto" w:before="2"/>
        <w:rPr>
          <w:rFonts w:ascii="宋体" w:hAnsi="宋体" w:cs="宋体" w:eastAsia="宋体" w:hint="default"/>
          <w:b/>
          <w:bCs/>
          <w:sz w:val="31"/>
          <w:szCs w:val="31"/>
        </w:rPr>
      </w:pPr>
    </w:p>
    <w:p>
      <w:pPr>
        <w:pStyle w:val="BodyText"/>
        <w:spacing w:line="408" w:lineRule="auto"/>
        <w:ind w:left="575" w:right="1024" w:hanging="423"/>
        <w:jc w:val="left"/>
      </w:pPr>
      <w:r>
        <w:rPr/>
        <w:t>董事、监事、高级管理人员报酬的决策程序、确定依据、实际支付情况</w:t>
      </w:r>
      <w:r>
        <w:rPr>
          <w:spacing w:val="-103"/>
        </w:rPr>
        <w:t> </w:t>
      </w:r>
      <w:r>
        <w:rPr>
          <w:spacing w:val="-103"/>
        </w:rPr>
      </w:r>
      <w:r>
        <w:rPr>
          <w:spacing w:val="-2"/>
        </w:rPr>
        <w:t>关于薪酬的决策程序：公司董事、监事报酬按照《董事、监事薪酬管理制度》的规定执行，高级管理</w:t>
      </w:r>
    </w:p>
    <w:p>
      <w:pPr>
        <w:pStyle w:val="BodyText"/>
        <w:spacing w:line="408" w:lineRule="auto" w:before="48"/>
        <w:ind w:right="1125"/>
        <w:jc w:val="both"/>
      </w:pPr>
      <w:r>
        <w:rPr>
          <w:spacing w:val="-2"/>
        </w:rPr>
        <w:t>人员报酬按照《高级管理人员薪酬管理制度》的规定执行；在公司任职的董事、监事、高级管理人员报酬</w:t>
      </w:r>
      <w:r>
        <w:rPr>
          <w:spacing w:val="-38"/>
        </w:rPr>
        <w:t> </w:t>
      </w:r>
      <w:r>
        <w:rPr>
          <w:spacing w:val="-38"/>
        </w:rPr>
      </w:r>
      <w:r>
        <w:rPr>
          <w:spacing w:val="-2"/>
        </w:rPr>
        <w:t>由公司支付，董事、监事不另外支付津贴。独立董事津贴依据股东大会决议支付，董事履责产生的差旅费</w:t>
      </w:r>
      <w:r>
        <w:rPr>
          <w:spacing w:val="-33"/>
        </w:rPr>
        <w:t> </w:t>
      </w:r>
      <w:r>
        <w:rPr>
          <w:spacing w:val="-33"/>
        </w:rPr>
      </w:r>
      <w:r>
        <w:rPr/>
        <w:t>及住宿费等据实报销。</w:t>
      </w:r>
    </w:p>
    <w:p>
      <w:pPr>
        <w:pStyle w:val="BodyText"/>
        <w:spacing w:line="410" w:lineRule="auto" w:before="43"/>
        <w:ind w:right="1024" w:firstLine="422"/>
        <w:jc w:val="left"/>
      </w:pPr>
      <w:r>
        <w:rPr>
          <w:spacing w:val="-2"/>
        </w:rPr>
        <w:t>关于薪酬的确定依据：根据公司盈利水平及董事、监事、高级管理人员的职责履行情况并结合年度绩</w:t>
      </w:r>
      <w:r>
        <w:rPr>
          <w:w w:val="100"/>
        </w:rPr>
        <w:t> </w:t>
      </w:r>
      <w:r>
        <w:rPr/>
        <w:t>效完成情况综合确定。</w:t>
      </w:r>
    </w:p>
    <w:p>
      <w:pPr>
        <w:pStyle w:val="BodyText"/>
        <w:spacing w:line="410" w:lineRule="auto" w:before="41"/>
        <w:ind w:right="1024" w:firstLine="422"/>
        <w:jc w:val="left"/>
      </w:pPr>
      <w:r>
        <w:rPr>
          <w:spacing w:val="-2"/>
        </w:rPr>
        <w:t>实际支付情况：报告期内，在公司领取薪酬的董事、监事、高级管理人员有</w:t>
      </w:r>
      <w:r>
        <w:rPr>
          <w:rFonts w:ascii="宋体" w:hAnsi="宋体" w:cs="宋体" w:eastAsia="宋体" w:hint="default"/>
          <w:spacing w:val="-2"/>
        </w:rPr>
        <w:t>15</w:t>
      </w:r>
      <w:r>
        <w:rPr>
          <w:spacing w:val="-2"/>
        </w:rPr>
        <w:t>人，董事熊俊先生不在</w:t>
      </w:r>
      <w:r>
        <w:rPr>
          <w:w w:val="100"/>
        </w:rPr>
        <w:t> </w:t>
      </w:r>
      <w:r>
        <w:rPr/>
        <w:t>公司领取薪酬、监事朱云飞先生在参股公司其厚电气领取薪酬，公司</w:t>
      </w:r>
      <w:r>
        <w:rPr>
          <w:rFonts w:ascii="宋体" w:hAnsi="宋体" w:cs="宋体" w:eastAsia="宋体" w:hint="default"/>
        </w:rPr>
        <w:t>2019</w:t>
      </w:r>
      <w:r>
        <w:rPr/>
        <w:t>年共计支付薪酬</w:t>
      </w:r>
      <w:r>
        <w:rPr>
          <w:rFonts w:ascii="宋体" w:hAnsi="宋体" w:cs="宋体" w:eastAsia="宋体" w:hint="default"/>
        </w:rPr>
        <w:t>645.75</w:t>
      </w:r>
      <w:r>
        <w:rPr/>
        <w:t>万元。</w:t>
      </w:r>
    </w:p>
    <w:p>
      <w:pPr>
        <w:spacing w:after="0" w:line="410" w:lineRule="auto"/>
        <w:jc w:val="left"/>
        <w:sectPr>
          <w:pgSz w:w="11910" w:h="16840"/>
          <w:pgMar w:header="871" w:footer="1037" w:top="1100" w:bottom="1220" w:left="980" w:right="0"/>
        </w:sectPr>
      </w:pPr>
    </w:p>
    <w:p>
      <w:pPr>
        <w:pStyle w:val="BodyText"/>
        <w:spacing w:line="240" w:lineRule="auto" w:before="3"/>
        <w:ind w:right="0"/>
        <w:jc w:val="left"/>
      </w:pPr>
      <w:r>
        <w:rPr>
          <w:spacing w:val="-2"/>
        </w:rPr>
        <w:t>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before="148"/>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580" w:bottom="1220" w:left="980" w:right="0"/>
          <w:cols w:num="2" w:equalWidth="0">
            <w:col w:w="4776" w:space="3968"/>
            <w:col w:w="2186"/>
          </w:cols>
        </w:sectPr>
      </w:pPr>
    </w:p>
    <w:p>
      <w:pPr>
        <w:spacing w:line="240" w:lineRule="auto" w:before="1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369"/>
        <w:gridCol w:w="2367"/>
        <w:gridCol w:w="701"/>
        <w:gridCol w:w="1037"/>
        <w:gridCol w:w="1364"/>
        <w:gridCol w:w="1369"/>
        <w:gridCol w:w="1369"/>
      </w:tblGrid>
      <w:tr>
        <w:trPr>
          <w:trHeight w:val="723" w:hRule="exact"/>
        </w:trPr>
        <w:tc>
          <w:tcPr>
            <w:tcW w:w="136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姓名</w:t>
            </w:r>
          </w:p>
        </w:tc>
        <w:tc>
          <w:tcPr>
            <w:tcW w:w="236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0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03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39" w:right="132"/>
              <w:jc w:val="left"/>
              <w:rPr>
                <w:rFonts w:ascii="宋体" w:hAnsi="宋体" w:cs="宋体" w:eastAsia="宋体" w:hint="default"/>
                <w:sz w:val="18"/>
                <w:szCs w:val="18"/>
              </w:rPr>
            </w:pPr>
            <w:r>
              <w:rPr>
                <w:rFonts w:ascii="宋体" w:hAnsi="宋体" w:cs="宋体" w:eastAsia="宋体" w:hint="default"/>
                <w:spacing w:val="-2"/>
                <w:sz w:val="18"/>
                <w:szCs w:val="18"/>
              </w:rPr>
              <w:t>从公司获得的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税前报酬总额</w:t>
            </w:r>
          </w:p>
        </w:tc>
        <w:tc>
          <w:tcPr>
            <w:tcW w:w="136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9" w:lineRule="auto" w:before="56"/>
              <w:ind w:left="139" w:right="122"/>
              <w:jc w:val="left"/>
              <w:rPr>
                <w:rFonts w:ascii="宋体" w:hAnsi="宋体" w:cs="宋体" w:eastAsia="宋体" w:hint="default"/>
                <w:sz w:val="18"/>
                <w:szCs w:val="18"/>
              </w:rPr>
            </w:pPr>
            <w:r>
              <w:rPr>
                <w:rFonts w:ascii="宋体" w:hAnsi="宋体" w:cs="宋体" w:eastAsia="宋体" w:hint="default"/>
                <w:sz w:val="18"/>
                <w:szCs w:val="18"/>
              </w:rPr>
              <w:t>是否在公司关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联方获取报酬</w:t>
            </w:r>
          </w:p>
        </w:tc>
      </w:tr>
      <w:tr>
        <w:trPr>
          <w:trHeight w:val="403"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龙昌明</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董事长、总裁</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100</w:t>
            </w: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王海俊</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常务副总裁</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80</w:t>
            </w: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任昌兆</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59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41.25</w:t>
            </w: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戴晓东</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董事、董事会秘书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80</w:t>
            </w: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刘向明</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w w:val="101"/>
                <w:sz w:val="18"/>
              </w:rPr>
              <w:t>7</w:t>
            </w:r>
            <w:r>
              <w:rPr>
                <w:rFonts w:ascii="宋体"/>
                <w:sz w:val="18"/>
              </w:rPr>
            </w: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13" w:hRule="exact"/>
        </w:trPr>
        <w:tc>
          <w:tcPr>
            <w:tcW w:w="136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周友梅</w:t>
            </w:r>
          </w:p>
        </w:tc>
        <w:tc>
          <w:tcPr>
            <w:tcW w:w="23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59</w:t>
            </w: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w w:val="101"/>
                <w:sz w:val="18"/>
              </w:rPr>
              <w:t>7</w:t>
            </w:r>
            <w:r>
              <w:rPr>
                <w:rFonts w:ascii="宋体"/>
                <w:sz w:val="18"/>
              </w:rPr>
            </w:r>
          </w:p>
        </w:tc>
        <w:tc>
          <w:tcPr>
            <w:tcW w:w="136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type w:val="continuous"/>
          <w:pgSz w:w="11910" w:h="16840"/>
          <w:pgMar w:top="1580" w:bottom="1220" w:left="980" w:right="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1369"/>
        <w:gridCol w:w="2367"/>
        <w:gridCol w:w="701"/>
        <w:gridCol w:w="1037"/>
        <w:gridCol w:w="1364"/>
        <w:gridCol w:w="1369"/>
        <w:gridCol w:w="1369"/>
      </w:tblGrid>
      <w:tr>
        <w:trPr>
          <w:trHeight w:val="413" w:hRule="exact"/>
        </w:trPr>
        <w:tc>
          <w:tcPr>
            <w:tcW w:w="1369"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周卫东</w:t>
            </w:r>
          </w:p>
        </w:tc>
        <w:tc>
          <w:tcPr>
            <w:tcW w:w="23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422" w:right="0"/>
              <w:jc w:val="left"/>
              <w:rPr>
                <w:rFonts w:ascii="宋体" w:hAnsi="宋体" w:cs="宋体" w:eastAsia="宋体" w:hint="default"/>
                <w:sz w:val="18"/>
                <w:szCs w:val="18"/>
              </w:rPr>
            </w:pPr>
            <w:r>
              <w:rPr>
                <w:rFonts w:ascii="宋体"/>
                <w:sz w:val="18"/>
              </w:rPr>
              <w:t>55</w:t>
            </w:r>
          </w:p>
        </w:tc>
        <w:tc>
          <w:tcPr>
            <w:tcW w:w="136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5.25</w:t>
            </w:r>
          </w:p>
        </w:tc>
        <w:tc>
          <w:tcPr>
            <w:tcW w:w="136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朱云飞</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2" w:right="0"/>
              <w:jc w:val="left"/>
              <w:rPr>
                <w:rFonts w:ascii="宋体" w:hAnsi="宋体" w:cs="宋体" w:eastAsia="宋体" w:hint="default"/>
                <w:sz w:val="18"/>
                <w:szCs w:val="18"/>
              </w:rPr>
            </w:pPr>
            <w:r>
              <w:rPr>
                <w:rFonts w:ascii="宋体"/>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钱卫民</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5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22" w:right="0"/>
              <w:jc w:val="left"/>
              <w:rPr>
                <w:rFonts w:ascii="宋体" w:hAnsi="宋体" w:cs="宋体" w:eastAsia="宋体" w:hint="default"/>
                <w:sz w:val="18"/>
                <w:szCs w:val="18"/>
              </w:rPr>
            </w:pPr>
            <w:r>
              <w:rPr>
                <w:rFonts w:ascii="宋体"/>
                <w:sz w:val="18"/>
              </w:rPr>
              <w:t>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5"/>
              <w:jc w:val="right"/>
              <w:rPr>
                <w:rFonts w:ascii="宋体" w:hAnsi="宋体" w:cs="宋体" w:eastAsia="宋体" w:hint="default"/>
                <w:sz w:val="18"/>
                <w:szCs w:val="18"/>
              </w:rPr>
            </w:pPr>
            <w:r>
              <w:rPr>
                <w:rFonts w:ascii="宋体"/>
                <w:sz w:val="18"/>
              </w:rPr>
              <w:t>35</w:t>
            </w: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葛兹俊</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2" w:right="0"/>
              <w:jc w:val="left"/>
              <w:rPr>
                <w:rFonts w:ascii="宋体" w:hAnsi="宋体" w:cs="宋体" w:eastAsia="宋体" w:hint="default"/>
                <w:sz w:val="18"/>
                <w:szCs w:val="18"/>
              </w:rPr>
            </w:pPr>
            <w:r>
              <w:rPr>
                <w:rFonts w:ascii="宋体"/>
                <w:sz w:val="18"/>
              </w:rPr>
              <w:t>59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18</w:t>
            </w: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许晶</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2" w:right="0"/>
              <w:jc w:val="left"/>
              <w:rPr>
                <w:rFonts w:ascii="宋体" w:hAnsi="宋体" w:cs="宋体" w:eastAsia="宋体" w:hint="default"/>
                <w:sz w:val="18"/>
                <w:szCs w:val="18"/>
              </w:rPr>
            </w:pPr>
            <w:r>
              <w:rPr>
                <w:rFonts w:ascii="宋体"/>
                <w:sz w:val="18"/>
              </w:rPr>
              <w:t>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88</w:t>
            </w: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王昊</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2" w:right="0"/>
              <w:jc w:val="left"/>
              <w:rPr>
                <w:rFonts w:ascii="宋体" w:hAnsi="宋体" w:cs="宋体" w:eastAsia="宋体" w:hint="default"/>
                <w:sz w:val="18"/>
                <w:szCs w:val="18"/>
              </w:rPr>
            </w:pPr>
            <w:r>
              <w:rPr>
                <w:rFonts w:ascii="宋体"/>
                <w:sz w:val="18"/>
              </w:rPr>
              <w:t>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100</w:t>
            </w: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佟岩</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2" w:right="0"/>
              <w:jc w:val="left"/>
              <w:rPr>
                <w:rFonts w:ascii="宋体" w:hAnsi="宋体" w:cs="宋体" w:eastAsia="宋体" w:hint="default"/>
                <w:sz w:val="18"/>
                <w:szCs w:val="18"/>
              </w:rPr>
            </w:pPr>
            <w:r>
              <w:rPr>
                <w:rFonts w:ascii="宋体"/>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31</w:t>
            </w: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熊俊</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2" w:right="0"/>
              <w:jc w:val="left"/>
              <w:rPr>
                <w:rFonts w:ascii="宋体" w:hAnsi="宋体" w:cs="宋体" w:eastAsia="宋体" w:hint="default"/>
                <w:sz w:val="18"/>
                <w:szCs w:val="18"/>
              </w:rPr>
            </w:pPr>
            <w:r>
              <w:rPr>
                <w:rFonts w:ascii="宋体"/>
                <w:sz w:val="18"/>
              </w:rPr>
              <w:t>34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茅宁</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2" w:right="0"/>
              <w:jc w:val="left"/>
              <w:rPr>
                <w:rFonts w:ascii="宋体" w:hAnsi="宋体" w:cs="宋体" w:eastAsia="宋体" w:hint="default"/>
                <w:sz w:val="18"/>
                <w:szCs w:val="18"/>
              </w:rPr>
            </w:pPr>
            <w:r>
              <w:rPr>
                <w:rFonts w:ascii="宋体"/>
                <w:sz w:val="18"/>
              </w:rPr>
              <w:t>64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1.75</w:t>
            </w: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李宝亮</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2" w:right="0"/>
              <w:jc w:val="left"/>
              <w:rPr>
                <w:rFonts w:ascii="宋体" w:hAnsi="宋体" w:cs="宋体" w:eastAsia="宋体" w:hint="default"/>
                <w:sz w:val="18"/>
                <w:szCs w:val="18"/>
              </w:rPr>
            </w:pPr>
            <w:r>
              <w:rPr>
                <w:rFonts w:ascii="宋体"/>
                <w:sz w:val="18"/>
              </w:rPr>
              <w:t>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12.5</w:t>
            </w: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汪梦余</w:t>
            </w:r>
          </w:p>
        </w:tc>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2" w:right="0"/>
              <w:jc w:val="left"/>
              <w:rPr>
                <w:rFonts w:ascii="宋体" w:hAnsi="宋体" w:cs="宋体" w:eastAsia="宋体" w:hint="default"/>
                <w:sz w:val="18"/>
                <w:szCs w:val="18"/>
              </w:rPr>
            </w:pPr>
            <w:r>
              <w:rPr>
                <w:rFonts w:ascii="宋体"/>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39</w:t>
            </w: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12" w:space="0" w:color="000000"/>
              <w:bottom w:val="single" w:sz="4" w:space="0" w:color="000000"/>
              <w:right w:val="single" w:sz="4" w:space="0" w:color="000000"/>
            </w:tcBorders>
          </w:tcPr>
          <w:p>
            <w:pPr/>
          </w:p>
        </w:tc>
        <w:tc>
          <w:tcPr>
            <w:tcW w:w="2367"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13" w:hRule="exact"/>
        </w:trPr>
        <w:tc>
          <w:tcPr>
            <w:tcW w:w="136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2367"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701"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left="254" w:right="0"/>
              <w:jc w:val="left"/>
              <w:rPr>
                <w:rFonts w:ascii="宋体" w:hAnsi="宋体" w:cs="宋体" w:eastAsia="宋体" w:hint="default"/>
                <w:sz w:val="18"/>
                <w:szCs w:val="18"/>
              </w:rPr>
            </w:pPr>
            <w:r>
              <w:rPr>
                <w:rFonts w:ascii="宋体"/>
                <w:sz w:val="18"/>
              </w:rPr>
              <w:t>--</w:t>
            </w:r>
          </w:p>
        </w:tc>
        <w:tc>
          <w:tcPr>
            <w:tcW w:w="1037"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sz w:val="18"/>
              </w:rPr>
              <w:t>--</w:t>
            </w:r>
          </w:p>
        </w:tc>
        <w:tc>
          <w:tcPr>
            <w:tcW w:w="1364"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3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645.75</w:t>
            </w:r>
          </w:p>
        </w:tc>
        <w:tc>
          <w:tcPr>
            <w:tcW w:w="1369"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sz w:val="18"/>
              </w:rPr>
              <w:t>--</w:t>
            </w:r>
          </w:p>
        </w:tc>
      </w:tr>
    </w:tbl>
    <w:p>
      <w:pPr>
        <w:pStyle w:val="BodyText"/>
        <w:spacing w:line="240" w:lineRule="auto" w:before="66"/>
        <w:ind w:right="1024"/>
        <w:jc w:val="left"/>
      </w:pPr>
      <w:r>
        <w:rPr/>
        <w:t>公司董事、高级管理人员报告期内被授予的股权激励情况</w:t>
      </w:r>
    </w:p>
    <w:p>
      <w:pPr>
        <w:spacing w:line="240" w:lineRule="auto" w:before="12"/>
        <w:rPr>
          <w:rFonts w:ascii="宋体" w:hAnsi="宋体" w:cs="宋体" w:eastAsia="宋体" w:hint="default"/>
          <w:sz w:val="14"/>
          <w:szCs w:val="14"/>
        </w:rPr>
      </w:pPr>
    </w:p>
    <w:p>
      <w:pPr>
        <w:pStyle w:val="BodyText"/>
        <w:spacing w:line="240" w:lineRule="auto"/>
        <w:ind w:right="1024"/>
        <w:jc w:val="left"/>
      </w:pPr>
      <w:r>
        <w:rPr/>
        <w:t>□ 适用 √</w:t>
      </w:r>
      <w:r>
        <w:rPr>
          <w:spacing w:val="4"/>
        </w:rPr>
        <w:t> </w:t>
      </w:r>
      <w:r>
        <w:rPr/>
        <w:t>不适用</w:t>
      </w:r>
    </w:p>
    <w:p>
      <w:pPr>
        <w:spacing w:line="240" w:lineRule="auto" w:before="2"/>
        <w:rPr>
          <w:rFonts w:ascii="宋体" w:hAnsi="宋体" w:cs="宋体" w:eastAsia="宋体" w:hint="default"/>
          <w:sz w:val="29"/>
          <w:szCs w:val="29"/>
        </w:rPr>
      </w:pPr>
    </w:p>
    <w:p>
      <w:pPr>
        <w:pStyle w:val="Heading2"/>
        <w:spacing w:line="240" w:lineRule="auto"/>
        <w:ind w:right="1024"/>
        <w:jc w:val="left"/>
        <w:rPr>
          <w:b w:val="0"/>
          <w:bCs w:val="0"/>
        </w:rPr>
      </w:pPr>
      <w:bookmarkStart w:name="五、公司员工情况" w:id="177"/>
      <w:bookmarkEnd w:id="177"/>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1024"/>
        <w:jc w:val="left"/>
        <w:rPr>
          <w:b w:val="0"/>
          <w:bCs w:val="0"/>
        </w:rPr>
      </w:pPr>
      <w:bookmarkStart w:name="1、员工数量、专业构成及教育程度" w:id="178"/>
      <w:bookmarkEnd w:id="178"/>
      <w:r>
        <w:rPr>
          <w:b w:val="0"/>
          <w:bCs w:val="0"/>
        </w:rPr>
      </w:r>
      <w:r>
        <w:rPr>
          <w:rFonts w:ascii="宋体" w:hAnsi="宋体" w:cs="宋体" w:eastAsia="宋体" w:hint="default"/>
        </w:rPr>
        <w:t>1</w:t>
      </w:r>
      <w:r>
        <w:rPr/>
        <w:t>、员工数量、专业构成及教育程度</w:t>
      </w:r>
      <w:r>
        <w:rPr>
          <w:b w:val="0"/>
          <w:bCs w:val="0"/>
        </w:rPr>
      </w:r>
    </w:p>
    <w:p>
      <w:pPr>
        <w:spacing w:line="240" w:lineRule="auto" w:before="1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单位：人</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788"/>
        <w:gridCol w:w="4782"/>
      </w:tblGrid>
      <w:tr>
        <w:trPr>
          <w:trHeight w:val="410" w:hRule="exact"/>
        </w:trPr>
        <w:tc>
          <w:tcPr>
            <w:tcW w:w="47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母公司在职员工的数量</w:t>
            </w:r>
          </w:p>
        </w:tc>
        <w:tc>
          <w:tcPr>
            <w:tcW w:w="478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219</w:t>
            </w:r>
          </w:p>
        </w:tc>
      </w:tr>
      <w:tr>
        <w:trPr>
          <w:trHeight w:val="401"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pacing w:val="-3"/>
                <w:sz w:val="18"/>
                <w:szCs w:val="18"/>
              </w:rPr>
              <w:t>主要子公司在职员工的数量</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84"/>
              <w:jc w:val="right"/>
              <w:rPr>
                <w:rFonts w:ascii="宋体" w:hAnsi="宋体" w:cs="宋体" w:eastAsia="宋体" w:hint="default"/>
                <w:sz w:val="18"/>
                <w:szCs w:val="18"/>
              </w:rPr>
            </w:pPr>
            <w:r>
              <w:rPr>
                <w:rFonts w:ascii="宋体"/>
                <w:sz w:val="18"/>
              </w:rPr>
              <w:t>307</w:t>
            </w: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pacing w:val="-3"/>
                <w:sz w:val="18"/>
                <w:szCs w:val="18"/>
              </w:rPr>
              <w:t>在职员工的数量合计</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526</w:t>
            </w:r>
          </w:p>
        </w:tc>
      </w:tr>
      <w:tr>
        <w:trPr>
          <w:trHeight w:val="404"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pacing w:val="-3"/>
                <w:sz w:val="18"/>
                <w:szCs w:val="18"/>
              </w:rPr>
              <w:t>当期领取薪酬员工总人数</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z w:val="18"/>
              </w:rPr>
              <w:t>526</w:t>
            </w:r>
          </w:p>
        </w:tc>
      </w:tr>
      <w:tr>
        <w:trPr>
          <w:trHeight w:val="408"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w w:val="101"/>
                <w:sz w:val="18"/>
              </w:rPr>
              <w:t>3</w:t>
            </w:r>
            <w:r>
              <w:rPr>
                <w:rFonts w:ascii="宋体"/>
                <w:sz w:val="18"/>
              </w:rPr>
            </w:r>
          </w:p>
        </w:tc>
      </w:tr>
      <w:tr>
        <w:trPr>
          <w:trHeight w:val="394" w:hRule="exact"/>
        </w:trPr>
        <w:tc>
          <w:tcPr>
            <w:tcW w:w="9570" w:type="dxa"/>
            <w:gridSpan w:val="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2"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专业构成人数</w:t>
            </w:r>
          </w:p>
        </w:tc>
      </w:tr>
      <w:tr>
        <w:trPr>
          <w:trHeight w:val="408"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9"/>
              <w:ind w:right="84"/>
              <w:jc w:val="right"/>
              <w:rPr>
                <w:rFonts w:ascii="宋体" w:hAnsi="宋体" w:cs="宋体" w:eastAsia="宋体" w:hint="default"/>
                <w:sz w:val="18"/>
                <w:szCs w:val="18"/>
              </w:rPr>
            </w:pPr>
            <w:r>
              <w:rPr>
                <w:rFonts w:ascii="宋体"/>
                <w:sz w:val="18"/>
              </w:rPr>
              <w:t>86</w:t>
            </w:r>
          </w:p>
        </w:tc>
      </w:tr>
      <w:tr>
        <w:trPr>
          <w:trHeight w:val="401"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w w:val="101"/>
                <w:sz w:val="18"/>
              </w:rPr>
              <w:t>9</w:t>
            </w:r>
            <w:r>
              <w:rPr>
                <w:rFonts w:ascii="宋体"/>
                <w:sz w:val="18"/>
              </w:rPr>
            </w:r>
          </w:p>
        </w:tc>
      </w:tr>
      <w:tr>
        <w:trPr>
          <w:trHeight w:val="401"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84"/>
              <w:jc w:val="right"/>
              <w:rPr>
                <w:rFonts w:ascii="宋体" w:hAnsi="宋体" w:cs="宋体" w:eastAsia="宋体" w:hint="default"/>
                <w:sz w:val="18"/>
                <w:szCs w:val="18"/>
              </w:rPr>
            </w:pPr>
            <w:r>
              <w:rPr>
                <w:rFonts w:ascii="宋体"/>
                <w:sz w:val="18"/>
              </w:rPr>
              <w:t>90</w:t>
            </w: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15</w:t>
            </w:r>
          </w:p>
        </w:tc>
      </w:tr>
      <w:tr>
        <w:trPr>
          <w:trHeight w:val="404"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51</w:t>
            </w:r>
          </w:p>
        </w:tc>
      </w:tr>
      <w:tr>
        <w:trPr>
          <w:trHeight w:val="398" w:hRule="exact"/>
        </w:trPr>
        <w:tc>
          <w:tcPr>
            <w:tcW w:w="47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40</w:t>
            </w:r>
          </w:p>
        </w:tc>
      </w:tr>
      <w:tr>
        <w:trPr>
          <w:trHeight w:val="413" w:hRule="exact"/>
        </w:trPr>
        <w:tc>
          <w:tcPr>
            <w:tcW w:w="47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工程人员</w:t>
            </w:r>
          </w:p>
        </w:tc>
        <w:tc>
          <w:tcPr>
            <w:tcW w:w="47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z w:val="18"/>
              </w:rPr>
              <w:t>235</w:t>
            </w:r>
          </w:p>
        </w:tc>
      </w:tr>
    </w:tbl>
    <w:p>
      <w:pPr>
        <w:spacing w:after="0" w:line="240" w:lineRule="auto"/>
        <w:jc w:val="right"/>
        <w:rPr>
          <w:rFonts w:ascii="宋体" w:hAnsi="宋体" w:cs="宋体" w:eastAsia="宋体" w:hint="default"/>
          <w:sz w:val="18"/>
          <w:szCs w:val="18"/>
        </w:rPr>
        <w:sectPr>
          <w:pgSz w:w="11910" w:h="16840"/>
          <w:pgMar w:header="871" w:footer="1037" w:top="1100" w:bottom="1220" w:left="980" w:right="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4788"/>
        <w:gridCol w:w="4782"/>
      </w:tblGrid>
      <w:tr>
        <w:trPr>
          <w:trHeight w:val="418" w:hRule="exact"/>
        </w:trPr>
        <w:tc>
          <w:tcPr>
            <w:tcW w:w="47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526</w:t>
            </w:r>
          </w:p>
        </w:tc>
      </w:tr>
      <w:tr>
        <w:trPr>
          <w:trHeight w:val="398" w:hRule="exact"/>
        </w:trPr>
        <w:tc>
          <w:tcPr>
            <w:tcW w:w="9570" w:type="dxa"/>
            <w:gridSpan w:val="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99"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1842"/>
              <w:jc w:val="right"/>
              <w:rPr>
                <w:rFonts w:ascii="宋体" w:hAnsi="宋体" w:cs="宋体" w:eastAsia="宋体" w:hint="default"/>
                <w:sz w:val="18"/>
                <w:szCs w:val="18"/>
              </w:rPr>
            </w:pPr>
            <w:r>
              <w:rPr>
                <w:rFonts w:ascii="宋体" w:hAnsi="宋体" w:cs="宋体" w:eastAsia="宋体" w:hint="default"/>
                <w:spacing w:val="-2"/>
                <w:sz w:val="18"/>
                <w:szCs w:val="18"/>
              </w:rPr>
              <w:t>教育程度类别</w:t>
            </w:r>
          </w:p>
        </w:tc>
        <w:tc>
          <w:tcPr>
            <w:tcW w:w="4782"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1842"/>
              <w:jc w:val="right"/>
              <w:rPr>
                <w:rFonts w:ascii="宋体" w:hAnsi="宋体" w:cs="宋体" w:eastAsia="宋体" w:hint="default"/>
                <w:sz w:val="18"/>
                <w:szCs w:val="18"/>
              </w:rPr>
            </w:pPr>
            <w:r>
              <w:rPr>
                <w:rFonts w:ascii="宋体" w:hAnsi="宋体" w:cs="宋体" w:eastAsia="宋体" w:hint="default"/>
                <w:spacing w:val="-2"/>
                <w:sz w:val="18"/>
                <w:szCs w:val="18"/>
              </w:rPr>
              <w:t>研究生及以上</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17</w:t>
            </w: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大学本科</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125</w:t>
            </w: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大学专科</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165</w:t>
            </w:r>
          </w:p>
        </w:tc>
      </w:tr>
      <w:tr>
        <w:trPr>
          <w:trHeight w:val="399" w:hRule="exact"/>
        </w:trPr>
        <w:tc>
          <w:tcPr>
            <w:tcW w:w="47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专科以下</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219</w:t>
            </w:r>
          </w:p>
        </w:tc>
      </w:tr>
      <w:tr>
        <w:trPr>
          <w:trHeight w:val="413" w:hRule="exact"/>
        </w:trPr>
        <w:tc>
          <w:tcPr>
            <w:tcW w:w="47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526</w:t>
            </w:r>
          </w:p>
        </w:tc>
      </w:tr>
    </w:tbl>
    <w:p>
      <w:pPr>
        <w:pStyle w:val="Heading4"/>
        <w:spacing w:line="240" w:lineRule="auto" w:before="66"/>
        <w:ind w:right="1024"/>
        <w:jc w:val="left"/>
        <w:rPr>
          <w:b w:val="0"/>
          <w:bCs w:val="0"/>
        </w:rPr>
      </w:pPr>
      <w:bookmarkStart w:name="2、薪酬政策" w:id="179"/>
      <w:bookmarkEnd w:id="179"/>
      <w:r>
        <w:rPr>
          <w:b w:val="0"/>
          <w:bCs w:val="0"/>
        </w:rPr>
      </w:r>
      <w:r>
        <w:rPr>
          <w:rFonts w:ascii="宋体" w:hAnsi="宋体" w:cs="宋体" w:eastAsia="宋体" w:hint="default"/>
        </w:rPr>
        <w:t>2</w:t>
      </w:r>
      <w:r>
        <w:rPr/>
        <w:t>、薪酬政策</w:t>
      </w:r>
      <w:r>
        <w:rPr>
          <w:b w:val="0"/>
          <w:bCs w:val="0"/>
        </w:rPr>
      </w:r>
    </w:p>
    <w:p>
      <w:pPr>
        <w:spacing w:line="240" w:lineRule="auto" w:before="12"/>
        <w:rPr>
          <w:rFonts w:ascii="宋体" w:hAnsi="宋体" w:cs="宋体" w:eastAsia="宋体" w:hint="default"/>
          <w:b/>
          <w:bCs/>
          <w:sz w:val="14"/>
          <w:szCs w:val="14"/>
        </w:rPr>
      </w:pPr>
    </w:p>
    <w:p>
      <w:pPr>
        <w:pStyle w:val="BodyText"/>
        <w:spacing w:line="408" w:lineRule="auto"/>
        <w:ind w:right="1126" w:firstLine="412"/>
        <w:jc w:val="both"/>
        <w:rPr>
          <w:rFonts w:ascii="宋体" w:hAnsi="宋体" w:cs="宋体" w:eastAsia="宋体" w:hint="default"/>
        </w:rPr>
      </w:pPr>
      <w:r>
        <w:rPr>
          <w:spacing w:val="-2"/>
        </w:rPr>
        <w:t>公司建立公平、公正的薪酬管理体系，发挥薪酬的激励作用，调动员工的工作积极性，促进员工和企</w:t>
      </w:r>
      <w:r>
        <w:rPr>
          <w:w w:val="100"/>
        </w:rPr>
        <w:t> </w:t>
      </w:r>
      <w:r>
        <w:rPr>
          <w:spacing w:val="-2"/>
        </w:rPr>
        <w:t>业的共同发展。在公司《薪酬管理制度》中明确可以采用年薪制、结构工资制等分配机制，员工薪酬由岗</w:t>
      </w:r>
      <w:r>
        <w:rPr>
          <w:spacing w:val="-38"/>
        </w:rPr>
        <w:t> </w:t>
      </w:r>
      <w:r>
        <w:rPr>
          <w:spacing w:val="-38"/>
        </w:rPr>
      </w:r>
      <w:r>
        <w:rPr>
          <w:spacing w:val="-2"/>
        </w:rPr>
        <w:t>位工资、绩效工资、各种补贴、考核奖金等部分组成，其中岗位工资根据岗位技能高低，岗位职责轻重等</w:t>
      </w:r>
      <w:r>
        <w:rPr>
          <w:spacing w:val="-38"/>
        </w:rPr>
        <w:t> </w:t>
      </w:r>
      <w:r>
        <w:rPr>
          <w:spacing w:val="-38"/>
        </w:rPr>
      </w:r>
      <w:r>
        <w:rPr>
          <w:spacing w:val="-7"/>
        </w:rPr>
        <w:t>因素具体确定，并随着岗位、工作年限、专业职称、绩效考核的变化而变动，体现一定的灵活性和激励性。</w:t>
      </w:r>
      <w:r>
        <w:rPr>
          <w:spacing w:val="-10"/>
        </w:rPr>
        <w:t> </w:t>
      </w:r>
      <w:r>
        <w:rPr>
          <w:spacing w:val="-10"/>
        </w:rPr>
      </w:r>
      <w:bookmarkStart w:name="3、培训计划" w:id="180"/>
      <w:bookmarkEnd w:id="180"/>
      <w:r>
        <w:rPr>
          <w:spacing w:val="-10"/>
        </w:rPr>
      </w:r>
      <w:r>
        <w:rPr>
          <w:rFonts w:ascii="宋体" w:hAnsi="宋体" w:cs="宋体" w:eastAsia="宋体" w:hint="default"/>
          <w:b/>
          <w:bCs/>
        </w:rPr>
        <w:t>3</w:t>
      </w:r>
      <w:r>
        <w:rPr>
          <w:rFonts w:ascii="宋体" w:hAnsi="宋体" w:cs="宋体" w:eastAsia="宋体" w:hint="default"/>
          <w:b/>
          <w:bCs/>
        </w:rPr>
        <w:t>、培训计划</w:t>
      </w:r>
      <w:r>
        <w:rPr>
          <w:rFonts w:ascii="宋体" w:hAnsi="宋体" w:cs="宋体" w:eastAsia="宋体" w:hint="default"/>
        </w:rPr>
      </w:r>
    </w:p>
    <w:p>
      <w:pPr>
        <w:pStyle w:val="BodyText"/>
        <w:spacing w:line="408" w:lineRule="auto" w:before="44"/>
        <w:ind w:right="1024" w:firstLine="422"/>
        <w:jc w:val="left"/>
      </w:pPr>
      <w:r>
        <w:rPr/>
        <w:t>报告期内，公司人力资源部根据公司战略目标及管理方向，结合各部门具体培训需求制定培训计划，</w:t>
      </w:r>
      <w:r>
        <w:rPr>
          <w:w w:val="100"/>
        </w:rPr>
        <w:t> </w:t>
      </w:r>
      <w:r>
        <w:rPr>
          <w:spacing w:val="-2"/>
        </w:rPr>
        <w:t>从员工春训、安全管理、质量管理、制度管理、知识产权、知识技能、上岗培训、资质证书培训等方面有</w:t>
      </w:r>
      <w:r>
        <w:rPr>
          <w:spacing w:val="-38"/>
        </w:rPr>
        <w:t> </w:t>
      </w:r>
      <w:r>
        <w:rPr>
          <w:spacing w:val="-38"/>
        </w:rPr>
      </w:r>
      <w:r>
        <w:rPr>
          <w:spacing w:val="-7"/>
          <w:w w:val="100"/>
        </w:rPr>
        <w:t>针对性的开展各项培训工作。同时，在公司内部积极鼓励“能者为师”，通过内部分享机制开展办公软件、</w:t>
      </w:r>
      <w:r>
        <w:rPr>
          <w:spacing w:val="-64"/>
          <w:w w:val="100"/>
        </w:rPr>
        <w:t> </w:t>
      </w:r>
      <w:r>
        <w:rPr>
          <w:spacing w:val="-64"/>
          <w:w w:val="100"/>
        </w:rPr>
      </w:r>
      <w:r>
        <w:rPr/>
        <w:t>新</w:t>
      </w:r>
      <w:r>
        <w:rPr>
          <w:rFonts w:ascii="宋体" w:hAnsi="宋体" w:cs="宋体" w:eastAsia="宋体" w:hint="default"/>
        </w:rPr>
        <w:t>/</w:t>
      </w:r>
      <w:r>
        <w:rPr/>
        <w:t>老产品基础知识、班组质量体系管理、焊接工艺等专项培训课程，培训内容具体，培训形式多样，既</w:t>
      </w:r>
      <w:r>
        <w:rPr>
          <w:spacing w:val="-31"/>
        </w:rPr>
        <w:t> </w:t>
      </w:r>
      <w:r>
        <w:rPr>
          <w:spacing w:val="-31"/>
        </w:rPr>
      </w:r>
      <w:r>
        <w:rPr/>
        <w:t>激发员工广泛参与的积极性，又有效提升员工的综合素质和工作技能。</w:t>
      </w:r>
    </w:p>
    <w:p>
      <w:pPr>
        <w:pStyle w:val="Heading4"/>
        <w:spacing w:line="240" w:lineRule="auto" w:before="48"/>
        <w:ind w:right="1024"/>
        <w:jc w:val="left"/>
        <w:rPr>
          <w:b w:val="0"/>
          <w:bCs w:val="0"/>
        </w:rPr>
      </w:pPr>
      <w:bookmarkStart w:name="4、劳务外包情况" w:id="181"/>
      <w:bookmarkEnd w:id="181"/>
      <w:r>
        <w:rPr>
          <w:b w:val="0"/>
          <w:bCs w:val="0"/>
        </w:rPr>
      </w:r>
      <w:r>
        <w:rPr>
          <w:rFonts w:ascii="宋体" w:hAnsi="宋体" w:cs="宋体" w:eastAsia="宋体" w:hint="default"/>
        </w:rPr>
        <w:t>4</w:t>
      </w:r>
      <w:r>
        <w:rPr/>
        <w:t>、劳务外包情况</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right="1024"/>
        <w:jc w:val="left"/>
      </w:pPr>
      <w:r>
        <w:rPr/>
        <w:t>√ 适用 □</w:t>
      </w:r>
      <w:r>
        <w:rPr>
          <w:spacing w:val="4"/>
        </w:rPr>
        <w:t> </w:t>
      </w:r>
      <w:r>
        <w:rPr/>
        <w:t>不适用</w:t>
      </w:r>
    </w:p>
    <w:p>
      <w:pPr>
        <w:spacing w:line="240" w:lineRule="auto" w:before="12"/>
        <w:rPr>
          <w:rFonts w:ascii="宋体" w:hAnsi="宋体" w:cs="宋体" w:eastAsia="宋体" w:hint="default"/>
          <w:sz w:val="16"/>
          <w:szCs w:val="1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7"/>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4788"/>
        <w:gridCol w:w="4782"/>
      </w:tblGrid>
      <w:tr>
        <w:trPr>
          <w:trHeight w:val="413" w:hRule="exact"/>
        </w:trPr>
        <w:tc>
          <w:tcPr>
            <w:tcW w:w="47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pacing w:val="-3"/>
                <w:sz w:val="18"/>
                <w:szCs w:val="18"/>
              </w:rPr>
              <w:t>劳务外包的工时总数（小时）</w:t>
            </w:r>
          </w:p>
        </w:tc>
        <w:tc>
          <w:tcPr>
            <w:tcW w:w="478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81,819</w:t>
            </w:r>
          </w:p>
        </w:tc>
      </w:tr>
      <w:tr>
        <w:trPr>
          <w:trHeight w:val="413" w:hRule="exact"/>
        </w:trPr>
        <w:tc>
          <w:tcPr>
            <w:tcW w:w="47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劳务外包支付的报酬总额</w:t>
            </w:r>
          </w:p>
        </w:tc>
        <w:tc>
          <w:tcPr>
            <w:tcW w:w="47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1,780,542.00</w:t>
            </w:r>
          </w:p>
        </w:tc>
      </w:tr>
    </w:tbl>
    <w:p>
      <w:pPr>
        <w:spacing w:after="0" w:line="240" w:lineRule="auto"/>
        <w:jc w:val="right"/>
        <w:rPr>
          <w:rFonts w:ascii="宋体" w:hAnsi="宋体" w:cs="宋体" w:eastAsia="宋体" w:hint="default"/>
          <w:sz w:val="18"/>
          <w:szCs w:val="18"/>
        </w:rPr>
        <w:sectPr>
          <w:pgSz w:w="11910" w:h="16840"/>
          <w:pgMar w:header="871" w:footer="1037" w:top="110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0" w:right="973"/>
        <w:jc w:val="center"/>
        <w:rPr>
          <w:b w:val="0"/>
          <w:bCs w:val="0"/>
        </w:rPr>
      </w:pPr>
      <w:bookmarkStart w:name="第十节 公司治理" w:id="182"/>
      <w:bookmarkEnd w:id="182"/>
      <w:r>
        <w:rPr>
          <w:b w:val="0"/>
          <w:bCs w:val="0"/>
        </w:rPr>
      </w:r>
      <w:bookmarkStart w:name="_bookmark9" w:id="183"/>
      <w:bookmarkEnd w:id="183"/>
      <w:r>
        <w:rPr>
          <w:b w:val="0"/>
          <w:bCs w:val="0"/>
        </w:rPr>
      </w:r>
      <w:r>
        <w:rPr/>
        <w:t>第十节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84"/>
      <w:bookmarkEnd w:id="184"/>
      <w:r>
        <w:rPr>
          <w:b w:val="0"/>
          <w:bCs w:val="0"/>
        </w:rPr>
      </w:r>
      <w:r>
        <w:rPr/>
        <w:t>一、公司治理的基本状况</w:t>
      </w:r>
      <w:r>
        <w:rPr>
          <w:b w:val="0"/>
          <w:bCs w:val="0"/>
        </w:rPr>
      </w:r>
    </w:p>
    <w:p>
      <w:pPr>
        <w:spacing w:line="240" w:lineRule="auto" w:before="7"/>
        <w:rPr>
          <w:rFonts w:ascii="宋体" w:hAnsi="宋体" w:cs="宋体" w:eastAsia="宋体" w:hint="default"/>
          <w:b/>
          <w:bCs/>
          <w:sz w:val="31"/>
          <w:szCs w:val="31"/>
        </w:rPr>
      </w:pPr>
    </w:p>
    <w:p>
      <w:pPr>
        <w:pStyle w:val="BodyText"/>
        <w:spacing w:line="408" w:lineRule="auto"/>
        <w:ind w:right="1126" w:firstLine="422"/>
        <w:jc w:val="both"/>
      </w:pPr>
      <w:r>
        <w:rPr>
          <w:spacing w:val="-16"/>
          <w:w w:val="100"/>
        </w:rPr>
        <w:t>报告期内，公司严格按照《公司法》、《证券法》、《上市公司信息披露管理办法》、《深圳证券交易所创</w:t>
      </w:r>
      <w:r>
        <w:rPr>
          <w:w w:val="100"/>
        </w:rPr>
        <w:t> </w:t>
      </w:r>
      <w:r>
        <w:rPr>
          <w:spacing w:val="-7"/>
          <w:w w:val="100"/>
        </w:rPr>
        <w:t>业板股票上市规则》、《深圳证券交易所创业板上市公司规范运作指引》等有关法律、法规、业务规则的有</w:t>
      </w:r>
      <w:r>
        <w:rPr>
          <w:spacing w:val="-64"/>
          <w:w w:val="100"/>
        </w:rPr>
        <w:t> </w:t>
      </w:r>
      <w:r>
        <w:rPr>
          <w:spacing w:val="-64"/>
          <w:w w:val="100"/>
        </w:rPr>
      </w:r>
      <w:r>
        <w:rPr>
          <w:spacing w:val="-2"/>
        </w:rPr>
        <w:t>关规定，结合公司实际情况，进一步完善公司规范运作管理制度，加强内部控制制度建设，不断规范公司</w:t>
      </w:r>
      <w:r>
        <w:rPr>
          <w:spacing w:val="-33"/>
        </w:rPr>
        <w:t> </w:t>
      </w:r>
      <w:r>
        <w:rPr>
          <w:spacing w:val="-33"/>
        </w:rPr>
      </w:r>
      <w:r>
        <w:rPr/>
        <w:t>运作，提高公司治理水平。</w:t>
      </w:r>
    </w:p>
    <w:p>
      <w:pPr>
        <w:pStyle w:val="BodyText"/>
        <w:spacing w:line="408" w:lineRule="auto" w:before="48"/>
        <w:ind w:left="575" w:right="1024"/>
        <w:jc w:val="left"/>
      </w:pPr>
      <w:r>
        <w:rPr>
          <w:rFonts w:ascii="宋体" w:hAnsi="宋体" w:cs="宋体" w:eastAsia="宋体" w:hint="default"/>
        </w:rPr>
        <w:t>1</w:t>
      </w:r>
      <w:r>
        <w:rPr/>
        <w:t>、关于股东与股东大会</w:t>
      </w:r>
      <w:r>
        <w:rPr>
          <w:spacing w:val="-103"/>
        </w:rPr>
        <w:t> </w:t>
      </w:r>
      <w:r>
        <w:rPr>
          <w:spacing w:val="-103"/>
        </w:rPr>
      </w:r>
      <w:r>
        <w:rPr>
          <w:spacing w:val="-7"/>
          <w:w w:val="100"/>
        </w:rPr>
        <w:t>公司股东按照《公司章程》、《上市公司股东大会规则》的规定按其所持股份享有平等地位，并承担相</w:t>
      </w:r>
    </w:p>
    <w:p>
      <w:pPr>
        <w:pStyle w:val="BodyText"/>
        <w:spacing w:line="405" w:lineRule="auto" w:before="48"/>
        <w:ind w:right="1126"/>
        <w:jc w:val="both"/>
      </w:pPr>
      <w:r>
        <w:rPr>
          <w:spacing w:val="-2"/>
        </w:rPr>
        <w:t>应义务。公司治理结构能够保证所有股东，特别是中小股东享有平等地位，确保股东合法行使权益，保证</w:t>
      </w:r>
      <w:r>
        <w:rPr>
          <w:spacing w:val="-33"/>
        </w:rPr>
        <w:t> </w:t>
      </w:r>
      <w:r>
        <w:rPr>
          <w:spacing w:val="-33"/>
        </w:rPr>
      </w:r>
      <w:r>
        <w:rPr/>
        <w:t>了股东对公司重大事项的知情权、参与权、表决权。</w:t>
      </w:r>
    </w:p>
    <w:p>
      <w:pPr>
        <w:pStyle w:val="BodyText"/>
        <w:spacing w:line="408" w:lineRule="auto" w:before="50"/>
        <w:ind w:right="1126" w:firstLine="422"/>
        <w:jc w:val="both"/>
      </w:pPr>
      <w:r>
        <w:rPr>
          <w:spacing w:val="-2"/>
        </w:rPr>
        <w:t>报告期内的股东大会均由董事会召集召开，并聘请律师进行现场见证，根据相关法律、行政法规、部</w:t>
      </w:r>
      <w:r>
        <w:rPr>
          <w:w w:val="100"/>
        </w:rPr>
        <w:t> </w:t>
      </w:r>
      <w:r>
        <w:rPr>
          <w:spacing w:val="-2"/>
        </w:rPr>
        <w:t>门规章、规范性文件及公司章程等规定应由股东大会表决的事项均按照相应的权限审批后交由股东大会审</w:t>
      </w:r>
      <w:r>
        <w:rPr>
          <w:spacing w:val="-33"/>
        </w:rPr>
        <w:t> </w:t>
      </w:r>
      <w:r>
        <w:rPr>
          <w:spacing w:val="-33"/>
        </w:rPr>
      </w:r>
      <w:r>
        <w:rPr/>
        <w:t>议，不存在越权审批或先实施后审议的情况。</w:t>
      </w:r>
    </w:p>
    <w:p>
      <w:pPr>
        <w:pStyle w:val="BodyText"/>
        <w:spacing w:line="410" w:lineRule="auto" w:before="43"/>
        <w:ind w:left="575" w:right="1024"/>
        <w:jc w:val="left"/>
      </w:pPr>
      <w:r>
        <w:rPr>
          <w:rFonts w:ascii="宋体" w:hAnsi="宋体" w:cs="宋体" w:eastAsia="宋体" w:hint="default"/>
        </w:rPr>
        <w:t>2</w:t>
      </w:r>
      <w:r>
        <w:rPr/>
        <w:t>、关于董事和董事会</w:t>
      </w:r>
      <w:r>
        <w:rPr>
          <w:spacing w:val="-99"/>
        </w:rPr>
        <w:t> </w:t>
      </w:r>
      <w:r>
        <w:rPr>
          <w:spacing w:val="-99"/>
        </w:rPr>
      </w:r>
      <w:r>
        <w:rPr>
          <w:spacing w:val="-7"/>
          <w:w w:val="100"/>
        </w:rPr>
        <w:t>报告期内公司董事会设董事</w:t>
      </w:r>
      <w:r>
        <w:rPr>
          <w:rFonts w:ascii="宋体" w:hAnsi="宋体" w:cs="宋体" w:eastAsia="宋体" w:hint="default"/>
          <w:spacing w:val="-7"/>
          <w:w w:val="100"/>
        </w:rPr>
        <w:t>7</w:t>
      </w:r>
      <w:r>
        <w:rPr>
          <w:spacing w:val="-7"/>
          <w:w w:val="100"/>
        </w:rPr>
        <w:t>人，独立董事</w:t>
      </w:r>
      <w:r>
        <w:rPr>
          <w:rFonts w:ascii="宋体" w:hAnsi="宋体" w:cs="宋体" w:eastAsia="宋体" w:hint="default"/>
          <w:spacing w:val="-7"/>
          <w:w w:val="100"/>
        </w:rPr>
        <w:t>3</w:t>
      </w:r>
      <w:r>
        <w:rPr>
          <w:spacing w:val="-7"/>
          <w:w w:val="100"/>
        </w:rPr>
        <w:t>人，公司严格按照《公司法》、《公司章程》规定的选聘程</w:t>
      </w:r>
    </w:p>
    <w:p>
      <w:pPr>
        <w:pStyle w:val="BodyText"/>
        <w:spacing w:line="410" w:lineRule="auto" w:before="41"/>
        <w:ind w:right="1125"/>
        <w:jc w:val="both"/>
      </w:pPr>
      <w:r>
        <w:rPr>
          <w:spacing w:val="-2"/>
        </w:rPr>
        <w:t>序选举董事，公司董事会人数和人员构成符合法律、法规的要求，各位董事能够以认真负责的态度出席董</w:t>
      </w:r>
      <w:r>
        <w:rPr>
          <w:spacing w:val="-33"/>
        </w:rPr>
        <w:t> </w:t>
      </w:r>
      <w:r>
        <w:rPr>
          <w:spacing w:val="-33"/>
        </w:rPr>
      </w:r>
      <w:r>
        <w:rPr>
          <w:spacing w:val="-7"/>
        </w:rPr>
        <w:t>事会和股东大会，从公司和全体股东的利益出发，忠实履行职责，积极参加有关培训，学习有关法律法规，</w:t>
      </w:r>
      <w:r>
        <w:rPr>
          <w:spacing w:val="-12"/>
        </w:rPr>
        <w:t> </w:t>
      </w:r>
      <w:r>
        <w:rPr>
          <w:spacing w:val="-12"/>
        </w:rPr>
      </w:r>
      <w:r>
        <w:rPr>
          <w:spacing w:val="-2"/>
        </w:rPr>
        <w:t>促进董事会规范运作和科学决策。董事会会议程序符合规定，会议记录完整、真实，会议相关信息披露及</w:t>
      </w:r>
      <w:r>
        <w:rPr>
          <w:spacing w:val="-33"/>
        </w:rPr>
        <w:t> </w:t>
      </w:r>
      <w:r>
        <w:rPr>
          <w:spacing w:val="-33"/>
        </w:rPr>
      </w:r>
      <w:r>
        <w:rPr/>
        <w:t>时、准确、充分。</w:t>
      </w:r>
    </w:p>
    <w:p>
      <w:pPr>
        <w:pStyle w:val="BodyText"/>
        <w:spacing w:line="410" w:lineRule="auto" w:before="41"/>
        <w:ind w:left="575" w:right="1024"/>
        <w:jc w:val="left"/>
      </w:pPr>
      <w:r>
        <w:rPr>
          <w:rFonts w:ascii="宋体" w:hAnsi="宋体" w:cs="宋体" w:eastAsia="宋体" w:hint="default"/>
        </w:rPr>
        <w:t>3</w:t>
      </w:r>
      <w:r>
        <w:rPr/>
        <w:t>、关于监事和监事会</w:t>
      </w:r>
      <w:r>
        <w:rPr>
          <w:spacing w:val="-99"/>
        </w:rPr>
        <w:t> </w:t>
      </w:r>
      <w:r>
        <w:rPr>
          <w:spacing w:val="-99"/>
        </w:rPr>
      </w:r>
      <w:r>
        <w:rPr>
          <w:spacing w:val="-7"/>
          <w:w w:val="100"/>
        </w:rPr>
        <w:t>报告期内，公司监事会设监事</w:t>
      </w:r>
      <w:r>
        <w:rPr>
          <w:rFonts w:ascii="宋体" w:hAnsi="宋体" w:cs="宋体" w:eastAsia="宋体" w:hint="default"/>
          <w:spacing w:val="-7"/>
          <w:w w:val="100"/>
        </w:rPr>
        <w:t>3</w:t>
      </w:r>
      <w:r>
        <w:rPr>
          <w:spacing w:val="-7"/>
          <w:w w:val="100"/>
        </w:rPr>
        <w:t>人，其中职工代表监事</w:t>
      </w:r>
      <w:r>
        <w:rPr>
          <w:rFonts w:ascii="宋体" w:hAnsi="宋体" w:cs="宋体" w:eastAsia="宋体" w:hint="default"/>
          <w:spacing w:val="-7"/>
          <w:w w:val="100"/>
        </w:rPr>
        <w:t>1</w:t>
      </w:r>
      <w:r>
        <w:rPr>
          <w:spacing w:val="-7"/>
          <w:w w:val="100"/>
        </w:rPr>
        <w:t>人，公司严格按照《公司法》、《公司章程》规</w:t>
      </w:r>
    </w:p>
    <w:p>
      <w:pPr>
        <w:pStyle w:val="BodyText"/>
        <w:spacing w:line="410" w:lineRule="auto" w:before="42"/>
        <w:ind w:right="1125"/>
        <w:jc w:val="both"/>
      </w:pPr>
      <w:r>
        <w:rPr>
          <w:spacing w:val="-2"/>
        </w:rPr>
        <w:t>定的选聘程序选举监事，公司监事会人数和人员构成符合法律、法规的要求。各位监事能够认真学习有关</w:t>
      </w:r>
      <w:r>
        <w:rPr>
          <w:spacing w:val="-33"/>
        </w:rPr>
        <w:t> </w:t>
      </w:r>
      <w:r>
        <w:rPr>
          <w:spacing w:val="-33"/>
        </w:rPr>
      </w:r>
      <w:r>
        <w:rPr>
          <w:spacing w:val="-2"/>
        </w:rPr>
        <w:t>法律法规、积极参加相关业务培训、认真履行职责，本着对全体股东尤其是中小股东负责的精神，对公司</w:t>
      </w:r>
      <w:r>
        <w:rPr>
          <w:spacing w:val="-33"/>
        </w:rPr>
        <w:t> </w:t>
      </w:r>
      <w:r>
        <w:rPr>
          <w:spacing w:val="-33"/>
        </w:rPr>
      </w:r>
      <w:r>
        <w:rPr>
          <w:spacing w:val="-2"/>
        </w:rPr>
        <w:t>重大事项、关联交易、财务状况以及董事和其他高级管理人员履行职责的合法、合规性进行监督并发表独</w:t>
      </w:r>
      <w:r>
        <w:rPr>
          <w:spacing w:val="-33"/>
        </w:rPr>
        <w:t> </w:t>
      </w:r>
      <w:r>
        <w:rPr>
          <w:spacing w:val="-33"/>
        </w:rPr>
      </w:r>
      <w:r>
        <w:rPr/>
        <w:t>立意见，维护公司及股东的合法权益。</w:t>
      </w:r>
    </w:p>
    <w:p>
      <w:pPr>
        <w:pStyle w:val="BodyText"/>
        <w:spacing w:line="410" w:lineRule="auto" w:before="42"/>
        <w:ind w:left="575" w:right="1024"/>
        <w:jc w:val="left"/>
      </w:pPr>
      <w:r>
        <w:rPr>
          <w:rFonts w:ascii="宋体" w:hAnsi="宋体" w:cs="宋体" w:eastAsia="宋体" w:hint="default"/>
        </w:rPr>
        <w:t>4</w:t>
      </w:r>
      <w:r>
        <w:rPr/>
        <w:t>、关于绩效评价与激励约束机制</w:t>
      </w:r>
      <w:r>
        <w:rPr>
          <w:spacing w:val="-103"/>
        </w:rPr>
        <w:t> </w:t>
      </w:r>
      <w:r>
        <w:rPr>
          <w:spacing w:val="-103"/>
        </w:rPr>
      </w:r>
      <w:r>
        <w:rPr>
          <w:spacing w:val="-2"/>
        </w:rPr>
        <w:t>公司建立并逐步完善公正、透明的董事、监事、高级管理人员的绩效评价标准与激励约束机制；高级</w:t>
      </w:r>
    </w:p>
    <w:p>
      <w:pPr>
        <w:spacing w:after="0" w:line="410" w:lineRule="auto"/>
        <w:jc w:val="left"/>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5" w:lineRule="auto" w:before="36"/>
        <w:ind w:left="575" w:right="4644" w:hanging="423"/>
        <w:jc w:val="left"/>
      </w:pPr>
      <w:r>
        <w:rPr>
          <w:spacing w:val="-2"/>
        </w:rPr>
        <w:t>管理人员的聘任公开、透明，符合相关法律、法规的规定。</w:t>
      </w:r>
      <w:r>
        <w:rPr>
          <w:spacing w:val="-52"/>
        </w:rPr>
        <w:t> </w:t>
      </w:r>
      <w:r>
        <w:rPr>
          <w:spacing w:val="-52"/>
        </w:rPr>
      </w:r>
      <w:r>
        <w:rPr>
          <w:rFonts w:ascii="宋体" w:hAnsi="宋体" w:cs="宋体" w:eastAsia="宋体" w:hint="default"/>
        </w:rPr>
        <w:t>5</w:t>
      </w:r>
      <w:r>
        <w:rPr/>
        <w:t>、关于控股股东及公司</w:t>
      </w:r>
    </w:p>
    <w:p>
      <w:pPr>
        <w:pStyle w:val="BodyText"/>
        <w:spacing w:line="408" w:lineRule="auto" w:before="51"/>
        <w:ind w:right="1125" w:firstLine="422"/>
        <w:jc w:val="both"/>
      </w:pPr>
      <w:r>
        <w:rPr>
          <w:spacing w:val="-2"/>
        </w:rPr>
        <w:t>公司严格按照《上市公司治理准则》等相关法律、法规及《公司章程》的规定规范控股股东行为。公</w:t>
      </w:r>
      <w:r>
        <w:rPr>
          <w:w w:val="100"/>
        </w:rPr>
        <w:t> </w:t>
      </w:r>
      <w:r>
        <w:rPr>
          <w:spacing w:val="-2"/>
        </w:rPr>
        <w:t>司在业务、人员、资产、机构、财务等方面与控股股东相互独立，公司具有独立完整的业务及自主经营能</w:t>
      </w:r>
      <w:r>
        <w:rPr>
          <w:spacing w:val="-38"/>
        </w:rPr>
        <w:t> </w:t>
      </w:r>
      <w:r>
        <w:rPr>
          <w:spacing w:val="-38"/>
        </w:rPr>
      </w:r>
      <w:r>
        <w:rPr>
          <w:spacing w:val="-2"/>
        </w:rPr>
        <w:t>力。控股股东依法行使其权利，并承担相应义务，不存在违规占用公司资金的情况，未发生超越股东大会</w:t>
      </w:r>
      <w:r>
        <w:rPr>
          <w:spacing w:val="-33"/>
        </w:rPr>
        <w:t> </w:t>
      </w:r>
      <w:r>
        <w:rPr>
          <w:spacing w:val="-33"/>
        </w:rPr>
      </w:r>
      <w:r>
        <w:rPr/>
        <w:t>直接或间接干预公司经营和决策的行为。</w:t>
      </w:r>
    </w:p>
    <w:p>
      <w:pPr>
        <w:pStyle w:val="BodyText"/>
        <w:spacing w:line="405" w:lineRule="auto" w:before="49"/>
        <w:ind w:left="575" w:right="1024"/>
        <w:jc w:val="left"/>
      </w:pPr>
      <w:r>
        <w:rPr>
          <w:rFonts w:ascii="宋体" w:hAnsi="宋体" w:cs="宋体" w:eastAsia="宋体" w:hint="default"/>
        </w:rPr>
        <w:t>6</w:t>
      </w:r>
      <w:r>
        <w:rPr/>
        <w:t>、关于信息披露与投资者关系管理</w:t>
      </w:r>
      <w:r>
        <w:rPr>
          <w:spacing w:val="-102"/>
        </w:rPr>
        <w:t> </w:t>
      </w:r>
      <w:r>
        <w:rPr>
          <w:spacing w:val="-102"/>
        </w:rPr>
      </w:r>
      <w:r>
        <w:rPr>
          <w:spacing w:val="-7"/>
          <w:w w:val="100"/>
        </w:rPr>
        <w:t>公司严格按照《信息披露事务管理制度》、《投资者关系管理制度》等制度的要求，切实履行信息披露</w:t>
      </w:r>
    </w:p>
    <w:p>
      <w:pPr>
        <w:pStyle w:val="BodyText"/>
        <w:spacing w:line="408" w:lineRule="auto" w:before="50"/>
        <w:ind w:right="1024"/>
        <w:jc w:val="left"/>
      </w:pPr>
      <w:r>
        <w:rPr>
          <w:spacing w:val="-5"/>
          <w:w w:val="100"/>
        </w:rPr>
        <w:t>义务，指定《证券时报》、《中国证券报》和巨潮资讯网</w:t>
      </w:r>
      <w:r>
        <w:rPr>
          <w:rFonts w:ascii="宋体" w:hAnsi="宋体" w:cs="宋体" w:eastAsia="宋体" w:hint="default"/>
          <w:spacing w:val="-5"/>
          <w:w w:val="100"/>
        </w:rPr>
        <w:t>(http://www.cninfo.com.cn)</w:t>
      </w:r>
      <w:r>
        <w:rPr>
          <w:spacing w:val="-5"/>
          <w:w w:val="100"/>
        </w:rPr>
        <w:t>为公司信息披露的报</w:t>
      </w:r>
      <w:r>
        <w:rPr>
          <w:spacing w:val="-90"/>
          <w:w w:val="100"/>
        </w:rPr>
        <w:t> </w:t>
      </w:r>
      <w:r>
        <w:rPr>
          <w:spacing w:val="-90"/>
          <w:w w:val="100"/>
        </w:rPr>
      </w:r>
      <w:r>
        <w:rPr>
          <w:spacing w:val="-2"/>
        </w:rPr>
        <w:t>纸和网站，通过接待来访、回答咨询、网络互动、业绩说明会等方式，与投资者保持良好沟通，增强投资</w:t>
      </w:r>
      <w:r>
        <w:rPr>
          <w:spacing w:val="-33"/>
        </w:rPr>
        <w:t> </w:t>
      </w:r>
      <w:r>
        <w:rPr>
          <w:spacing w:val="-33"/>
        </w:rPr>
      </w:r>
      <w:r>
        <w:rPr>
          <w:spacing w:val="-2"/>
        </w:rPr>
        <w:t>者对公司的认可和了解。同时，公司建立了信息披露重大差错责任追究机制，加大了对年报信息披露责任</w:t>
      </w:r>
      <w:r>
        <w:rPr>
          <w:spacing w:val="-33"/>
        </w:rPr>
        <w:t> </w:t>
      </w:r>
      <w:r>
        <w:rPr>
          <w:spacing w:val="-33"/>
        </w:rPr>
      </w:r>
      <w:r>
        <w:rPr>
          <w:spacing w:val="-2"/>
        </w:rPr>
        <w:t>人的问责力度，提高年报信息披露质量和透明度；建立了内幕信息知情人登记管理机制，明确了对内幕信</w:t>
      </w:r>
      <w:r>
        <w:rPr>
          <w:spacing w:val="-33"/>
        </w:rPr>
        <w:t> </w:t>
      </w:r>
      <w:r>
        <w:rPr>
          <w:spacing w:val="-33"/>
        </w:rPr>
      </w:r>
      <w:r>
        <w:rPr/>
        <w:t>息知情人的管理和责任追究。</w:t>
      </w:r>
      <w:r>
        <w:rPr>
          <w:spacing w:val="-100"/>
        </w:rPr>
        <w:t> </w:t>
      </w:r>
      <w:r>
        <w:rPr>
          <w:spacing w:val="-100"/>
        </w:rPr>
      </w:r>
      <w:r>
        <w:rPr/>
        <w:t>公司治理的实际状况与中国证监会发布的有关上市公司治理的规范性文件是否存在重大差异</w:t>
      </w:r>
    </w:p>
    <w:p>
      <w:pPr>
        <w:pStyle w:val="BodyText"/>
        <w:spacing w:line="408" w:lineRule="auto" w:before="48"/>
        <w:ind w:right="1024"/>
        <w:jc w:val="left"/>
      </w:pPr>
      <w:r>
        <w:rPr/>
        <w:t>□ 是 √ 否</w:t>
      </w:r>
      <w:r>
        <w:rPr>
          <w:spacing w:val="-100"/>
        </w:rPr>
        <w:t> </w:t>
      </w:r>
      <w:r>
        <w:rPr>
          <w:spacing w:val="-100"/>
        </w:rPr>
      </w:r>
      <w:r>
        <w:rPr>
          <w:spacing w:val="-2"/>
        </w:rPr>
        <w:t>公司治理的实际状况与中国证监会发布的有关上市公司治理的规范性文件存在重大差异的具体情况及原</w:t>
      </w:r>
      <w:r>
        <w:rPr>
          <w:spacing w:val="-16"/>
        </w:rPr>
        <w:t> </w:t>
      </w:r>
      <w:r>
        <w:rPr>
          <w:spacing w:val="-16"/>
        </w:rPr>
      </w:r>
      <w:r>
        <w:rPr/>
        <w:t>因说明</w:t>
      </w:r>
    </w:p>
    <w:p>
      <w:pPr>
        <w:pStyle w:val="BodyText"/>
        <w:spacing w:line="240" w:lineRule="auto" w:before="44"/>
        <w:ind w:right="1024"/>
        <w:jc w:val="left"/>
      </w:pPr>
      <w:r>
        <w:rPr/>
        <w:t>公司治理的实际状况与中国证监会发布的有关上市公司治理的规范性文件不存在重大差异。</w:t>
      </w:r>
    </w:p>
    <w:p>
      <w:pPr>
        <w:pStyle w:val="Heading2"/>
        <w:spacing w:line="240" w:lineRule="auto" w:before="170"/>
        <w:ind w:right="1024"/>
        <w:jc w:val="left"/>
        <w:rPr>
          <w:b w:val="0"/>
          <w:bCs w:val="0"/>
        </w:rPr>
      </w:pPr>
      <w:bookmarkStart w:name="二、公司相对于控股股东在业务、人员、资产、机构、财务等方面的独立情况" w:id="185"/>
      <w:bookmarkEnd w:id="185"/>
      <w:r>
        <w:rPr>
          <w:b w:val="0"/>
          <w:bCs w:val="0"/>
        </w:rPr>
      </w:r>
      <w:r>
        <w:rPr/>
        <w:t>二、公司相对于控股股东在业务、人员、资产、机构、财务等方面的独立情况</w:t>
      </w:r>
      <w:r>
        <w:rPr>
          <w:b w:val="0"/>
          <w:bCs w:val="0"/>
        </w:rPr>
      </w:r>
    </w:p>
    <w:p>
      <w:pPr>
        <w:pStyle w:val="BodyText"/>
        <w:spacing w:line="410" w:lineRule="auto" w:before="177"/>
        <w:ind w:right="1126" w:firstLine="441"/>
        <w:jc w:val="both"/>
      </w:pPr>
      <w:r>
        <w:rPr>
          <w:spacing w:val="-3"/>
        </w:rPr>
        <w:t>公司与控股股东在业务、人员、资产、机构、财务方面完全分开，做到了人员独立、财务独立、资产</w:t>
      </w:r>
      <w:r>
        <w:rPr>
          <w:w w:val="100"/>
        </w:rPr>
        <w:t> </w:t>
      </w:r>
      <w:r>
        <w:rPr/>
        <w:t>完整、机构独立、业务分开。</w:t>
      </w:r>
    </w:p>
    <w:p>
      <w:pPr>
        <w:pStyle w:val="BodyText"/>
        <w:spacing w:line="410" w:lineRule="auto" w:before="41"/>
        <w:ind w:right="1135" w:firstLine="441"/>
        <w:jc w:val="both"/>
      </w:pPr>
      <w:r>
        <w:rPr>
          <w:rFonts w:ascii="宋体" w:hAnsi="宋体" w:cs="宋体" w:eastAsia="宋体" w:hint="default"/>
        </w:rPr>
        <w:t>1</w:t>
      </w:r>
      <w:r>
        <w:rPr/>
        <w:t>、业务方面：本公司业务独立于控股股东，具有独立完整的业务及自主经营能力，不依赖于股东及</w:t>
      </w:r>
      <w:r>
        <w:rPr>
          <w:w w:val="100"/>
        </w:rPr>
        <w:t> </w:t>
      </w:r>
      <w:r>
        <w:rPr/>
        <w:t>任何其他关联方。</w:t>
      </w:r>
    </w:p>
    <w:p>
      <w:pPr>
        <w:pStyle w:val="BodyText"/>
        <w:spacing w:line="410" w:lineRule="auto" w:before="41"/>
        <w:ind w:right="1133" w:firstLine="441"/>
        <w:jc w:val="both"/>
      </w:pPr>
      <w:r>
        <w:rPr>
          <w:rFonts w:ascii="宋体" w:hAnsi="宋体" w:cs="宋体" w:eastAsia="宋体" w:hint="default"/>
        </w:rPr>
        <w:t>2</w:t>
      </w:r>
      <w:r>
        <w:rPr/>
        <w:t>、人员方面：本公司在劳动人事、薪酬管理方面与控股股东完全独立，公司人员独立，所有员工均</w:t>
      </w:r>
      <w:r>
        <w:rPr>
          <w:w w:val="100"/>
        </w:rPr>
        <w:t> </w:t>
      </w:r>
      <w:r>
        <w:rPr/>
        <w:t>和公司签订了劳动合同。公司在员工管理、社会保障、工薪报酬等方面独立于股东单位或其他关联方。</w:t>
      </w:r>
    </w:p>
    <w:p>
      <w:pPr>
        <w:pStyle w:val="BodyText"/>
        <w:spacing w:line="410" w:lineRule="auto" w:before="41"/>
        <w:ind w:right="1135" w:firstLine="441"/>
        <w:jc w:val="both"/>
      </w:pPr>
      <w:r>
        <w:rPr>
          <w:rFonts w:ascii="宋体" w:hAnsi="宋体" w:cs="宋体" w:eastAsia="宋体" w:hint="default"/>
        </w:rPr>
        <w:t>3</w:t>
      </w:r>
      <w:r>
        <w:rPr/>
        <w:t>、资产方面：公司资产完整、独立、产权关系明确。不存在资产资金被控股股东占用的情况，公司</w:t>
      </w:r>
      <w:r>
        <w:rPr>
          <w:w w:val="100"/>
        </w:rPr>
        <w:t> </w:t>
      </w:r>
      <w:r>
        <w:rPr/>
        <w:t>资产完全独立于控股股东。</w:t>
      </w:r>
    </w:p>
    <w:p>
      <w:pPr>
        <w:pStyle w:val="BodyText"/>
        <w:spacing w:line="408" w:lineRule="auto" w:before="42"/>
        <w:ind w:right="1125" w:firstLine="441"/>
        <w:jc w:val="both"/>
      </w:pPr>
      <w:r>
        <w:rPr>
          <w:rFonts w:ascii="宋体" w:hAnsi="宋体" w:cs="宋体" w:eastAsia="宋体" w:hint="default"/>
        </w:rPr>
        <w:t>4</w:t>
      </w:r>
      <w:r>
        <w:rPr/>
        <w:t>、机构方面：本公司机构独立，并制定了各部门的规章制度和职责，形成了责权分明，科学合理的</w:t>
      </w:r>
      <w:r>
        <w:rPr>
          <w:w w:val="100"/>
        </w:rPr>
        <w:t> </w:t>
      </w:r>
      <w:r>
        <w:rPr>
          <w:spacing w:val="-2"/>
        </w:rPr>
        <w:t>内部控制体系，公司经营管理的独立性不受控股股东及其下属机构的任何影响，不存在控股股东干预公司</w:t>
      </w:r>
      <w:r>
        <w:rPr>
          <w:spacing w:val="-33"/>
        </w:rPr>
        <w:t> </w:t>
      </w:r>
      <w:r>
        <w:rPr>
          <w:spacing w:val="-33"/>
        </w:rPr>
      </w:r>
      <w:r>
        <w:rPr/>
        <w:t>机构设置的现象。</w:t>
      </w:r>
    </w:p>
    <w:p>
      <w:pPr>
        <w:spacing w:after="0" w:line="408" w:lineRule="auto"/>
        <w:jc w:val="both"/>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5" w:lineRule="auto" w:before="36"/>
        <w:ind w:right="1024" w:firstLine="441"/>
        <w:jc w:val="left"/>
      </w:pPr>
      <w:r>
        <w:rPr>
          <w:rFonts w:ascii="宋体" w:hAnsi="宋体" w:cs="宋体" w:eastAsia="宋体" w:hint="default"/>
        </w:rPr>
        <w:t>5</w:t>
      </w:r>
      <w:r>
        <w:rPr/>
        <w:t>、财务方面：本公司财务独立，有独立的财务部门，有独立的财务核算体系和财务管理制度，有独</w:t>
      </w:r>
      <w:r>
        <w:rPr>
          <w:w w:val="100"/>
        </w:rPr>
        <w:t> </w:t>
      </w:r>
      <w:r>
        <w:rPr/>
        <w:t>立的财务账户，独立纳税，独立进行财务决策。</w:t>
      </w:r>
    </w:p>
    <w:p>
      <w:pPr>
        <w:pStyle w:val="BodyText"/>
        <w:spacing w:line="405" w:lineRule="auto" w:before="51"/>
        <w:ind w:right="1024" w:firstLine="441"/>
        <w:jc w:val="left"/>
      </w:pPr>
      <w:r>
        <w:rPr>
          <w:spacing w:val="-3"/>
        </w:rPr>
        <w:t>本公司控股股东行为规范，不存在超越公司股东大会直接或间接干预公司经营决策、经营活动或资金</w:t>
      </w:r>
      <w:r>
        <w:rPr>
          <w:w w:val="100"/>
        </w:rPr>
        <w:t> </w:t>
      </w:r>
      <w:r>
        <w:rPr/>
        <w:t>使用的情形，但控股股东可通过所持的股份对公司的重大决策产生一定影响。</w:t>
      </w:r>
    </w:p>
    <w:p>
      <w:pPr>
        <w:spacing w:line="240" w:lineRule="auto" w:before="6"/>
        <w:rPr>
          <w:rFonts w:ascii="宋体" w:hAnsi="宋体" w:cs="宋体" w:eastAsia="宋体" w:hint="default"/>
          <w:sz w:val="18"/>
          <w:szCs w:val="18"/>
        </w:rPr>
      </w:pPr>
    </w:p>
    <w:p>
      <w:pPr>
        <w:pStyle w:val="Heading2"/>
        <w:spacing w:line="240" w:lineRule="auto"/>
        <w:ind w:right="1024"/>
        <w:jc w:val="left"/>
        <w:rPr>
          <w:b w:val="0"/>
          <w:bCs w:val="0"/>
        </w:rPr>
      </w:pPr>
      <w:bookmarkStart w:name="三、同业竞争情况" w:id="186"/>
      <w:bookmarkEnd w:id="186"/>
      <w:r>
        <w:rPr>
          <w:b w:val="0"/>
          <w:bCs w:val="0"/>
        </w:rPr>
      </w:r>
      <w:r>
        <w:rPr/>
        <w:t>三、同业竞争情况</w:t>
      </w:r>
      <w:r>
        <w:rPr>
          <w:b w:val="0"/>
          <w:bCs w:val="0"/>
        </w:rPr>
      </w:r>
    </w:p>
    <w:p>
      <w:pPr>
        <w:spacing w:line="240" w:lineRule="auto" w:before="4"/>
        <w:rPr>
          <w:rFonts w:ascii="宋体" w:hAnsi="宋体" w:cs="宋体" w:eastAsia="宋体" w:hint="default"/>
          <w:b/>
          <w:bCs/>
          <w:sz w:val="25"/>
          <w:szCs w:val="25"/>
        </w:rPr>
      </w:pPr>
    </w:p>
    <w:p>
      <w:pPr>
        <w:spacing w:line="499" w:lineRule="auto" w:before="0"/>
        <w:ind w:left="153" w:right="4245"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四、报告期内召开的年度股东大会和临时股东大会的有关情况" w:id="187"/>
      <w:bookmarkEnd w:id="187"/>
      <w:r>
        <w:rPr>
          <w:rFonts w:ascii="宋体" w:hAnsi="宋体" w:cs="宋体" w:eastAsia="宋体" w:hint="default"/>
          <w:spacing w:val="-101"/>
          <w:sz w:val="21"/>
          <w:szCs w:val="21"/>
        </w:rPr>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b/>
          <w:bCs/>
          <w:w w:val="99"/>
          <w:sz w:val="24"/>
          <w:szCs w:val="24"/>
        </w:rPr>
        <w:t> </w:t>
      </w:r>
      <w:bookmarkStart w:name="1、本报告期股东大会情况" w:id="188"/>
      <w:bookmarkEnd w:id="188"/>
      <w:r>
        <w:rPr>
          <w:rFonts w:ascii="宋体" w:hAnsi="宋体" w:cs="宋体" w:eastAsia="宋体" w:hint="default"/>
          <w:b/>
          <w:bCs/>
          <w:w w:val="99"/>
          <w:sz w:val="24"/>
          <w:szCs w:val="24"/>
        </w:rPr>
      </w:r>
      <w:r>
        <w:rPr>
          <w:rFonts w:ascii="宋体" w:hAnsi="宋体" w:cs="宋体" w:eastAsia="宋体"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8"/>
        <w:rPr>
          <w:rFonts w:ascii="宋体" w:hAnsi="宋体" w:cs="宋体" w:eastAsia="宋体" w:hint="default"/>
          <w:b/>
          <w:bCs/>
          <w:sz w:val="9"/>
          <w:szCs w:val="9"/>
        </w:rPr>
      </w:pPr>
    </w:p>
    <w:tbl>
      <w:tblPr>
        <w:tblW w:w="0" w:type="auto"/>
        <w:jc w:val="left"/>
        <w:tblInd w:w="138" w:type="dxa"/>
        <w:tblLayout w:type="fixed"/>
        <w:tblCellMar>
          <w:top w:w="0" w:type="dxa"/>
          <w:left w:w="0" w:type="dxa"/>
          <w:bottom w:w="0" w:type="dxa"/>
          <w:right w:w="0" w:type="dxa"/>
        </w:tblCellMar>
        <w:tblLook w:val="01E0"/>
      </w:tblPr>
      <w:tblGrid>
        <w:gridCol w:w="1599"/>
        <w:gridCol w:w="1416"/>
        <w:gridCol w:w="1561"/>
        <w:gridCol w:w="1709"/>
        <w:gridCol w:w="1690"/>
        <w:gridCol w:w="1594"/>
      </w:tblGrid>
      <w:tr>
        <w:trPr>
          <w:trHeight w:val="410" w:hRule="exact"/>
        </w:trPr>
        <w:tc>
          <w:tcPr>
            <w:tcW w:w="159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left="427"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4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0"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6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43"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70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90"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1599" w:type="dxa"/>
            <w:tcBorders>
              <w:top w:val="single" w:sz="4" w:space="0" w:color="000000"/>
              <w:left w:val="single" w:sz="12" w:space="0" w:color="000000"/>
              <w:bottom w:val="single" w:sz="4" w:space="0" w:color="000000"/>
              <w:right w:val="single" w:sz="4" w:space="0" w:color="000000"/>
            </w:tcBorders>
          </w:tcPr>
          <w:p>
            <w:pPr>
              <w:pStyle w:val="TableParagraph"/>
              <w:spacing w:line="321" w:lineRule="auto" w:before="53"/>
              <w:ind w:left="95" w:right="17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年第一次临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47.99%</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321" w:lineRule="auto" w:before="53"/>
              <w:ind w:left="105" w:right="113"/>
              <w:jc w:val="left"/>
              <w:rPr>
                <w:rFonts w:ascii="宋体" w:hAnsi="宋体" w:cs="宋体" w:eastAsia="宋体" w:hint="default"/>
                <w:sz w:val="18"/>
                <w:szCs w:val="18"/>
              </w:rPr>
            </w:pPr>
            <w:r>
              <w:rPr>
                <w:rFonts w:ascii="宋体"/>
                <w:sz w:val="18"/>
              </w:rPr>
              <w:t>http://www.cnin</w:t>
            </w:r>
            <w:r>
              <w:rPr>
                <w:rFonts w:ascii="宋体"/>
                <w:spacing w:val="-87"/>
                <w:sz w:val="18"/>
              </w:rPr>
              <w:t> </w:t>
            </w:r>
            <w:r>
              <w:rPr>
                <w:rFonts w:ascii="宋体"/>
                <w:spacing w:val="-87"/>
                <w:sz w:val="18"/>
              </w:rPr>
            </w:r>
            <w:r>
              <w:rPr>
                <w:rFonts w:ascii="宋体"/>
                <w:sz w:val="18"/>
              </w:rPr>
              <w:t>fo.com.cn</w:t>
            </w:r>
          </w:p>
        </w:tc>
      </w:tr>
      <w:tr>
        <w:trPr>
          <w:trHeight w:val="716" w:hRule="exact"/>
        </w:trPr>
        <w:tc>
          <w:tcPr>
            <w:tcW w:w="1599"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5" w:right="17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年第二次临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47.91%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319" w:lineRule="auto" w:before="53"/>
              <w:ind w:left="105" w:right="113"/>
              <w:jc w:val="left"/>
              <w:rPr>
                <w:rFonts w:ascii="宋体" w:hAnsi="宋体" w:cs="宋体" w:eastAsia="宋体" w:hint="default"/>
                <w:sz w:val="18"/>
                <w:szCs w:val="18"/>
              </w:rPr>
            </w:pPr>
            <w:r>
              <w:rPr>
                <w:rFonts w:ascii="宋体"/>
                <w:sz w:val="18"/>
              </w:rPr>
              <w:t>http://www.cnin</w:t>
            </w:r>
            <w:r>
              <w:rPr>
                <w:rFonts w:ascii="宋体"/>
                <w:spacing w:val="-87"/>
                <w:sz w:val="18"/>
              </w:rPr>
              <w:t> </w:t>
            </w:r>
            <w:r>
              <w:rPr>
                <w:rFonts w:ascii="宋体"/>
                <w:spacing w:val="-87"/>
                <w:sz w:val="18"/>
              </w:rPr>
            </w:r>
            <w:r>
              <w:rPr>
                <w:rFonts w:ascii="宋体"/>
                <w:sz w:val="18"/>
              </w:rPr>
              <w:t>fo.com.cn</w:t>
            </w:r>
          </w:p>
        </w:tc>
      </w:tr>
      <w:tr>
        <w:trPr>
          <w:trHeight w:val="725" w:hRule="exact"/>
        </w:trPr>
        <w:tc>
          <w:tcPr>
            <w:tcW w:w="1599"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3"/>
              <w:ind w:left="95" w:right="171"/>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年度股东大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44.98%</w:t>
            </w:r>
          </w:p>
        </w:tc>
        <w:tc>
          <w:tcPr>
            <w:tcW w:w="1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6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316" w:lineRule="auto" w:before="53"/>
              <w:ind w:left="105" w:right="113"/>
              <w:jc w:val="left"/>
              <w:rPr>
                <w:rFonts w:ascii="宋体" w:hAnsi="宋体" w:cs="宋体" w:eastAsia="宋体" w:hint="default"/>
                <w:sz w:val="18"/>
                <w:szCs w:val="18"/>
              </w:rPr>
            </w:pPr>
            <w:r>
              <w:rPr>
                <w:rFonts w:ascii="宋体"/>
                <w:sz w:val="18"/>
              </w:rPr>
              <w:t>http://www.cnin</w:t>
            </w:r>
            <w:r>
              <w:rPr>
                <w:rFonts w:ascii="宋体"/>
                <w:spacing w:val="-87"/>
                <w:sz w:val="18"/>
              </w:rPr>
              <w:t> </w:t>
            </w:r>
            <w:r>
              <w:rPr>
                <w:rFonts w:ascii="宋体"/>
                <w:spacing w:val="-87"/>
                <w:sz w:val="18"/>
              </w:rPr>
            </w:r>
            <w:r>
              <w:rPr>
                <w:rFonts w:ascii="宋体"/>
                <w:sz w:val="18"/>
              </w:rPr>
              <w:t>fo.com.cn</w:t>
            </w:r>
          </w:p>
        </w:tc>
      </w:tr>
    </w:tbl>
    <w:p>
      <w:pPr>
        <w:pStyle w:val="Heading4"/>
        <w:spacing w:line="240" w:lineRule="auto" w:before="66"/>
        <w:ind w:right="1024"/>
        <w:jc w:val="left"/>
        <w:rPr>
          <w:b w:val="0"/>
          <w:bCs w:val="0"/>
        </w:rPr>
      </w:pPr>
      <w:bookmarkStart w:name="2、表决权恢复的优先股股东请求召开临时股东大会" w:id="189"/>
      <w:bookmarkEnd w:id="189"/>
      <w:r>
        <w:rPr>
          <w:b w:val="0"/>
          <w:bCs w:val="0"/>
        </w:rPr>
      </w:r>
      <w:r>
        <w:rPr>
          <w:rFonts w:ascii="宋体" w:hAnsi="宋体" w:cs="宋体" w:eastAsia="宋体"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right="1024"/>
        <w:jc w:val="left"/>
      </w:pPr>
      <w:r>
        <w:rPr/>
        <w:t>□ 适用 √</w:t>
      </w:r>
      <w:r>
        <w:rPr>
          <w:spacing w:val="4"/>
        </w:rPr>
        <w:t> </w:t>
      </w:r>
      <w:r>
        <w:rPr/>
        <w:t>不适用</w:t>
      </w:r>
    </w:p>
    <w:p>
      <w:pPr>
        <w:spacing w:line="240" w:lineRule="auto" w:before="7"/>
        <w:rPr>
          <w:rFonts w:ascii="宋体" w:hAnsi="宋体" w:cs="宋体" w:eastAsia="宋体" w:hint="default"/>
          <w:sz w:val="29"/>
          <w:szCs w:val="29"/>
        </w:rPr>
      </w:pPr>
    </w:p>
    <w:p>
      <w:pPr>
        <w:pStyle w:val="Heading2"/>
        <w:spacing w:line="240" w:lineRule="auto"/>
        <w:ind w:right="1024"/>
        <w:jc w:val="left"/>
        <w:rPr>
          <w:b w:val="0"/>
          <w:bCs w:val="0"/>
        </w:rPr>
      </w:pPr>
      <w:bookmarkStart w:name="五、报告期内独立董事履行职责的情况" w:id="190"/>
      <w:bookmarkEnd w:id="190"/>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1024"/>
        <w:jc w:val="left"/>
        <w:rPr>
          <w:b w:val="0"/>
          <w:bCs w:val="0"/>
        </w:rPr>
      </w:pPr>
      <w:bookmarkStart w:name="1、独立董事出席董事会及股东大会的情况" w:id="191"/>
      <w:bookmarkEnd w:id="191"/>
      <w:r>
        <w:rPr>
          <w:b w:val="0"/>
          <w:bCs w:val="0"/>
        </w:rPr>
      </w:r>
      <w:r>
        <w:rPr>
          <w:rFonts w:ascii="宋体" w:hAnsi="宋体" w:cs="宋体" w:eastAsia="宋体" w:hint="default"/>
        </w:rPr>
        <w:t>1</w:t>
      </w:r>
      <w:r>
        <w:rPr/>
        <w:t>、独立董事出席董事会及股东大会的情况</w:t>
      </w:r>
      <w:r>
        <w:rPr>
          <w:b w:val="0"/>
          <w:bCs w:val="0"/>
        </w:rPr>
      </w:r>
    </w:p>
    <w:p>
      <w:pPr>
        <w:spacing w:line="240" w:lineRule="auto" w:before="2"/>
        <w:rPr>
          <w:rFonts w:ascii="宋体" w:hAnsi="宋体" w:cs="宋体" w:eastAsia="宋体" w:hint="default"/>
          <w:b/>
          <w:bCs/>
          <w:sz w:val="27"/>
          <w:szCs w:val="27"/>
        </w:rPr>
      </w:pPr>
    </w:p>
    <w:tbl>
      <w:tblPr>
        <w:tblW w:w="0" w:type="auto"/>
        <w:jc w:val="left"/>
        <w:tblInd w:w="13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13" w:hRule="exact"/>
        </w:trPr>
        <w:tc>
          <w:tcPr>
            <w:tcW w:w="9575" w:type="dxa"/>
            <w:gridSpan w:val="8"/>
            <w:tcBorders>
              <w:top w:val="single" w:sz="12"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335" w:hRule="exact"/>
        </w:trPr>
        <w:tc>
          <w:tcPr>
            <w:tcW w:w="14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29" w:right="123"/>
              <w:jc w:val="center"/>
              <w:rPr>
                <w:rFonts w:ascii="宋体" w:hAnsi="宋体" w:cs="宋体" w:eastAsia="宋体" w:hint="default"/>
                <w:sz w:val="18"/>
                <w:szCs w:val="18"/>
              </w:rPr>
            </w:pPr>
            <w:r>
              <w:rPr>
                <w:rFonts w:ascii="宋体" w:hAnsi="宋体" w:cs="宋体" w:eastAsia="宋体" w:hint="default"/>
                <w:spacing w:val="-2"/>
                <w:sz w:val="18"/>
                <w:szCs w:val="18"/>
              </w:rPr>
              <w:t>本报告期应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参加董事会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215" w:right="118" w:hanging="87"/>
              <w:jc w:val="left"/>
              <w:rPr>
                <w:rFonts w:ascii="宋体" w:hAnsi="宋体" w:cs="宋体" w:eastAsia="宋体" w:hint="default"/>
                <w:sz w:val="18"/>
                <w:szCs w:val="18"/>
              </w:rPr>
            </w:pPr>
            <w:r>
              <w:rPr>
                <w:rFonts w:ascii="宋体" w:hAnsi="宋体" w:cs="宋体" w:eastAsia="宋体" w:hint="default"/>
                <w:spacing w:val="-2"/>
                <w:sz w:val="18"/>
                <w:szCs w:val="18"/>
              </w:rPr>
              <w:t>现场出席董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事会次数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29" w:right="123"/>
              <w:jc w:val="center"/>
              <w:rPr>
                <w:rFonts w:ascii="宋体" w:hAnsi="宋体" w:cs="宋体" w:eastAsia="宋体" w:hint="default"/>
                <w:sz w:val="18"/>
                <w:szCs w:val="18"/>
              </w:rPr>
            </w:pPr>
            <w:r>
              <w:rPr>
                <w:rFonts w:ascii="宋体" w:hAnsi="宋体" w:cs="宋体" w:eastAsia="宋体" w:hint="default"/>
                <w:spacing w:val="-2"/>
                <w:sz w:val="18"/>
                <w:szCs w:val="18"/>
              </w:rPr>
              <w:t>以通讯方式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参加董事会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211" w:right="123" w:hanging="87"/>
              <w:jc w:val="left"/>
              <w:rPr>
                <w:rFonts w:ascii="宋体" w:hAnsi="宋体" w:cs="宋体" w:eastAsia="宋体" w:hint="default"/>
                <w:sz w:val="18"/>
                <w:szCs w:val="18"/>
              </w:rPr>
            </w:pPr>
            <w:r>
              <w:rPr>
                <w:rFonts w:ascii="宋体" w:hAnsi="宋体" w:cs="宋体" w:eastAsia="宋体" w:hint="default"/>
                <w:spacing w:val="-2"/>
                <w:sz w:val="18"/>
                <w:szCs w:val="18"/>
              </w:rPr>
              <w:t>委托出席董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398" w:right="118" w:hanging="269"/>
              <w:jc w:val="left"/>
              <w:rPr>
                <w:rFonts w:ascii="宋体" w:hAnsi="宋体" w:cs="宋体" w:eastAsia="宋体" w:hint="default"/>
                <w:sz w:val="18"/>
                <w:szCs w:val="18"/>
              </w:rPr>
            </w:pPr>
            <w:r>
              <w:rPr>
                <w:rFonts w:ascii="宋体" w:hAnsi="宋体" w:cs="宋体" w:eastAsia="宋体" w:hint="default"/>
                <w:spacing w:val="-2"/>
                <w:sz w:val="18"/>
                <w:szCs w:val="18"/>
              </w:rPr>
              <w:t>缺席董事会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9" w:right="118"/>
              <w:jc w:val="center"/>
              <w:rPr>
                <w:rFonts w:ascii="宋体" w:hAnsi="宋体" w:cs="宋体" w:eastAsia="宋体" w:hint="default"/>
                <w:sz w:val="18"/>
                <w:szCs w:val="18"/>
              </w:rPr>
            </w:pPr>
            <w:r>
              <w:rPr>
                <w:rFonts w:ascii="宋体" w:hAnsi="宋体" w:cs="宋体" w:eastAsia="宋体" w:hint="default"/>
                <w:spacing w:val="-2"/>
                <w:sz w:val="18"/>
                <w:szCs w:val="18"/>
              </w:rPr>
              <w:t>是否连续两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次未亲自参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加董事会会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议</w:t>
            </w:r>
          </w:p>
        </w:tc>
        <w:tc>
          <w:tcPr>
            <w:tcW w:w="1167"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307" w:right="113" w:hanging="178"/>
              <w:jc w:val="left"/>
              <w:rPr>
                <w:rFonts w:ascii="宋体" w:hAnsi="宋体" w:cs="宋体" w:eastAsia="宋体" w:hint="default"/>
                <w:sz w:val="18"/>
                <w:szCs w:val="18"/>
              </w:rPr>
            </w:pPr>
            <w:r>
              <w:rPr>
                <w:rFonts w:ascii="宋体" w:hAnsi="宋体" w:cs="宋体" w:eastAsia="宋体" w:hint="default"/>
                <w:sz w:val="18"/>
                <w:szCs w:val="18"/>
              </w:rPr>
              <w:t>出席股东大</w:t>
            </w:r>
            <w:r>
              <w:rPr>
                <w:rFonts w:ascii="宋体" w:hAnsi="宋体" w:cs="宋体" w:eastAsia="宋体" w:hint="default"/>
                <w:w w:val="101"/>
                <w:sz w:val="18"/>
                <w:szCs w:val="18"/>
              </w:rPr>
              <w:t> </w:t>
            </w:r>
            <w:r>
              <w:rPr>
                <w:rFonts w:ascii="宋体" w:hAnsi="宋体" w:cs="宋体" w:eastAsia="宋体" w:hint="default"/>
                <w:sz w:val="18"/>
                <w:szCs w:val="18"/>
              </w:rPr>
              <w:t>会次数</w:t>
            </w:r>
          </w:p>
        </w:tc>
      </w:tr>
      <w:tr>
        <w:trPr>
          <w:trHeight w:val="403" w:hRule="exact"/>
        </w:trPr>
        <w:tc>
          <w:tcPr>
            <w:tcW w:w="14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431" w:right="0"/>
              <w:jc w:val="left"/>
              <w:rPr>
                <w:rFonts w:ascii="宋体" w:hAnsi="宋体" w:cs="宋体" w:eastAsia="宋体" w:hint="default"/>
                <w:sz w:val="18"/>
                <w:szCs w:val="18"/>
              </w:rPr>
            </w:pPr>
            <w:r>
              <w:rPr>
                <w:rFonts w:ascii="宋体" w:hAnsi="宋体" w:cs="宋体" w:eastAsia="宋体" w:hint="default"/>
                <w:sz w:val="18"/>
                <w:szCs w:val="18"/>
              </w:rPr>
              <w:t>刘向明</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18"/>
                <w:szCs w:val="18"/>
              </w:rPr>
            </w:pPr>
            <w:r>
              <w:rPr>
                <w:rFonts w:ascii="宋体"/>
                <w:w w:val="101"/>
                <w:sz w:val="18"/>
              </w:rPr>
              <w:t>8</w:t>
            </w:r>
            <w:r>
              <w:rPr>
                <w:rFonts w:ascii="宋体"/>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宋体" w:hAnsi="宋体" w:cs="宋体" w:eastAsia="宋体" w:hint="default"/>
                <w:sz w:val="18"/>
                <w:szCs w:val="18"/>
              </w:rPr>
            </w:pPr>
            <w:r>
              <w:rPr>
                <w:rFonts w:ascii="宋体"/>
                <w:w w:val="101"/>
                <w:sz w:val="18"/>
              </w:rPr>
              <w:t>7</w:t>
            </w:r>
            <w:r>
              <w:rPr>
                <w:rFonts w:ascii="宋体"/>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18"/>
                <w:szCs w:val="18"/>
              </w:rPr>
            </w:pPr>
            <w:r>
              <w:rPr>
                <w:rFonts w:ascii="宋体"/>
                <w:w w:val="101"/>
                <w:sz w:val="18"/>
              </w:rPr>
              <w:t>1</w:t>
            </w:r>
            <w:r>
              <w:rPr>
                <w:rFonts w:ascii="宋体"/>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18"/>
                <w:szCs w:val="18"/>
              </w:rPr>
            </w:pPr>
            <w:r>
              <w:rPr>
                <w:rFonts w:ascii="宋体"/>
                <w:w w:val="101"/>
                <w:sz w:val="18"/>
              </w:rPr>
              <w:t>0</w:t>
            </w:r>
            <w:r>
              <w:rPr>
                <w:rFonts w:ascii="宋体"/>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95"/>
              <w:jc w:val="right"/>
              <w:rPr>
                <w:rFonts w:ascii="宋体" w:hAnsi="宋体" w:cs="宋体" w:eastAsia="宋体" w:hint="default"/>
                <w:sz w:val="18"/>
                <w:szCs w:val="18"/>
              </w:rPr>
            </w:pPr>
            <w:r>
              <w:rPr>
                <w:rFonts w:ascii="宋体"/>
                <w:w w:val="101"/>
                <w:sz w:val="18"/>
              </w:rPr>
              <w:t>3</w:t>
            </w:r>
            <w:r>
              <w:rPr>
                <w:rFonts w:ascii="宋体"/>
                <w:sz w:val="18"/>
              </w:rPr>
            </w:r>
          </w:p>
        </w:tc>
      </w:tr>
      <w:tr>
        <w:trPr>
          <w:trHeight w:val="403" w:hRule="exact"/>
        </w:trPr>
        <w:tc>
          <w:tcPr>
            <w:tcW w:w="14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周友梅</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w w:val="101"/>
                <w:sz w:val="18"/>
              </w:rPr>
              <w:t>8</w:t>
            </w:r>
            <w:r>
              <w:rPr>
                <w:rFonts w:ascii="宋体"/>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w w:val="101"/>
                <w:sz w:val="18"/>
              </w:rPr>
              <w:t>7</w:t>
            </w:r>
            <w:r>
              <w:rPr>
                <w:rFonts w:ascii="宋体"/>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w w:val="101"/>
                <w:sz w:val="18"/>
              </w:rPr>
              <w:t>1</w:t>
            </w:r>
            <w:r>
              <w:rPr>
                <w:rFonts w:ascii="宋体"/>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w w:val="101"/>
                <w:sz w:val="18"/>
              </w:rPr>
              <w:t>0</w:t>
            </w:r>
            <w:r>
              <w:rPr>
                <w:rFonts w:ascii="宋体"/>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w w:val="101"/>
                <w:sz w:val="18"/>
              </w:rPr>
              <w:t>3</w:t>
            </w:r>
            <w:r>
              <w:rPr>
                <w:rFonts w:ascii="宋体"/>
                <w:sz w:val="18"/>
              </w:rPr>
            </w:r>
          </w:p>
        </w:tc>
      </w:tr>
      <w:tr>
        <w:trPr>
          <w:trHeight w:val="403" w:hRule="exact"/>
        </w:trPr>
        <w:tc>
          <w:tcPr>
            <w:tcW w:w="142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周卫东</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w w:val="101"/>
                <w:sz w:val="18"/>
              </w:rPr>
              <w:t>7</w:t>
            </w:r>
            <w:r>
              <w:rPr>
                <w:rFonts w:ascii="宋体"/>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w w:val="101"/>
                <w:sz w:val="18"/>
              </w:rPr>
              <w:t>7</w:t>
            </w:r>
            <w:r>
              <w:rPr>
                <w:rFonts w:ascii="宋体"/>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w w:val="101"/>
                <w:sz w:val="18"/>
              </w:rPr>
              <w:t>0</w:t>
            </w:r>
            <w:r>
              <w:rPr>
                <w:rFonts w:ascii="宋体"/>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w w:val="101"/>
                <w:sz w:val="18"/>
              </w:rPr>
              <w:t>1</w:t>
            </w:r>
            <w:r>
              <w:rPr>
                <w:rFonts w:ascii="宋体"/>
                <w:sz w:val="18"/>
              </w:rPr>
            </w:r>
          </w:p>
        </w:tc>
      </w:tr>
      <w:tr>
        <w:trPr>
          <w:trHeight w:val="413" w:hRule="exact"/>
        </w:trPr>
        <w:tc>
          <w:tcPr>
            <w:tcW w:w="142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茅宁（已离任）</w:t>
            </w:r>
          </w:p>
        </w:tc>
        <w:tc>
          <w:tcPr>
            <w:tcW w:w="11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3"/>
              <w:jc w:val="right"/>
              <w:rPr>
                <w:rFonts w:ascii="宋体" w:hAnsi="宋体" w:cs="宋体" w:eastAsia="宋体" w:hint="default"/>
                <w:sz w:val="18"/>
                <w:szCs w:val="18"/>
              </w:rPr>
            </w:pPr>
            <w:r>
              <w:rPr>
                <w:rFonts w:ascii="宋体"/>
                <w:w w:val="101"/>
                <w:sz w:val="18"/>
              </w:rPr>
              <w:t>1</w:t>
            </w:r>
            <w:r>
              <w:rPr>
                <w:rFonts w:ascii="宋体"/>
                <w:sz w:val="18"/>
              </w:rPr>
            </w:r>
          </w:p>
        </w:tc>
        <w:tc>
          <w:tcPr>
            <w:tcW w:w="11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8"/>
              <w:jc w:val="right"/>
              <w:rPr>
                <w:rFonts w:ascii="宋体" w:hAnsi="宋体" w:cs="宋体" w:eastAsia="宋体" w:hint="default"/>
                <w:sz w:val="18"/>
                <w:szCs w:val="18"/>
              </w:rPr>
            </w:pPr>
            <w:r>
              <w:rPr>
                <w:rFonts w:ascii="宋体"/>
                <w:w w:val="101"/>
                <w:sz w:val="18"/>
              </w:rPr>
              <w:t>1</w:t>
            </w:r>
            <w:r>
              <w:rPr>
                <w:rFonts w:ascii="宋体"/>
                <w:sz w:val="18"/>
              </w:rPr>
            </w:r>
          </w:p>
        </w:tc>
        <w:tc>
          <w:tcPr>
            <w:tcW w:w="11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1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103"/>
              <w:jc w:val="right"/>
              <w:rPr>
                <w:rFonts w:ascii="宋体" w:hAnsi="宋体" w:cs="宋体" w:eastAsia="宋体" w:hint="default"/>
                <w:sz w:val="18"/>
                <w:szCs w:val="18"/>
              </w:rPr>
            </w:pPr>
            <w:r>
              <w:rPr>
                <w:rFonts w:ascii="宋体"/>
                <w:w w:val="101"/>
                <w:sz w:val="18"/>
              </w:rPr>
              <w:t>0</w:t>
            </w:r>
            <w:r>
              <w:rPr>
                <w:rFonts w:ascii="宋体"/>
                <w:sz w:val="18"/>
              </w:rPr>
            </w:r>
          </w:p>
        </w:tc>
        <w:tc>
          <w:tcPr>
            <w:tcW w:w="11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w w:val="101"/>
                <w:sz w:val="18"/>
              </w:rPr>
              <w:t>0</w:t>
            </w:r>
            <w:r>
              <w:rPr>
                <w:rFonts w:ascii="宋体"/>
                <w:sz w:val="18"/>
              </w:rPr>
            </w:r>
          </w:p>
        </w:tc>
        <w:tc>
          <w:tcPr>
            <w:tcW w:w="11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4"/>
              <w:ind w:right="95"/>
              <w:jc w:val="right"/>
              <w:rPr>
                <w:rFonts w:ascii="宋体" w:hAnsi="宋体" w:cs="宋体" w:eastAsia="宋体" w:hint="default"/>
                <w:sz w:val="18"/>
                <w:szCs w:val="18"/>
              </w:rPr>
            </w:pPr>
            <w:r>
              <w:rPr>
                <w:rFonts w:ascii="宋体"/>
                <w:w w:val="101"/>
                <w:sz w:val="18"/>
              </w:rPr>
              <w:t>1</w:t>
            </w:r>
            <w:r>
              <w:rPr>
                <w:rFonts w:ascii="宋体"/>
                <w:sz w:val="18"/>
              </w:rPr>
            </w:r>
          </w:p>
        </w:tc>
      </w:tr>
    </w:tbl>
    <w:p>
      <w:pPr>
        <w:spacing w:line="405" w:lineRule="auto" w:before="66"/>
        <w:ind w:left="153" w:right="6639" w:firstLine="0"/>
        <w:jc w:val="left"/>
        <w:rPr>
          <w:rFonts w:ascii="宋体" w:hAnsi="宋体" w:cs="宋体" w:eastAsia="宋体" w:hint="default"/>
          <w:sz w:val="21"/>
          <w:szCs w:val="21"/>
        </w:rPr>
      </w:pPr>
      <w:bookmarkStart w:name="2、独立董事对公司有关事项提出异议的情况" w:id="192"/>
      <w:bookmarkEnd w:id="192"/>
      <w:r>
        <w:rPr/>
      </w:r>
      <w:r>
        <w:rPr>
          <w:rFonts w:ascii="宋体" w:hAnsi="宋体" w:cs="宋体" w:eastAsia="宋体"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100"/>
          <w:sz w:val="21"/>
          <w:szCs w:val="21"/>
        </w:rPr>
        <w:t> </w:t>
      </w:r>
      <w:r>
        <w:rPr>
          <w:rFonts w:ascii="宋体" w:hAnsi="宋体" w:cs="宋体" w:eastAsia="宋体" w:hint="default"/>
          <w:sz w:val="21"/>
          <w:szCs w:val="21"/>
        </w:rPr>
        <w:t>独立董事对公司有关事项是否提出异议</w:t>
      </w:r>
    </w:p>
    <w:p>
      <w:pPr>
        <w:spacing w:after="0" w:line="405" w:lineRule="auto"/>
        <w:jc w:val="left"/>
        <w:rPr>
          <w:rFonts w:ascii="宋体" w:hAnsi="宋体" w:cs="宋体" w:eastAsia="宋体" w:hint="default"/>
          <w:sz w:val="21"/>
          <w:szCs w:val="21"/>
        </w:rPr>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spacing w:line="386" w:lineRule="auto" w:before="36"/>
        <w:ind w:left="153" w:right="5885" w:firstLine="0"/>
        <w:jc w:val="left"/>
        <w:rPr>
          <w:rFonts w:ascii="宋体" w:hAnsi="宋体" w:cs="宋体" w:eastAsia="宋体" w:hint="default"/>
          <w:sz w:val="21"/>
          <w:szCs w:val="21"/>
        </w:rPr>
      </w:pPr>
      <w:r>
        <w:rPr>
          <w:rFonts w:ascii="宋体" w:hAnsi="宋体" w:cs="宋体" w:eastAsia="宋体" w:hint="default"/>
          <w:sz w:val="21"/>
          <w:szCs w:val="21"/>
        </w:rPr>
        <w:t>□ 是 √ 否</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报告期内独立董事对公司有关事项未提出异议。</w:t>
      </w:r>
      <w:r>
        <w:rPr>
          <w:rFonts w:ascii="宋体" w:hAnsi="宋体" w:cs="宋体" w:eastAsia="宋体" w:hint="default"/>
          <w:spacing w:val="-79"/>
          <w:sz w:val="21"/>
          <w:szCs w:val="21"/>
        </w:rPr>
        <w:t> </w:t>
      </w:r>
      <w:r>
        <w:rPr>
          <w:rFonts w:ascii="宋体" w:hAnsi="宋体" w:cs="宋体" w:eastAsia="宋体" w:hint="default"/>
          <w:spacing w:val="-79"/>
          <w:sz w:val="21"/>
          <w:szCs w:val="21"/>
        </w:rPr>
      </w:r>
      <w:bookmarkStart w:name="3、独立董事履行职责的其他说明" w:id="193"/>
      <w:bookmarkEnd w:id="193"/>
      <w:r>
        <w:rPr>
          <w:rFonts w:ascii="宋体" w:hAnsi="宋体" w:cs="宋体" w:eastAsia="宋体" w:hint="default"/>
          <w:spacing w:val="-79"/>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b/>
          <w:bCs/>
          <w:spacing w:val="-101"/>
          <w:sz w:val="21"/>
          <w:szCs w:val="21"/>
        </w:rPr>
        <w:t> </w:t>
      </w:r>
      <w:r>
        <w:rPr>
          <w:rFonts w:ascii="宋体" w:hAnsi="宋体" w:cs="宋体" w:eastAsia="宋体" w:hint="default"/>
          <w:sz w:val="21"/>
          <w:szCs w:val="21"/>
        </w:rPr>
        <w:t>独立董事对公司有关建议是否被采纳</w:t>
      </w:r>
    </w:p>
    <w:p>
      <w:pPr>
        <w:pStyle w:val="BodyText"/>
        <w:spacing w:line="410" w:lineRule="auto" w:before="62"/>
        <w:ind w:right="5885"/>
        <w:jc w:val="left"/>
      </w:pPr>
      <w:r>
        <w:rPr/>
        <w:t>√ 是 □ 否</w:t>
      </w:r>
      <w:r>
        <w:rPr>
          <w:spacing w:val="-100"/>
        </w:rPr>
        <w:t> </w:t>
      </w:r>
      <w:r>
        <w:rPr>
          <w:spacing w:val="-100"/>
        </w:rPr>
      </w:r>
      <w:r>
        <w:rPr>
          <w:spacing w:val="-2"/>
        </w:rPr>
        <w:t>独立董事对公司有关建议被采纳或未被采纳的说明</w:t>
      </w:r>
    </w:p>
    <w:p>
      <w:pPr>
        <w:pStyle w:val="BodyText"/>
        <w:spacing w:line="408" w:lineRule="auto" w:before="42"/>
        <w:ind w:right="1121" w:firstLine="422"/>
        <w:jc w:val="both"/>
      </w:pPr>
      <w:r>
        <w:rPr>
          <w:spacing w:val="-7"/>
          <w:w w:val="100"/>
        </w:rPr>
        <w:t>报告期内，公司独立董事能够严格按照《公司章程》、《独立董事工作制度》等规定，本着对公司、股</w:t>
      </w:r>
      <w:r>
        <w:rPr>
          <w:w w:val="100"/>
        </w:rPr>
        <w:t> </w:t>
      </w:r>
      <w:r>
        <w:rPr>
          <w:spacing w:val="-7"/>
        </w:rPr>
        <w:t>东负责的态度，忠实、勤勉地履行职责，积极参加了公司召开的董事会和股东大会，对各项议案认真审议、 </w:t>
      </w:r>
      <w:r>
        <w:rPr>
          <w:spacing w:val="-7"/>
        </w:rPr>
      </w:r>
      <w:r>
        <w:rPr>
          <w:spacing w:val="-2"/>
        </w:rPr>
        <w:t>客观分析后提出相关建议，公司管理层充分听取并采纳了独立董事的意见。公司独立董事严格按照《关于</w:t>
      </w:r>
      <w:r>
        <w:rPr>
          <w:spacing w:val="-33"/>
        </w:rPr>
        <w:t> </w:t>
      </w:r>
      <w:r>
        <w:rPr>
          <w:spacing w:val="-33"/>
        </w:rPr>
      </w:r>
      <w:r>
        <w:rPr>
          <w:spacing w:val="-11"/>
          <w:w w:val="100"/>
        </w:rPr>
        <w:t>在上市公司建立独立董事制度的指导意见》、《深圳证券交易所创业板股票上市规则》、《深圳证券交易所创</w:t>
      </w:r>
      <w:r>
        <w:rPr>
          <w:spacing w:val="-77"/>
          <w:w w:val="100"/>
        </w:rPr>
        <w:t> </w:t>
      </w:r>
      <w:r>
        <w:rPr>
          <w:spacing w:val="-77"/>
          <w:w w:val="100"/>
        </w:rPr>
      </w:r>
      <w:r>
        <w:rPr>
          <w:spacing w:val="-7"/>
        </w:rPr>
        <w:t>业板上市公司规范运作指引》等法律、法规和《公司独立董事制度》相关制度的规定，对公司的发展战略、</w:t>
      </w:r>
      <w:r>
        <w:rPr>
          <w:spacing w:val="-5"/>
        </w:rPr>
        <w:t> </w:t>
      </w:r>
      <w:r>
        <w:rPr>
          <w:spacing w:val="-5"/>
        </w:rPr>
      </w:r>
      <w:r>
        <w:rPr>
          <w:spacing w:val="-2"/>
        </w:rPr>
        <w:t>完善公司治理等方面提出了积极建议，对公司定期报告、董事及高级管理人员的薪酬等事项发表了独立意</w:t>
      </w:r>
      <w:r>
        <w:rPr>
          <w:spacing w:val="-31"/>
        </w:rPr>
        <w:t> </w:t>
      </w:r>
      <w:r>
        <w:rPr>
          <w:spacing w:val="-31"/>
        </w:rPr>
      </w:r>
      <w:r>
        <w:rPr>
          <w:spacing w:val="-2"/>
        </w:rPr>
        <w:t>见认真履行职责，充分发挥了独立董事的作用，维护了公司整体利益，对于公司促进规范运作、加强风险</w:t>
      </w:r>
      <w:r>
        <w:rPr>
          <w:spacing w:val="-33"/>
        </w:rPr>
        <w:t> </w:t>
      </w:r>
      <w:r>
        <w:rPr>
          <w:spacing w:val="-33"/>
        </w:rPr>
      </w:r>
      <w:r>
        <w:rPr/>
        <w:t>管理、完善内部控制、提高董事会决策水平、日常经营管理及发展战略的确定起到了良好的作用。</w:t>
      </w:r>
    </w:p>
    <w:p>
      <w:pPr>
        <w:pStyle w:val="Heading2"/>
        <w:spacing w:line="251" w:lineRule="exact"/>
        <w:ind w:right="1024"/>
        <w:jc w:val="left"/>
        <w:rPr>
          <w:b w:val="0"/>
          <w:bCs w:val="0"/>
        </w:rPr>
      </w:pPr>
      <w:bookmarkStart w:name="六、董事会下设专门委员会在报告期内履行职责情况" w:id="194"/>
      <w:bookmarkEnd w:id="194"/>
      <w:r>
        <w:rPr>
          <w:b w:val="0"/>
          <w:bCs w:val="0"/>
        </w:rPr>
      </w:r>
      <w:r>
        <w:rPr/>
        <w:t>六、董事会下设专门委员会在报告期内履行职责情况</w:t>
      </w:r>
      <w:r>
        <w:rPr>
          <w:b w:val="0"/>
          <w:bCs w:val="0"/>
        </w:rPr>
      </w:r>
    </w:p>
    <w:p>
      <w:pPr>
        <w:pStyle w:val="BodyText"/>
        <w:spacing w:line="408" w:lineRule="auto" w:before="105"/>
        <w:ind w:right="1123" w:firstLine="528"/>
        <w:jc w:val="both"/>
      </w:pPr>
      <w:r>
        <w:rPr/>
        <w:t>报告期内，公司董事会下设各专门委员会按照各自工作实施细则的规定，以认真负责、勤勉诚信的</w:t>
      </w:r>
      <w:r>
        <w:rPr>
          <w:w w:val="100"/>
        </w:rPr>
        <w:t> </w:t>
      </w:r>
      <w:r>
        <w:rPr>
          <w:spacing w:val="-2"/>
        </w:rPr>
        <w:t>态度忠实履行各自职责，为完善公司治理结构、促进公司发展起到了积极作用。其中，董事会战略委员会</w:t>
      </w:r>
      <w:r>
        <w:rPr>
          <w:spacing w:val="-33"/>
        </w:rPr>
        <w:t> </w:t>
      </w:r>
      <w:r>
        <w:rPr>
          <w:spacing w:val="-33"/>
        </w:rPr>
      </w:r>
      <w:r>
        <w:rPr>
          <w:spacing w:val="-2"/>
        </w:rPr>
        <w:t>对公司发展战略、产业发展布局以及资本运营投资项目等提出诸多建设性的意见和建议；董事会提名薪酬</w:t>
      </w:r>
      <w:r>
        <w:rPr>
          <w:spacing w:val="-33"/>
        </w:rPr>
        <w:t> </w:t>
      </w:r>
      <w:r>
        <w:rPr>
          <w:spacing w:val="-33"/>
        </w:rPr>
      </w:r>
      <w:r>
        <w:rPr>
          <w:spacing w:val="-2"/>
        </w:rPr>
        <w:t>和考核委员会委员会在公司董事、高管换届选举过程中，对提名程序及候选人任职资格及独立性的要求认</w:t>
      </w:r>
      <w:r>
        <w:rPr>
          <w:spacing w:val="-33"/>
        </w:rPr>
        <w:t> </w:t>
      </w:r>
      <w:r>
        <w:rPr>
          <w:spacing w:val="-33"/>
        </w:rPr>
      </w:r>
      <w:r>
        <w:rPr>
          <w:spacing w:val="-2"/>
        </w:rPr>
        <w:t>真审查，对公司董事和高级管理人员的年度履职情况以及薪酬考核进行了有效监督；董事会审计委员会在</w:t>
      </w:r>
      <w:r>
        <w:rPr>
          <w:spacing w:val="-33"/>
        </w:rPr>
        <w:t> </w:t>
      </w:r>
      <w:r>
        <w:rPr>
          <w:spacing w:val="-33"/>
        </w:rPr>
      </w:r>
      <w:r>
        <w:rPr>
          <w:spacing w:val="-2"/>
        </w:rPr>
        <w:t>公司内部审计和内部控制建设过程中，与公司及年度审计机构进行了有效沟通，充分发挥了审计监督的功</w:t>
      </w:r>
      <w:r>
        <w:rPr>
          <w:spacing w:val="-31"/>
        </w:rPr>
        <w:t> </w:t>
      </w:r>
      <w:r>
        <w:rPr>
          <w:spacing w:val="-31"/>
        </w:rPr>
      </w:r>
      <w:r>
        <w:rPr/>
        <w:t>能。</w:t>
      </w:r>
    </w:p>
    <w:p>
      <w:pPr>
        <w:pStyle w:val="Heading2"/>
        <w:spacing w:line="240" w:lineRule="auto" w:before="23"/>
        <w:ind w:right="1024"/>
        <w:jc w:val="left"/>
        <w:rPr>
          <w:b w:val="0"/>
          <w:bCs w:val="0"/>
        </w:rPr>
      </w:pPr>
      <w:bookmarkStart w:name="七、监事会工作情况" w:id="195"/>
      <w:bookmarkEnd w:id="195"/>
      <w:r>
        <w:rPr>
          <w:b w:val="0"/>
          <w:bCs w:val="0"/>
        </w:rPr>
      </w:r>
      <w:r>
        <w:rPr/>
        <w:t>七、监事会工作情况</w:t>
      </w:r>
      <w:r>
        <w:rPr>
          <w:b w:val="0"/>
          <w:bCs w:val="0"/>
        </w:rPr>
      </w:r>
    </w:p>
    <w:p>
      <w:pPr>
        <w:pStyle w:val="BodyText"/>
        <w:spacing w:line="240" w:lineRule="auto" w:before="177"/>
        <w:ind w:right="1024"/>
        <w:jc w:val="left"/>
      </w:pPr>
      <w:r>
        <w:rPr/>
        <w:t>监事会在报告期内的监督活动中发现公司是否存在风险</w:t>
      </w:r>
    </w:p>
    <w:p>
      <w:pPr>
        <w:spacing w:line="240" w:lineRule="auto" w:before="13"/>
        <w:rPr>
          <w:rFonts w:ascii="宋体" w:hAnsi="宋体" w:cs="宋体" w:eastAsia="宋体" w:hint="default"/>
          <w:sz w:val="14"/>
          <w:szCs w:val="14"/>
        </w:rPr>
      </w:pPr>
    </w:p>
    <w:p>
      <w:pPr>
        <w:spacing w:line="398" w:lineRule="auto" w:before="0"/>
        <w:ind w:left="153" w:right="5885" w:firstLine="0"/>
        <w:jc w:val="left"/>
        <w:rPr>
          <w:rFonts w:ascii="宋体" w:hAnsi="宋体" w:cs="宋体" w:eastAsia="宋体" w:hint="default"/>
          <w:sz w:val="24"/>
          <w:szCs w:val="24"/>
        </w:rPr>
      </w:pPr>
      <w:r>
        <w:rPr>
          <w:rFonts w:ascii="宋体" w:hAnsi="宋体" w:cs="宋体" w:eastAsia="宋体" w:hint="default"/>
          <w:sz w:val="21"/>
          <w:szCs w:val="21"/>
        </w:rPr>
        <w:t>□ 是 √ 否</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公司监事会对报告期内的监督事项无异议。</w:t>
      </w:r>
      <w:r>
        <w:rPr>
          <w:rFonts w:ascii="宋体" w:hAnsi="宋体" w:cs="宋体" w:eastAsia="宋体" w:hint="default"/>
          <w:spacing w:val="-65"/>
          <w:sz w:val="21"/>
          <w:szCs w:val="21"/>
        </w:rPr>
        <w:t> </w:t>
      </w:r>
      <w:r>
        <w:rPr>
          <w:rFonts w:ascii="宋体" w:hAnsi="宋体" w:cs="宋体" w:eastAsia="宋体" w:hint="default"/>
          <w:spacing w:val="-65"/>
          <w:sz w:val="21"/>
          <w:szCs w:val="21"/>
        </w:rPr>
      </w:r>
      <w:bookmarkStart w:name="八、高级管理人员的考评及激励情况" w:id="196"/>
      <w:bookmarkEnd w:id="196"/>
      <w:r>
        <w:rPr>
          <w:rFonts w:ascii="宋体" w:hAnsi="宋体" w:cs="宋体" w:eastAsia="宋体" w:hint="default"/>
          <w:spacing w:val="-65"/>
          <w:sz w:val="21"/>
          <w:szCs w:val="21"/>
        </w:rPr>
      </w:r>
      <w:r>
        <w:rPr>
          <w:rFonts w:ascii="宋体" w:hAnsi="宋体" w:cs="宋体" w:eastAsia="宋体" w:hint="default"/>
          <w:b/>
          <w:bCs/>
          <w:sz w:val="24"/>
          <w:szCs w:val="24"/>
        </w:rPr>
        <w:t>八、高级管理人员的考评及激励情况</w:t>
      </w:r>
      <w:r>
        <w:rPr>
          <w:rFonts w:ascii="宋体" w:hAnsi="宋体" w:cs="宋体" w:eastAsia="宋体" w:hint="default"/>
          <w:sz w:val="24"/>
          <w:szCs w:val="24"/>
        </w:rPr>
      </w:r>
    </w:p>
    <w:p>
      <w:pPr>
        <w:pStyle w:val="BodyText"/>
        <w:spacing w:line="408" w:lineRule="auto" w:before="18"/>
        <w:ind w:right="1024" w:firstLine="422"/>
        <w:jc w:val="left"/>
      </w:pPr>
      <w:r>
        <w:rPr>
          <w:spacing w:val="-2"/>
        </w:rPr>
        <w:t>公司建立了公正、合理、有效的高级管理人员绩效评价标准和激励约束机制，制订了《高级管理人员</w:t>
      </w:r>
      <w:r>
        <w:rPr>
          <w:w w:val="100"/>
        </w:rPr>
        <w:t> </w:t>
      </w:r>
      <w:r>
        <w:rPr>
          <w:spacing w:val="-4"/>
          <w:w w:val="100"/>
        </w:rPr>
        <w:t>薪酬管理制度》。公司高级管理人员实行基本年薪和年终绩效考核相结合的薪酬制度。规范董事、监事、</w:t>
      </w:r>
      <w:r>
        <w:rPr>
          <w:spacing w:val="-83"/>
          <w:w w:val="100"/>
        </w:rPr>
        <w:t> </w:t>
      </w:r>
      <w:r>
        <w:rPr>
          <w:spacing w:val="-83"/>
          <w:w w:val="100"/>
        </w:rPr>
      </w:r>
      <w:r>
        <w:rPr>
          <w:spacing w:val="-2"/>
        </w:rPr>
        <w:t>高级管理人员薪酬决策机制。年末根据公司年度经营目标完成情况以及高级管理人员的工作业绩，由董事</w:t>
      </w:r>
    </w:p>
    <w:p>
      <w:pPr>
        <w:spacing w:after="0" w:line="408" w:lineRule="auto"/>
        <w:jc w:val="left"/>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1122"/>
        <w:jc w:val="both"/>
      </w:pPr>
      <w:r>
        <w:rPr>
          <w:spacing w:val="-2"/>
        </w:rPr>
        <w:t>会薪酬与考核委员会对高级管理人员进行年度绩效考核，并监督薪酬制度执行情况。公司董事会薪酬与考</w:t>
      </w:r>
      <w:r>
        <w:rPr>
          <w:spacing w:val="-32"/>
        </w:rPr>
        <w:t> </w:t>
      </w:r>
      <w:r>
        <w:rPr>
          <w:spacing w:val="-32"/>
        </w:rPr>
      </w:r>
      <w:r>
        <w:rPr>
          <w:spacing w:val="-2"/>
        </w:rPr>
        <w:t>核委员会根据实际情况对公司董事、监事及高级管理人员进行考核后，一致认为：公司</w:t>
      </w:r>
      <w:r>
        <w:rPr>
          <w:rFonts w:ascii="宋体" w:hAnsi="宋体" w:cs="宋体" w:eastAsia="宋体" w:hint="default"/>
          <w:spacing w:val="-2"/>
        </w:rPr>
        <w:t>2019</w:t>
      </w:r>
      <w:r>
        <w:rPr>
          <w:spacing w:val="-2"/>
        </w:rPr>
        <w:t>年度高管薪酬</w:t>
      </w:r>
      <w:r>
        <w:rPr>
          <w:spacing w:val="-26"/>
        </w:rPr>
        <w:t> </w:t>
      </w:r>
      <w:r>
        <w:rPr>
          <w:spacing w:val="-26"/>
        </w:rPr>
      </w:r>
      <w:r>
        <w:rPr>
          <w:spacing w:val="-2"/>
        </w:rPr>
        <w:t>方案严格执行考核管理制度，与公司经营业绩挂钩，薪酬方案合理，薪酬发放的程序符合有关法律、法规</w:t>
      </w:r>
      <w:r>
        <w:rPr>
          <w:spacing w:val="-33"/>
        </w:rPr>
        <w:t> </w:t>
      </w:r>
      <w:r>
        <w:rPr>
          <w:spacing w:val="-33"/>
        </w:rPr>
      </w:r>
      <w:r>
        <w:rPr/>
        <w:t>及《公司章程》的规定。</w:t>
      </w:r>
    </w:p>
    <w:p>
      <w:pPr>
        <w:pStyle w:val="Heading4"/>
        <w:spacing w:line="405" w:lineRule="auto" w:before="48"/>
        <w:ind w:right="6217"/>
        <w:jc w:val="left"/>
        <w:rPr>
          <w:b w:val="0"/>
          <w:bCs w:val="0"/>
        </w:rPr>
      </w:pPr>
      <w:bookmarkStart w:name="九、内部控制评价报告" w:id="197"/>
      <w:bookmarkEnd w:id="197"/>
      <w:r>
        <w:rPr>
          <w:b w:val="0"/>
          <w:bCs w:val="0"/>
        </w:rPr>
      </w:r>
      <w:r>
        <w:rPr/>
        <w:t>九、内部控制评价报告</w:t>
      </w:r>
      <w:r>
        <w:rPr>
          <w:spacing w:val="-103"/>
        </w:rPr>
        <w:t> </w:t>
      </w:r>
      <w:bookmarkStart w:name="1、报告期内发现的内部控制重大缺陷的具体情况" w:id="198"/>
      <w:bookmarkEnd w:id="198"/>
      <w:r>
        <w:rPr>
          <w:spacing w:val="-103"/>
        </w:rPr>
      </w:r>
      <w:r>
        <w:rPr>
          <w:rFonts w:ascii="宋体" w:hAnsi="宋体" w:cs="宋体" w:eastAsia="宋体" w:hint="default"/>
        </w:rPr>
        <w:t>1</w:t>
      </w:r>
      <w:r>
        <w:rPr/>
        <w:t>、报告期内发现的内部控制重大缺陷的具体情况</w:t>
      </w:r>
      <w:r>
        <w:rPr>
          <w:b w:val="0"/>
          <w:bCs w:val="0"/>
        </w:rPr>
      </w:r>
    </w:p>
    <w:p>
      <w:pPr>
        <w:spacing w:line="405" w:lineRule="auto" w:before="51"/>
        <w:ind w:left="153" w:right="8747" w:firstLine="0"/>
        <w:jc w:val="left"/>
        <w:rPr>
          <w:rFonts w:ascii="宋体" w:hAnsi="宋体" w:cs="宋体" w:eastAsia="宋体" w:hint="default"/>
          <w:sz w:val="21"/>
          <w:szCs w:val="21"/>
        </w:rPr>
      </w:pPr>
      <w:r>
        <w:rPr>
          <w:rFonts w:ascii="宋体" w:hAnsi="宋体" w:cs="宋体" w:eastAsia="宋体" w:hint="default"/>
          <w:sz w:val="21"/>
          <w:szCs w:val="21"/>
        </w:rPr>
        <w:t>□ 是 √ 否</w:t>
      </w:r>
      <w:r>
        <w:rPr>
          <w:rFonts w:ascii="宋体" w:hAnsi="宋体" w:cs="宋体" w:eastAsia="宋体" w:hint="default"/>
          <w:spacing w:val="-100"/>
          <w:sz w:val="21"/>
          <w:szCs w:val="21"/>
        </w:rPr>
        <w:t> </w:t>
      </w:r>
      <w:r>
        <w:rPr>
          <w:rFonts w:ascii="宋体" w:hAnsi="宋体" w:cs="宋体" w:eastAsia="宋体" w:hint="default"/>
          <w:spacing w:val="-100"/>
          <w:sz w:val="21"/>
          <w:szCs w:val="21"/>
        </w:rPr>
      </w:r>
      <w:bookmarkStart w:name="2、内控自我评价报告" w:id="199"/>
      <w:bookmarkEnd w:id="199"/>
      <w:r>
        <w:rPr>
          <w:rFonts w:ascii="宋体" w:hAnsi="宋体" w:cs="宋体" w:eastAsia="宋体" w:hint="default"/>
          <w:spacing w:val="-100"/>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tbl>
      <w:tblPr>
        <w:tblW w:w="0" w:type="auto"/>
        <w:jc w:val="left"/>
        <w:tblInd w:w="138" w:type="dxa"/>
        <w:tblLayout w:type="fixed"/>
        <w:tblCellMar>
          <w:top w:w="0" w:type="dxa"/>
          <w:left w:w="0" w:type="dxa"/>
          <w:bottom w:w="0" w:type="dxa"/>
          <w:right w:w="0" w:type="dxa"/>
        </w:tblCellMar>
        <w:tblLook w:val="01E0"/>
      </w:tblPr>
      <w:tblGrid>
        <w:gridCol w:w="3193"/>
        <w:gridCol w:w="3328"/>
        <w:gridCol w:w="3049"/>
      </w:tblGrid>
      <w:tr>
        <w:trPr>
          <w:trHeight w:val="413" w:hRule="exact"/>
        </w:trPr>
        <w:tc>
          <w:tcPr>
            <w:tcW w:w="319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7"/>
              <w:ind w:left="95"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77" w:type="dxa"/>
            <w:gridSpan w:val="2"/>
            <w:tcBorders>
              <w:top w:val="single" w:sz="12" w:space="0" w:color="000000"/>
              <w:left w:val="single" w:sz="4" w:space="0" w:color="000000"/>
              <w:bottom w:val="single" w:sz="4" w:space="0" w:color="000000"/>
              <w:right w:val="single" w:sz="12" w:space="0" w:color="000000"/>
            </w:tcBorders>
          </w:tcPr>
          <w:p>
            <w:pPr>
              <w:pStyle w:val="TableParagraph"/>
              <w:spacing w:line="240" w:lineRule="auto" w:before="37"/>
              <w:ind w:left="106"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29</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404"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7"/>
              <w:ind w:left="95"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77"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left="106" w:right="0"/>
              <w:jc w:val="left"/>
              <w:rPr>
                <w:rFonts w:ascii="宋体" w:hAnsi="宋体" w:cs="宋体" w:eastAsia="宋体" w:hint="default"/>
                <w:sz w:val="18"/>
                <w:szCs w:val="18"/>
              </w:rPr>
            </w:pPr>
            <w:hyperlink r:id="rId11">
              <w:r>
                <w:rPr>
                  <w:rFonts w:ascii="宋体" w:hAnsi="宋体" w:cs="宋体" w:eastAsia="宋体" w:hint="default"/>
                  <w:spacing w:val="-2"/>
                  <w:sz w:val="18"/>
                  <w:szCs w:val="18"/>
                </w:rPr>
                <w:t>http://www.cninfo.com.cn</w:t>
              </w:r>
            </w:hyperlink>
            <w:r>
              <w:rPr>
                <w:rFonts w:ascii="宋体" w:hAnsi="宋体" w:cs="宋体" w:eastAsia="宋体" w:hint="default"/>
                <w:spacing w:val="-2"/>
                <w:sz w:val="18"/>
                <w:szCs w:val="18"/>
              </w:rPr>
              <w:t>《光一科技：</w:t>
            </w:r>
            <w:r>
              <w:rPr>
                <w:rFonts w:ascii="宋体" w:hAnsi="宋体" w:cs="宋体" w:eastAsia="宋体" w:hint="default"/>
                <w:spacing w:val="-2"/>
                <w:sz w:val="18"/>
                <w:szCs w:val="18"/>
              </w:rPr>
              <w:t>2019</w:t>
            </w:r>
            <w:r>
              <w:rPr>
                <w:rFonts w:ascii="宋体" w:hAnsi="宋体" w:cs="宋体" w:eastAsia="宋体" w:hint="default"/>
                <w:spacing w:val="64"/>
                <w:sz w:val="18"/>
                <w:szCs w:val="18"/>
              </w:rPr>
              <w:t> </w:t>
            </w:r>
            <w:r>
              <w:rPr>
                <w:rFonts w:ascii="宋体" w:hAnsi="宋体" w:cs="宋体" w:eastAsia="宋体" w:hint="default"/>
                <w:spacing w:val="-3"/>
                <w:sz w:val="18"/>
                <w:szCs w:val="18"/>
              </w:rPr>
              <w:t>年度内部控制自我评价报告》</w:t>
            </w:r>
          </w:p>
        </w:tc>
      </w:tr>
      <w:tr>
        <w:trPr>
          <w:trHeight w:val="710"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37"/>
              <w:ind w:left="95" w:right="190"/>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并财务报表资产总额的比例</w:t>
            </w:r>
          </w:p>
        </w:tc>
        <w:tc>
          <w:tcPr>
            <w:tcW w:w="6377"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100.00%</w:t>
            </w:r>
          </w:p>
        </w:tc>
      </w:tr>
      <w:tr>
        <w:trPr>
          <w:trHeight w:val="715"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37"/>
              <w:ind w:left="95" w:right="190"/>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并财务报表营业收入的比例</w:t>
            </w:r>
          </w:p>
        </w:tc>
        <w:tc>
          <w:tcPr>
            <w:tcW w:w="6377"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100.00%</w:t>
            </w:r>
          </w:p>
        </w:tc>
      </w:tr>
      <w:tr>
        <w:trPr>
          <w:trHeight w:val="404" w:hRule="exact"/>
        </w:trPr>
        <w:tc>
          <w:tcPr>
            <w:tcW w:w="9570" w:type="dxa"/>
            <w:gridSpan w:val="3"/>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38"/>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9"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7"/>
              <w:ind w:left="14"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924" w:hRule="exact"/>
        </w:trPr>
        <w:tc>
          <w:tcPr>
            <w:tcW w:w="319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8"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37"/>
              <w:ind w:left="466" w:right="7" w:hanging="360"/>
              <w:jc w:val="left"/>
              <w:rPr>
                <w:rFonts w:ascii="宋体" w:hAnsi="宋体" w:cs="宋体" w:eastAsia="宋体" w:hint="default"/>
                <w:sz w:val="18"/>
                <w:szCs w:val="18"/>
              </w:rPr>
            </w:pPr>
            <w:r>
              <w:rPr>
                <w:rFonts w:ascii="宋体" w:hAnsi="宋体" w:cs="宋体" w:eastAsia="宋体" w:hint="default"/>
                <w:spacing w:val="-1"/>
                <w:w w:val="101"/>
                <w:sz w:val="18"/>
                <w:szCs w:val="18"/>
              </w:rPr>
              <w:t>①_x0001_</w:t>
            </w:r>
            <w:r>
              <w:rPr>
                <w:rFonts w:ascii="宋体" w:hAnsi="宋体" w:cs="宋体" w:eastAsia="宋体" w:hint="default"/>
                <w:spacing w:val="-68"/>
                <w:w w:val="101"/>
                <w:sz w:val="18"/>
                <w:szCs w:val="18"/>
              </w:rPr>
              <w:t> </w:t>
            </w:r>
            <w:r>
              <w:rPr>
                <w:rFonts w:ascii="宋体" w:hAnsi="宋体" w:cs="宋体" w:eastAsia="宋体" w:hint="default"/>
                <w:spacing w:val="-8"/>
                <w:w w:val="101"/>
                <w:sz w:val="18"/>
                <w:szCs w:val="18"/>
              </w:rPr>
              <w:t>大缺陷：单独缺陷或连同其他</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3"/>
                <w:sz w:val="18"/>
                <w:szCs w:val="18"/>
              </w:rPr>
              <w:t>缺陷，导致不能及时防止或发现并</w:t>
            </w:r>
            <w:r>
              <w:rPr>
                <w:rFonts w:ascii="宋体" w:hAnsi="宋体" w:cs="宋体" w:eastAsia="宋体" w:hint="default"/>
                <w:w w:val="101"/>
                <w:sz w:val="18"/>
                <w:szCs w:val="18"/>
              </w:rPr>
              <w:t> </w:t>
            </w:r>
            <w:r>
              <w:rPr>
                <w:rFonts w:ascii="宋体" w:hAnsi="宋体" w:cs="宋体" w:eastAsia="宋体" w:hint="default"/>
                <w:spacing w:val="-3"/>
                <w:sz w:val="18"/>
                <w:szCs w:val="18"/>
              </w:rPr>
              <w:t>纠正财务报告中的重大错报。出现</w:t>
            </w:r>
            <w:r>
              <w:rPr>
                <w:rFonts w:ascii="宋体" w:hAnsi="宋体" w:cs="宋体" w:eastAsia="宋体" w:hint="default"/>
                <w:w w:val="101"/>
                <w:sz w:val="18"/>
                <w:szCs w:val="18"/>
              </w:rPr>
              <w:t> </w:t>
            </w:r>
            <w:r>
              <w:rPr>
                <w:rFonts w:ascii="宋体" w:hAnsi="宋体" w:cs="宋体" w:eastAsia="宋体" w:hint="default"/>
                <w:spacing w:val="-10"/>
                <w:w w:val="101"/>
                <w:sz w:val="18"/>
                <w:szCs w:val="18"/>
              </w:rPr>
              <w:t>下列情形的，认定为重大缺陷：（</w:t>
            </w:r>
            <w:r>
              <w:rPr>
                <w:rFonts w:ascii="宋体" w:hAnsi="宋体" w:cs="宋体" w:eastAsia="宋体" w:hint="default"/>
                <w:spacing w:val="-10"/>
                <w:w w:val="101"/>
                <w:sz w:val="18"/>
                <w:szCs w:val="18"/>
              </w:rPr>
              <w:t>a</w:t>
            </w:r>
            <w:r>
              <w:rPr>
                <w:rFonts w:ascii="宋体" w:hAnsi="宋体" w:cs="宋体" w:eastAsia="宋体" w:hint="default"/>
                <w:spacing w:val="-10"/>
                <w:w w:val="101"/>
                <w:sz w:val="18"/>
                <w:szCs w:val="18"/>
              </w:rPr>
              <w:t>）</w:t>
            </w:r>
            <w:r>
              <w:rPr>
                <w:rFonts w:ascii="宋体" w:hAnsi="宋体" w:cs="宋体" w:eastAsia="宋体" w:hint="default"/>
                <w:w w:val="101"/>
                <w:sz w:val="18"/>
                <w:szCs w:val="18"/>
              </w:rPr>
              <w:t> </w:t>
            </w:r>
            <w:r>
              <w:rPr>
                <w:rFonts w:ascii="宋体" w:hAnsi="宋体" w:cs="宋体" w:eastAsia="宋体" w:hint="default"/>
                <w:spacing w:val="-8"/>
                <w:w w:val="101"/>
                <w:sz w:val="18"/>
                <w:szCs w:val="18"/>
              </w:rPr>
              <w:t>财务报告的任何舞弊；（</w:t>
            </w:r>
            <w:r>
              <w:rPr>
                <w:rFonts w:ascii="宋体" w:hAnsi="宋体" w:cs="宋体" w:eastAsia="宋体" w:hint="default"/>
                <w:spacing w:val="-8"/>
                <w:w w:val="101"/>
                <w:sz w:val="18"/>
                <w:szCs w:val="18"/>
              </w:rPr>
              <w:t>b</w:t>
            </w:r>
            <w:r>
              <w:rPr>
                <w:rFonts w:ascii="宋体" w:hAnsi="宋体" w:cs="宋体" w:eastAsia="宋体" w:hint="default"/>
                <w:spacing w:val="-8"/>
                <w:w w:val="101"/>
                <w:sz w:val="18"/>
                <w:szCs w:val="18"/>
              </w:rPr>
              <w:t>）对已公</w:t>
            </w:r>
            <w:r>
              <w:rPr>
                <w:rFonts w:ascii="宋体" w:hAnsi="宋体" w:cs="宋体" w:eastAsia="宋体" w:hint="default"/>
                <w:w w:val="101"/>
                <w:sz w:val="18"/>
                <w:szCs w:val="18"/>
              </w:rPr>
              <w:t> </w:t>
            </w:r>
            <w:r>
              <w:rPr>
                <w:rFonts w:ascii="宋体" w:hAnsi="宋体" w:cs="宋体" w:eastAsia="宋体" w:hint="default"/>
                <w:spacing w:val="-5"/>
                <w:sz w:val="18"/>
                <w:szCs w:val="18"/>
              </w:rPr>
              <w:t>布</w:t>
            </w:r>
            <w:r>
              <w:rPr>
                <w:rFonts w:ascii="宋体" w:hAnsi="宋体" w:cs="宋体" w:eastAsia="宋体" w:hint="default"/>
                <w:spacing w:val="-5"/>
                <w:sz w:val="18"/>
                <w:szCs w:val="18"/>
              </w:rPr>
              <w:t>/</w:t>
            </w:r>
            <w:r>
              <w:rPr>
                <w:rFonts w:ascii="宋体" w:hAnsi="宋体" w:cs="宋体" w:eastAsia="宋体" w:hint="default"/>
                <w:spacing w:val="-5"/>
                <w:sz w:val="18"/>
                <w:szCs w:val="18"/>
              </w:rPr>
              <w:t>披露的财务报告进行重报，以更</w:t>
            </w:r>
            <w:r>
              <w:rPr>
                <w:rFonts w:ascii="宋体" w:hAnsi="宋体" w:cs="宋体" w:eastAsia="宋体" w:hint="default"/>
                <w:w w:val="101"/>
                <w:sz w:val="18"/>
                <w:szCs w:val="18"/>
              </w:rPr>
              <w:t> </w:t>
            </w:r>
            <w:r>
              <w:rPr>
                <w:rFonts w:ascii="宋体" w:hAnsi="宋体" w:cs="宋体" w:eastAsia="宋体" w:hint="default"/>
                <w:spacing w:val="-8"/>
                <w:w w:val="101"/>
                <w:sz w:val="18"/>
                <w:szCs w:val="18"/>
              </w:rPr>
              <w:t>正重大错误；（</w:t>
            </w:r>
            <w:r>
              <w:rPr>
                <w:rFonts w:ascii="宋体" w:hAnsi="宋体" w:cs="宋体" w:eastAsia="宋体" w:hint="default"/>
                <w:spacing w:val="-8"/>
                <w:w w:val="101"/>
                <w:sz w:val="18"/>
                <w:szCs w:val="18"/>
              </w:rPr>
              <w:t>c</w:t>
            </w:r>
            <w:r>
              <w:rPr>
                <w:rFonts w:ascii="宋体" w:hAnsi="宋体" w:cs="宋体" w:eastAsia="宋体" w:hint="default"/>
                <w:spacing w:val="-8"/>
                <w:w w:val="101"/>
                <w:sz w:val="18"/>
                <w:szCs w:val="18"/>
              </w:rPr>
              <w:t>）注册会计师审计</w:t>
            </w:r>
            <w:r>
              <w:rPr>
                <w:rFonts w:ascii="宋体" w:hAnsi="宋体" w:cs="宋体" w:eastAsia="宋体" w:hint="default"/>
                <w:w w:val="101"/>
                <w:sz w:val="18"/>
                <w:szCs w:val="18"/>
              </w:rPr>
              <w:t> </w:t>
            </w:r>
            <w:r>
              <w:rPr>
                <w:rFonts w:ascii="宋体" w:hAnsi="宋体" w:cs="宋体" w:eastAsia="宋体" w:hint="default"/>
                <w:spacing w:val="-10"/>
                <w:w w:val="101"/>
                <w:sz w:val="18"/>
                <w:szCs w:val="18"/>
              </w:rPr>
              <w:t>中发现重大错报，需进行调整；（</w:t>
            </w:r>
            <w:r>
              <w:rPr>
                <w:rFonts w:ascii="宋体" w:hAnsi="宋体" w:cs="宋体" w:eastAsia="宋体" w:hint="default"/>
                <w:spacing w:val="-10"/>
                <w:w w:val="101"/>
                <w:sz w:val="18"/>
                <w:szCs w:val="18"/>
              </w:rPr>
              <w:t>d</w:t>
            </w:r>
            <w:r>
              <w:rPr>
                <w:rFonts w:ascii="宋体" w:hAnsi="宋体" w:cs="宋体" w:eastAsia="宋体" w:hint="default"/>
                <w:spacing w:val="-10"/>
                <w:w w:val="101"/>
                <w:sz w:val="18"/>
                <w:szCs w:val="18"/>
              </w:rPr>
              <w:t>）</w:t>
            </w:r>
            <w:r>
              <w:rPr>
                <w:rFonts w:ascii="宋体" w:hAnsi="宋体" w:cs="宋体" w:eastAsia="宋体" w:hint="default"/>
                <w:w w:val="101"/>
                <w:sz w:val="18"/>
                <w:szCs w:val="18"/>
              </w:rPr>
              <w:t> </w:t>
            </w:r>
            <w:r>
              <w:rPr>
                <w:rFonts w:ascii="宋体" w:hAnsi="宋体" w:cs="宋体" w:eastAsia="宋体" w:hint="default"/>
                <w:spacing w:val="-3"/>
                <w:sz w:val="18"/>
                <w:szCs w:val="18"/>
              </w:rPr>
              <w:t>内部审计对财务报告的监督无效</w:t>
            </w:r>
            <w:r>
              <w:rPr>
                <w:rFonts w:ascii="宋体" w:hAnsi="宋体" w:cs="宋体" w:eastAsia="宋体" w:hint="default"/>
                <w:w w:val="101"/>
                <w:sz w:val="18"/>
                <w:szCs w:val="18"/>
              </w:rPr>
              <w:t> </w:t>
            </w:r>
            <w:r>
              <w:rPr>
                <w:rFonts w:ascii="宋体" w:hAnsi="宋体" w:cs="宋体" w:eastAsia="宋体" w:hint="default"/>
                <w:spacing w:val="-3"/>
                <w:sz w:val="18"/>
                <w:szCs w:val="18"/>
              </w:rPr>
              <w:t>等。②重要缺陷：单独缺陷或连同</w:t>
            </w:r>
            <w:r>
              <w:rPr>
                <w:rFonts w:ascii="宋体" w:hAnsi="宋体" w:cs="宋体" w:eastAsia="宋体" w:hint="default"/>
                <w:w w:val="101"/>
                <w:sz w:val="18"/>
                <w:szCs w:val="18"/>
              </w:rPr>
              <w:t> </w:t>
            </w:r>
            <w:r>
              <w:rPr>
                <w:rFonts w:ascii="宋体" w:hAnsi="宋体" w:cs="宋体" w:eastAsia="宋体" w:hint="default"/>
                <w:spacing w:val="-3"/>
                <w:sz w:val="18"/>
                <w:szCs w:val="18"/>
              </w:rPr>
              <w:t>其他缺陷，导致不能及时防止或发</w:t>
            </w:r>
            <w:r>
              <w:rPr>
                <w:rFonts w:ascii="宋体" w:hAnsi="宋体" w:cs="宋体" w:eastAsia="宋体" w:hint="default"/>
                <w:w w:val="101"/>
                <w:sz w:val="18"/>
                <w:szCs w:val="18"/>
              </w:rPr>
              <w:t> </w:t>
            </w:r>
            <w:r>
              <w:rPr>
                <w:rFonts w:ascii="宋体" w:hAnsi="宋体" w:cs="宋体" w:eastAsia="宋体" w:hint="default"/>
                <w:spacing w:val="-3"/>
                <w:sz w:val="18"/>
                <w:szCs w:val="18"/>
              </w:rPr>
              <w:t>现并纠正财务报告中虽不构成重大</w:t>
            </w:r>
            <w:r>
              <w:rPr>
                <w:rFonts w:ascii="宋体" w:hAnsi="宋体" w:cs="宋体" w:eastAsia="宋体" w:hint="default"/>
                <w:w w:val="101"/>
                <w:sz w:val="18"/>
                <w:szCs w:val="18"/>
              </w:rPr>
              <w:t> </w:t>
            </w:r>
            <w:r>
              <w:rPr>
                <w:rFonts w:ascii="宋体" w:hAnsi="宋体" w:cs="宋体" w:eastAsia="宋体" w:hint="default"/>
                <w:spacing w:val="-3"/>
                <w:sz w:val="18"/>
                <w:szCs w:val="18"/>
              </w:rPr>
              <w:t>错报但仍应引起管理层重视的错</w:t>
            </w:r>
            <w:r>
              <w:rPr>
                <w:rFonts w:ascii="宋体" w:hAnsi="宋体" w:cs="宋体" w:eastAsia="宋体" w:hint="default"/>
                <w:w w:val="101"/>
                <w:sz w:val="18"/>
                <w:szCs w:val="18"/>
              </w:rPr>
              <w:t> </w:t>
            </w:r>
            <w:r>
              <w:rPr>
                <w:rFonts w:ascii="宋体" w:hAnsi="宋体" w:cs="宋体" w:eastAsia="宋体" w:hint="default"/>
                <w:spacing w:val="-8"/>
                <w:w w:val="101"/>
                <w:sz w:val="18"/>
                <w:szCs w:val="18"/>
              </w:rPr>
              <w:t>报：（</w:t>
            </w:r>
            <w:r>
              <w:rPr>
                <w:rFonts w:ascii="宋体" w:hAnsi="宋体" w:cs="宋体" w:eastAsia="宋体" w:hint="default"/>
                <w:spacing w:val="-8"/>
                <w:w w:val="101"/>
                <w:sz w:val="18"/>
                <w:szCs w:val="18"/>
              </w:rPr>
              <w:t>a</w:t>
            </w:r>
            <w:r>
              <w:rPr>
                <w:rFonts w:ascii="宋体" w:hAnsi="宋体" w:cs="宋体" w:eastAsia="宋体" w:hint="default"/>
                <w:spacing w:val="-8"/>
                <w:w w:val="101"/>
                <w:sz w:val="18"/>
                <w:szCs w:val="18"/>
              </w:rPr>
              <w:t>）财务报告内控缺陷整改情</w:t>
            </w:r>
            <w:r>
              <w:rPr>
                <w:rFonts w:ascii="宋体" w:hAnsi="宋体" w:cs="宋体" w:eastAsia="宋体" w:hint="default"/>
                <w:w w:val="101"/>
                <w:sz w:val="18"/>
                <w:szCs w:val="18"/>
              </w:rPr>
              <w:t> </w:t>
            </w:r>
            <w:r>
              <w:rPr>
                <w:rFonts w:ascii="宋体" w:hAnsi="宋体" w:cs="宋体" w:eastAsia="宋体" w:hint="default"/>
                <w:spacing w:val="-10"/>
                <w:w w:val="101"/>
                <w:sz w:val="18"/>
                <w:szCs w:val="18"/>
              </w:rPr>
              <w:t>况不理想；（</w:t>
            </w:r>
            <w:r>
              <w:rPr>
                <w:rFonts w:ascii="宋体" w:hAnsi="宋体" w:cs="宋体" w:eastAsia="宋体" w:hint="default"/>
                <w:spacing w:val="-10"/>
                <w:w w:val="101"/>
                <w:sz w:val="18"/>
                <w:szCs w:val="18"/>
              </w:rPr>
              <w:t>b</w:t>
            </w:r>
            <w:r>
              <w:rPr>
                <w:rFonts w:ascii="宋体" w:hAnsi="宋体" w:cs="宋体" w:eastAsia="宋体" w:hint="default"/>
                <w:spacing w:val="-10"/>
                <w:w w:val="101"/>
                <w:sz w:val="18"/>
                <w:szCs w:val="18"/>
              </w:rPr>
              <w:t>）集团内就同一交易、</w:t>
            </w:r>
            <w:r>
              <w:rPr>
                <w:rFonts w:ascii="宋体" w:hAnsi="宋体" w:cs="宋体" w:eastAsia="宋体" w:hint="default"/>
                <w:w w:val="101"/>
                <w:sz w:val="18"/>
                <w:szCs w:val="18"/>
              </w:rPr>
              <w:t> </w:t>
            </w:r>
            <w:r>
              <w:rPr>
                <w:rFonts w:ascii="宋体" w:hAnsi="宋体" w:cs="宋体" w:eastAsia="宋体" w:hint="default"/>
                <w:spacing w:val="-8"/>
                <w:w w:val="101"/>
                <w:sz w:val="18"/>
                <w:szCs w:val="18"/>
              </w:rPr>
              <w:t>事项的会计政策不统一；（</w:t>
            </w:r>
            <w:r>
              <w:rPr>
                <w:rFonts w:ascii="宋体" w:hAnsi="宋体" w:cs="宋体" w:eastAsia="宋体" w:hint="default"/>
                <w:spacing w:val="-8"/>
                <w:w w:val="101"/>
                <w:sz w:val="18"/>
                <w:szCs w:val="18"/>
              </w:rPr>
              <w:t>c</w:t>
            </w:r>
            <w:r>
              <w:rPr>
                <w:rFonts w:ascii="宋体" w:hAnsi="宋体" w:cs="宋体" w:eastAsia="宋体" w:hint="default"/>
                <w:spacing w:val="-8"/>
                <w:w w:val="101"/>
                <w:sz w:val="18"/>
                <w:szCs w:val="18"/>
              </w:rPr>
              <w:t>）会计</w:t>
            </w:r>
            <w:r>
              <w:rPr>
                <w:rFonts w:ascii="宋体" w:hAnsi="宋体" w:cs="宋体" w:eastAsia="宋体" w:hint="default"/>
                <w:w w:val="101"/>
                <w:sz w:val="18"/>
                <w:szCs w:val="18"/>
              </w:rPr>
              <w:t> </w:t>
            </w:r>
            <w:r>
              <w:rPr>
                <w:rFonts w:ascii="宋体" w:hAnsi="宋体" w:cs="宋体" w:eastAsia="宋体" w:hint="default"/>
                <w:spacing w:val="-3"/>
                <w:sz w:val="18"/>
                <w:szCs w:val="18"/>
              </w:rPr>
              <w:t>政策的制定未结合公司实际情况，</w:t>
            </w:r>
            <w:r>
              <w:rPr>
                <w:rFonts w:ascii="宋体" w:hAnsi="宋体" w:cs="宋体" w:eastAsia="宋体" w:hint="default"/>
                <w:w w:val="101"/>
                <w:sz w:val="18"/>
                <w:szCs w:val="18"/>
              </w:rPr>
              <w:t> </w:t>
            </w:r>
            <w:r>
              <w:rPr>
                <w:rFonts w:ascii="宋体" w:hAnsi="宋体" w:cs="宋体" w:eastAsia="宋体" w:hint="default"/>
                <w:spacing w:val="-11"/>
                <w:w w:val="101"/>
                <w:sz w:val="18"/>
                <w:szCs w:val="18"/>
              </w:rPr>
              <w:t>直接照搬准则（上市公司），实际操</w:t>
            </w:r>
            <w:r>
              <w:rPr>
                <w:rFonts w:ascii="宋体" w:hAnsi="宋体" w:cs="宋体" w:eastAsia="宋体" w:hint="default"/>
                <w:w w:val="101"/>
                <w:sz w:val="18"/>
                <w:szCs w:val="18"/>
              </w:rPr>
              <w:t> </w:t>
            </w:r>
            <w:r>
              <w:rPr>
                <w:rFonts w:ascii="宋体" w:hAnsi="宋体" w:cs="宋体" w:eastAsia="宋体" w:hint="default"/>
                <w:spacing w:val="-8"/>
                <w:w w:val="101"/>
                <w:sz w:val="18"/>
                <w:szCs w:val="18"/>
              </w:rPr>
              <w:t>作存在较大的人为因素；（</w:t>
            </w:r>
            <w:r>
              <w:rPr>
                <w:rFonts w:ascii="宋体" w:hAnsi="宋体" w:cs="宋体" w:eastAsia="宋体" w:hint="default"/>
                <w:spacing w:val="-8"/>
                <w:w w:val="101"/>
                <w:sz w:val="18"/>
                <w:szCs w:val="18"/>
              </w:rPr>
              <w:t>d</w:t>
            </w:r>
            <w:r>
              <w:rPr>
                <w:rFonts w:ascii="宋体" w:hAnsi="宋体" w:cs="宋体" w:eastAsia="宋体" w:hint="default"/>
                <w:spacing w:val="-8"/>
                <w:w w:val="101"/>
                <w:sz w:val="18"/>
                <w:szCs w:val="18"/>
              </w:rPr>
              <w:t>）对非</w:t>
            </w:r>
            <w:r>
              <w:rPr>
                <w:rFonts w:ascii="宋体" w:hAnsi="宋体" w:cs="宋体" w:eastAsia="宋体" w:hint="default"/>
                <w:w w:val="101"/>
                <w:sz w:val="18"/>
                <w:szCs w:val="18"/>
              </w:rPr>
              <w:t> </w:t>
            </w:r>
            <w:r>
              <w:rPr>
                <w:rFonts w:ascii="宋体" w:hAnsi="宋体" w:cs="宋体" w:eastAsia="宋体" w:hint="default"/>
                <w:spacing w:val="-3"/>
                <w:sz w:val="18"/>
                <w:szCs w:val="18"/>
              </w:rPr>
              <w:t>常规、特殊和复杂交易未给予足够</w:t>
            </w:r>
            <w:r>
              <w:rPr>
                <w:rFonts w:ascii="宋体" w:hAnsi="宋体" w:cs="宋体" w:eastAsia="宋体" w:hint="default"/>
                <w:w w:val="101"/>
                <w:sz w:val="18"/>
                <w:szCs w:val="18"/>
              </w:rPr>
              <w:t> </w:t>
            </w:r>
            <w:r>
              <w:rPr>
                <w:rFonts w:ascii="宋体" w:hAnsi="宋体" w:cs="宋体" w:eastAsia="宋体" w:hint="default"/>
                <w:sz w:val="18"/>
                <w:szCs w:val="18"/>
              </w:rPr>
              <w:t>重视，影响实际的会计处理工作；</w:t>
            </w:r>
          </w:p>
          <w:p>
            <w:pPr>
              <w:pStyle w:val="TableParagraph"/>
              <w:spacing w:line="240" w:lineRule="auto" w:before="18"/>
              <w:ind w:left="46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e</w:t>
            </w:r>
            <w:r>
              <w:rPr>
                <w:rFonts w:ascii="宋体" w:hAnsi="宋体" w:cs="宋体" w:eastAsia="宋体" w:hint="default"/>
                <w:spacing w:val="-3"/>
                <w:sz w:val="18"/>
                <w:szCs w:val="18"/>
              </w:rPr>
              <w:t>）期末财务报告的编制不规范。</w:t>
            </w:r>
          </w:p>
        </w:tc>
        <w:tc>
          <w:tcPr>
            <w:tcW w:w="304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312" w:lineRule="auto"/>
              <w:ind w:left="100" w:right="85"/>
              <w:jc w:val="left"/>
              <w:rPr>
                <w:rFonts w:ascii="宋体" w:hAnsi="宋体" w:cs="宋体" w:eastAsia="宋体" w:hint="default"/>
                <w:sz w:val="18"/>
                <w:szCs w:val="18"/>
              </w:rPr>
            </w:pPr>
            <w:r>
              <w:rPr>
                <w:rFonts w:ascii="宋体" w:hAnsi="宋体" w:cs="宋体" w:eastAsia="宋体" w:hint="default"/>
                <w:spacing w:val="-5"/>
                <w:sz w:val="18"/>
                <w:szCs w:val="18"/>
              </w:rPr>
              <w:t>具备以下特征之一的缺陷，视影响程</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度可认定为重要缺陷或重大缺陷。</w:t>
            </w:r>
          </w:p>
          <w:p>
            <w:pPr>
              <w:pStyle w:val="TableParagraph"/>
              <w:spacing w:line="319" w:lineRule="auto" w:before="22"/>
              <w:ind w:left="100" w:right="-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a</w:t>
            </w:r>
            <w:r>
              <w:rPr>
                <w:rFonts w:ascii="宋体" w:hAnsi="宋体" w:cs="宋体" w:eastAsia="宋体" w:hint="default"/>
                <w:spacing w:val="-3"/>
                <w:sz w:val="18"/>
                <w:szCs w:val="18"/>
              </w:rPr>
              <w:t>）违反法律法规，导致被行政法</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5"/>
                <w:sz w:val="18"/>
                <w:szCs w:val="18"/>
              </w:rPr>
              <w:t>律部门、监管机构判罚或处罚；（</w:t>
            </w:r>
            <w:r>
              <w:rPr>
                <w:rFonts w:ascii="宋体" w:hAnsi="宋体" w:cs="宋体" w:eastAsia="宋体" w:hint="default"/>
                <w:spacing w:val="-5"/>
                <w:sz w:val="18"/>
                <w:szCs w:val="18"/>
              </w:rPr>
              <w:t>b</w:t>
            </w:r>
            <w:r>
              <w:rPr>
                <w:rFonts w:ascii="宋体" w:hAnsi="宋体" w:cs="宋体" w:eastAsia="宋体" w:hint="default"/>
                <w:spacing w:val="-5"/>
                <w:sz w:val="18"/>
                <w:szCs w:val="18"/>
              </w:rPr>
              <w:t>）</w:t>
            </w:r>
            <w:r>
              <w:rPr>
                <w:rFonts w:ascii="宋体" w:hAnsi="宋体" w:cs="宋体" w:eastAsia="宋体" w:hint="default"/>
                <w:spacing w:val="-44"/>
                <w:sz w:val="18"/>
                <w:szCs w:val="18"/>
              </w:rPr>
              <w:t> </w:t>
            </w:r>
            <w:r>
              <w:rPr>
                <w:rFonts w:ascii="宋体" w:hAnsi="宋体" w:cs="宋体" w:eastAsia="宋体" w:hint="default"/>
                <w:spacing w:val="-5"/>
                <w:sz w:val="18"/>
                <w:szCs w:val="18"/>
              </w:rPr>
              <w:t>被媒体曝光负面新闻，且未能及时消</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5"/>
                <w:sz w:val="18"/>
                <w:szCs w:val="18"/>
              </w:rPr>
              <w:t>除影响，导致公司生产经营、企业形</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象受损； </w:t>
            </w:r>
            <w:r>
              <w:rPr>
                <w:rFonts w:ascii="宋体" w:hAnsi="宋体" w:cs="宋体" w:eastAsia="宋体" w:hint="default"/>
                <w:spacing w:val="-5"/>
                <w:sz w:val="18"/>
                <w:szCs w:val="18"/>
              </w:rPr>
              <w:t>（</w:t>
            </w:r>
            <w:r>
              <w:rPr>
                <w:rFonts w:ascii="宋体" w:hAnsi="宋体" w:cs="宋体" w:eastAsia="宋体" w:hint="default"/>
                <w:spacing w:val="-5"/>
                <w:sz w:val="18"/>
                <w:szCs w:val="18"/>
              </w:rPr>
              <w:t>c</w:t>
            </w:r>
            <w:r>
              <w:rPr>
                <w:rFonts w:ascii="宋体" w:hAnsi="宋体" w:cs="宋体" w:eastAsia="宋体" w:hint="default"/>
                <w:spacing w:val="-5"/>
                <w:sz w:val="18"/>
                <w:szCs w:val="18"/>
              </w:rPr>
              <w:t>）出现安全生产、环境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5"/>
                <w:sz w:val="18"/>
                <w:szCs w:val="18"/>
              </w:rPr>
              <w:t>保护和质量方面的重大事故，导致严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重后果；</w:t>
            </w:r>
            <w:r>
              <w:rPr>
                <w:rFonts w:ascii="宋体" w:hAnsi="宋体" w:cs="宋体" w:eastAsia="宋体" w:hint="default"/>
                <w:spacing w:val="-19"/>
                <w:sz w:val="18"/>
                <w:szCs w:val="18"/>
              </w:rPr>
              <w:t> </w:t>
            </w:r>
            <w:r>
              <w:rPr>
                <w:rFonts w:ascii="宋体" w:hAnsi="宋体" w:cs="宋体" w:eastAsia="宋体" w:hint="default"/>
                <w:spacing w:val="-4"/>
                <w:sz w:val="18"/>
                <w:szCs w:val="18"/>
              </w:rPr>
              <w:t>（</w:t>
            </w:r>
            <w:r>
              <w:rPr>
                <w:rFonts w:ascii="宋体" w:hAnsi="宋体" w:cs="宋体" w:eastAsia="宋体" w:hint="default"/>
                <w:spacing w:val="-4"/>
                <w:sz w:val="18"/>
                <w:szCs w:val="18"/>
              </w:rPr>
              <w:t>d</w:t>
            </w:r>
            <w:r>
              <w:rPr>
                <w:rFonts w:ascii="宋体" w:hAnsi="宋体" w:cs="宋体" w:eastAsia="宋体" w:hint="default"/>
                <w:spacing w:val="-4"/>
                <w:sz w:val="18"/>
                <w:szCs w:val="18"/>
              </w:rPr>
              <w:t>）高风险业务未有相关</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制度规范，重要业务缺乏制度控制；</w:t>
            </w:r>
          </w:p>
          <w:p>
            <w:pPr>
              <w:pStyle w:val="TableParagraph"/>
              <w:spacing w:line="319" w:lineRule="auto" w:before="17"/>
              <w:ind w:left="100" w:right="134"/>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e</w:t>
            </w:r>
            <w:r>
              <w:rPr>
                <w:rFonts w:ascii="宋体" w:hAnsi="宋体" w:cs="宋体" w:eastAsia="宋体" w:hint="default"/>
                <w:spacing w:val="-3"/>
                <w:sz w:val="18"/>
                <w:szCs w:val="18"/>
              </w:rPr>
              <w:t>）对已经发现并报告给管理层的</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重大或重要内部控制缺陷在经过合</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理的时间后，并未加以改正。</w:t>
            </w:r>
          </w:p>
        </w:tc>
      </w:tr>
    </w:tbl>
    <w:p>
      <w:pPr>
        <w:spacing w:after="0" w:line="319" w:lineRule="auto"/>
        <w:jc w:val="left"/>
        <w:rPr>
          <w:rFonts w:ascii="宋体" w:hAnsi="宋体" w:cs="宋体" w:eastAsia="宋体" w:hint="default"/>
          <w:sz w:val="18"/>
          <w:szCs w:val="18"/>
        </w:rPr>
        <w:sectPr>
          <w:pgSz w:w="11910" w:h="16840"/>
          <w:pgMar w:header="871" w:footer="1037" w:top="1100" w:bottom="1220" w:left="980" w:right="0"/>
        </w:sectPr>
      </w:pPr>
    </w:p>
    <w:p>
      <w:pPr>
        <w:spacing w:line="240" w:lineRule="auto" w:before="8"/>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3193"/>
        <w:gridCol w:w="3328"/>
        <w:gridCol w:w="3049"/>
      </w:tblGrid>
      <w:tr>
        <w:trPr>
          <w:trHeight w:val="686" w:hRule="exact"/>
        </w:trPr>
        <w:tc>
          <w:tcPr>
            <w:tcW w:w="3193"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3328" w:type="dxa"/>
            <w:tcBorders>
              <w:top w:val="single" w:sz="12" w:space="0" w:color="000000"/>
              <w:left w:val="single" w:sz="4" w:space="0" w:color="000000"/>
              <w:bottom w:val="single" w:sz="4" w:space="0" w:color="000000"/>
              <w:right w:val="single" w:sz="4" w:space="0" w:color="000000"/>
            </w:tcBorders>
          </w:tcPr>
          <w:p>
            <w:pPr>
              <w:pStyle w:val="TableParagraph"/>
              <w:spacing w:line="321" w:lineRule="auto" w:before="10"/>
              <w:ind w:left="466" w:right="147"/>
              <w:jc w:val="left"/>
              <w:rPr>
                <w:rFonts w:ascii="宋体" w:hAnsi="宋体" w:cs="宋体" w:eastAsia="宋体" w:hint="default"/>
                <w:sz w:val="18"/>
                <w:szCs w:val="18"/>
              </w:rPr>
            </w:pPr>
            <w:r>
              <w:rPr>
                <w:rFonts w:ascii="宋体" w:hAnsi="宋体" w:cs="宋体" w:eastAsia="宋体" w:hint="default"/>
                <w:spacing w:val="-3"/>
                <w:sz w:val="18"/>
                <w:szCs w:val="18"/>
              </w:rPr>
              <w:t>③一般缺陷：不构成重大缺陷或重</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要缺陷的其他内部控制缺陷。</w:t>
            </w:r>
          </w:p>
        </w:tc>
        <w:tc>
          <w:tcPr>
            <w:tcW w:w="3049" w:type="dxa"/>
            <w:tcBorders>
              <w:top w:val="single" w:sz="12" w:space="0" w:color="000000"/>
              <w:left w:val="single" w:sz="4" w:space="0" w:color="000000"/>
              <w:bottom w:val="single" w:sz="4" w:space="0" w:color="000000"/>
              <w:right w:val="single" w:sz="12" w:space="0" w:color="000000"/>
            </w:tcBorders>
          </w:tcPr>
          <w:p>
            <w:pPr/>
          </w:p>
        </w:tc>
      </w:tr>
      <w:tr>
        <w:trPr>
          <w:trHeight w:val="5392"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6" w:right="7"/>
              <w:jc w:val="left"/>
              <w:rPr>
                <w:rFonts w:ascii="宋体" w:hAnsi="宋体" w:cs="宋体" w:eastAsia="宋体" w:hint="default"/>
                <w:sz w:val="18"/>
                <w:szCs w:val="18"/>
              </w:rPr>
            </w:pPr>
            <w:r>
              <w:rPr>
                <w:rFonts w:ascii="宋体" w:hAnsi="宋体" w:cs="宋体" w:eastAsia="宋体" w:hint="default"/>
                <w:spacing w:val="-3"/>
                <w:sz w:val="18"/>
                <w:szCs w:val="18"/>
              </w:rPr>
              <w:t>以利润总额和总资产孰低的原则确定重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要性水平。①内部控制缺陷可能导致或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导致的损失与利润表相关的，以利润总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额作为指标衡量。如果该缺陷单独或连</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同其他缺陷可能导致的财务报告错报金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2"/>
                <w:w w:val="101"/>
                <w:sz w:val="18"/>
                <w:szCs w:val="18"/>
              </w:rPr>
              <w:t>额小于利润总额的</w:t>
            </w:r>
            <w:r>
              <w:rPr>
                <w:rFonts w:ascii="宋体" w:hAnsi="宋体" w:cs="宋体" w:eastAsia="宋体" w:hint="default"/>
                <w:spacing w:val="-41"/>
                <w:w w:val="101"/>
                <w:sz w:val="18"/>
                <w:szCs w:val="18"/>
              </w:rPr>
              <w:t> </w:t>
            </w:r>
            <w:r>
              <w:rPr>
                <w:rFonts w:ascii="宋体" w:hAnsi="宋体" w:cs="宋体" w:eastAsia="宋体" w:hint="default"/>
                <w:spacing w:val="-11"/>
                <w:w w:val="101"/>
                <w:sz w:val="18"/>
                <w:szCs w:val="18"/>
              </w:rPr>
              <w:t>1%</w:t>
            </w:r>
            <w:r>
              <w:rPr>
                <w:rFonts w:ascii="宋体" w:hAnsi="宋体" w:cs="宋体" w:eastAsia="宋体" w:hint="default"/>
                <w:spacing w:val="-11"/>
                <w:w w:val="101"/>
                <w:sz w:val="18"/>
                <w:szCs w:val="18"/>
              </w:rPr>
              <w:t>，认定为一般缺陷；</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如果超过利润总额</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z w:val="18"/>
                <w:szCs w:val="18"/>
              </w:rPr>
              <w:t>、不足</w:t>
            </w:r>
            <w:r>
              <w:rPr>
                <w:rFonts w:ascii="宋体" w:hAnsi="宋体" w:cs="宋体" w:eastAsia="宋体" w:hint="default"/>
                <w:spacing w:val="-50"/>
                <w:sz w:val="18"/>
                <w:szCs w:val="18"/>
              </w:rPr>
              <w:t> </w:t>
            </w:r>
            <w:r>
              <w:rPr>
                <w:rFonts w:ascii="宋体" w:hAnsi="宋体" w:cs="宋体" w:eastAsia="宋体" w:hint="default"/>
                <w:sz w:val="18"/>
                <w:szCs w:val="18"/>
              </w:rPr>
              <w:t>5%</w:t>
            </w:r>
            <w:r>
              <w:rPr>
                <w:rFonts w:ascii="宋体" w:hAnsi="宋体" w:cs="宋体" w:eastAsia="宋体" w:hint="default"/>
                <w:sz w:val="18"/>
                <w:szCs w:val="18"/>
              </w:rPr>
              <w:t>（超过、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w w:val="101"/>
                <w:sz w:val="18"/>
                <w:szCs w:val="18"/>
              </w:rPr>
              <w:t>不足均含本数），认定为重要缺陷；如果</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大于利润总额</w:t>
            </w:r>
            <w:r>
              <w:rPr>
                <w:rFonts w:ascii="宋体" w:hAnsi="宋体" w:cs="宋体" w:eastAsia="宋体" w:hint="default"/>
                <w:spacing w:val="-35"/>
                <w:sz w:val="18"/>
                <w:szCs w:val="18"/>
              </w:rPr>
              <w:t> </w:t>
            </w:r>
            <w:r>
              <w:rPr>
                <w:rFonts w:ascii="宋体" w:hAnsi="宋体" w:cs="宋体" w:eastAsia="宋体" w:hint="default"/>
                <w:spacing w:val="-3"/>
                <w:sz w:val="18"/>
                <w:szCs w:val="18"/>
              </w:rPr>
              <w:t>5%</w:t>
            </w:r>
            <w:r>
              <w:rPr>
                <w:rFonts w:ascii="宋体" w:hAnsi="宋体" w:cs="宋体" w:eastAsia="宋体" w:hint="default"/>
                <w:spacing w:val="-3"/>
                <w:sz w:val="18"/>
                <w:szCs w:val="18"/>
              </w:rPr>
              <w:t>，认定为重大缺陷。②</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内部控制缺陷可能导致或导致的损失与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资产管理相关的，以总资产作为指标衡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量。如果该缺陷单独或连同其他缺陷可</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能导致的财务报告错报金额小于总资产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z w:val="18"/>
                <w:szCs w:val="18"/>
              </w:rPr>
              <w:t>，认定为一般缺陷；如果超过资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产总额</w:t>
            </w:r>
            <w:r>
              <w:rPr>
                <w:rFonts w:ascii="宋体" w:hAnsi="宋体" w:cs="宋体" w:eastAsia="宋体" w:hint="default"/>
                <w:spacing w:val="-38"/>
                <w:sz w:val="18"/>
                <w:szCs w:val="18"/>
              </w:rPr>
              <w:t> </w:t>
            </w:r>
            <w:r>
              <w:rPr>
                <w:rFonts w:ascii="宋体" w:hAnsi="宋体" w:cs="宋体" w:eastAsia="宋体" w:hint="default"/>
                <w:spacing w:val="-4"/>
                <w:sz w:val="18"/>
                <w:szCs w:val="18"/>
              </w:rPr>
              <w:t>0.5%</w:t>
            </w:r>
            <w:r>
              <w:rPr>
                <w:rFonts w:ascii="宋体" w:hAnsi="宋体" w:cs="宋体" w:eastAsia="宋体" w:hint="default"/>
                <w:spacing w:val="-4"/>
                <w:sz w:val="18"/>
                <w:szCs w:val="18"/>
              </w:rPr>
              <w:t>、不足</w:t>
            </w:r>
            <w:r>
              <w:rPr>
                <w:rFonts w:ascii="宋体" w:hAnsi="宋体" w:cs="宋体" w:eastAsia="宋体" w:hint="default"/>
                <w:spacing w:val="-44"/>
                <w:sz w:val="18"/>
                <w:szCs w:val="18"/>
              </w:rPr>
              <w:t> </w:t>
            </w:r>
            <w:r>
              <w:rPr>
                <w:rFonts w:ascii="宋体" w:hAnsi="宋体" w:cs="宋体" w:eastAsia="宋体" w:hint="default"/>
                <w:spacing w:val="-5"/>
                <w:sz w:val="18"/>
                <w:szCs w:val="18"/>
              </w:rPr>
              <w:t>1%</w:t>
            </w:r>
            <w:r>
              <w:rPr>
                <w:rFonts w:ascii="宋体" w:hAnsi="宋体" w:cs="宋体" w:eastAsia="宋体" w:hint="default"/>
                <w:spacing w:val="-5"/>
                <w:sz w:val="18"/>
                <w:szCs w:val="18"/>
              </w:rPr>
              <w:t>（超过、不足均含</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0"/>
                <w:w w:val="101"/>
                <w:sz w:val="18"/>
                <w:szCs w:val="18"/>
              </w:rPr>
              <w:t>本数），认定为重要缺陷；如果大于总资</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产</w:t>
            </w:r>
            <w:r>
              <w:rPr>
                <w:rFonts w:ascii="宋体" w:hAnsi="宋体" w:cs="宋体" w:eastAsia="宋体" w:hint="default"/>
                <w:spacing w:val="-41"/>
                <w:sz w:val="18"/>
                <w:szCs w:val="18"/>
              </w:rPr>
              <w:t> </w:t>
            </w:r>
            <w:r>
              <w:rPr>
                <w:rFonts w:ascii="宋体" w:hAnsi="宋体" w:cs="宋体" w:eastAsia="宋体" w:hint="default"/>
                <w:sz w:val="18"/>
                <w:szCs w:val="18"/>
              </w:rPr>
              <w:t>1%</w:t>
            </w:r>
            <w:r>
              <w:rPr>
                <w:rFonts w:ascii="宋体" w:hAnsi="宋体" w:cs="宋体" w:eastAsia="宋体" w:hint="default"/>
                <w:sz w:val="18"/>
                <w:szCs w:val="18"/>
              </w:rPr>
              <w:t>，认定为重大缺陷。</w:t>
            </w:r>
          </w:p>
        </w:tc>
        <w:tc>
          <w:tcPr>
            <w:tcW w:w="304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316" w:lineRule="auto"/>
              <w:ind w:left="100" w:right="224"/>
              <w:jc w:val="left"/>
              <w:rPr>
                <w:rFonts w:ascii="宋体" w:hAnsi="宋体" w:cs="宋体" w:eastAsia="宋体" w:hint="default"/>
                <w:sz w:val="18"/>
                <w:szCs w:val="18"/>
              </w:rPr>
            </w:pPr>
            <w:r>
              <w:rPr>
                <w:rFonts w:ascii="宋体" w:hAnsi="宋体" w:cs="宋体" w:eastAsia="宋体" w:hint="default"/>
                <w:spacing w:val="-3"/>
                <w:sz w:val="18"/>
                <w:szCs w:val="18"/>
              </w:rPr>
              <w:t>参照财务报告内部控制缺陷的定量</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评价标准执行。</w:t>
            </w:r>
          </w:p>
        </w:tc>
      </w:tr>
      <w:tr>
        <w:trPr>
          <w:trHeight w:val="404"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77"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w w:val="101"/>
                <w:sz w:val="18"/>
              </w:rPr>
              <w:t>0</w:t>
            </w:r>
            <w:r>
              <w:rPr>
                <w:rFonts w:ascii="宋体"/>
                <w:sz w:val="18"/>
              </w:rPr>
            </w:r>
          </w:p>
        </w:tc>
      </w:tr>
      <w:tr>
        <w:trPr>
          <w:trHeight w:val="40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77"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w w:val="101"/>
                <w:sz w:val="18"/>
              </w:rPr>
              <w:t>0</w:t>
            </w:r>
            <w:r>
              <w:rPr>
                <w:rFonts w:ascii="宋体"/>
                <w:sz w:val="18"/>
              </w:rPr>
            </w:r>
          </w:p>
        </w:tc>
      </w:tr>
      <w:tr>
        <w:trPr>
          <w:trHeight w:val="40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77"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w w:val="101"/>
                <w:sz w:val="18"/>
              </w:rPr>
              <w:t>0</w:t>
            </w:r>
            <w:r>
              <w:rPr>
                <w:rFonts w:ascii="宋体"/>
                <w:sz w:val="18"/>
              </w:rPr>
            </w:r>
          </w:p>
        </w:tc>
      </w:tr>
      <w:tr>
        <w:trPr>
          <w:trHeight w:val="413" w:hRule="exact"/>
        </w:trPr>
        <w:tc>
          <w:tcPr>
            <w:tcW w:w="319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77" w:type="dxa"/>
            <w:gridSpan w:val="2"/>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w w:val="101"/>
                <w:sz w:val="18"/>
              </w:rPr>
              <w:t>0</w:t>
            </w:r>
            <w:r>
              <w:rPr>
                <w:rFonts w:ascii="宋体"/>
                <w:sz w:val="18"/>
              </w:rPr>
            </w:r>
          </w:p>
        </w:tc>
      </w:tr>
    </w:tbl>
    <w:p>
      <w:pPr>
        <w:spacing w:line="240" w:lineRule="auto" w:before="9"/>
        <w:rPr>
          <w:rFonts w:ascii="宋体" w:hAnsi="宋体" w:cs="宋体" w:eastAsia="宋体" w:hint="default"/>
          <w:b/>
          <w:bCs/>
          <w:sz w:val="17"/>
          <w:szCs w:val="17"/>
        </w:rPr>
      </w:pPr>
    </w:p>
    <w:p>
      <w:pPr>
        <w:pStyle w:val="Heading2"/>
        <w:spacing w:line="240" w:lineRule="auto" w:before="26"/>
        <w:ind w:right="1024"/>
        <w:jc w:val="left"/>
        <w:rPr>
          <w:b w:val="0"/>
          <w:bCs w:val="0"/>
        </w:rPr>
      </w:pPr>
      <w:bookmarkStart w:name="十、内部控制审计报告或鉴证报告" w:id="200"/>
      <w:bookmarkEnd w:id="200"/>
      <w:r>
        <w:rPr>
          <w:b w:val="0"/>
          <w:bCs w:val="0"/>
        </w:rPr>
      </w:r>
      <w:r>
        <w:rPr/>
        <w:t>十、内部控制审计报告或鉴证报告</w:t>
      </w:r>
      <w:r>
        <w:rPr>
          <w:b w:val="0"/>
          <w:bCs w:val="0"/>
        </w:rPr>
      </w:r>
    </w:p>
    <w:p>
      <w:pPr>
        <w:spacing w:line="240" w:lineRule="auto" w:before="2"/>
        <w:rPr>
          <w:rFonts w:ascii="宋体" w:hAnsi="宋体" w:cs="宋体" w:eastAsia="宋体" w:hint="default"/>
          <w:b/>
          <w:bCs/>
          <w:sz w:val="31"/>
          <w:szCs w:val="31"/>
        </w:rPr>
      </w:pPr>
    </w:p>
    <w:p>
      <w:pPr>
        <w:pStyle w:val="BodyText"/>
        <w:spacing w:line="240" w:lineRule="auto"/>
        <w:ind w:right="1024"/>
        <w:jc w:val="left"/>
      </w:pPr>
      <w:r>
        <w:rPr/>
        <w:t>□ 适用 √</w:t>
      </w:r>
      <w:r>
        <w:rPr>
          <w:spacing w:val="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1"/>
        <w:spacing w:line="240" w:lineRule="auto" w:before="0"/>
        <w:ind w:right="1024"/>
        <w:jc w:val="left"/>
        <w:rPr>
          <w:b w:val="0"/>
          <w:bCs w:val="0"/>
        </w:rPr>
      </w:pPr>
      <w:bookmarkStart w:name="第十一节 公司债券相关情况" w:id="201"/>
      <w:bookmarkEnd w:id="201"/>
      <w:r>
        <w:rPr>
          <w:b w:val="0"/>
          <w:bCs w:val="0"/>
        </w:rPr>
      </w:r>
      <w:bookmarkStart w:name="_bookmark10" w:id="202"/>
      <w:bookmarkEnd w:id="202"/>
      <w:r>
        <w:rPr>
          <w:b w:val="0"/>
          <w:bCs w:val="0"/>
        </w:rPr>
      </w:r>
      <w:r>
        <w:rPr/>
        <w:t>第十一节</w:t>
      </w:r>
      <w:r>
        <w:rPr>
          <w:spacing w:val="1"/>
        </w:rPr>
        <w:t> </w:t>
      </w:r>
      <w:r>
        <w:rPr/>
        <w:t>公司债券相关情况</w:t>
      </w:r>
      <w:r>
        <w:rPr>
          <w:b w:val="0"/>
          <w:bCs w:val="0"/>
        </w:rPr>
      </w:r>
    </w:p>
    <w:p>
      <w:pPr>
        <w:pStyle w:val="BodyText"/>
        <w:spacing w:line="410" w:lineRule="auto" w:before="218"/>
        <w:ind w:right="1024"/>
        <w:jc w:val="left"/>
      </w:pPr>
      <w:r>
        <w:rPr>
          <w:spacing w:val="-2"/>
        </w:rPr>
        <w:t>公司是否存在公开发行并在证券交易所上市，且在年度报告批准报出日未到期或到期未能全额兑付的公司</w:t>
      </w:r>
      <w:r>
        <w:rPr>
          <w:spacing w:val="-33"/>
        </w:rPr>
        <w:t> </w:t>
      </w:r>
      <w:r>
        <w:rPr>
          <w:spacing w:val="-33"/>
        </w:rPr>
      </w:r>
      <w:r>
        <w:rPr/>
        <w:t>债券</w:t>
      </w:r>
    </w:p>
    <w:p>
      <w:pPr>
        <w:pStyle w:val="BodyText"/>
        <w:spacing w:line="240" w:lineRule="auto" w:before="42"/>
        <w:ind w:right="1024"/>
        <w:jc w:val="left"/>
      </w:pPr>
      <w:r>
        <w:rPr/>
        <w:t>□ 是 √</w:t>
      </w:r>
      <w:r>
        <w:rPr>
          <w:spacing w:val="5"/>
        </w:rPr>
        <w:t> </w:t>
      </w:r>
      <w:r>
        <w:rPr/>
        <w:t>否</w:t>
      </w:r>
    </w:p>
    <w:p>
      <w:pPr>
        <w:spacing w:after="0" w:line="240" w:lineRule="auto"/>
        <w:jc w:val="left"/>
        <w:sectPr>
          <w:pgSz w:w="11910" w:h="16840"/>
          <w:pgMar w:header="871" w:footer="1037" w:top="110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1"/>
        <w:spacing w:line="240" w:lineRule="auto"/>
        <w:ind w:left="3606" w:right="1024"/>
        <w:jc w:val="left"/>
        <w:rPr>
          <w:b w:val="0"/>
          <w:bCs w:val="0"/>
        </w:rPr>
      </w:pPr>
      <w:bookmarkStart w:name="第十二节 财务报告" w:id="203"/>
      <w:bookmarkEnd w:id="203"/>
      <w:r>
        <w:rPr>
          <w:b w:val="0"/>
          <w:bCs w:val="0"/>
        </w:rPr>
      </w:r>
      <w:bookmarkStart w:name="_bookmark11" w:id="204"/>
      <w:bookmarkEnd w:id="204"/>
      <w:r>
        <w:rPr>
          <w:b w:val="0"/>
          <w:bCs w:val="0"/>
        </w:rPr>
      </w:r>
      <w:r>
        <w:rPr/>
        <w:t>第十二节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1024"/>
        <w:jc w:val="left"/>
        <w:rPr>
          <w:b w:val="0"/>
          <w:bCs w:val="0"/>
        </w:rPr>
      </w:pPr>
      <w:bookmarkStart w:name="一、审计报告" w:id="205"/>
      <w:bookmarkEnd w:id="205"/>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4783"/>
        <w:gridCol w:w="4787"/>
      </w:tblGrid>
      <w:tr>
        <w:trPr>
          <w:trHeight w:val="413" w:hRule="exact"/>
        </w:trPr>
        <w:tc>
          <w:tcPr>
            <w:tcW w:w="478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28</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398" w:hRule="exact"/>
        </w:trPr>
        <w:tc>
          <w:tcPr>
            <w:tcW w:w="47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众华会计师事务所（特殊普通合伙）</w:t>
            </w:r>
          </w:p>
        </w:tc>
      </w:tr>
      <w:tr>
        <w:trPr>
          <w:trHeight w:val="403" w:hRule="exact"/>
        </w:trPr>
        <w:tc>
          <w:tcPr>
            <w:tcW w:w="47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众会字</w:t>
            </w:r>
            <w:r>
              <w:rPr>
                <w:rFonts w:ascii="宋体" w:hAnsi="宋体" w:cs="宋体" w:eastAsia="宋体" w:hint="default"/>
                <w:spacing w:val="8"/>
                <w:sz w:val="18"/>
                <w:szCs w:val="18"/>
              </w:rPr>
              <w:t> </w:t>
            </w:r>
            <w:r>
              <w:rPr>
                <w:rFonts w:ascii="宋体" w:hAnsi="宋体" w:cs="宋体" w:eastAsia="宋体" w:hint="default"/>
                <w:sz w:val="18"/>
                <w:szCs w:val="18"/>
              </w:rPr>
              <w:t>(2020)</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宋体" w:hAnsi="宋体" w:cs="宋体" w:eastAsia="宋体" w:hint="default"/>
                <w:sz w:val="18"/>
                <w:szCs w:val="18"/>
              </w:rPr>
              <w:t>4076</w:t>
            </w:r>
            <w:r>
              <w:rPr>
                <w:rFonts w:ascii="宋体" w:hAnsi="宋体" w:cs="宋体" w:eastAsia="宋体" w:hint="default"/>
                <w:spacing w:val="-49"/>
                <w:sz w:val="18"/>
                <w:szCs w:val="18"/>
              </w:rPr>
              <w:t> </w:t>
            </w:r>
            <w:r>
              <w:rPr>
                <w:rFonts w:ascii="宋体" w:hAnsi="宋体" w:cs="宋体" w:eastAsia="宋体" w:hint="default"/>
                <w:sz w:val="18"/>
                <w:szCs w:val="18"/>
              </w:rPr>
              <w:t>号</w:t>
            </w:r>
          </w:p>
        </w:tc>
      </w:tr>
      <w:tr>
        <w:trPr>
          <w:trHeight w:val="413" w:hRule="exact"/>
        </w:trPr>
        <w:tc>
          <w:tcPr>
            <w:tcW w:w="478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刘磊、金宁绩</w:t>
            </w:r>
          </w:p>
        </w:tc>
      </w:tr>
    </w:tbl>
    <w:p>
      <w:pPr>
        <w:spacing w:before="53"/>
        <w:ind w:left="0" w:right="973"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5"/>
        <w:rPr>
          <w:rFonts w:ascii="宋体" w:hAnsi="宋体" w:cs="宋体" w:eastAsia="宋体" w:hint="default"/>
          <w:sz w:val="10"/>
          <w:szCs w:val="10"/>
        </w:rPr>
      </w:pPr>
    </w:p>
    <w:p>
      <w:pPr>
        <w:pStyle w:val="Heading4"/>
        <w:spacing w:line="405" w:lineRule="auto"/>
        <w:ind w:left="575" w:right="7589" w:hanging="423"/>
        <w:jc w:val="left"/>
        <w:rPr>
          <w:b w:val="0"/>
          <w:bCs w:val="0"/>
        </w:rPr>
      </w:pPr>
      <w:r>
        <w:rPr/>
        <w:t>光一科技股份有限公司全体股东：</w:t>
      </w:r>
      <w:r>
        <w:rPr>
          <w:spacing w:val="-101"/>
        </w:rPr>
        <w:t> </w:t>
      </w:r>
      <w:r>
        <w:rPr/>
        <w:t>一、审计意见</w:t>
      </w:r>
      <w:r>
        <w:rPr>
          <w:b w:val="0"/>
          <w:bCs w:val="0"/>
        </w:rPr>
      </w:r>
    </w:p>
    <w:p>
      <w:pPr>
        <w:pStyle w:val="BodyText"/>
        <w:spacing w:line="408" w:lineRule="auto" w:before="50"/>
        <w:ind w:right="1024" w:firstLine="422"/>
        <w:jc w:val="left"/>
      </w:pPr>
      <w:r>
        <w:rPr/>
        <w:t>我们审计了光一科技股份有限公司（以下简称光一科技）财务报表，包括</w:t>
      </w:r>
      <w:r>
        <w:rPr>
          <w:spacing w:val="-53"/>
        </w:rPr>
        <w:t> </w:t>
      </w:r>
      <w:r>
        <w:rPr>
          <w:rFonts w:ascii="宋体" w:hAnsi="宋体" w:cs="宋体" w:eastAsia="宋体" w:hint="default"/>
        </w:rPr>
        <w:t>2019</w:t>
      </w:r>
      <w:r>
        <w:rPr>
          <w:rFonts w:ascii="宋体" w:hAnsi="宋体" w:cs="宋体" w:eastAsia="宋体" w:hint="default"/>
          <w:spacing w:val="-52"/>
        </w:rPr>
        <w:t> </w:t>
      </w:r>
      <w:r>
        <w:rPr/>
        <w:t>年</w:t>
      </w:r>
      <w:r>
        <w:rPr>
          <w:spacing w:val="-52"/>
        </w:rPr>
        <w:t> </w:t>
      </w:r>
      <w:r>
        <w:rPr>
          <w:rFonts w:ascii="宋体" w:hAnsi="宋体" w:cs="宋体" w:eastAsia="宋体" w:hint="default"/>
          <w:spacing w:val="-3"/>
        </w:rPr>
        <w:t>12</w:t>
      </w:r>
      <w:r>
        <w:rPr>
          <w:rFonts w:ascii="宋体" w:hAnsi="宋体" w:cs="宋体" w:eastAsia="宋体" w:hint="default"/>
          <w:spacing w:val="-52"/>
        </w:rPr>
        <w:t> </w:t>
      </w:r>
      <w:r>
        <w:rPr/>
        <w:t>月</w:t>
      </w:r>
      <w:r>
        <w:rPr>
          <w:spacing w:val="-51"/>
        </w:rPr>
        <w:t> </w:t>
      </w:r>
      <w:r>
        <w:rPr>
          <w:rFonts w:ascii="宋体" w:hAnsi="宋体" w:cs="宋体" w:eastAsia="宋体" w:hint="default"/>
        </w:rPr>
        <w:t>31</w:t>
      </w:r>
      <w:r>
        <w:rPr>
          <w:rFonts w:ascii="宋体" w:hAnsi="宋体" w:cs="宋体" w:eastAsia="宋体" w:hint="default"/>
          <w:spacing w:val="-52"/>
        </w:rPr>
        <w:t> </w:t>
      </w:r>
      <w:r>
        <w:rPr/>
        <w:t>日的合并</w:t>
      </w:r>
      <w:r>
        <w:rPr>
          <w:w w:val="100"/>
        </w:rPr>
        <w:t> </w:t>
      </w:r>
      <w:r>
        <w:rPr>
          <w:spacing w:val="-3"/>
        </w:rPr>
        <w:t>及公司资产负债表，</w:t>
      </w:r>
      <w:r>
        <w:rPr>
          <w:rFonts w:ascii="宋体" w:hAnsi="宋体" w:cs="宋体" w:eastAsia="宋体" w:hint="default"/>
          <w:spacing w:val="-3"/>
        </w:rPr>
        <w:t>2019 </w:t>
      </w:r>
      <w:r>
        <w:rPr>
          <w:spacing w:val="-3"/>
        </w:rPr>
        <w:t>年度的合并及公司利润表、合并及公司现金流量表、合并及公司所有者权益变动</w:t>
      </w:r>
      <w:r>
        <w:rPr>
          <w:spacing w:val="-83"/>
        </w:rPr>
        <w:t> </w:t>
      </w:r>
      <w:r>
        <w:rPr>
          <w:spacing w:val="-83"/>
        </w:rPr>
      </w:r>
      <w:r>
        <w:rPr/>
        <w:t>表以及相关财务报表附注。</w:t>
      </w:r>
    </w:p>
    <w:p>
      <w:pPr>
        <w:pStyle w:val="BodyText"/>
        <w:spacing w:line="240" w:lineRule="auto" w:before="43"/>
        <w:ind w:left="575" w:right="1024"/>
        <w:jc w:val="left"/>
        <w:rPr>
          <w:rFonts w:ascii="宋体" w:hAnsi="宋体" w:cs="宋体" w:eastAsia="宋体" w:hint="default"/>
        </w:rPr>
      </w:pPr>
      <w:r>
        <w:rPr>
          <w:spacing w:val="-4"/>
        </w:rPr>
        <w:t>我们认为，后附的财务报表在所有重大方面按照企业会计准则的规定编制，公允反映了光一科技</w:t>
      </w:r>
      <w:r>
        <w:rPr>
          <w:spacing w:val="43"/>
        </w:rPr>
        <w:t> </w:t>
      </w:r>
      <w:r>
        <w:rPr>
          <w:rFonts w:ascii="宋体" w:hAnsi="宋体" w:cs="宋体" w:eastAsia="宋体" w:hint="default"/>
        </w:rPr>
        <w:t>2019</w:t>
      </w:r>
    </w:p>
    <w:p>
      <w:pPr>
        <w:spacing w:line="240" w:lineRule="auto" w:before="12"/>
        <w:rPr>
          <w:rFonts w:ascii="宋体" w:hAnsi="宋体" w:cs="宋体" w:eastAsia="宋体" w:hint="default"/>
          <w:sz w:val="14"/>
          <w:szCs w:val="14"/>
        </w:rPr>
      </w:pPr>
    </w:p>
    <w:p>
      <w:pPr>
        <w:pStyle w:val="BodyText"/>
        <w:spacing w:line="408" w:lineRule="auto"/>
        <w:ind w:left="575" w:right="1024" w:hanging="423"/>
        <w:jc w:val="left"/>
      </w:pP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2"/>
        </w:rPr>
        <w:t> </w:t>
      </w:r>
      <w:r>
        <w:rPr>
          <w:rFonts w:ascii="宋体" w:hAnsi="宋体" w:cs="宋体" w:eastAsia="宋体" w:hint="default"/>
        </w:rPr>
        <w:t>31</w:t>
      </w:r>
      <w:r>
        <w:rPr>
          <w:rFonts w:ascii="宋体" w:hAnsi="宋体" w:cs="宋体" w:eastAsia="宋体" w:hint="default"/>
          <w:spacing w:val="-57"/>
        </w:rPr>
        <w:t> </w:t>
      </w:r>
      <w:r>
        <w:rPr/>
        <w:t>日的合并及公司财务状况以及</w:t>
      </w:r>
      <w:r>
        <w:rPr>
          <w:spacing w:val="-52"/>
        </w:rPr>
        <w:t> </w:t>
      </w:r>
      <w:r>
        <w:rPr>
          <w:rFonts w:ascii="宋体" w:hAnsi="宋体" w:cs="宋体" w:eastAsia="宋体" w:hint="default"/>
        </w:rPr>
        <w:t>2019</w:t>
      </w:r>
      <w:r>
        <w:rPr>
          <w:rFonts w:ascii="宋体" w:hAnsi="宋体" w:cs="宋体" w:eastAsia="宋体" w:hint="default"/>
          <w:spacing w:val="-57"/>
        </w:rPr>
        <w:t> </w:t>
      </w:r>
      <w:r>
        <w:rPr/>
        <w:t>年度的合并及公司经营成果和现金流量。</w:t>
      </w:r>
      <w:r>
        <w:rPr>
          <w:spacing w:val="-98"/>
        </w:rPr>
        <w:t> </w:t>
      </w:r>
      <w:r>
        <w:rPr>
          <w:spacing w:val="-98"/>
        </w:rPr>
      </w:r>
      <w:r>
        <w:rPr>
          <w:rFonts w:ascii="宋体" w:hAnsi="宋体" w:cs="宋体" w:eastAsia="宋体" w:hint="default"/>
          <w:b/>
          <w:bCs/>
        </w:rPr>
        <w:t>二、形成审计意见的基础</w:t>
      </w:r>
      <w:r>
        <w:rPr>
          <w:rFonts w:ascii="宋体" w:hAnsi="宋体" w:cs="宋体" w:eastAsia="宋体" w:hint="default"/>
          <w:b/>
          <w:bCs/>
          <w:w w:val="100"/>
        </w:rPr>
        <w:t> </w:t>
      </w:r>
      <w:r>
        <w:rPr>
          <w:spacing w:val="-2"/>
        </w:rPr>
        <w:t>我们按照中国注册会计师审计准则的规定执行了审计工作。审计报告的“注册会计师对财务报表审计</w:t>
      </w:r>
    </w:p>
    <w:p>
      <w:pPr>
        <w:pStyle w:val="BodyText"/>
        <w:spacing w:line="408" w:lineRule="auto" w:before="43"/>
        <w:ind w:right="1125"/>
        <w:jc w:val="both"/>
      </w:pPr>
      <w:r>
        <w:rPr>
          <w:spacing w:val="-2"/>
        </w:rPr>
        <w:t>的责任”部分进一步阐述了我们在这些准则下的责任。按照中国注册会计师职业道德守则，我们独立于光</w:t>
      </w:r>
      <w:r>
        <w:rPr>
          <w:spacing w:val="-33"/>
        </w:rPr>
        <w:t> </w:t>
      </w:r>
      <w:r>
        <w:rPr>
          <w:spacing w:val="-33"/>
        </w:rPr>
      </w:r>
      <w:r>
        <w:rPr>
          <w:spacing w:val="-2"/>
        </w:rPr>
        <w:t>一科技，并履行了职业道德方面的其他责任。我们相信，我们获取的审计证据是充分、适当的，为发表审</w:t>
      </w:r>
      <w:r>
        <w:rPr>
          <w:spacing w:val="-38"/>
        </w:rPr>
        <w:t> </w:t>
      </w:r>
      <w:r>
        <w:rPr>
          <w:spacing w:val="-38"/>
        </w:rPr>
      </w:r>
      <w:r>
        <w:rPr/>
        <w:t>计意见提供了基础。</w:t>
      </w:r>
    </w:p>
    <w:p>
      <w:pPr>
        <w:pStyle w:val="BodyText"/>
        <w:spacing w:line="405" w:lineRule="auto" w:before="48"/>
        <w:ind w:left="590" w:right="1024"/>
        <w:jc w:val="left"/>
      </w:pPr>
      <w:r>
        <w:rPr>
          <w:rFonts w:ascii="宋体" w:hAnsi="宋体" w:cs="宋体" w:eastAsia="宋体" w:hint="default"/>
          <w:b/>
          <w:bCs/>
        </w:rPr>
        <w:t>三、关键审计事项</w:t>
      </w:r>
      <w:r>
        <w:rPr>
          <w:rFonts w:ascii="宋体" w:hAnsi="宋体" w:cs="宋体" w:eastAsia="宋体" w:hint="default"/>
          <w:b/>
          <w:bCs/>
          <w:spacing w:val="-103"/>
        </w:rPr>
        <w:t> </w:t>
      </w:r>
      <w:r>
        <w:rPr>
          <w:spacing w:val="-3"/>
        </w:rPr>
        <w:t>关键审计事项是我们根据职业判断，认为对本期财务报表审计最为重要的事项。这些事项的应对以对</w:t>
      </w:r>
    </w:p>
    <w:p>
      <w:pPr>
        <w:pStyle w:val="BodyText"/>
        <w:spacing w:line="405" w:lineRule="auto" w:before="51"/>
        <w:ind w:left="590" w:right="2353" w:hanging="437"/>
        <w:jc w:val="left"/>
      </w:pPr>
      <w:r>
        <w:rPr>
          <w:spacing w:val="-2"/>
        </w:rPr>
        <w:t>财务报表整体进行审计并形成审计意见为背景，我们不对这些事项单独发表意见。</w:t>
      </w:r>
      <w:r>
        <w:rPr>
          <w:spacing w:val="-30"/>
        </w:rPr>
        <w:t> </w:t>
      </w:r>
      <w:r>
        <w:rPr>
          <w:spacing w:val="-30"/>
        </w:rPr>
      </w:r>
      <w:r>
        <w:rPr/>
        <w:t>收入的确认</w:t>
      </w:r>
    </w:p>
    <w:p>
      <w:pPr>
        <w:pStyle w:val="BodyText"/>
        <w:spacing w:line="240" w:lineRule="auto" w:before="50"/>
        <w:ind w:left="590" w:right="1024"/>
        <w:jc w:val="left"/>
      </w:pPr>
      <w:r>
        <w:rPr/>
        <w:t>（</w:t>
      </w:r>
      <w:r>
        <w:rPr>
          <w:rFonts w:ascii="宋体" w:hAnsi="宋体" w:cs="宋体" w:eastAsia="宋体" w:hint="default"/>
        </w:rPr>
        <w:t>1</w:t>
      </w:r>
      <w:r>
        <w:rPr/>
        <w:t>）关键审计事项</w:t>
      </w:r>
    </w:p>
    <w:p>
      <w:pPr>
        <w:spacing w:line="240" w:lineRule="auto" w:before="8"/>
        <w:rPr>
          <w:rFonts w:ascii="宋体" w:hAnsi="宋体" w:cs="宋体" w:eastAsia="宋体" w:hint="default"/>
          <w:sz w:val="14"/>
          <w:szCs w:val="14"/>
        </w:rPr>
      </w:pPr>
    </w:p>
    <w:p>
      <w:pPr>
        <w:pStyle w:val="BodyText"/>
        <w:spacing w:line="408" w:lineRule="auto"/>
        <w:ind w:right="1015" w:firstLine="436"/>
        <w:jc w:val="left"/>
      </w:pPr>
      <w:r>
        <w:rPr>
          <w:spacing w:val="-1"/>
          <w:w w:val="100"/>
        </w:rPr>
        <w:t>如财务报表附注</w:t>
      </w:r>
      <w:r>
        <w:rPr>
          <w:spacing w:val="6"/>
          <w:w w:val="100"/>
        </w:rPr>
        <w:t> </w:t>
      </w:r>
      <w:r>
        <w:rPr>
          <w:rFonts w:ascii="宋体" w:hAnsi="宋体" w:cs="宋体" w:eastAsia="宋体" w:hint="default"/>
          <w:w w:val="100"/>
        </w:rPr>
        <w:t>5.36</w:t>
      </w:r>
      <w:r>
        <w:rPr>
          <w:rFonts w:ascii="宋体" w:hAnsi="宋体" w:cs="宋体" w:eastAsia="宋体" w:hint="default"/>
          <w:spacing w:val="-71"/>
          <w:w w:val="100"/>
        </w:rPr>
        <w:t> </w:t>
      </w:r>
      <w:r>
        <w:rPr>
          <w:spacing w:val="-17"/>
          <w:w w:val="100"/>
        </w:rPr>
        <w:t>所示，光一科技</w:t>
      </w:r>
      <w:r>
        <w:rPr>
          <w:spacing w:val="-70"/>
          <w:w w:val="100"/>
        </w:rPr>
        <w:t> </w:t>
      </w:r>
      <w:r>
        <w:rPr>
          <w:rFonts w:ascii="宋体" w:hAnsi="宋体" w:cs="宋体" w:eastAsia="宋体" w:hint="default"/>
          <w:w w:val="100"/>
        </w:rPr>
        <w:t>2019</w:t>
      </w:r>
      <w:r>
        <w:rPr>
          <w:rFonts w:ascii="宋体" w:hAnsi="宋体" w:cs="宋体" w:eastAsia="宋体" w:hint="default"/>
          <w:spacing w:val="-71"/>
          <w:w w:val="100"/>
        </w:rPr>
        <w:t> </w:t>
      </w:r>
      <w:r>
        <w:rPr>
          <w:spacing w:val="-2"/>
          <w:w w:val="100"/>
        </w:rPr>
        <w:t>年度实现营业收入</w:t>
      </w:r>
      <w:r>
        <w:rPr>
          <w:spacing w:val="-70"/>
          <w:w w:val="100"/>
        </w:rPr>
        <w:t> </w:t>
      </w:r>
      <w:r>
        <w:rPr>
          <w:rFonts w:ascii="宋体" w:hAnsi="宋体" w:cs="宋体" w:eastAsia="宋体" w:hint="default"/>
          <w:spacing w:val="-1"/>
          <w:w w:val="100"/>
        </w:rPr>
        <w:t>40,909.87</w:t>
      </w:r>
      <w:r>
        <w:rPr>
          <w:rFonts w:ascii="宋体" w:hAnsi="宋体" w:cs="宋体" w:eastAsia="宋体" w:hint="default"/>
          <w:spacing w:val="-71"/>
          <w:w w:val="100"/>
        </w:rPr>
        <w:t> </w:t>
      </w:r>
      <w:r>
        <w:rPr>
          <w:spacing w:val="-10"/>
          <w:w w:val="100"/>
        </w:rPr>
        <w:t>万元，主要为低压集抄系统、</w:t>
      </w:r>
      <w:r>
        <w:rPr>
          <w:w w:val="100"/>
        </w:rPr>
        <w:t> </w:t>
      </w:r>
      <w:r>
        <w:rPr/>
        <w:t>专变采集终端、电能计量表箱、高低压成套等电力相关产品销售收入。受近年来电力行业竞争较为激烈，</w:t>
      </w:r>
      <w:r>
        <w:rPr>
          <w:spacing w:val="-33"/>
        </w:rPr>
        <w:t> </w:t>
      </w:r>
      <w:r>
        <w:rPr>
          <w:spacing w:val="-33"/>
        </w:rPr>
      </w:r>
      <w:r>
        <w:rPr>
          <w:rFonts w:ascii="宋体" w:hAnsi="宋体" w:cs="宋体" w:eastAsia="宋体" w:hint="default"/>
        </w:rPr>
        <w:t>2019</w:t>
      </w:r>
      <w:r>
        <w:rPr>
          <w:rFonts w:ascii="宋体" w:hAnsi="宋体" w:cs="宋体" w:eastAsia="宋体" w:hint="default"/>
          <w:spacing w:val="-45"/>
        </w:rPr>
        <w:t> </w:t>
      </w:r>
      <w:r>
        <w:rPr/>
        <w:t>年公司营业收入较</w:t>
      </w:r>
      <w:r>
        <w:rPr>
          <w:spacing w:val="-44"/>
        </w:rPr>
        <w:t> </w:t>
      </w:r>
      <w:r>
        <w:rPr>
          <w:rFonts w:ascii="宋体" w:hAnsi="宋体" w:cs="宋体" w:eastAsia="宋体" w:hint="default"/>
        </w:rPr>
        <w:t>2018</w:t>
      </w:r>
      <w:r>
        <w:rPr>
          <w:rFonts w:ascii="宋体" w:hAnsi="宋体" w:cs="宋体" w:eastAsia="宋体" w:hint="default"/>
          <w:spacing w:val="-50"/>
        </w:rPr>
        <w:t> </w:t>
      </w:r>
      <w:r>
        <w:rPr/>
        <w:t>年度下降。如附注</w:t>
      </w:r>
      <w:r>
        <w:rPr>
          <w:spacing w:val="-50"/>
        </w:rPr>
        <w:t> </w:t>
      </w:r>
      <w:r>
        <w:rPr>
          <w:rFonts w:ascii="宋体" w:hAnsi="宋体" w:cs="宋体" w:eastAsia="宋体" w:hint="default"/>
        </w:rPr>
        <w:t>3.28</w:t>
      </w:r>
      <w:r>
        <w:rPr>
          <w:rFonts w:ascii="宋体" w:hAnsi="宋体" w:cs="宋体" w:eastAsia="宋体" w:hint="default"/>
          <w:spacing w:val="-50"/>
        </w:rPr>
        <w:t> </w:t>
      </w:r>
      <w:r>
        <w:rPr/>
        <w:t>所述的会计政策，产品销售收入一般在按合同生产、</w:t>
      </w:r>
    </w:p>
    <w:p>
      <w:pPr>
        <w:spacing w:after="0" w:line="408" w:lineRule="auto"/>
        <w:jc w:val="left"/>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5" w:lineRule="auto" w:before="36"/>
        <w:ind w:right="1024"/>
        <w:jc w:val="left"/>
      </w:pPr>
      <w:r>
        <w:rPr>
          <w:spacing w:val="-2"/>
        </w:rPr>
        <w:t>发货，并经客户验收时确认收入。由于收入是贵公司的关键业绩指标之一，从而存在管理层为了达到特定</w:t>
      </w:r>
      <w:r>
        <w:rPr>
          <w:spacing w:val="-33"/>
        </w:rPr>
        <w:t> </w:t>
      </w:r>
      <w:r>
        <w:rPr>
          <w:spacing w:val="-33"/>
        </w:rPr>
      </w:r>
      <w:r>
        <w:rPr/>
        <w:t>目标或期望而操纵收入确认的固有风险，我们将光一科技收入确认识别为关键审计事项。</w:t>
      </w:r>
    </w:p>
    <w:p>
      <w:pPr>
        <w:pStyle w:val="BodyText"/>
        <w:spacing w:line="405" w:lineRule="auto" w:before="51"/>
        <w:ind w:left="590" w:right="4245"/>
        <w:jc w:val="left"/>
      </w:pPr>
      <w:r>
        <w:rPr/>
        <w:t>（</w:t>
      </w:r>
      <w:r>
        <w:rPr>
          <w:rFonts w:ascii="宋体" w:hAnsi="宋体" w:cs="宋体" w:eastAsia="宋体" w:hint="default"/>
        </w:rPr>
        <w:t>2</w:t>
      </w:r>
      <w:r>
        <w:rPr/>
        <w:t>）审计中的应对</w:t>
      </w:r>
      <w:r>
        <w:rPr>
          <w:spacing w:val="-100"/>
        </w:rPr>
        <w:t> </w:t>
      </w:r>
      <w:r>
        <w:rPr>
          <w:spacing w:val="-100"/>
        </w:rPr>
      </w:r>
      <w:r>
        <w:rPr>
          <w:spacing w:val="-2"/>
        </w:rPr>
        <w:t>我们针对收入确认相关的上述关键审计事项执行的主要程序包括：</w:t>
      </w:r>
    </w:p>
    <w:p>
      <w:pPr>
        <w:pStyle w:val="BodyText"/>
        <w:spacing w:line="405" w:lineRule="auto" w:before="50"/>
        <w:ind w:right="1126" w:firstLine="436"/>
        <w:jc w:val="both"/>
      </w:pPr>
      <w:r>
        <w:rPr>
          <w:spacing w:val="-3"/>
        </w:rPr>
        <w:t>①我们通过审阅销售合同、对管理层进行访谈了解和评估管理层做出的收入确认政策是否符合企业会</w:t>
      </w:r>
      <w:r>
        <w:rPr>
          <w:w w:val="100"/>
        </w:rPr>
        <w:t> </w:t>
      </w:r>
      <w:r>
        <w:rPr/>
        <w:t>计准则的规定；</w:t>
      </w:r>
    </w:p>
    <w:p>
      <w:pPr>
        <w:pStyle w:val="BodyText"/>
        <w:spacing w:line="405" w:lineRule="auto" w:before="51"/>
        <w:ind w:right="1125" w:firstLine="436"/>
        <w:jc w:val="both"/>
      </w:pPr>
      <w:r>
        <w:rPr>
          <w:spacing w:val="-3"/>
        </w:rPr>
        <w:t>②对本年记录的收入交易选取样本，核对销售合同、发票、验收单等，评价相关收入确认是否符合贵</w:t>
      </w:r>
      <w:r>
        <w:rPr>
          <w:w w:val="100"/>
        </w:rPr>
        <w:t> </w:t>
      </w:r>
      <w:r>
        <w:rPr/>
        <w:t>公司收入确认的会计政策；</w:t>
      </w:r>
    </w:p>
    <w:p>
      <w:pPr>
        <w:pStyle w:val="BodyText"/>
        <w:spacing w:line="240" w:lineRule="auto" w:before="50"/>
        <w:ind w:left="590" w:right="1024"/>
        <w:jc w:val="left"/>
      </w:pPr>
      <w:r>
        <w:rPr/>
        <w:t>③了解并测试与收入确认相关的内部控制，确认其是否值得依赖；</w:t>
      </w:r>
    </w:p>
    <w:p>
      <w:pPr>
        <w:spacing w:line="240" w:lineRule="auto" w:before="8"/>
        <w:rPr>
          <w:rFonts w:ascii="宋体" w:hAnsi="宋体" w:cs="宋体" w:eastAsia="宋体" w:hint="default"/>
          <w:sz w:val="14"/>
          <w:szCs w:val="14"/>
        </w:rPr>
      </w:pPr>
    </w:p>
    <w:p>
      <w:pPr>
        <w:pStyle w:val="BodyText"/>
        <w:spacing w:line="410" w:lineRule="auto"/>
        <w:ind w:right="1125" w:firstLine="436"/>
        <w:jc w:val="both"/>
      </w:pPr>
      <w:r>
        <w:rPr>
          <w:spacing w:val="-3"/>
        </w:rPr>
        <w:t>④就资产负债表日前后记录的收入交易，选取样本，核对验收单及其他支持性文件，以评价收入是否</w:t>
      </w:r>
      <w:r>
        <w:rPr>
          <w:w w:val="100"/>
        </w:rPr>
        <w:t> </w:t>
      </w:r>
      <w:r>
        <w:rPr/>
        <w:t>被记录于恰当的会计期间；</w:t>
      </w:r>
    </w:p>
    <w:p>
      <w:pPr>
        <w:pStyle w:val="BodyText"/>
        <w:spacing w:line="410" w:lineRule="auto" w:before="41"/>
        <w:ind w:left="590" w:right="2883"/>
        <w:jc w:val="left"/>
        <w:rPr>
          <w:rFonts w:ascii="宋体" w:hAnsi="宋体" w:cs="宋体" w:eastAsia="宋体" w:hint="default"/>
        </w:rPr>
      </w:pPr>
      <w:r>
        <w:rPr>
          <w:spacing w:val="-2"/>
        </w:rPr>
        <w:t>⑤挑选重要客户执行函证程序以确认应收账款余额和销售收入金额。</w:t>
      </w:r>
      <w:r>
        <w:rPr>
          <w:spacing w:val="-44"/>
        </w:rPr>
        <w:t> </w:t>
      </w:r>
      <w:r>
        <w:rPr>
          <w:spacing w:val="-44"/>
        </w:rPr>
      </w:r>
      <w:r>
        <w:rPr>
          <w:rFonts w:ascii="宋体" w:hAnsi="宋体" w:cs="宋体" w:eastAsia="宋体" w:hint="default"/>
          <w:b/>
          <w:bCs/>
        </w:rPr>
        <w:t>四、其他信息</w:t>
      </w:r>
      <w:r>
        <w:rPr>
          <w:rFonts w:ascii="宋体" w:hAnsi="宋体" w:cs="宋体" w:eastAsia="宋体" w:hint="default"/>
        </w:rPr>
      </w:r>
    </w:p>
    <w:p>
      <w:pPr>
        <w:pStyle w:val="BodyText"/>
        <w:spacing w:line="410" w:lineRule="auto" w:before="42"/>
        <w:ind w:right="1189" w:firstLine="436"/>
        <w:jc w:val="both"/>
      </w:pPr>
      <w:r>
        <w:rPr/>
        <w:t>光一科技管理层（以下简称管理层）对其他信息负责。其他信息包括光一科技</w:t>
      </w:r>
      <w:r>
        <w:rPr>
          <w:spacing w:val="-46"/>
        </w:rPr>
        <w:t> </w:t>
      </w:r>
      <w:r>
        <w:rPr>
          <w:rFonts w:ascii="宋体" w:hAnsi="宋体" w:cs="宋体" w:eastAsia="宋体" w:hint="default"/>
        </w:rPr>
        <w:t>2019</w:t>
      </w:r>
      <w:r>
        <w:rPr>
          <w:rFonts w:ascii="宋体" w:hAnsi="宋体" w:cs="宋体" w:eastAsia="宋体" w:hint="default"/>
          <w:spacing w:val="-55"/>
        </w:rPr>
        <w:t> </w:t>
      </w:r>
      <w:r>
        <w:rPr/>
        <w:t>年年度报告中涵</w:t>
      </w:r>
      <w:r>
        <w:rPr>
          <w:w w:val="100"/>
        </w:rPr>
        <w:t> </w:t>
      </w:r>
      <w:r>
        <w:rPr/>
        <w:t>盖的信息，但不包括财务报表和我们的审计报告。</w:t>
      </w:r>
    </w:p>
    <w:p>
      <w:pPr>
        <w:pStyle w:val="BodyText"/>
        <w:spacing w:line="410" w:lineRule="auto" w:before="41"/>
        <w:ind w:left="590" w:right="1024"/>
        <w:jc w:val="left"/>
      </w:pPr>
      <w:r>
        <w:rPr/>
        <w:t>我们对财务报表发表的审计意见不涵盖其他信息，我们也不对其他信息发表任何形式的鉴证结论。</w:t>
      </w:r>
      <w:r>
        <w:rPr>
          <w:w w:val="100"/>
        </w:rPr>
        <w:t> </w:t>
      </w:r>
      <w:r>
        <w:rPr>
          <w:spacing w:val="-3"/>
        </w:rPr>
        <w:t>结合我们对财务报表的审计，我们的责任是阅读其他信息，在此过程中，考虑其他信息是否与财务报</w:t>
      </w:r>
    </w:p>
    <w:p>
      <w:pPr>
        <w:pStyle w:val="BodyText"/>
        <w:spacing w:line="410" w:lineRule="auto" w:before="42"/>
        <w:ind w:left="590" w:right="1024" w:hanging="437"/>
        <w:jc w:val="left"/>
      </w:pPr>
      <w:r>
        <w:rPr/>
        <w:t>表或我们在审计过程中了解到的情况存在重大不一致或者似乎存在重大错报。</w:t>
      </w:r>
      <w:r>
        <w:rPr>
          <w:w w:val="100"/>
        </w:rPr>
        <w:t> </w:t>
      </w:r>
      <w:r>
        <w:rPr>
          <w:spacing w:val="-3"/>
        </w:rPr>
        <w:t>基于我们已执行的工作，如果我们确定其他信息存在重大错报，我们应当报告该事实。在这方面，我</w:t>
      </w:r>
    </w:p>
    <w:p>
      <w:pPr>
        <w:spacing w:line="410" w:lineRule="auto" w:before="41"/>
        <w:ind w:left="590" w:right="6730" w:hanging="437"/>
        <w:jc w:val="left"/>
        <w:rPr>
          <w:rFonts w:ascii="宋体" w:hAnsi="宋体" w:cs="宋体" w:eastAsia="宋体" w:hint="default"/>
          <w:sz w:val="21"/>
          <w:szCs w:val="21"/>
        </w:rPr>
      </w:pPr>
      <w:r>
        <w:rPr>
          <w:rFonts w:ascii="宋体" w:hAnsi="宋体" w:cs="宋体" w:eastAsia="宋体" w:hint="default"/>
          <w:sz w:val="21"/>
          <w:szCs w:val="21"/>
        </w:rPr>
        <w:t>们无任何事项需要报告。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b/>
          <w:bCs/>
          <w:sz w:val="21"/>
          <w:szCs w:val="21"/>
        </w:rPr>
        <w:t>五、管理层和治理层对财务报表的责任</w:t>
      </w:r>
      <w:r>
        <w:rPr>
          <w:rFonts w:ascii="宋体" w:hAnsi="宋体" w:cs="宋体" w:eastAsia="宋体" w:hint="default"/>
          <w:sz w:val="21"/>
          <w:szCs w:val="21"/>
        </w:rPr>
      </w:r>
    </w:p>
    <w:p>
      <w:pPr>
        <w:pStyle w:val="BodyText"/>
        <w:spacing w:line="410" w:lineRule="auto" w:before="41"/>
        <w:ind w:right="1125" w:firstLine="436"/>
        <w:jc w:val="both"/>
      </w:pPr>
      <w:r>
        <w:rPr>
          <w:spacing w:val="-7"/>
          <w:w w:val="100"/>
        </w:rPr>
        <w:t>光一科技管理层（以下简称管理层）负责按照企业会计准则的规定编制财务报表，使其实现公允反映，</w:t>
      </w:r>
      <w:r>
        <w:rPr>
          <w:w w:val="100"/>
        </w:rPr>
        <w:t> </w:t>
      </w:r>
      <w:r>
        <w:rPr/>
        <w:t>并设计、执行和维护必要的内部控制，以使财务报表不存在由于舞弊或错误导致的重大错报。</w:t>
      </w:r>
    </w:p>
    <w:p>
      <w:pPr>
        <w:pStyle w:val="BodyText"/>
        <w:spacing w:line="410" w:lineRule="auto" w:before="41"/>
        <w:ind w:right="1125" w:firstLine="436"/>
        <w:jc w:val="both"/>
      </w:pPr>
      <w:r>
        <w:rPr>
          <w:spacing w:val="-3"/>
        </w:rPr>
        <w:t>在编制财务报表时，管理层负责评估光一科技的持续经营能力，披露与持续经营相关的事项，并运用</w:t>
      </w:r>
      <w:r>
        <w:rPr>
          <w:w w:val="100"/>
        </w:rPr>
        <w:t> </w:t>
      </w:r>
      <w:r>
        <w:rPr/>
        <w:t>持续经营假设，除非管理层计划清算光一科技、终止运营或别无其他现实的选择。</w:t>
      </w:r>
    </w:p>
    <w:p>
      <w:pPr>
        <w:spacing w:line="410" w:lineRule="auto" w:before="41"/>
        <w:ind w:left="695" w:right="5885" w:hanging="106"/>
        <w:jc w:val="left"/>
        <w:rPr>
          <w:rFonts w:ascii="宋体" w:hAnsi="宋体" w:cs="宋体" w:eastAsia="宋体" w:hint="default"/>
          <w:sz w:val="21"/>
          <w:szCs w:val="21"/>
        </w:rPr>
      </w:pPr>
      <w:r>
        <w:rPr>
          <w:rFonts w:ascii="宋体" w:hAnsi="宋体" w:cs="宋体" w:eastAsia="宋体" w:hint="default"/>
          <w:spacing w:val="-2"/>
          <w:sz w:val="21"/>
          <w:szCs w:val="21"/>
        </w:rPr>
        <w:t>治理层负责监督光一科技的财务报告过程。</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408" w:lineRule="auto" w:before="42"/>
        <w:ind w:right="1125" w:firstLine="398"/>
        <w:jc w:val="both"/>
      </w:pPr>
      <w:r>
        <w:rPr>
          <w:spacing w:val="-2"/>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33"/>
        </w:rPr>
        <w:t> </w:t>
      </w:r>
      <w:r>
        <w:rPr>
          <w:spacing w:val="-33"/>
        </w:rPr>
      </w:r>
      <w:r>
        <w:rPr>
          <w:spacing w:val="-2"/>
        </w:rPr>
        <w:t>存在时总能发现。错报可能由于舞弊或错误导致，如果合理预期错报单独或汇总起来可能影响财务报表使</w:t>
      </w:r>
    </w:p>
    <w:p>
      <w:pPr>
        <w:spacing w:after="0" w:line="408" w:lineRule="auto"/>
        <w:jc w:val="both"/>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5" w:lineRule="auto" w:before="36"/>
        <w:ind w:left="551" w:right="1024" w:hanging="399"/>
        <w:jc w:val="left"/>
      </w:pPr>
      <w:r>
        <w:rPr/>
        <w:t>用者依据财务报表作出的经济决策，则通常认为错报是重大的。</w:t>
      </w:r>
      <w:r>
        <w:rPr>
          <w:spacing w:val="-102"/>
        </w:rPr>
        <w:t> </w:t>
      </w:r>
      <w:r>
        <w:rPr>
          <w:spacing w:val="-102"/>
        </w:rPr>
      </w:r>
      <w:r>
        <w:rPr>
          <w:spacing w:val="-2"/>
        </w:rPr>
        <w:t>在按照审计准则执行审计工作的过程中，我们运用职业判断，并保持职业怀疑。同时，我们也执行以</w:t>
      </w:r>
    </w:p>
    <w:p>
      <w:pPr>
        <w:pStyle w:val="BodyText"/>
        <w:spacing w:line="240" w:lineRule="auto" w:before="51"/>
        <w:ind w:right="1024"/>
        <w:jc w:val="left"/>
      </w:pPr>
      <w:r>
        <w:rPr/>
        <w:t>下工作：</w:t>
      </w:r>
    </w:p>
    <w:p>
      <w:pPr>
        <w:spacing w:line="240" w:lineRule="auto" w:before="8"/>
        <w:rPr>
          <w:rFonts w:ascii="宋体" w:hAnsi="宋体" w:cs="宋体" w:eastAsia="宋体" w:hint="default"/>
          <w:sz w:val="14"/>
          <w:szCs w:val="14"/>
        </w:rPr>
      </w:pPr>
    </w:p>
    <w:p>
      <w:pPr>
        <w:pStyle w:val="BodyText"/>
        <w:spacing w:line="410" w:lineRule="auto"/>
        <w:ind w:right="1024" w:firstLine="398"/>
        <w:jc w:val="left"/>
      </w:pPr>
      <w:r>
        <w:rPr/>
        <w:t>（</w:t>
      </w:r>
      <w:r>
        <w:rPr>
          <w:rFonts w:ascii="宋体" w:hAnsi="宋体" w:cs="宋体" w:eastAsia="宋体" w:hint="default"/>
        </w:rPr>
        <w:t>1</w:t>
      </w:r>
      <w:r>
        <w:rPr/>
        <w:t>）识别和评估由于舞弊或错误导致的财务报表重大错报风险，设计和实施审计程序以应对这些风</w:t>
      </w:r>
      <w:r>
        <w:rPr>
          <w:w w:val="100"/>
        </w:rPr>
        <w:t> </w:t>
      </w:r>
      <w:r>
        <w:rPr>
          <w:spacing w:val="-7"/>
        </w:rPr>
        <w:t>险，并获取充分、适当的审计证据，作为发表审计意见的基础。由于舞弊可能涉及串通、伪造、故意遗漏、</w:t>
      </w:r>
      <w:r>
        <w:rPr>
          <w:spacing w:val="-14"/>
        </w:rPr>
        <w:t> </w:t>
      </w:r>
      <w:r>
        <w:rPr>
          <w:spacing w:val="-14"/>
        </w:rPr>
      </w:r>
      <w:r>
        <w:rPr>
          <w:spacing w:val="-2"/>
        </w:rPr>
        <w:t>虚假陈述或凌驾于内部控制之上，未能发现由于舞弊导致的重大错报的风险高于未能发现由于错误导致的</w:t>
      </w:r>
      <w:r>
        <w:rPr>
          <w:spacing w:val="-33"/>
        </w:rPr>
        <w:t> </w:t>
      </w:r>
      <w:r>
        <w:rPr>
          <w:spacing w:val="-33"/>
        </w:rPr>
      </w:r>
      <w:r>
        <w:rPr/>
        <w:t>重大错报的风险。</w:t>
      </w:r>
    </w:p>
    <w:p>
      <w:pPr>
        <w:pStyle w:val="BodyText"/>
        <w:spacing w:line="410" w:lineRule="auto" w:before="41"/>
        <w:ind w:right="1024" w:firstLine="398"/>
        <w:jc w:val="left"/>
      </w:pPr>
      <w:r>
        <w:rPr>
          <w:spacing w:val="-2"/>
        </w:rPr>
        <w:t>（</w:t>
      </w:r>
      <w:r>
        <w:rPr>
          <w:rFonts w:ascii="宋体" w:hAnsi="宋体" w:cs="宋体" w:eastAsia="宋体" w:hint="default"/>
          <w:spacing w:val="-2"/>
        </w:rPr>
        <w:t>2</w:t>
      </w:r>
      <w:r>
        <w:rPr>
          <w:spacing w:val="-2"/>
        </w:rPr>
        <w:t>）了解与审计相关的内部控制，以设计恰当的审计程序，但目的并非对内部控制的有效性发表意</w:t>
      </w:r>
      <w:r>
        <w:rPr>
          <w:w w:val="100"/>
        </w:rPr>
        <w:t> </w:t>
      </w:r>
      <w:r>
        <w:rPr/>
        <w:t>见。</w:t>
      </w:r>
    </w:p>
    <w:p>
      <w:pPr>
        <w:pStyle w:val="BodyText"/>
        <w:spacing w:line="240" w:lineRule="auto" w:before="42"/>
        <w:ind w:left="551" w:right="1024"/>
        <w:jc w:val="left"/>
      </w:pPr>
      <w:r>
        <w:rPr/>
        <w:t>（</w:t>
      </w:r>
      <w:r>
        <w:rPr>
          <w:rFonts w:ascii="宋体" w:hAnsi="宋体" w:cs="宋体" w:eastAsia="宋体" w:hint="default"/>
        </w:rPr>
        <w:t>3</w:t>
      </w:r>
      <w:r>
        <w:rPr/>
        <w:t>）评价管理层选用会计政策的恰当性和作出会计估计及相关披露的合理性。</w:t>
      </w:r>
    </w:p>
    <w:p>
      <w:pPr>
        <w:spacing w:line="240" w:lineRule="auto" w:before="12"/>
        <w:rPr>
          <w:rFonts w:ascii="宋体" w:hAnsi="宋体" w:cs="宋体" w:eastAsia="宋体" w:hint="default"/>
          <w:sz w:val="14"/>
          <w:szCs w:val="14"/>
        </w:rPr>
      </w:pPr>
    </w:p>
    <w:p>
      <w:pPr>
        <w:pStyle w:val="BodyText"/>
        <w:spacing w:line="408" w:lineRule="auto"/>
        <w:ind w:right="1024" w:firstLine="398"/>
        <w:jc w:val="left"/>
      </w:pPr>
      <w:r>
        <w:rPr/>
        <w:t>（</w:t>
      </w:r>
      <w:r>
        <w:rPr>
          <w:rFonts w:ascii="宋体" w:hAnsi="宋体" w:cs="宋体" w:eastAsia="宋体" w:hint="default"/>
        </w:rPr>
        <w:t>4</w:t>
      </w:r>
      <w:r>
        <w:rPr/>
        <w:t>）对管理层使用持续经营假设的恰当性得出结论。同时，根据获取的审计证据，就可能导致对光</w:t>
      </w:r>
      <w:r>
        <w:rPr>
          <w:w w:val="100"/>
        </w:rPr>
        <w:t> </w:t>
      </w:r>
      <w:r>
        <w:rPr>
          <w:spacing w:val="-2"/>
        </w:rPr>
        <w:t>一科技持续经营能力产生重大疑虑的事项或情况是否存在重大不确定性得出结论。如果我们得出结论认为</w:t>
      </w:r>
      <w:r>
        <w:rPr>
          <w:spacing w:val="-31"/>
        </w:rPr>
        <w:t> </w:t>
      </w:r>
      <w:r>
        <w:rPr>
          <w:spacing w:val="-31"/>
        </w:rPr>
      </w:r>
      <w:r>
        <w:rPr>
          <w:spacing w:val="-2"/>
        </w:rPr>
        <w:t>存在重大不确定性，审计准则要求我们在审计报告中提请报表使用者注意财务报表中的相关披露；如果披</w:t>
      </w:r>
      <w:r>
        <w:rPr>
          <w:spacing w:val="-33"/>
        </w:rPr>
        <w:t> </w:t>
      </w:r>
      <w:r>
        <w:rPr>
          <w:spacing w:val="-33"/>
        </w:rPr>
      </w:r>
      <w:r>
        <w:rPr>
          <w:spacing w:val="-2"/>
        </w:rPr>
        <w:t>露不充分，我们应当发表非无保留意见。我们的结论基于截至审计报告日可获得的信息。然而，未来的事</w:t>
      </w:r>
      <w:r>
        <w:rPr>
          <w:spacing w:val="-33"/>
        </w:rPr>
        <w:t> </w:t>
      </w:r>
      <w:r>
        <w:rPr>
          <w:spacing w:val="-33"/>
        </w:rPr>
      </w:r>
      <w:r>
        <w:rPr/>
        <w:t>项或情况可能导致光一科技不能持续经营。</w:t>
      </w:r>
    </w:p>
    <w:p>
      <w:pPr>
        <w:pStyle w:val="BodyText"/>
        <w:spacing w:line="240" w:lineRule="auto" w:before="43"/>
        <w:ind w:left="551" w:right="1024"/>
        <w:jc w:val="left"/>
      </w:pPr>
      <w:r>
        <w:rPr/>
        <w:t>（</w:t>
      </w:r>
      <w:r>
        <w:rPr>
          <w:rFonts w:ascii="宋体" w:hAnsi="宋体" w:cs="宋体" w:eastAsia="宋体" w:hint="default"/>
        </w:rPr>
        <w:t>5</w:t>
      </w:r>
      <w:r>
        <w:rPr/>
        <w:t>）评价财务报表的总体列报、结构和内容，并评价财务报表是否公允反映相关交易和事项。</w:t>
      </w:r>
    </w:p>
    <w:p>
      <w:pPr>
        <w:spacing w:line="240" w:lineRule="auto" w:before="12"/>
        <w:rPr>
          <w:rFonts w:ascii="宋体" w:hAnsi="宋体" w:cs="宋体" w:eastAsia="宋体" w:hint="default"/>
          <w:sz w:val="14"/>
          <w:szCs w:val="14"/>
        </w:rPr>
      </w:pPr>
    </w:p>
    <w:p>
      <w:pPr>
        <w:pStyle w:val="BodyText"/>
        <w:spacing w:line="408" w:lineRule="auto"/>
        <w:ind w:right="1024" w:firstLine="398"/>
        <w:jc w:val="left"/>
      </w:pPr>
      <w:r>
        <w:rPr>
          <w:spacing w:val="-2"/>
        </w:rPr>
        <w:t>（</w:t>
      </w:r>
      <w:r>
        <w:rPr>
          <w:rFonts w:ascii="宋体" w:hAnsi="宋体" w:cs="宋体" w:eastAsia="宋体" w:hint="default"/>
          <w:spacing w:val="-2"/>
        </w:rPr>
        <w:t>6</w:t>
      </w:r>
      <w:r>
        <w:rPr>
          <w:spacing w:val="-2"/>
        </w:rPr>
        <w:t>）就光一科技中实体或业务活动的财务信息获取充分、适当的审计证据，以对财务报表发表审计</w:t>
      </w:r>
      <w:r>
        <w:rPr>
          <w:w w:val="100"/>
        </w:rPr>
        <w:t> </w:t>
      </w:r>
      <w:r>
        <w:rPr/>
        <w:t>意见。我们负责指导、监督和执行集团审计，并对审计意见承担全部责任。</w:t>
      </w:r>
    </w:p>
    <w:p>
      <w:pPr>
        <w:pStyle w:val="BodyText"/>
        <w:spacing w:line="405" w:lineRule="auto" w:before="48"/>
        <w:ind w:right="1024" w:firstLine="398"/>
        <w:jc w:val="left"/>
      </w:pPr>
      <w:r>
        <w:rPr>
          <w:spacing w:val="-2"/>
        </w:rPr>
        <w:t>我们与治理层就计划的审计范围、时间安排和重大审计发现等事项进行沟通，包括沟通我们在审计中</w:t>
      </w:r>
      <w:r>
        <w:rPr>
          <w:w w:val="100"/>
        </w:rPr>
        <w:t> </w:t>
      </w:r>
      <w:r>
        <w:rPr/>
        <w:t>识别出的值得关注的内部控制缺陷。</w:t>
      </w:r>
    </w:p>
    <w:p>
      <w:pPr>
        <w:pStyle w:val="BodyText"/>
        <w:spacing w:line="405" w:lineRule="auto" w:before="51"/>
        <w:ind w:right="1024" w:firstLine="398"/>
        <w:jc w:val="left"/>
      </w:pPr>
      <w:r>
        <w:rPr>
          <w:spacing w:val="-2"/>
        </w:rPr>
        <w:t>我们还就已遵守与独立性相关的职业道德要求向治理层提供声明，并与治理层沟通可能被合理认为影</w:t>
      </w:r>
      <w:r>
        <w:rPr>
          <w:w w:val="100"/>
        </w:rPr>
        <w:t> </w:t>
      </w:r>
      <w:r>
        <w:rPr/>
        <w:t>响我们独立性的所有关系和其他事项，以及相关的防范措施。</w:t>
      </w:r>
    </w:p>
    <w:p>
      <w:pPr>
        <w:pStyle w:val="BodyText"/>
        <w:spacing w:line="408" w:lineRule="auto" w:before="50"/>
        <w:ind w:right="1123" w:firstLine="398"/>
        <w:jc w:val="both"/>
      </w:pPr>
      <w:r>
        <w:rPr>
          <w:spacing w:val="-2"/>
        </w:rPr>
        <w:t>从与治理层沟通过的事项中，我们确定哪些事项对本期财务报表审计最为重要，因而构成关键审计事</w:t>
      </w:r>
      <w:r>
        <w:rPr>
          <w:w w:val="100"/>
        </w:rPr>
        <w:t> </w:t>
      </w:r>
      <w:r>
        <w:rPr>
          <w:spacing w:val="-2"/>
        </w:rPr>
        <w:t>项。我们在审计报告中描述这些事项，除非法律法规禁止公开披露这些事项，或在极少数情形下，如果合</w:t>
      </w:r>
      <w:r>
        <w:rPr>
          <w:spacing w:val="-33"/>
        </w:rPr>
        <w:t> </w:t>
      </w:r>
      <w:r>
        <w:rPr>
          <w:spacing w:val="-33"/>
        </w:rPr>
      </w:r>
      <w:r>
        <w:rPr>
          <w:spacing w:val="-2"/>
        </w:rPr>
        <w:t>理预期在审计报告中沟通某事项造成的负面后果超过在公众利益方面产生的益处，我们确定不应在审计报</w:t>
      </w:r>
      <w:r>
        <w:rPr>
          <w:spacing w:val="-31"/>
        </w:rPr>
        <w:t> </w:t>
      </w:r>
      <w:r>
        <w:rPr>
          <w:spacing w:val="-31"/>
        </w:rPr>
      </w:r>
      <w:r>
        <w:rPr/>
        <w:t>告中沟通该事项。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405" w:lineRule="auto" w:before="0"/>
        <w:ind w:left="153" w:right="7271" w:firstLine="0"/>
        <w:jc w:val="left"/>
        <w:rPr>
          <w:rFonts w:ascii="宋体" w:hAnsi="宋体" w:cs="宋体" w:eastAsia="宋体" w:hint="default"/>
          <w:sz w:val="21"/>
          <w:szCs w:val="21"/>
        </w:rPr>
      </w:pPr>
      <w:bookmarkStart w:name="二、财务报表" w:id="206"/>
      <w:bookmarkEnd w:id="206"/>
      <w:r>
        <w:rPr/>
      </w:r>
      <w:r>
        <w:rPr>
          <w:rFonts w:ascii="宋体" w:hAnsi="宋体" w:cs="宋体" w:eastAsia="宋体" w:hint="default"/>
          <w:b/>
          <w:bCs/>
          <w:sz w:val="21"/>
          <w:szCs w:val="21"/>
        </w:rPr>
        <w:t>二、财务报表</w:t>
      </w:r>
      <w:r>
        <w:rPr>
          <w:rFonts w:ascii="宋体" w:hAnsi="宋体" w:cs="宋体" w:eastAsia="宋体" w:hint="default"/>
          <w:b/>
          <w:bCs/>
          <w:spacing w:val="-104"/>
          <w:sz w:val="21"/>
          <w:szCs w:val="21"/>
        </w:rPr>
        <w:t> </w:t>
      </w:r>
      <w:r>
        <w:rPr>
          <w:rFonts w:ascii="宋体" w:hAnsi="宋体" w:cs="宋体" w:eastAsia="宋体" w:hint="default"/>
          <w:spacing w:val="-1"/>
          <w:sz w:val="21"/>
          <w:szCs w:val="21"/>
        </w:rPr>
        <w:t>财务附注中报表的单位为：元</w:t>
      </w:r>
    </w:p>
    <w:p>
      <w:pPr>
        <w:spacing w:after="0" w:line="405" w:lineRule="auto"/>
        <w:jc w:val="left"/>
        <w:rPr>
          <w:rFonts w:ascii="宋体" w:hAnsi="宋体" w:cs="宋体" w:eastAsia="宋体" w:hint="default"/>
          <w:sz w:val="21"/>
          <w:szCs w:val="21"/>
        </w:rPr>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spacing w:line="405" w:lineRule="auto" w:before="36"/>
        <w:ind w:left="153" w:right="5885" w:firstLine="0"/>
        <w:jc w:val="left"/>
        <w:rPr>
          <w:rFonts w:ascii="宋体" w:hAnsi="宋体" w:cs="宋体" w:eastAsia="宋体" w:hint="default"/>
          <w:sz w:val="21"/>
          <w:szCs w:val="21"/>
        </w:rPr>
      </w:pPr>
      <w:bookmarkStart w:name="1、合并资产负债表" w:id="207"/>
      <w:bookmarkEnd w:id="207"/>
      <w:r>
        <w:rPr/>
      </w:r>
      <w:r>
        <w:rPr>
          <w:rFonts w:ascii="宋体" w:hAnsi="宋体" w:cs="宋体" w:eastAsia="宋体"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b/>
          <w:bCs/>
          <w:spacing w:val="-103"/>
          <w:sz w:val="21"/>
          <w:szCs w:val="21"/>
        </w:rPr>
        <w:t> </w:t>
      </w:r>
      <w:r>
        <w:rPr>
          <w:rFonts w:ascii="宋体" w:hAnsi="宋体" w:cs="宋体" w:eastAsia="宋体" w:hint="default"/>
          <w:spacing w:val="-1"/>
          <w:sz w:val="21"/>
          <w:szCs w:val="21"/>
        </w:rPr>
        <w:t>编制单位：光一科技股份有限公司</w:t>
      </w:r>
    </w:p>
    <w:p>
      <w:pPr>
        <w:spacing w:before="38"/>
        <w:ind w:left="0" w:right="973" w:firstLine="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967"/>
        <w:gridCol w:w="3304"/>
        <w:gridCol w:w="3299"/>
      </w:tblGrid>
      <w:tr>
        <w:trPr>
          <w:trHeight w:val="413" w:hRule="exact"/>
        </w:trPr>
        <w:tc>
          <w:tcPr>
            <w:tcW w:w="29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2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176,060,509.07</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92,805,590.08</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1"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12,696,407.27</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24,697,342.41</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358,507,339.78</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515,144,895.26</w:t>
            </w: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18,496,439.33</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20,920,297.99</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58,446,192.66</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36,411,903.65</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129"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109,930,389.64</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113,873,231.28</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3,619,126.41</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4,900,293.91</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737,756,404.16</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808,753,554.58</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29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4" w:type="dxa"/>
            <w:tcBorders>
              <w:top w:val="single" w:sz="4" w:space="0" w:color="000000"/>
              <w:left w:val="single" w:sz="4" w:space="0" w:color="000000"/>
              <w:bottom w:val="single" w:sz="12" w:space="0" w:color="000000"/>
              <w:right w:val="single" w:sz="4" w:space="0" w:color="000000"/>
            </w:tcBorders>
          </w:tcPr>
          <w:p>
            <w:pPr/>
          </w:p>
        </w:tc>
        <w:tc>
          <w:tcPr>
            <w:tcW w:w="329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81,303,000.00</w:t>
            </w:r>
          </w:p>
        </w:tc>
      </w:tr>
    </w:tbl>
    <w:p>
      <w:pPr>
        <w:spacing w:after="0" w:line="240" w:lineRule="auto"/>
        <w:jc w:val="right"/>
        <w:rPr>
          <w:rFonts w:ascii="宋体" w:hAnsi="宋体" w:cs="宋体" w:eastAsia="宋体" w:hint="default"/>
          <w:sz w:val="18"/>
          <w:szCs w:val="18"/>
        </w:rPr>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967"/>
        <w:gridCol w:w="3304"/>
        <w:gridCol w:w="3299"/>
      </w:tblGrid>
      <w:tr>
        <w:trPr>
          <w:trHeight w:val="413" w:hRule="exact"/>
        </w:trPr>
        <w:tc>
          <w:tcPr>
            <w:tcW w:w="29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2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370,577,354.20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357,176,593.26</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57,000,000.00</w:t>
            </w: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867"/>
              <w:jc w:val="righ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4,003,000.00</w:t>
            </w: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81,339,758.29</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22,841,423.85</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293,515,266.83</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360,590,903.02</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117,076,729.85</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103,327,810.58</w:t>
            </w: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59,757,441.17</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58,385,842.33</w:t>
            </w: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3,438,138.12</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3,438,138.12</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9,102,817.48</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10,958,795.34</w:t>
            </w: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22,508,593.29</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17,012,133.62</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1,018,319,099.23</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1,015,034,640.12</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1,756,075,503.39</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1,823,788,194.70</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124,783,757.23</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144,875,000.00</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1"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2,990,000.00</w:t>
            </w: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160,659,288.69</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136,470,754.72</w:t>
            </w: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6,129,754.69</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10,137,763.66</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29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right="867"/>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04" w:type="dxa"/>
            <w:tcBorders>
              <w:top w:val="single" w:sz="4" w:space="0" w:color="000000"/>
              <w:left w:val="single" w:sz="4" w:space="0" w:color="000000"/>
              <w:bottom w:val="single" w:sz="12" w:space="0" w:color="000000"/>
              <w:right w:val="single" w:sz="4" w:space="0" w:color="000000"/>
            </w:tcBorders>
          </w:tcPr>
          <w:p>
            <w:pPr/>
          </w:p>
        </w:tc>
        <w:tc>
          <w:tcPr>
            <w:tcW w:w="3299"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967"/>
        <w:gridCol w:w="3304"/>
        <w:gridCol w:w="3299"/>
      </w:tblGrid>
      <w:tr>
        <w:trPr>
          <w:trHeight w:val="413" w:hRule="exact"/>
        </w:trPr>
        <w:tc>
          <w:tcPr>
            <w:tcW w:w="29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2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11,441,721.98</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12,022,324.94</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7,243,099.94</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9,010,414.27</w:t>
            </w: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17,380,133.50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55,772,381.52</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12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21,260,000.00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96,047,029.20</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1,837,619.77</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1,000,000.00</w:t>
            </w: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353,725,375.80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465,335,668.31</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85,600,000.00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78,860,000.00</w:t>
            </w: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63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5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228,750,112.79</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211,923,287.67</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1,943,759.48</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7,189,326.62</w:t>
            </w: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3,393,315.39</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3,550,855.33</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319,687,187.66</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301,523,469.62</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673,412,563.46</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766,859,137.93</w:t>
            </w: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411,118,370.00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411,118,370.00</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29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12" w:space="0" w:color="000000"/>
              <w:right w:val="single" w:sz="4" w:space="0" w:color="000000"/>
            </w:tcBorders>
          </w:tcPr>
          <w:p>
            <w:pPr/>
          </w:p>
        </w:tc>
        <w:tc>
          <w:tcPr>
            <w:tcW w:w="3299"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967"/>
        <w:gridCol w:w="3304"/>
        <w:gridCol w:w="3299"/>
      </w:tblGrid>
      <w:tr>
        <w:trPr>
          <w:trHeight w:val="413" w:hRule="exact"/>
        </w:trPr>
        <w:tc>
          <w:tcPr>
            <w:tcW w:w="29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2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5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739,401,424.40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2"/>
                <w:sz w:val="18"/>
              </w:rPr>
              <w:t>739,285,789.70</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25,041,540.00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25,041,540.00</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21,281,039.35</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21,281,039.35</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-68,262,118.28</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-93,456,318.93</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1,078,497,175.47</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1,053,187,340.12</w:t>
            </w: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4,165,764.46</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3,741,716.65</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1,082,662,939.93</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1,056,929,056.77</w:t>
            </w:r>
          </w:p>
        </w:tc>
      </w:tr>
      <w:tr>
        <w:trPr>
          <w:trHeight w:val="413" w:hRule="exact"/>
        </w:trPr>
        <w:tc>
          <w:tcPr>
            <w:tcW w:w="29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1,756,075,503.39</w:t>
            </w:r>
          </w:p>
        </w:tc>
        <w:tc>
          <w:tcPr>
            <w:tcW w:w="329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1,823,788,194.70</w:t>
            </w:r>
          </w:p>
        </w:tc>
      </w:tr>
    </w:tbl>
    <w:p>
      <w:pPr>
        <w:spacing w:line="240" w:lineRule="auto" w:before="2"/>
        <w:rPr>
          <w:rFonts w:ascii="Times New Roman" w:hAnsi="Times New Roman" w:cs="Times New Roman" w:eastAsia="Times New Roman" w:hint="default"/>
          <w:sz w:val="23"/>
          <w:szCs w:val="23"/>
        </w:rPr>
      </w:pPr>
    </w:p>
    <w:p>
      <w:pPr>
        <w:tabs>
          <w:tab w:pos="3754" w:val="left" w:leader="none"/>
          <w:tab w:pos="7893" w:val="left" w:leader="none"/>
        </w:tabs>
        <w:spacing w:before="4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法定代表人：龙昌明</w:t>
        <w:tab/>
        <w:t>主管会计工作负责人：佟岩</w:t>
        <w:tab/>
      </w:r>
      <w:r>
        <w:rPr>
          <w:rFonts w:ascii="宋体" w:hAnsi="宋体" w:cs="宋体" w:eastAsia="宋体" w:hint="default"/>
          <w:sz w:val="18"/>
          <w:szCs w:val="18"/>
        </w:rPr>
        <w:t>会计机构负责人：佟岩</w:t>
      </w:r>
    </w:p>
    <w:p>
      <w:pPr>
        <w:spacing w:line="240" w:lineRule="auto" w:before="9"/>
        <w:rPr>
          <w:rFonts w:ascii="宋体" w:hAnsi="宋体" w:cs="宋体" w:eastAsia="宋体" w:hint="default"/>
          <w:sz w:val="26"/>
          <w:szCs w:val="26"/>
        </w:rPr>
      </w:pPr>
    </w:p>
    <w:p>
      <w:pPr>
        <w:pStyle w:val="Heading4"/>
        <w:spacing w:line="240" w:lineRule="auto" w:before="0"/>
        <w:ind w:right="1024"/>
        <w:jc w:val="left"/>
        <w:rPr>
          <w:b w:val="0"/>
          <w:bCs w:val="0"/>
        </w:rPr>
      </w:pPr>
      <w:bookmarkStart w:name="2、母公司资产负债表" w:id="208"/>
      <w:bookmarkEnd w:id="208"/>
      <w:r>
        <w:rPr>
          <w:b w:val="0"/>
          <w:bCs w:val="0"/>
        </w:rPr>
      </w:r>
      <w:r>
        <w:rPr>
          <w:rFonts w:ascii="宋体" w:hAnsi="宋体" w:cs="宋体" w:eastAsia="宋体" w:hint="default"/>
        </w:rPr>
        <w:t>2</w:t>
      </w:r>
      <w:r>
        <w:rPr/>
        <w:t>、母公司资产负债表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967"/>
        <w:gridCol w:w="3304"/>
        <w:gridCol w:w="3299"/>
      </w:tblGrid>
      <w:tr>
        <w:trPr>
          <w:trHeight w:val="413" w:hRule="exact"/>
        </w:trPr>
        <w:tc>
          <w:tcPr>
            <w:tcW w:w="29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2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39,580,024.97</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41,640,127.73</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4"/>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4,965,533.27</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3,407,400.00</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182,853,795.67</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2"/>
                <w:sz w:val="18"/>
              </w:rPr>
              <w:t>200,371,602.75</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9,834,388.30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10,993,955.77</w:t>
            </w: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65,060,010.49</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21,705,453.54</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1045"/>
              <w:jc w:val="righ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1044"/>
              <w:jc w:val="right"/>
              <w:rPr>
                <w:rFonts w:ascii="宋体" w:hAnsi="宋体" w:cs="宋体" w:eastAsia="宋体" w:hint="default"/>
                <w:sz w:val="18"/>
                <w:szCs w:val="18"/>
              </w:rPr>
            </w:pPr>
            <w:r>
              <w:rPr>
                <w:rFonts w:ascii="宋体" w:hAnsi="宋体" w:cs="宋体" w:eastAsia="宋体" w:hint="default"/>
                <w:spacing w:val="-2"/>
                <w:sz w:val="18"/>
                <w:szCs w:val="18"/>
              </w:rPr>
              <w:t>应收股利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10,764,100.00</w:t>
            </w:r>
          </w:p>
        </w:tc>
      </w:tr>
      <w:tr>
        <w:trPr>
          <w:trHeight w:val="413" w:hRule="exact"/>
        </w:trPr>
        <w:tc>
          <w:tcPr>
            <w:tcW w:w="29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59,617,736.67</w:t>
            </w:r>
          </w:p>
        </w:tc>
        <w:tc>
          <w:tcPr>
            <w:tcW w:w="329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51,300,762.22</w:t>
            </w:r>
          </w:p>
        </w:tc>
      </w:tr>
    </w:tbl>
    <w:p>
      <w:pPr>
        <w:spacing w:after="0" w:line="240" w:lineRule="auto"/>
        <w:jc w:val="right"/>
        <w:rPr>
          <w:rFonts w:ascii="宋体" w:hAnsi="宋体" w:cs="宋体" w:eastAsia="宋体" w:hint="default"/>
          <w:sz w:val="18"/>
          <w:szCs w:val="18"/>
        </w:rPr>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967"/>
        <w:gridCol w:w="3304"/>
        <w:gridCol w:w="3299"/>
      </w:tblGrid>
      <w:tr>
        <w:trPr>
          <w:trHeight w:val="413" w:hRule="exact"/>
        </w:trPr>
        <w:tc>
          <w:tcPr>
            <w:tcW w:w="29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2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12,104.37</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524,336.56</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361,934,093.74</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329,943,638.57</w:t>
            </w: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77,300,000.00</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809,086,218.03</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805,464,022.35</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57,000,000.00</w:t>
            </w: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77,661,476.55</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16,614,798.30</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214,621,645.12</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279,541,108.04</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50,844,910.94</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39,595,130.80</w:t>
            </w: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27,499,336.07</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25,316,270.49</w:t>
            </w: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3,038,436.94</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3,350,739.52</w:t>
            </w: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8,574,031.69</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7,654,692.02</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1,248,326,055.34</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1,254,836,761.52</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1,610,260,149.08</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1,584,780,400.09</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113,783,757.23</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104,875,000.00</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25" w:hRule="exact"/>
        </w:trPr>
        <w:tc>
          <w:tcPr>
            <w:tcW w:w="29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21"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当期损益的金融负债</w:t>
            </w:r>
          </w:p>
        </w:tc>
        <w:tc>
          <w:tcPr>
            <w:tcW w:w="3304" w:type="dxa"/>
            <w:tcBorders>
              <w:top w:val="single" w:sz="4" w:space="0" w:color="000000"/>
              <w:left w:val="single" w:sz="4" w:space="0" w:color="000000"/>
              <w:bottom w:val="single" w:sz="12" w:space="0" w:color="000000"/>
              <w:right w:val="single" w:sz="4" w:space="0" w:color="000000"/>
            </w:tcBorders>
          </w:tcPr>
          <w:p>
            <w:pPr/>
          </w:p>
        </w:tc>
        <w:tc>
          <w:tcPr>
            <w:tcW w:w="3299"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967"/>
        <w:gridCol w:w="3304"/>
        <w:gridCol w:w="3299"/>
      </w:tblGrid>
      <w:tr>
        <w:trPr>
          <w:trHeight w:val="413" w:hRule="exact"/>
        </w:trPr>
        <w:tc>
          <w:tcPr>
            <w:tcW w:w="29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2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2,990,000.00</w:t>
            </w: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138,203,774.18</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98,292,389.91</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11,178,537.12</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8,812,027.35</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6,339,424.77</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5,719,954.55</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4,163,861.44</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4,228,452.08</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201,902,559.35</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187,578,798.22</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12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21,260,000.00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96,047,029.20</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1,737,619.77</w:t>
            </w: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501,559,533.86</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505,553,651.31</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85,600,000.00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78,860,000.00</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5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1,256,687.05</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5,950,330.89</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86,856,687.05</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84,810,330.89</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588,416,220.91</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590,363,982.20</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411,118,370.00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411,118,370.00</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29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right="5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12" w:space="0" w:color="000000"/>
              <w:right w:val="single" w:sz="4" w:space="0" w:color="000000"/>
            </w:tcBorders>
          </w:tcPr>
          <w:p>
            <w:pPr/>
          </w:p>
        </w:tc>
        <w:tc>
          <w:tcPr>
            <w:tcW w:w="3299"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967"/>
        <w:gridCol w:w="3304"/>
        <w:gridCol w:w="3299"/>
      </w:tblGrid>
      <w:tr>
        <w:trPr>
          <w:trHeight w:val="413" w:hRule="exact"/>
        </w:trPr>
        <w:tc>
          <w:tcPr>
            <w:tcW w:w="29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32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759,842,619.47</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759,666,154.68</w:t>
            </w: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25,041,540.00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25,041,540.00</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21,281,039.35</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21,281,039.35</w:t>
            </w: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-145,356,560.65</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-172,607,606.14</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1,021,843,928.17</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994,416,417.89</w:t>
            </w:r>
          </w:p>
        </w:tc>
      </w:tr>
      <w:tr>
        <w:trPr>
          <w:trHeight w:val="413" w:hRule="exact"/>
        </w:trPr>
        <w:tc>
          <w:tcPr>
            <w:tcW w:w="29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1,610,260,149.08</w:t>
            </w:r>
          </w:p>
        </w:tc>
        <w:tc>
          <w:tcPr>
            <w:tcW w:w="329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1,584,780,400.09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right="1024"/>
        <w:jc w:val="left"/>
        <w:rPr>
          <w:b w:val="0"/>
          <w:bCs w:val="0"/>
        </w:rPr>
      </w:pPr>
      <w:bookmarkStart w:name="3、合并利润表" w:id="209"/>
      <w:bookmarkEnd w:id="209"/>
      <w:r>
        <w:rPr>
          <w:b w:val="0"/>
          <w:bCs w:val="0"/>
        </w:rPr>
      </w:r>
      <w:r>
        <w:rPr>
          <w:rFonts w:ascii="宋体" w:hAnsi="宋体" w:cs="宋体" w:eastAsia="宋体" w:hint="default"/>
        </w:rPr>
        <w:t>3</w:t>
      </w:r>
      <w:r>
        <w:rPr/>
        <w:t>、合并利润表</w:t>
      </w:r>
      <w:r>
        <w:rPr>
          <w:b w:val="0"/>
          <w:bCs w:val="0"/>
        </w:rPr>
      </w:r>
    </w:p>
    <w:p>
      <w:pPr>
        <w:spacing w:line="240" w:lineRule="auto" w:before="5"/>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083"/>
        <w:gridCol w:w="3208"/>
        <w:gridCol w:w="3280"/>
      </w:tblGrid>
      <w:tr>
        <w:trPr>
          <w:trHeight w:val="413" w:hRule="exact"/>
        </w:trPr>
        <w:tc>
          <w:tcPr>
            <w:tcW w:w="308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8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409,098,683.66</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435,931,413.33</w:t>
            </w:r>
          </w:p>
        </w:tc>
      </w:tr>
      <w:tr>
        <w:trPr>
          <w:trHeight w:val="40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455"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2"/>
                <w:sz w:val="18"/>
              </w:rPr>
              <w:t>409,098,683.66</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2"/>
                <w:sz w:val="18"/>
              </w:rPr>
              <w:t>435,931,413.33</w:t>
            </w:r>
          </w:p>
        </w:tc>
      </w:tr>
      <w:tr>
        <w:trPr>
          <w:trHeight w:val="40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622"/>
              <w:jc w:val="righ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2"/>
                <w:sz w:val="18"/>
              </w:rPr>
              <w:t>430,138,928.78</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2"/>
                <w:sz w:val="18"/>
              </w:rPr>
              <w:t>453,337,234.35</w:t>
            </w:r>
          </w:p>
        </w:tc>
      </w:tr>
      <w:tr>
        <w:trPr>
          <w:trHeight w:val="40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2"/>
                <w:sz w:val="18"/>
              </w:rPr>
              <w:t>265,385,571.69</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2"/>
                <w:sz w:val="18"/>
              </w:rPr>
              <w:t>285,547,108.54</w:t>
            </w:r>
          </w:p>
        </w:tc>
      </w:tr>
      <w:tr>
        <w:trPr>
          <w:trHeight w:val="40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622"/>
              <w:jc w:val="righ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98"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98"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sz w:val="18"/>
                <w:szCs w:val="18"/>
              </w:rPr>
              <w:t>金净额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98"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5,695,035.70</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5,655,505.12</w:t>
            </w:r>
          </w:p>
        </w:tc>
      </w:tr>
      <w:tr>
        <w:trPr>
          <w:trHeight w:val="40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43,049,390.92</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41,049,254.28</w:t>
            </w:r>
          </w:p>
        </w:tc>
      </w:tr>
      <w:tr>
        <w:trPr>
          <w:trHeight w:val="398"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51,329,654.74</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50,953,860.35</w:t>
            </w:r>
          </w:p>
        </w:tc>
      </w:tr>
      <w:tr>
        <w:trPr>
          <w:trHeight w:val="40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98"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32,887,136.00</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39,969,498.19</w:t>
            </w:r>
          </w:p>
        </w:tc>
      </w:tr>
      <w:tr>
        <w:trPr>
          <w:trHeight w:val="40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31,792,139.73</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30,162,007.87</w:t>
            </w:r>
          </w:p>
        </w:tc>
      </w:tr>
      <w:tr>
        <w:trPr>
          <w:trHeight w:val="413" w:hRule="exact"/>
        </w:trPr>
        <w:tc>
          <w:tcPr>
            <w:tcW w:w="308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right="622"/>
              <w:jc w:val="righ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35,454,425.79</w:t>
            </w:r>
          </w:p>
        </w:tc>
        <w:tc>
          <w:tcPr>
            <w:tcW w:w="32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30,498,628.15</w:t>
            </w:r>
          </w:p>
        </w:tc>
      </w:tr>
    </w:tbl>
    <w:p>
      <w:pPr>
        <w:spacing w:after="0" w:line="240" w:lineRule="auto"/>
        <w:jc w:val="right"/>
        <w:rPr>
          <w:rFonts w:ascii="宋体" w:hAnsi="宋体" w:cs="宋体" w:eastAsia="宋体" w:hint="default"/>
          <w:sz w:val="18"/>
          <w:szCs w:val="18"/>
        </w:rPr>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3083"/>
        <w:gridCol w:w="3208"/>
        <w:gridCol w:w="3280"/>
      </w:tblGrid>
      <w:tr>
        <w:trPr>
          <w:trHeight w:val="413" w:hRule="exact"/>
        </w:trPr>
        <w:tc>
          <w:tcPr>
            <w:tcW w:w="308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8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1718"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3,845,304.59</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459,070.90</w:t>
            </w:r>
          </w:p>
        </w:tc>
      </w:tr>
      <w:tr>
        <w:trPr>
          <w:trHeight w:val="399"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10,576,597.78</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11,051,480.64</w:t>
            </w:r>
          </w:p>
        </w:tc>
      </w:tr>
      <w:tr>
        <w:trPr>
          <w:trHeight w:val="715"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816" w:right="0"/>
              <w:jc w:val="left"/>
              <w:rPr>
                <w:rFonts w:ascii="宋体" w:hAnsi="宋体" w:cs="宋体" w:eastAsia="宋体" w:hint="default"/>
                <w:sz w:val="18"/>
                <w:szCs w:val="18"/>
              </w:rPr>
            </w:pPr>
            <w:r>
              <w:rPr>
                <w:rFonts w:ascii="宋体" w:hAnsi="宋体" w:cs="宋体" w:eastAsia="宋体" w:hint="default"/>
                <w:spacing w:val="-4"/>
                <w:sz w:val="18"/>
                <w:szCs w:val="18"/>
              </w:rPr>
              <w:t>投资收益（损失以“－”号</w:t>
            </w:r>
          </w:p>
          <w:p>
            <w:pPr>
              <w:pStyle w:val="TableParagraph"/>
              <w:spacing w:line="240" w:lineRule="auto" w:before="81"/>
              <w:ind w:left="9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32,911,500.78</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16,051,752.54</w:t>
            </w:r>
          </w:p>
        </w:tc>
      </w:tr>
      <w:tr>
        <w:trPr>
          <w:trHeight w:val="715"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94" w:firstLine="720"/>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16,776,756.19</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16,051,752.54</w:t>
            </w:r>
          </w:p>
        </w:tc>
      </w:tr>
      <w:tr>
        <w:trPr>
          <w:trHeight w:val="716"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4"/>
              <w:ind w:left="95" w:right="262" w:firstLine="108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w:t>
            </w:r>
            <w:r>
              <w:rPr>
                <w:rFonts w:ascii="宋体" w:hAnsi="宋体" w:cs="宋体" w:eastAsia="宋体" w:hint="default"/>
                <w:w w:val="101"/>
                <w:sz w:val="18"/>
                <w:szCs w:val="18"/>
              </w:rPr>
              <w:t> </w:t>
            </w:r>
            <w:r>
              <w:rPr>
                <w:rFonts w:ascii="宋体" w:hAnsi="宋体" w:cs="宋体" w:eastAsia="宋体" w:hint="default"/>
                <w:spacing w:val="-3"/>
                <w:sz w:val="18"/>
                <w:szCs w:val="18"/>
              </w:rPr>
              <w:t>融资产终止确认收益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816" w:right="0"/>
              <w:jc w:val="lef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宋体" w:hAnsi="宋体" w:cs="宋体" w:eastAsia="宋体" w:hint="default"/>
                <w:spacing w:val="-3"/>
                <w:sz w:val="18"/>
                <w:szCs w:val="18"/>
              </w:rPr>
              <w:t>-</w:t>
            </w:r>
            <w:r>
              <w:rPr>
                <w:rFonts w:ascii="宋体" w:hAnsi="宋体" w:cs="宋体" w:eastAsia="宋体" w:hint="default"/>
                <w:spacing w:val="-3"/>
                <w:sz w:val="18"/>
                <w:szCs w:val="18"/>
              </w:rPr>
              <w:t>”号</w:t>
            </w:r>
            <w:r>
              <w:rPr>
                <w:rFonts w:ascii="宋体" w:hAnsi="宋体" w:cs="宋体" w:eastAsia="宋体" w:hint="default"/>
                <w:sz w:val="18"/>
                <w:szCs w:val="18"/>
              </w:rPr>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4" w:lineRule="auto" w:before="53"/>
              <w:ind w:left="95" w:right="262" w:firstLine="72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94" w:firstLine="720"/>
              <w:jc w:val="left"/>
              <w:rPr>
                <w:rFonts w:ascii="宋体" w:hAnsi="宋体" w:cs="宋体" w:eastAsia="宋体" w:hint="default"/>
                <w:sz w:val="18"/>
                <w:szCs w:val="18"/>
              </w:rPr>
            </w:pPr>
            <w:r>
              <w:rPr>
                <w:rFonts w:ascii="宋体" w:hAnsi="宋体" w:cs="宋体" w:eastAsia="宋体" w:hint="default"/>
                <w:spacing w:val="-4"/>
                <w:sz w:val="18"/>
                <w:szCs w:val="18"/>
              </w:rPr>
              <w:t>公允价值变动收益（损失以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2" w:firstLine="720"/>
              <w:jc w:val="left"/>
              <w:rPr>
                <w:rFonts w:ascii="宋体" w:hAnsi="宋体" w:cs="宋体" w:eastAsia="宋体" w:hint="default"/>
                <w:sz w:val="18"/>
                <w:szCs w:val="18"/>
              </w:rPr>
            </w:pPr>
            <w:r>
              <w:rPr>
                <w:rFonts w:ascii="宋体" w:hAnsi="宋体" w:cs="宋体" w:eastAsia="宋体" w:hint="default"/>
                <w:spacing w:val="-4"/>
                <w:sz w:val="18"/>
                <w:szCs w:val="18"/>
              </w:rPr>
              <w:t>信用减值损失（损失以“</w:t>
            </w:r>
            <w:r>
              <w:rPr>
                <w:rFonts w:ascii="宋体" w:hAnsi="宋体" w:cs="宋体" w:eastAsia="宋体"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9,276,792.29</w:t>
            </w: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2" w:firstLine="720"/>
              <w:jc w:val="left"/>
              <w:rPr>
                <w:rFonts w:ascii="宋体" w:hAnsi="宋体" w:cs="宋体" w:eastAsia="宋体" w:hint="default"/>
                <w:sz w:val="18"/>
                <w:szCs w:val="18"/>
              </w:rPr>
            </w:pPr>
            <w:r>
              <w:rPr>
                <w:rFonts w:ascii="宋体" w:hAnsi="宋体" w:cs="宋体" w:eastAsia="宋体" w:hint="default"/>
                <w:spacing w:val="-4"/>
                <w:sz w:val="18"/>
                <w:szCs w:val="18"/>
              </w:rPr>
              <w:t>资产减值损失（损失以“</w:t>
            </w:r>
            <w:r>
              <w:rPr>
                <w:rFonts w:ascii="宋体" w:hAnsi="宋体" w:cs="宋体" w:eastAsia="宋体"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-631,273.08</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2"/>
                <w:sz w:val="18"/>
              </w:rPr>
              <w:t>-16,555,430.33</w:t>
            </w:r>
          </w:p>
        </w:tc>
      </w:tr>
      <w:tr>
        <w:trPr>
          <w:trHeight w:val="715"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2" w:firstLine="720"/>
              <w:jc w:val="left"/>
              <w:rPr>
                <w:rFonts w:ascii="宋体" w:hAnsi="宋体" w:cs="宋体" w:eastAsia="宋体" w:hint="default"/>
                <w:sz w:val="18"/>
                <w:szCs w:val="18"/>
              </w:rPr>
            </w:pPr>
            <w:r>
              <w:rPr>
                <w:rFonts w:ascii="宋体" w:hAnsi="宋体" w:cs="宋体" w:eastAsia="宋体" w:hint="default"/>
                <w:spacing w:val="-4"/>
                <w:sz w:val="18"/>
                <w:szCs w:val="18"/>
              </w:rPr>
              <w:t>资产处置收益（损失以“</w:t>
            </w:r>
            <w:r>
              <w:rPr>
                <w:rFonts w:ascii="宋体" w:hAnsi="宋体" w:cs="宋体" w:eastAsia="宋体" w:hint="default"/>
                <w:spacing w:val="-4"/>
                <w:sz w:val="18"/>
                <w:szCs w:val="18"/>
              </w:rPr>
              <w:t>-</w:t>
            </w:r>
            <w:r>
              <w:rPr>
                <w:rFonts w:ascii="宋体" w:hAnsi="宋体" w:cs="宋体" w:eastAsia="宋体" w:hint="default"/>
                <w:spacing w:val="-4"/>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33,559,923.90</w:t>
            </w:r>
          </w:p>
        </w:tc>
      </w:tr>
      <w:tr>
        <w:trPr>
          <w:trHeight w:val="40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3"/>
              <w:jc w:val="right"/>
              <w:rPr>
                <w:rFonts w:ascii="宋体" w:hAnsi="宋体" w:cs="宋体" w:eastAsia="宋体" w:hint="default"/>
                <w:sz w:val="18"/>
                <w:szCs w:val="18"/>
              </w:rPr>
            </w:pPr>
            <w:r>
              <w:rPr>
                <w:rFonts w:ascii="宋体" w:hAnsi="宋体" w:cs="宋体" w:eastAsia="宋体" w:hint="default"/>
                <w:spacing w:val="-9"/>
                <w:sz w:val="18"/>
                <w:szCs w:val="18"/>
              </w:rPr>
              <w:t>三、营业利润（亏损以“－”号填列）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31,093,372.65</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26,701,905.73</w:t>
            </w:r>
          </w:p>
        </w:tc>
      </w:tr>
      <w:tr>
        <w:trPr>
          <w:trHeight w:val="40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282,805.79</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286,616.53</w:t>
            </w:r>
          </w:p>
        </w:tc>
      </w:tr>
      <w:tr>
        <w:trPr>
          <w:trHeight w:val="398"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1,392,302.84</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235,873.16</w:t>
            </w:r>
          </w:p>
        </w:tc>
      </w:tr>
      <w:tr>
        <w:trPr>
          <w:trHeight w:val="716"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94"/>
              <w:jc w:val="left"/>
              <w:rPr>
                <w:rFonts w:ascii="宋体" w:hAnsi="宋体" w:cs="宋体" w:eastAsia="宋体" w:hint="default"/>
                <w:sz w:val="18"/>
                <w:szCs w:val="18"/>
              </w:rPr>
            </w:pPr>
            <w:r>
              <w:rPr>
                <w:rFonts w:ascii="宋体" w:hAnsi="宋体" w:cs="宋体" w:eastAsia="宋体" w:hint="default"/>
                <w:spacing w:val="-4"/>
                <w:sz w:val="18"/>
                <w:szCs w:val="18"/>
              </w:rPr>
              <w:t>四、利润总额（亏损总额以“－”号</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29,983,875.60</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26,752,649.10</w:t>
            </w:r>
          </w:p>
        </w:tc>
      </w:tr>
      <w:tr>
        <w:trPr>
          <w:trHeight w:val="40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2,890,495.36</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5,261,971.60</w:t>
            </w:r>
          </w:p>
        </w:tc>
      </w:tr>
      <w:tr>
        <w:trPr>
          <w:trHeight w:val="40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3"/>
              <w:jc w:val="right"/>
              <w:rPr>
                <w:rFonts w:ascii="宋体" w:hAnsi="宋体" w:cs="宋体" w:eastAsia="宋体" w:hint="default"/>
                <w:sz w:val="18"/>
                <w:szCs w:val="18"/>
              </w:rPr>
            </w:pPr>
            <w:r>
              <w:rPr>
                <w:rFonts w:ascii="宋体" w:hAnsi="宋体" w:cs="宋体" w:eastAsia="宋体" w:hint="default"/>
                <w:spacing w:val="-9"/>
                <w:sz w:val="18"/>
                <w:szCs w:val="18"/>
              </w:rPr>
              <w:t>五、净利润（净亏损以“－”号填列）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27,093,380.24</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21,490,677.50</w:t>
            </w:r>
          </w:p>
        </w:tc>
      </w:tr>
      <w:tr>
        <w:trPr>
          <w:trHeight w:val="398"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716"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4" w:lineRule="auto" w:before="53"/>
              <w:ind w:left="95" w:right="262" w:firstLine="364"/>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持续经营净利润（净亏损以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262" w:firstLine="364"/>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终止经营净利润（净亏损以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711"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60"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归属于母公司所有者的净利</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w w:val="101"/>
                <w:sz w:val="18"/>
                <w:szCs w:val="18"/>
              </w:rPr>
              <w:t>润</w:t>
            </w:r>
            <w:r>
              <w:rPr>
                <w:rFonts w:ascii="宋体" w:hAnsi="宋体" w:cs="宋体" w:eastAsia="宋体" w:hint="default"/>
                <w:sz w:val="18"/>
                <w:szCs w:val="18"/>
              </w:rPr>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25,194,200.65</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23,403,488.93</w:t>
            </w:r>
          </w:p>
        </w:tc>
      </w:tr>
      <w:tr>
        <w:trPr>
          <w:trHeight w:val="413" w:hRule="exact"/>
        </w:trPr>
        <w:tc>
          <w:tcPr>
            <w:tcW w:w="308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少数股东损益</w:t>
            </w:r>
          </w:p>
        </w:tc>
        <w:tc>
          <w:tcPr>
            <w:tcW w:w="32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1,899,179.59</w:t>
            </w:r>
          </w:p>
        </w:tc>
        <w:tc>
          <w:tcPr>
            <w:tcW w:w="32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-1,912,811.43</w:t>
            </w:r>
          </w:p>
        </w:tc>
      </w:tr>
    </w:tbl>
    <w:p>
      <w:pPr>
        <w:spacing w:after="0" w:line="240" w:lineRule="auto"/>
        <w:jc w:val="right"/>
        <w:rPr>
          <w:rFonts w:ascii="宋体" w:hAnsi="宋体" w:cs="宋体" w:eastAsia="宋体" w:hint="default"/>
          <w:sz w:val="18"/>
          <w:szCs w:val="18"/>
        </w:rPr>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3083"/>
        <w:gridCol w:w="3208"/>
        <w:gridCol w:w="3280"/>
      </w:tblGrid>
      <w:tr>
        <w:trPr>
          <w:trHeight w:val="413" w:hRule="exact"/>
        </w:trPr>
        <w:tc>
          <w:tcPr>
            <w:tcW w:w="308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8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1"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4"/>
              <w:ind w:left="95" w:right="262"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w:t>
            </w:r>
            <w:r>
              <w:rPr>
                <w:rFonts w:ascii="宋体" w:hAnsi="宋体" w:cs="宋体" w:eastAsia="宋体" w:hint="default"/>
                <w:w w:val="101"/>
                <w:sz w:val="18"/>
                <w:szCs w:val="18"/>
              </w:rPr>
              <w:t> </w:t>
            </w:r>
            <w:r>
              <w:rPr>
                <w:rFonts w:ascii="宋体" w:hAnsi="宋体" w:cs="宋体" w:eastAsia="宋体" w:hint="default"/>
                <w:sz w:val="18"/>
                <w:szCs w:val="18"/>
              </w:rPr>
              <w:t>益的税后净额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94" w:firstLine="355"/>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重新计量设定受益计</w:t>
            </w:r>
          </w:p>
          <w:p>
            <w:pPr>
              <w:pStyle w:val="TableParagraph"/>
              <w:spacing w:line="240" w:lineRule="auto" w:before="81"/>
              <w:ind w:left="95"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262" w:firstLine="902"/>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权益法下不能转损益</w:t>
            </w:r>
            <w:r>
              <w:rPr>
                <w:rFonts w:ascii="宋体" w:hAnsi="宋体" w:cs="宋体" w:eastAsia="宋体" w:hint="default"/>
                <w:w w:val="101"/>
                <w:sz w:val="18"/>
                <w:szCs w:val="18"/>
              </w:rPr>
              <w:t> </w:t>
            </w:r>
            <w:r>
              <w:rPr>
                <w:rFonts w:ascii="宋体" w:hAnsi="宋体" w:cs="宋体" w:eastAsia="宋体" w:hint="default"/>
                <w:spacing w:val="-3"/>
                <w:sz w:val="18"/>
                <w:szCs w:val="18"/>
              </w:rPr>
              <w:t>的其他综合收益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其他权益工具投资公</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98" w:right="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企业自身信用风险公</w:t>
            </w:r>
          </w:p>
          <w:p>
            <w:pPr>
              <w:pStyle w:val="TableParagraph"/>
              <w:spacing w:line="240" w:lineRule="auto" w:before="81"/>
              <w:ind w:left="95"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94" w:firstLine="355"/>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262" w:firstLine="902"/>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权益法下可转损益的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其他债权投资公允价</w:t>
            </w:r>
          </w:p>
          <w:p>
            <w:pPr>
              <w:pStyle w:val="TableParagraph"/>
              <w:spacing w:line="240" w:lineRule="auto" w:before="81"/>
              <w:ind w:left="95"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4"/>
              <w:ind w:left="95" w:right="262" w:firstLine="902"/>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可供出售金融资产公</w:t>
            </w:r>
            <w:r>
              <w:rPr>
                <w:rFonts w:ascii="宋体" w:hAnsi="宋体" w:cs="宋体" w:eastAsia="宋体" w:hint="default"/>
                <w:w w:val="101"/>
                <w:sz w:val="18"/>
                <w:szCs w:val="18"/>
              </w:rPr>
              <w:t> </w:t>
            </w:r>
            <w:r>
              <w:rPr>
                <w:rFonts w:ascii="宋体" w:hAnsi="宋体" w:cs="宋体" w:eastAsia="宋体" w:hint="default"/>
                <w:spacing w:val="-3"/>
                <w:sz w:val="18"/>
                <w:szCs w:val="18"/>
              </w:rPr>
              <w:t>允价值变动损益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262" w:firstLine="902"/>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金融资产重分类计入</w:t>
            </w:r>
            <w:r>
              <w:rPr>
                <w:rFonts w:ascii="宋体" w:hAnsi="宋体" w:cs="宋体" w:eastAsia="宋体" w:hint="default"/>
                <w:w w:val="101"/>
                <w:sz w:val="18"/>
                <w:szCs w:val="18"/>
              </w:rPr>
              <w:t> </w:t>
            </w:r>
            <w:r>
              <w:rPr>
                <w:rFonts w:ascii="宋体" w:hAnsi="宋体" w:cs="宋体" w:eastAsia="宋体" w:hint="default"/>
                <w:spacing w:val="-3"/>
                <w:sz w:val="18"/>
                <w:szCs w:val="18"/>
              </w:rPr>
              <w:t>其他综合收益的金额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1"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5" w:right="262" w:firstLine="902"/>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持有至到期投资重分</w:t>
            </w:r>
            <w:r>
              <w:rPr>
                <w:rFonts w:ascii="宋体" w:hAnsi="宋体" w:cs="宋体" w:eastAsia="宋体" w:hint="default"/>
                <w:w w:val="101"/>
                <w:sz w:val="18"/>
                <w:szCs w:val="18"/>
              </w:rPr>
              <w:t> </w:t>
            </w:r>
            <w:r>
              <w:rPr>
                <w:rFonts w:ascii="宋体" w:hAnsi="宋体" w:cs="宋体" w:eastAsia="宋体" w:hint="default"/>
                <w:spacing w:val="-3"/>
                <w:sz w:val="18"/>
                <w:szCs w:val="18"/>
              </w:rPr>
              <w:t>类为可供出售金融资产损益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pacing w:val="-3"/>
                <w:sz w:val="18"/>
                <w:szCs w:val="18"/>
              </w:rPr>
              <w:t>6.</w:t>
            </w:r>
            <w:r>
              <w:rPr>
                <w:rFonts w:ascii="宋体" w:hAnsi="宋体" w:cs="宋体" w:eastAsia="宋体" w:hint="default"/>
                <w:spacing w:val="-3"/>
                <w:sz w:val="18"/>
                <w:szCs w:val="18"/>
              </w:rPr>
              <w:t>其他债权投资信用减</w:t>
            </w:r>
          </w:p>
          <w:p>
            <w:pPr>
              <w:pStyle w:val="TableParagraph"/>
              <w:spacing w:line="240" w:lineRule="auto" w:before="81"/>
              <w:ind w:left="95"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现金流量套期储备</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98" w:right="0"/>
              <w:jc w:val="left"/>
              <w:rPr>
                <w:rFonts w:ascii="宋体" w:hAnsi="宋体" w:cs="宋体" w:eastAsia="宋体" w:hint="default"/>
                <w:sz w:val="18"/>
                <w:szCs w:val="18"/>
              </w:rPr>
            </w:pPr>
            <w:r>
              <w:rPr>
                <w:rFonts w:ascii="宋体" w:hAnsi="宋体" w:cs="宋体" w:eastAsia="宋体" w:hint="default"/>
                <w:spacing w:val="-3"/>
                <w:sz w:val="18"/>
                <w:szCs w:val="18"/>
              </w:rPr>
              <w:t>8.</w:t>
            </w:r>
            <w:r>
              <w:rPr>
                <w:rFonts w:ascii="宋体" w:hAnsi="宋体" w:cs="宋体" w:eastAsia="宋体" w:hint="default"/>
                <w:spacing w:val="-3"/>
                <w:sz w:val="18"/>
                <w:szCs w:val="18"/>
              </w:rPr>
              <w:t>外币财务报表折算差</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262"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80"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27,093,380.24</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21,490,677.50</w:t>
            </w:r>
          </w:p>
        </w:tc>
      </w:tr>
      <w:tr>
        <w:trPr>
          <w:trHeight w:val="725" w:hRule="exact"/>
        </w:trPr>
        <w:tc>
          <w:tcPr>
            <w:tcW w:w="308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3"/>
              <w:ind w:left="95" w:right="262"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w:t>
            </w:r>
            <w:r>
              <w:rPr>
                <w:rFonts w:ascii="宋体" w:hAnsi="宋体" w:cs="宋体" w:eastAsia="宋体" w:hint="default"/>
                <w:w w:val="101"/>
                <w:sz w:val="18"/>
                <w:szCs w:val="18"/>
              </w:rPr>
              <w:t> </w:t>
            </w:r>
            <w:r>
              <w:rPr>
                <w:rFonts w:ascii="宋体" w:hAnsi="宋体" w:cs="宋体" w:eastAsia="宋体" w:hint="default"/>
                <w:sz w:val="18"/>
                <w:szCs w:val="18"/>
              </w:rPr>
              <w:t>益总额</w:t>
            </w:r>
          </w:p>
        </w:tc>
        <w:tc>
          <w:tcPr>
            <w:tcW w:w="32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25,194,200.65</w:t>
            </w:r>
          </w:p>
        </w:tc>
        <w:tc>
          <w:tcPr>
            <w:tcW w:w="32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23,403,488.93</w:t>
            </w:r>
          </w:p>
        </w:tc>
      </w:tr>
    </w:tbl>
    <w:p>
      <w:pPr>
        <w:spacing w:after="0" w:line="240" w:lineRule="auto"/>
        <w:jc w:val="right"/>
        <w:rPr>
          <w:rFonts w:ascii="宋体" w:hAnsi="宋体" w:cs="宋体" w:eastAsia="宋体" w:hint="default"/>
          <w:sz w:val="18"/>
          <w:szCs w:val="18"/>
        </w:rPr>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3083"/>
        <w:gridCol w:w="3208"/>
        <w:gridCol w:w="3280"/>
      </w:tblGrid>
      <w:tr>
        <w:trPr>
          <w:trHeight w:val="413" w:hRule="exact"/>
        </w:trPr>
        <w:tc>
          <w:tcPr>
            <w:tcW w:w="308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8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716"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1,899,179.59</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-1,912,811.43</w:t>
            </w:r>
          </w:p>
        </w:tc>
      </w:tr>
      <w:tr>
        <w:trPr>
          <w:trHeight w:val="398"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80"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3" w:hRule="exact"/>
        </w:trPr>
        <w:tc>
          <w:tcPr>
            <w:tcW w:w="30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982"/>
              <w:jc w:val="righ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0.0618</w:t>
            </w:r>
          </w:p>
        </w:tc>
        <w:tc>
          <w:tcPr>
            <w:tcW w:w="32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0.0574</w:t>
            </w:r>
          </w:p>
        </w:tc>
      </w:tr>
      <w:tr>
        <w:trPr>
          <w:trHeight w:val="413" w:hRule="exact"/>
        </w:trPr>
        <w:tc>
          <w:tcPr>
            <w:tcW w:w="308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right="982"/>
              <w:jc w:val="righ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0.0618</w:t>
            </w:r>
          </w:p>
        </w:tc>
        <w:tc>
          <w:tcPr>
            <w:tcW w:w="32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0.0574</w:t>
            </w:r>
          </w:p>
        </w:tc>
      </w:tr>
    </w:tbl>
    <w:p>
      <w:pPr>
        <w:spacing w:line="240" w:lineRule="auto" w:before="2"/>
        <w:rPr>
          <w:rFonts w:ascii="Times New Roman" w:hAnsi="Times New Roman" w:cs="Times New Roman" w:eastAsia="Times New Roman" w:hint="default"/>
          <w:sz w:val="23"/>
          <w:szCs w:val="23"/>
        </w:rPr>
      </w:pPr>
    </w:p>
    <w:p>
      <w:pPr>
        <w:tabs>
          <w:tab w:pos="3754" w:val="left" w:leader="none"/>
          <w:tab w:pos="7893" w:val="left" w:leader="none"/>
        </w:tabs>
        <w:spacing w:before="46"/>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法定代表人：龙昌明</w:t>
        <w:tab/>
        <w:t>主管会计工作负责人：佟岩</w:t>
        <w:tab/>
      </w:r>
      <w:r>
        <w:rPr>
          <w:rFonts w:ascii="宋体" w:hAnsi="宋体" w:cs="宋体" w:eastAsia="宋体" w:hint="default"/>
          <w:sz w:val="18"/>
          <w:szCs w:val="18"/>
        </w:rPr>
        <w:t>会计机构负责人：佟岩</w:t>
      </w:r>
    </w:p>
    <w:p>
      <w:pPr>
        <w:spacing w:line="240" w:lineRule="auto" w:before="8"/>
        <w:rPr>
          <w:rFonts w:ascii="宋体" w:hAnsi="宋体" w:cs="宋体" w:eastAsia="宋体" w:hint="default"/>
          <w:sz w:val="26"/>
          <w:szCs w:val="26"/>
        </w:rPr>
      </w:pPr>
    </w:p>
    <w:p>
      <w:pPr>
        <w:pStyle w:val="Heading4"/>
        <w:spacing w:line="240" w:lineRule="auto" w:before="0"/>
        <w:ind w:right="1024"/>
        <w:jc w:val="left"/>
        <w:rPr>
          <w:b w:val="0"/>
          <w:bCs w:val="0"/>
        </w:rPr>
      </w:pPr>
      <w:bookmarkStart w:name="4、母公司利润表" w:id="210"/>
      <w:bookmarkEnd w:id="210"/>
      <w:r>
        <w:rPr>
          <w:b w:val="0"/>
          <w:bCs w:val="0"/>
        </w:rPr>
      </w:r>
      <w:r>
        <w:rPr>
          <w:rFonts w:ascii="宋体" w:hAnsi="宋体" w:cs="宋体" w:eastAsia="宋体" w:hint="default"/>
        </w:rPr>
        <w:t>4</w:t>
      </w:r>
      <w:r>
        <w:rPr/>
        <w:t>、母公司利润表</w:t>
      </w:r>
      <w:r>
        <w:rPr>
          <w:b w:val="0"/>
          <w:bCs w:val="0"/>
        </w:rPr>
      </w:r>
    </w:p>
    <w:p>
      <w:pPr>
        <w:spacing w:line="240" w:lineRule="auto" w:before="3"/>
        <w:rPr>
          <w:rFonts w:ascii="宋体" w:hAnsi="宋体" w:cs="宋体" w:eastAsia="宋体" w:hint="default"/>
          <w:b/>
          <w:bCs/>
          <w:sz w:val="28"/>
          <w:szCs w:val="28"/>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967"/>
        <w:gridCol w:w="3304"/>
        <w:gridCol w:w="3299"/>
      </w:tblGrid>
      <w:tr>
        <w:trPr>
          <w:trHeight w:val="411" w:hRule="exact"/>
        </w:trPr>
        <w:tc>
          <w:tcPr>
            <w:tcW w:w="29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223,625,157.51</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177,884,320.74</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154,480,506.00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127,540,182.78</w:t>
            </w: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816"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3,752,015.33</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3,426,258.61</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9"/>
              <w:ind w:left="81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18"/>
                <w:szCs w:val="18"/>
              </w:rPr>
            </w:pPr>
            <w:r>
              <w:rPr>
                <w:rFonts w:ascii="宋体"/>
                <w:spacing w:val="-1"/>
                <w:sz w:val="18"/>
              </w:rPr>
              <w:t>10,266,692.81</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9"/>
              <w:ind w:right="84"/>
              <w:jc w:val="right"/>
              <w:rPr>
                <w:rFonts w:ascii="宋体" w:hAnsi="宋体" w:cs="宋体" w:eastAsia="宋体" w:hint="default"/>
                <w:sz w:val="18"/>
                <w:szCs w:val="18"/>
              </w:rPr>
            </w:pPr>
            <w:r>
              <w:rPr>
                <w:rFonts w:ascii="宋体"/>
                <w:spacing w:val="-1"/>
                <w:sz w:val="18"/>
              </w:rPr>
              <w:t>9,404,367.36</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81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31,702,281.41</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26,842,519.43</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816"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15,457,770.67</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19,463,664.14</w:t>
            </w: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81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17,247,802.49</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16,829,187.68</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98"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18"/>
                <w:szCs w:val="18"/>
              </w:rPr>
            </w:pPr>
            <w:r>
              <w:rPr>
                <w:rFonts w:ascii="宋体"/>
                <w:spacing w:val="-1"/>
                <w:sz w:val="18"/>
              </w:rPr>
              <w:t>19,436,781.39</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17,163,288.09</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153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2,297,273.93</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379,646.22</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6,714,643.84</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6,289,012.97</w:t>
            </w:r>
          </w:p>
        </w:tc>
      </w:tr>
      <w:tr>
        <w:trPr>
          <w:trHeight w:val="710"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46" w:firstLine="720"/>
              <w:jc w:val="left"/>
              <w:rPr>
                <w:rFonts w:ascii="宋体" w:hAnsi="宋体" w:cs="宋体" w:eastAsia="宋体" w:hint="default"/>
                <w:sz w:val="18"/>
                <w:szCs w:val="18"/>
              </w:rPr>
            </w:pPr>
            <w:r>
              <w:rPr>
                <w:rFonts w:ascii="宋体" w:hAnsi="宋体" w:cs="宋体" w:eastAsia="宋体" w:hint="default"/>
                <w:spacing w:val="-3"/>
                <w:sz w:val="18"/>
                <w:szCs w:val="18"/>
              </w:rPr>
              <w:t>投资收益（损失以“－”</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29,065,165.21</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14,804,652.12</w:t>
            </w: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9"/>
              <w:ind w:left="95" w:right="14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w:t>
            </w:r>
            <w:r>
              <w:rPr>
                <w:rFonts w:ascii="宋体" w:hAnsi="宋体" w:cs="宋体" w:eastAsia="宋体" w:hint="default"/>
                <w:w w:val="101"/>
                <w:sz w:val="18"/>
                <w:szCs w:val="18"/>
              </w:rPr>
              <w:t> </w:t>
            </w:r>
            <w:r>
              <w:rPr>
                <w:rFonts w:ascii="宋体" w:hAnsi="宋体" w:cs="宋体" w:eastAsia="宋体" w:hint="default"/>
                <w:spacing w:val="-3"/>
                <w:sz w:val="18"/>
                <w:szCs w:val="18"/>
              </w:rPr>
              <w:t>企业的投资收益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11,501,055.78</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4,040,552.12</w:t>
            </w:r>
          </w:p>
        </w:tc>
      </w:tr>
      <w:tr>
        <w:trPr>
          <w:trHeight w:val="1027"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5" w:right="55" w:firstLine="108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w:t>
            </w:r>
            <w:r>
              <w:rPr>
                <w:rFonts w:ascii="宋体" w:hAnsi="宋体" w:cs="宋体" w:eastAsia="宋体" w:hint="default"/>
                <w:w w:val="101"/>
                <w:sz w:val="18"/>
                <w:szCs w:val="18"/>
              </w:rPr>
              <w:t> </w:t>
            </w:r>
            <w:r>
              <w:rPr>
                <w:rFonts w:ascii="宋体" w:hAnsi="宋体" w:cs="宋体" w:eastAsia="宋体" w:hint="default"/>
                <w:spacing w:val="-3"/>
                <w:sz w:val="18"/>
                <w:szCs w:val="18"/>
              </w:rPr>
              <w:t>融资产终止确认收益（损失以“</w:t>
            </w:r>
            <w:r>
              <w:rPr>
                <w:rFonts w:ascii="宋体" w:hAnsi="宋体" w:cs="宋体" w:eastAsia="宋体"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40"/>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4"/>
              <w:ind w:left="95" w:right="146" w:firstLine="72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46" w:firstLine="72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w:t>
            </w:r>
            <w:r>
              <w:rPr>
                <w:rFonts w:ascii="宋体" w:hAnsi="宋体" w:cs="宋体" w:eastAsia="宋体" w:hint="default"/>
                <w:w w:val="101"/>
                <w:sz w:val="18"/>
                <w:szCs w:val="18"/>
              </w:rPr>
              <w:t> </w:t>
            </w:r>
            <w:r>
              <w:rPr>
                <w:rFonts w:ascii="宋体" w:hAnsi="宋体" w:cs="宋体" w:eastAsia="宋体" w:hint="default"/>
                <w:sz w:val="18"/>
                <w:szCs w:val="18"/>
              </w:rPr>
              <w:t>以“－”号填列）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8"/>
              <w:ind w:left="95" w:right="2" w:firstLine="720"/>
              <w:jc w:val="left"/>
              <w:rPr>
                <w:rFonts w:ascii="宋体" w:hAnsi="宋体" w:cs="宋体" w:eastAsia="宋体" w:hint="default"/>
                <w:sz w:val="18"/>
                <w:szCs w:val="18"/>
              </w:rPr>
            </w:pPr>
            <w:r>
              <w:rPr>
                <w:rFonts w:ascii="宋体" w:hAnsi="宋体" w:cs="宋体" w:eastAsia="宋体" w:hint="default"/>
                <w:spacing w:val="-12"/>
                <w:sz w:val="18"/>
                <w:szCs w:val="18"/>
              </w:rPr>
              <w:t>信用减值损失（损失以“</w:t>
            </w:r>
            <w:r>
              <w:rPr>
                <w:rFonts w:ascii="宋体" w:hAnsi="宋体" w:cs="宋体" w:eastAsia="宋体" w:hint="default"/>
                <w:spacing w:val="-12"/>
                <w:sz w:val="18"/>
                <w:szCs w:val="18"/>
              </w:rPr>
              <w:t>-</w:t>
            </w:r>
            <w:r>
              <w:rPr>
                <w:rFonts w:ascii="宋体" w:hAnsi="宋体" w:cs="宋体" w:eastAsia="宋体" w:hint="default"/>
                <w:spacing w:val="-12"/>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2,981,019.58</w:t>
            </w: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29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73"/>
              <w:ind w:left="816" w:right="0"/>
              <w:jc w:val="left"/>
              <w:rPr>
                <w:rFonts w:ascii="宋体" w:hAnsi="宋体" w:cs="宋体" w:eastAsia="宋体" w:hint="default"/>
                <w:sz w:val="18"/>
                <w:szCs w:val="18"/>
              </w:rPr>
            </w:pPr>
            <w:r>
              <w:rPr>
                <w:rFonts w:ascii="宋体" w:hAnsi="宋体" w:cs="宋体" w:eastAsia="宋体" w:hint="default"/>
                <w:spacing w:val="-12"/>
                <w:sz w:val="18"/>
                <w:szCs w:val="18"/>
              </w:rPr>
              <w:t>资产减值损失（损失以“</w:t>
            </w:r>
            <w:r>
              <w:rPr>
                <w:rFonts w:ascii="宋体" w:hAnsi="宋体" w:cs="宋体" w:eastAsia="宋体" w:hint="default"/>
                <w:spacing w:val="-12"/>
                <w:sz w:val="18"/>
                <w:szCs w:val="18"/>
              </w:rPr>
              <w:t>-</w:t>
            </w:r>
            <w:r>
              <w:rPr>
                <w:rFonts w:ascii="宋体" w:hAnsi="宋体" w:cs="宋体" w:eastAsia="宋体" w:hint="default"/>
                <w:spacing w:val="-12"/>
                <w:sz w:val="18"/>
                <w:szCs w:val="18"/>
              </w:rPr>
              <w:t>”</w:t>
            </w:r>
          </w:p>
        </w:tc>
        <w:tc>
          <w:tcPr>
            <w:tcW w:w="3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-900,367.41</w:t>
            </w:r>
          </w:p>
        </w:tc>
        <w:tc>
          <w:tcPr>
            <w:tcW w:w="329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-1,879,800.23</w:t>
            </w:r>
          </w:p>
        </w:tc>
      </w:tr>
    </w:tbl>
    <w:p>
      <w:pPr>
        <w:spacing w:after="0" w:line="240" w:lineRule="auto"/>
        <w:jc w:val="right"/>
        <w:rPr>
          <w:rFonts w:ascii="宋体" w:hAnsi="宋体" w:cs="宋体" w:eastAsia="宋体" w:hint="default"/>
          <w:sz w:val="18"/>
          <w:szCs w:val="18"/>
        </w:rPr>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967"/>
        <w:gridCol w:w="3304"/>
        <w:gridCol w:w="3299"/>
      </w:tblGrid>
      <w:tr>
        <w:trPr>
          <w:trHeight w:val="413" w:hRule="exact"/>
        </w:trPr>
        <w:tc>
          <w:tcPr>
            <w:tcW w:w="29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60"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5"/>
              <w:ind w:left="95"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4" w:lineRule="auto" w:before="53"/>
              <w:ind w:left="95" w:right="2" w:firstLine="720"/>
              <w:jc w:val="left"/>
              <w:rPr>
                <w:rFonts w:ascii="宋体" w:hAnsi="宋体" w:cs="宋体" w:eastAsia="宋体" w:hint="default"/>
                <w:sz w:val="18"/>
                <w:szCs w:val="18"/>
              </w:rPr>
            </w:pPr>
            <w:r>
              <w:rPr>
                <w:rFonts w:ascii="宋体" w:hAnsi="宋体" w:cs="宋体" w:eastAsia="宋体" w:hint="default"/>
                <w:spacing w:val="-12"/>
                <w:sz w:val="18"/>
                <w:szCs w:val="18"/>
              </w:rPr>
              <w:t>资产处置收益（损失以“</w:t>
            </w:r>
            <w:r>
              <w:rPr>
                <w:rFonts w:ascii="宋体" w:hAnsi="宋体" w:cs="宋体" w:eastAsia="宋体" w:hint="default"/>
                <w:spacing w:val="-12"/>
                <w:sz w:val="18"/>
                <w:szCs w:val="18"/>
              </w:rPr>
              <w:t>-</w:t>
            </w:r>
            <w:r>
              <w:rPr>
                <w:rFonts w:ascii="宋体" w:hAnsi="宋体" w:cs="宋体" w:eastAsia="宋体" w:hint="default"/>
                <w:spacing w:val="-12"/>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-192,390.71</w:t>
            </w: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47"/>
              <w:jc w:val="left"/>
              <w:rPr>
                <w:rFonts w:ascii="宋体" w:hAnsi="宋体" w:cs="宋体" w:eastAsia="宋体" w:hint="default"/>
                <w:sz w:val="18"/>
                <w:szCs w:val="18"/>
              </w:rPr>
            </w:pPr>
            <w:r>
              <w:rPr>
                <w:rFonts w:ascii="宋体" w:hAnsi="宋体" w:cs="宋体" w:eastAsia="宋体" w:hint="default"/>
                <w:spacing w:val="-3"/>
                <w:sz w:val="18"/>
                <w:szCs w:val="18"/>
              </w:rPr>
              <w:t>二、营业利润（亏损以“－”号填</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28,578,550.02</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-6,600,385.11</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234,228.75</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4,319.54</w:t>
            </w: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1,249,430.70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3,018.27</w:t>
            </w: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47"/>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27,563,348.07</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-6,599,083.84</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312,302.58</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145,019.22</w:t>
            </w: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5" w:right="147"/>
              <w:jc w:val="left"/>
              <w:rPr>
                <w:rFonts w:ascii="宋体" w:hAnsi="宋体" w:cs="宋体" w:eastAsia="宋体" w:hint="default"/>
                <w:sz w:val="18"/>
                <w:szCs w:val="18"/>
              </w:rPr>
            </w:pPr>
            <w:r>
              <w:rPr>
                <w:rFonts w:ascii="宋体" w:hAnsi="宋体" w:cs="宋体" w:eastAsia="宋体" w:hint="default"/>
                <w:spacing w:val="-3"/>
                <w:sz w:val="18"/>
                <w:szCs w:val="18"/>
              </w:rPr>
              <w:t>四、净利润（净亏损以“－”号填</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27,251,045.49</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-6,744,103.06</w:t>
            </w:r>
          </w:p>
        </w:tc>
      </w:tr>
      <w:tr>
        <w:trPr>
          <w:trHeight w:val="710"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w:t>
            </w:r>
            <w:r>
              <w:rPr>
                <w:rFonts w:ascii="宋体" w:hAnsi="宋体" w:cs="宋体" w:eastAsia="宋体" w:hint="default"/>
                <w:w w:val="101"/>
                <w:sz w:val="18"/>
                <w:szCs w:val="18"/>
              </w:rPr>
              <w:t> </w:t>
            </w:r>
            <w:r>
              <w:rPr>
                <w:rFonts w:ascii="宋体" w:hAnsi="宋体" w:cs="宋体" w:eastAsia="宋体" w:hint="default"/>
                <w:spacing w:val="-3"/>
                <w:sz w:val="18"/>
                <w:szCs w:val="18"/>
              </w:rPr>
              <w:t>损以“－”号填列）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27,251,045.49</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-6,744,103.06</w:t>
            </w: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4"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w:t>
            </w:r>
            <w:r>
              <w:rPr>
                <w:rFonts w:ascii="宋体" w:hAnsi="宋体" w:cs="宋体" w:eastAsia="宋体" w:hint="default"/>
                <w:w w:val="101"/>
                <w:sz w:val="18"/>
                <w:szCs w:val="18"/>
              </w:rPr>
              <w:t> </w:t>
            </w:r>
            <w:r>
              <w:rPr>
                <w:rFonts w:ascii="宋体" w:hAnsi="宋体" w:cs="宋体" w:eastAsia="宋体" w:hint="default"/>
                <w:spacing w:val="-3"/>
                <w:sz w:val="18"/>
                <w:szCs w:val="18"/>
              </w:rPr>
              <w:t>损以“－”号填列）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w:t>
            </w:r>
            <w:r>
              <w:rPr>
                <w:rFonts w:ascii="宋体" w:hAnsi="宋体" w:cs="宋体" w:eastAsia="宋体" w:hint="default"/>
                <w:w w:val="101"/>
                <w:sz w:val="18"/>
                <w:szCs w:val="18"/>
              </w:rPr>
              <w:t> </w:t>
            </w:r>
            <w:r>
              <w:rPr>
                <w:rFonts w:ascii="宋体" w:hAnsi="宋体" w:cs="宋体" w:eastAsia="宋体" w:hint="default"/>
                <w:sz w:val="18"/>
                <w:szCs w:val="18"/>
              </w:rPr>
              <w:t>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1"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重新计量设定受益计</w:t>
            </w:r>
          </w:p>
          <w:p>
            <w:pPr>
              <w:pStyle w:val="TableParagraph"/>
              <w:spacing w:line="240" w:lineRule="auto" w:before="77"/>
              <w:ind w:left="95"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46" w:firstLine="902"/>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权益法下不能转损益</w:t>
            </w:r>
            <w:r>
              <w:rPr>
                <w:rFonts w:ascii="宋体" w:hAnsi="宋体" w:cs="宋体" w:eastAsia="宋体" w:hint="default"/>
                <w:w w:val="101"/>
                <w:sz w:val="18"/>
                <w:szCs w:val="18"/>
              </w:rPr>
              <w:t> </w:t>
            </w:r>
            <w:r>
              <w:rPr>
                <w:rFonts w:ascii="宋体" w:hAnsi="宋体" w:cs="宋体" w:eastAsia="宋体" w:hint="default"/>
                <w:spacing w:val="-3"/>
                <w:sz w:val="18"/>
                <w:szCs w:val="18"/>
              </w:rPr>
              <w:t>的其他综合收益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其他权益工具投资公</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企业自身信用风险公</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405"/>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4"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46" w:firstLine="902"/>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权益法下可转损益的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其他债权投资公允价</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1"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4"/>
              <w:ind w:left="95" w:right="146" w:firstLine="902"/>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可供出售金融资产公</w:t>
            </w:r>
            <w:r>
              <w:rPr>
                <w:rFonts w:ascii="宋体" w:hAnsi="宋体" w:cs="宋体" w:eastAsia="宋体" w:hint="default"/>
                <w:w w:val="101"/>
                <w:sz w:val="18"/>
                <w:szCs w:val="18"/>
              </w:rPr>
              <w:t> </w:t>
            </w:r>
            <w:r>
              <w:rPr>
                <w:rFonts w:ascii="宋体" w:hAnsi="宋体" w:cs="宋体" w:eastAsia="宋体" w:hint="default"/>
                <w:spacing w:val="-3"/>
                <w:sz w:val="18"/>
                <w:szCs w:val="18"/>
              </w:rPr>
              <w:t>允价值变动损益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29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77"/>
              <w:ind w:left="998" w:right="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金融资产重分类计入</w:t>
            </w:r>
          </w:p>
        </w:tc>
        <w:tc>
          <w:tcPr>
            <w:tcW w:w="3304" w:type="dxa"/>
            <w:tcBorders>
              <w:top w:val="single" w:sz="4" w:space="0" w:color="000000"/>
              <w:left w:val="single" w:sz="4" w:space="0" w:color="000000"/>
              <w:bottom w:val="single" w:sz="12" w:space="0" w:color="000000"/>
              <w:right w:val="single" w:sz="4" w:space="0" w:color="000000"/>
            </w:tcBorders>
          </w:tcPr>
          <w:p>
            <w:pPr/>
          </w:p>
        </w:tc>
        <w:tc>
          <w:tcPr>
            <w:tcW w:w="3299"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967"/>
        <w:gridCol w:w="3304"/>
        <w:gridCol w:w="3299"/>
      </w:tblGrid>
      <w:tr>
        <w:trPr>
          <w:trHeight w:val="413" w:hRule="exact"/>
        </w:trPr>
        <w:tc>
          <w:tcPr>
            <w:tcW w:w="29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60"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5"/>
              <w:ind w:left="95" w:right="0"/>
              <w:jc w:val="left"/>
              <w:rPr>
                <w:rFonts w:ascii="宋体" w:hAnsi="宋体" w:cs="宋体" w:eastAsia="宋体" w:hint="default"/>
                <w:sz w:val="18"/>
                <w:szCs w:val="18"/>
              </w:rPr>
            </w:pPr>
            <w:r>
              <w:rPr>
                <w:rFonts w:ascii="宋体" w:hAnsi="宋体" w:cs="宋体" w:eastAsia="宋体" w:hint="default"/>
                <w:spacing w:val="-3"/>
                <w:sz w:val="18"/>
                <w:szCs w:val="18"/>
              </w:rPr>
              <w:t>其他综合收益的金额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4" w:lineRule="auto" w:before="53"/>
              <w:ind w:left="95" w:right="146" w:firstLine="902"/>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持有至到期投资重分</w:t>
            </w:r>
            <w:r>
              <w:rPr>
                <w:rFonts w:ascii="宋体" w:hAnsi="宋体" w:cs="宋体" w:eastAsia="宋体" w:hint="default"/>
                <w:w w:val="101"/>
                <w:sz w:val="18"/>
                <w:szCs w:val="18"/>
              </w:rPr>
              <w:t> </w:t>
            </w:r>
            <w:r>
              <w:rPr>
                <w:rFonts w:ascii="宋体" w:hAnsi="宋体" w:cs="宋体" w:eastAsia="宋体" w:hint="default"/>
                <w:spacing w:val="-3"/>
                <w:sz w:val="18"/>
                <w:szCs w:val="18"/>
              </w:rPr>
              <w:t>类为可供出售金融资产损益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pacing w:val="-3"/>
                <w:sz w:val="18"/>
                <w:szCs w:val="18"/>
              </w:rPr>
              <w:t>6.</w:t>
            </w:r>
            <w:r>
              <w:rPr>
                <w:rFonts w:ascii="宋体" w:hAnsi="宋体" w:cs="宋体" w:eastAsia="宋体" w:hint="default"/>
                <w:spacing w:val="-3"/>
                <w:sz w:val="18"/>
                <w:szCs w:val="18"/>
              </w:rPr>
              <w:t>其他债权投资信用减</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现金流量套期储备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1"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98" w:right="0"/>
              <w:jc w:val="left"/>
              <w:rPr>
                <w:rFonts w:ascii="宋体" w:hAnsi="宋体" w:cs="宋体" w:eastAsia="宋体" w:hint="default"/>
                <w:sz w:val="18"/>
                <w:szCs w:val="18"/>
              </w:rPr>
            </w:pPr>
            <w:r>
              <w:rPr>
                <w:rFonts w:ascii="宋体" w:hAnsi="宋体" w:cs="宋体" w:eastAsia="宋体" w:hint="default"/>
                <w:spacing w:val="-3"/>
                <w:sz w:val="18"/>
                <w:szCs w:val="18"/>
              </w:rPr>
              <w:t>8.</w:t>
            </w:r>
            <w:r>
              <w:rPr>
                <w:rFonts w:ascii="宋体" w:hAnsi="宋体" w:cs="宋体" w:eastAsia="宋体" w:hint="default"/>
                <w:spacing w:val="-3"/>
                <w:sz w:val="18"/>
                <w:szCs w:val="18"/>
              </w:rPr>
              <w:t>外币财务报表折算差</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405"/>
              <w:jc w:val="center"/>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17" w:right="0"/>
              <w:jc w:val="left"/>
              <w:rPr>
                <w:rFonts w:ascii="宋体" w:hAnsi="宋体" w:cs="宋体" w:eastAsia="宋体" w:hint="default"/>
                <w:sz w:val="18"/>
                <w:szCs w:val="18"/>
              </w:rPr>
            </w:pPr>
            <w:r>
              <w:rPr>
                <w:rFonts w:ascii="宋体"/>
                <w:sz w:val="18"/>
              </w:rPr>
              <w:t>27,251,045.49</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2016" w:right="0"/>
              <w:jc w:val="left"/>
              <w:rPr>
                <w:rFonts w:ascii="宋体" w:hAnsi="宋体" w:cs="宋体" w:eastAsia="宋体" w:hint="default"/>
                <w:sz w:val="18"/>
                <w:szCs w:val="18"/>
              </w:rPr>
            </w:pPr>
            <w:r>
              <w:rPr>
                <w:rFonts w:ascii="宋体"/>
                <w:sz w:val="18"/>
              </w:rPr>
              <w:t>-6,744,103.06</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29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04" w:type="dxa"/>
            <w:tcBorders>
              <w:top w:val="single" w:sz="4" w:space="0" w:color="000000"/>
              <w:left w:val="single" w:sz="4" w:space="0" w:color="000000"/>
              <w:bottom w:val="single" w:sz="12" w:space="0" w:color="000000"/>
              <w:right w:val="single" w:sz="4" w:space="0" w:color="000000"/>
            </w:tcBorders>
          </w:tcPr>
          <w:p>
            <w:pPr/>
          </w:p>
        </w:tc>
        <w:tc>
          <w:tcPr>
            <w:tcW w:w="3299"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right="1024"/>
        <w:jc w:val="left"/>
        <w:rPr>
          <w:b w:val="0"/>
          <w:bCs w:val="0"/>
        </w:rPr>
      </w:pPr>
      <w:bookmarkStart w:name="5、合并现金流量表" w:id="211"/>
      <w:bookmarkEnd w:id="211"/>
      <w:r>
        <w:rPr>
          <w:b w:val="0"/>
          <w:bCs w:val="0"/>
        </w:rPr>
      </w:r>
      <w:r>
        <w:rPr>
          <w:rFonts w:ascii="宋体" w:hAnsi="宋体" w:cs="宋体" w:eastAsia="宋体" w:hint="default"/>
        </w:rPr>
        <w:t>5</w:t>
      </w:r>
      <w:r>
        <w:rPr/>
        <w:t>、合并现金流量表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967"/>
        <w:gridCol w:w="3304"/>
        <w:gridCol w:w="3299"/>
      </w:tblGrid>
      <w:tr>
        <w:trPr>
          <w:trHeight w:val="413" w:hRule="exact"/>
        </w:trPr>
        <w:tc>
          <w:tcPr>
            <w:tcW w:w="29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324"/>
              <w:jc w:val="righ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w:t>
            </w:r>
          </w:p>
          <w:p>
            <w:pPr>
              <w:pStyle w:val="TableParagraph"/>
              <w:spacing w:line="240" w:lineRule="auto" w:before="81"/>
              <w:ind w:left="9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35" w:right="0"/>
              <w:jc w:val="left"/>
              <w:rPr>
                <w:rFonts w:ascii="宋体" w:hAnsi="宋体" w:cs="宋体" w:eastAsia="宋体" w:hint="default"/>
                <w:sz w:val="18"/>
                <w:szCs w:val="18"/>
              </w:rPr>
            </w:pPr>
            <w:r>
              <w:rPr>
                <w:rFonts w:ascii="宋体"/>
                <w:sz w:val="18"/>
              </w:rPr>
              <w:t>560,547,217.31</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30" w:right="0"/>
              <w:jc w:val="left"/>
              <w:rPr>
                <w:rFonts w:ascii="宋体" w:hAnsi="宋体" w:cs="宋体" w:eastAsia="宋体" w:hint="default"/>
                <w:sz w:val="18"/>
                <w:szCs w:val="18"/>
              </w:rPr>
            </w:pPr>
            <w:r>
              <w:rPr>
                <w:rFonts w:ascii="宋体"/>
                <w:sz w:val="18"/>
              </w:rPr>
              <w:t>478,265,438.77</w:t>
            </w: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w:t>
            </w:r>
            <w:r>
              <w:rPr>
                <w:rFonts w:ascii="宋体" w:hAnsi="宋体" w:cs="宋体" w:eastAsia="宋体" w:hint="default"/>
                <w:w w:val="101"/>
                <w:sz w:val="18"/>
                <w:szCs w:val="18"/>
              </w:rPr>
              <w:t> </w:t>
            </w:r>
            <w:r>
              <w:rPr>
                <w:rFonts w:ascii="宋体" w:hAnsi="宋体" w:cs="宋体" w:eastAsia="宋体" w:hint="default"/>
                <w:sz w:val="18"/>
                <w:szCs w:val="18"/>
              </w:rPr>
              <w:t>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w:t>
            </w:r>
            <w:r>
              <w:rPr>
                <w:rFonts w:ascii="宋体" w:hAnsi="宋体" w:cs="宋体" w:eastAsia="宋体" w:hint="default"/>
                <w:w w:val="101"/>
                <w:sz w:val="18"/>
                <w:szCs w:val="18"/>
              </w:rPr>
              <w:t> </w:t>
            </w:r>
            <w:r>
              <w:rPr>
                <w:rFonts w:ascii="宋体" w:hAnsi="宋体" w:cs="宋体" w:eastAsia="宋体" w:hint="default"/>
                <w:sz w:val="18"/>
                <w:szCs w:val="18"/>
              </w:rPr>
              <w:t>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w:t>
            </w:r>
          </w:p>
          <w:p>
            <w:pPr>
              <w:pStyle w:val="TableParagraph"/>
              <w:spacing w:line="240" w:lineRule="auto" w:before="81"/>
              <w:ind w:left="9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325"/>
              <w:jc w:val="righ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1"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收取利息、手续费及佣金的现</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29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4" w:type="dxa"/>
            <w:tcBorders>
              <w:top w:val="single" w:sz="4" w:space="0" w:color="000000"/>
              <w:left w:val="single" w:sz="4" w:space="0" w:color="000000"/>
              <w:bottom w:val="single" w:sz="12" w:space="0" w:color="000000"/>
              <w:right w:val="single" w:sz="4" w:space="0" w:color="000000"/>
            </w:tcBorders>
          </w:tcPr>
          <w:p>
            <w:pPr/>
          </w:p>
        </w:tc>
        <w:tc>
          <w:tcPr>
            <w:tcW w:w="3299"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967"/>
        <w:gridCol w:w="3304"/>
        <w:gridCol w:w="3299"/>
      </w:tblGrid>
      <w:tr>
        <w:trPr>
          <w:trHeight w:val="413" w:hRule="exact"/>
        </w:trPr>
        <w:tc>
          <w:tcPr>
            <w:tcW w:w="29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1,179,956.37</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2,939,813.17</w:t>
            </w: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w:t>
            </w:r>
          </w:p>
          <w:p>
            <w:pPr>
              <w:pStyle w:val="TableParagraph"/>
              <w:spacing w:line="240" w:lineRule="auto" w:before="81"/>
              <w:ind w:left="9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139,753,926.16</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2"/>
                <w:sz w:val="18"/>
              </w:rPr>
              <w:t>102,842,112.05</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701,481,099.84</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584,047,363.99</w:t>
            </w: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购买商品、接受劳务支付的现</w:t>
            </w:r>
          </w:p>
          <w:p>
            <w:pPr>
              <w:pStyle w:val="TableParagraph"/>
              <w:spacing w:line="240" w:lineRule="auto" w:before="77"/>
              <w:ind w:left="9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188,378,155.75</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2"/>
                <w:sz w:val="18"/>
              </w:rPr>
              <w:t>277,540,552.14</w:t>
            </w: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w:t>
            </w:r>
            <w:r>
              <w:rPr>
                <w:rFonts w:ascii="宋体" w:hAnsi="宋体" w:cs="宋体" w:eastAsia="宋体" w:hint="default"/>
                <w:w w:val="101"/>
                <w:sz w:val="18"/>
                <w:szCs w:val="18"/>
              </w:rPr>
              <w:t> </w:t>
            </w:r>
            <w:r>
              <w:rPr>
                <w:rFonts w:ascii="宋体" w:hAnsi="宋体" w:cs="宋体" w:eastAsia="宋体" w:hint="default"/>
                <w:sz w:val="18"/>
                <w:szCs w:val="18"/>
              </w:rPr>
              <w:t>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w:t>
            </w:r>
          </w:p>
          <w:p>
            <w:pPr>
              <w:pStyle w:val="TableParagraph"/>
              <w:spacing w:line="240" w:lineRule="auto" w:before="82"/>
              <w:ind w:left="9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支付利息、手续费及佣金的现</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w:t>
            </w:r>
            <w:r>
              <w:rPr>
                <w:rFonts w:ascii="宋体" w:hAnsi="宋体" w:cs="宋体" w:eastAsia="宋体" w:hint="default"/>
                <w:w w:val="101"/>
                <w:sz w:val="18"/>
                <w:szCs w:val="18"/>
              </w:rPr>
              <w:t> </w:t>
            </w:r>
            <w:r>
              <w:rPr>
                <w:rFonts w:ascii="宋体" w:hAnsi="宋体" w:cs="宋体" w:eastAsia="宋体" w:hint="default"/>
                <w:sz w:val="18"/>
                <w:szCs w:val="18"/>
              </w:rPr>
              <w:t>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76,478,318.83</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89,494,897.66</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21,822,522.60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19,574,323.17</w:t>
            </w:r>
          </w:p>
        </w:tc>
      </w:tr>
      <w:tr>
        <w:trPr>
          <w:trHeight w:val="711"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w:t>
            </w:r>
          </w:p>
          <w:p>
            <w:pPr>
              <w:pStyle w:val="TableParagraph"/>
              <w:spacing w:line="240" w:lineRule="auto" w:before="77"/>
              <w:ind w:left="9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198,523,866.73</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2"/>
                <w:sz w:val="18"/>
              </w:rPr>
              <w:t>154,596,343.28</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485,202,863.91</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541,206,116.25</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216,278,235.93</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42,841,247.74</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399"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33,633,762.91</w:t>
            </w: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1,500,000.00</w:t>
            </w: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w:t>
            </w:r>
            <w:r>
              <w:rPr>
                <w:rFonts w:ascii="宋体" w:hAnsi="宋体" w:cs="宋体" w:eastAsia="宋体" w:hint="default"/>
                <w:w w:val="101"/>
                <w:sz w:val="18"/>
                <w:szCs w:val="18"/>
              </w:rPr>
              <w:t> </w:t>
            </w:r>
            <w:r>
              <w:rPr>
                <w:rFonts w:ascii="宋体" w:hAnsi="宋体" w:cs="宋体" w:eastAsia="宋体" w:hint="default"/>
                <w:spacing w:val="-3"/>
                <w:sz w:val="18"/>
                <w:szCs w:val="18"/>
              </w:rPr>
              <w:t>他长期资产收回的现金净额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9,020.00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9,101,020.00</w:t>
            </w: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4"/>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w:t>
            </w:r>
            <w:r>
              <w:rPr>
                <w:rFonts w:ascii="宋体" w:hAnsi="宋体" w:cs="宋体" w:eastAsia="宋体" w:hint="default"/>
                <w:w w:val="101"/>
                <w:sz w:val="18"/>
                <w:szCs w:val="18"/>
              </w:rPr>
              <w:t> </w:t>
            </w:r>
            <w:r>
              <w:rPr>
                <w:rFonts w:ascii="宋体" w:hAnsi="宋体" w:cs="宋体" w:eastAsia="宋体" w:hint="default"/>
                <w:sz w:val="18"/>
                <w:szCs w:val="18"/>
              </w:rPr>
              <w:t>到的现金净额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33,642,782.91</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10,601,020.00</w:t>
            </w: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4"/>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w:t>
            </w:r>
            <w:r>
              <w:rPr>
                <w:rFonts w:ascii="宋体" w:hAnsi="宋体" w:cs="宋体" w:eastAsia="宋体" w:hint="default"/>
                <w:w w:val="101"/>
                <w:sz w:val="18"/>
                <w:szCs w:val="18"/>
              </w:rPr>
              <w:t> </w:t>
            </w:r>
            <w:r>
              <w:rPr>
                <w:rFonts w:ascii="宋体" w:hAnsi="宋体" w:cs="宋体" w:eastAsia="宋体" w:hint="default"/>
                <w:sz w:val="18"/>
                <w:szCs w:val="18"/>
              </w:rPr>
              <w:t>他长期资产支付的现金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39,242,486.65</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42,985,676.03</w:t>
            </w:r>
          </w:p>
        </w:tc>
      </w:tr>
      <w:tr>
        <w:trPr>
          <w:trHeight w:val="413" w:hRule="exact"/>
        </w:trPr>
        <w:tc>
          <w:tcPr>
            <w:tcW w:w="29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2,000,000.00</w:t>
            </w:r>
          </w:p>
        </w:tc>
        <w:tc>
          <w:tcPr>
            <w:tcW w:w="329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210,303,000.00</w:t>
            </w:r>
          </w:p>
        </w:tc>
      </w:tr>
    </w:tbl>
    <w:p>
      <w:pPr>
        <w:spacing w:after="0" w:line="240" w:lineRule="auto"/>
        <w:jc w:val="right"/>
        <w:rPr>
          <w:rFonts w:ascii="宋体" w:hAnsi="宋体" w:cs="宋体" w:eastAsia="宋体" w:hint="default"/>
          <w:sz w:val="18"/>
          <w:szCs w:val="18"/>
        </w:rPr>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967"/>
        <w:gridCol w:w="3304"/>
        <w:gridCol w:w="3299"/>
      </w:tblGrid>
      <w:tr>
        <w:trPr>
          <w:trHeight w:val="413" w:hRule="exact"/>
        </w:trPr>
        <w:tc>
          <w:tcPr>
            <w:tcW w:w="29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1"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4"/>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w:t>
            </w:r>
            <w:r>
              <w:rPr>
                <w:rFonts w:ascii="宋体" w:hAnsi="宋体" w:cs="宋体" w:eastAsia="宋体" w:hint="default"/>
                <w:w w:val="101"/>
                <w:sz w:val="18"/>
                <w:szCs w:val="18"/>
              </w:rPr>
              <w:t> </w:t>
            </w:r>
            <w:r>
              <w:rPr>
                <w:rFonts w:ascii="宋体" w:hAnsi="宋体" w:cs="宋体" w:eastAsia="宋体" w:hint="default"/>
                <w:sz w:val="18"/>
                <w:szCs w:val="18"/>
              </w:rPr>
              <w:t>付的现金净额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w:t>
            </w:r>
          </w:p>
          <w:p>
            <w:pPr>
              <w:pStyle w:val="TableParagraph"/>
              <w:spacing w:line="240" w:lineRule="auto" w:before="81"/>
              <w:ind w:left="9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4,818,557.28</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2,350,649.00</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46,061,043.93</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255,639,325.03</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2"/>
                <w:sz w:val="18"/>
              </w:rPr>
              <w:t>-12,418,261.02</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-245,038,305.03</w:t>
            </w: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w:t>
            </w:r>
            <w:r>
              <w:rPr>
                <w:rFonts w:ascii="宋体" w:hAnsi="宋体" w:cs="宋体" w:eastAsia="宋体" w:hint="default"/>
                <w:w w:val="101"/>
                <w:sz w:val="18"/>
                <w:szCs w:val="18"/>
              </w:rPr>
              <w:t> </w:t>
            </w:r>
            <w:r>
              <w:rPr>
                <w:rFonts w:ascii="宋体" w:hAnsi="宋体" w:cs="宋体" w:eastAsia="宋体" w:hint="default"/>
                <w:sz w:val="18"/>
                <w:szCs w:val="18"/>
              </w:rPr>
              <w:t>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216,000,000.00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369,000,000.00</w:t>
            </w:r>
          </w:p>
        </w:tc>
      </w:tr>
      <w:tr>
        <w:trPr>
          <w:trHeight w:val="710"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83,551,000.00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22,632,875.00</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299,551,000.00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391,632,875.00</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2"/>
                <w:sz w:val="18"/>
              </w:rPr>
              <w:t>303,047,029.20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2"/>
                <w:sz w:val="18"/>
              </w:rPr>
              <w:t>238,617,498.60</w:t>
            </w: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w:t>
            </w:r>
            <w:r>
              <w:rPr>
                <w:rFonts w:ascii="宋体" w:hAnsi="宋体" w:cs="宋体" w:eastAsia="宋体" w:hint="default"/>
                <w:w w:val="101"/>
                <w:sz w:val="18"/>
                <w:szCs w:val="18"/>
              </w:rPr>
              <w:t> </w:t>
            </w:r>
            <w:r>
              <w:rPr>
                <w:rFonts w:ascii="宋体" w:hAnsi="宋体" w:cs="宋体" w:eastAsia="宋体" w:hint="default"/>
                <w:sz w:val="18"/>
                <w:szCs w:val="18"/>
              </w:rPr>
              <w:t>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19,758,884.50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19,807,897.06</w:t>
            </w:r>
          </w:p>
        </w:tc>
      </w:tr>
      <w:tr>
        <w:trPr>
          <w:trHeight w:val="711"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w:t>
            </w:r>
            <w:r>
              <w:rPr>
                <w:rFonts w:ascii="宋体" w:hAnsi="宋体" w:cs="宋体" w:eastAsia="宋体" w:hint="default"/>
                <w:w w:val="101"/>
                <w:sz w:val="18"/>
                <w:szCs w:val="18"/>
              </w:rPr>
              <w:t> </w:t>
            </w:r>
            <w:r>
              <w:rPr>
                <w:rFonts w:ascii="宋体" w:hAnsi="宋体" w:cs="宋体" w:eastAsia="宋体" w:hint="default"/>
                <w:sz w:val="18"/>
                <w:szCs w:val="18"/>
              </w:rPr>
              <w:t>的股利、利润</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w:t>
            </w:r>
          </w:p>
          <w:p>
            <w:pPr>
              <w:pStyle w:val="TableParagraph"/>
              <w:spacing w:line="240" w:lineRule="auto" w:before="81"/>
              <w:ind w:left="9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111,054,489.13</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36,209,335.00</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433,860,402.83</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294,634,730.66</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-134,309,402.83</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96,998,144.34</w:t>
            </w:r>
          </w:p>
        </w:tc>
      </w:tr>
      <w:tr>
        <w:trPr>
          <w:trHeight w:val="711"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4"/>
              <w:ind w:left="95" w:right="147"/>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的影响</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69,550,572.08</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-105,198,912.95</w:t>
            </w: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w:t>
            </w:r>
          </w:p>
          <w:p>
            <w:pPr>
              <w:pStyle w:val="TableParagraph"/>
              <w:spacing w:line="240" w:lineRule="auto" w:before="81"/>
              <w:ind w:left="9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84,091,363.73</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2"/>
                <w:sz w:val="18"/>
              </w:rPr>
              <w:t>189,290,276.68</w:t>
            </w:r>
          </w:p>
        </w:tc>
      </w:tr>
      <w:tr>
        <w:trPr>
          <w:trHeight w:val="413" w:hRule="exact"/>
        </w:trPr>
        <w:tc>
          <w:tcPr>
            <w:tcW w:w="29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153,641,935.81</w:t>
            </w:r>
          </w:p>
        </w:tc>
        <w:tc>
          <w:tcPr>
            <w:tcW w:w="329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84,091,363.73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right="1024"/>
        <w:jc w:val="left"/>
        <w:rPr>
          <w:b w:val="0"/>
          <w:bCs w:val="0"/>
        </w:rPr>
      </w:pPr>
      <w:bookmarkStart w:name="6、母公司现金流量表" w:id="212"/>
      <w:bookmarkEnd w:id="212"/>
      <w:r>
        <w:rPr>
          <w:b w:val="0"/>
          <w:bCs w:val="0"/>
        </w:rPr>
      </w:r>
      <w:r>
        <w:rPr>
          <w:rFonts w:ascii="宋体" w:hAnsi="宋体" w:cs="宋体" w:eastAsia="宋体" w:hint="default"/>
        </w:rPr>
        <w:t>6</w:t>
      </w:r>
      <w:r>
        <w:rPr/>
        <w:t>、母公司现金流量表</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0"/>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2967"/>
        <w:gridCol w:w="3304"/>
        <w:gridCol w:w="3299"/>
      </w:tblGrid>
      <w:tr>
        <w:trPr>
          <w:trHeight w:val="408" w:hRule="exact"/>
        </w:trPr>
        <w:tc>
          <w:tcPr>
            <w:tcW w:w="29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13" w:hRule="exact"/>
        </w:trPr>
        <w:tc>
          <w:tcPr>
            <w:tcW w:w="29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12"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12" w:space="0" w:color="000000"/>
              <w:right w:val="single" w:sz="12" w:space="0" w:color="000000"/>
            </w:tcBorders>
            <w:shd w:val="clear" w:color="auto" w:fill="D2D2D2"/>
          </w:tcPr>
          <w:p>
            <w:pPr/>
          </w:p>
        </w:tc>
      </w:tr>
    </w:tbl>
    <w:p>
      <w:pPr>
        <w:spacing w:after="0"/>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8" w:type="dxa"/>
        <w:tblLayout w:type="fixed"/>
        <w:tblCellMar>
          <w:top w:w="0" w:type="dxa"/>
          <w:left w:w="0" w:type="dxa"/>
          <w:bottom w:w="0" w:type="dxa"/>
          <w:right w:w="0" w:type="dxa"/>
        </w:tblCellMar>
        <w:tblLook w:val="01E0"/>
      </w:tblPr>
      <w:tblGrid>
        <w:gridCol w:w="2967"/>
        <w:gridCol w:w="3304"/>
        <w:gridCol w:w="3299"/>
      </w:tblGrid>
      <w:tr>
        <w:trPr>
          <w:trHeight w:val="413" w:hRule="exact"/>
        </w:trPr>
        <w:tc>
          <w:tcPr>
            <w:tcW w:w="29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261,155,853.78</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2"/>
                <w:sz w:val="18"/>
              </w:rPr>
              <w:t>161,186,324.89</w:t>
            </w: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w:t>
            </w:r>
          </w:p>
          <w:p>
            <w:pPr>
              <w:pStyle w:val="TableParagraph"/>
              <w:spacing w:line="240" w:lineRule="auto" w:before="81"/>
              <w:ind w:left="9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263,122,969.65</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2"/>
                <w:sz w:val="18"/>
              </w:rPr>
              <w:t>256,911,601.09</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524,278,823.43</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418,097,925.98</w:t>
            </w: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购买商品、接受劳务支付的现</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102,176,395.27</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2"/>
                <w:sz w:val="18"/>
              </w:rPr>
              <w:t>100,085,332.35</w:t>
            </w:r>
          </w:p>
        </w:tc>
      </w:tr>
      <w:tr>
        <w:trPr>
          <w:trHeight w:val="710"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w:t>
            </w:r>
            <w:r>
              <w:rPr>
                <w:rFonts w:ascii="宋体" w:hAnsi="宋体" w:cs="宋体" w:eastAsia="宋体" w:hint="default"/>
                <w:w w:val="101"/>
                <w:sz w:val="18"/>
                <w:szCs w:val="18"/>
              </w:rPr>
              <w:t> </w:t>
            </w:r>
            <w:r>
              <w:rPr>
                <w:rFonts w:ascii="宋体" w:hAnsi="宋体" w:cs="宋体" w:eastAsia="宋体" w:hint="default"/>
                <w:sz w:val="18"/>
                <w:szCs w:val="18"/>
              </w:rPr>
              <w:t>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29,135,763.04</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28,227,627.43</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8,438,194.77</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5,405,024.79</w:t>
            </w: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w:t>
            </w:r>
          </w:p>
          <w:p>
            <w:pPr>
              <w:pStyle w:val="TableParagraph"/>
              <w:spacing w:line="240" w:lineRule="auto" w:before="81"/>
              <w:ind w:left="9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292,059,901.67</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2"/>
                <w:sz w:val="18"/>
              </w:rPr>
              <w:t>212,908,257.68</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431,810,254.75</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346,626,242.25</w:t>
            </w: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92,468,568.68</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71,471,683.73</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33,636,779.71</w:t>
            </w: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1"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w:t>
            </w:r>
            <w:r>
              <w:rPr>
                <w:rFonts w:ascii="宋体" w:hAnsi="宋体" w:cs="宋体" w:eastAsia="宋体" w:hint="default"/>
                <w:w w:val="101"/>
                <w:sz w:val="18"/>
                <w:szCs w:val="18"/>
              </w:rPr>
              <w:t> </w:t>
            </w:r>
            <w:r>
              <w:rPr>
                <w:rFonts w:ascii="宋体" w:hAnsi="宋体" w:cs="宋体" w:eastAsia="宋体" w:hint="default"/>
                <w:spacing w:val="-3"/>
                <w:sz w:val="18"/>
                <w:szCs w:val="18"/>
              </w:rPr>
              <w:t>他长期资产收回的现金净额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9,020.00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1,000.00</w:t>
            </w: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w:t>
            </w:r>
            <w:r>
              <w:rPr>
                <w:rFonts w:ascii="宋体" w:hAnsi="宋体" w:cs="宋体" w:eastAsia="宋体" w:hint="default"/>
                <w:w w:val="101"/>
                <w:sz w:val="18"/>
                <w:szCs w:val="18"/>
              </w:rPr>
              <w:t> </w:t>
            </w:r>
            <w:r>
              <w:rPr>
                <w:rFonts w:ascii="宋体" w:hAnsi="宋体" w:cs="宋体" w:eastAsia="宋体" w:hint="default"/>
                <w:sz w:val="18"/>
                <w:szCs w:val="18"/>
              </w:rPr>
              <w:t>到的现金净额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w:t>
            </w:r>
          </w:p>
          <w:p>
            <w:pPr>
              <w:pStyle w:val="TableParagraph"/>
              <w:spacing w:line="240" w:lineRule="auto" w:before="81"/>
              <w:ind w:left="9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33,645,799.71</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1,000.00</w:t>
            </w:r>
          </w:p>
        </w:tc>
      </w:tr>
      <w:tr>
        <w:trPr>
          <w:trHeight w:val="710"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w:t>
            </w:r>
            <w:r>
              <w:rPr>
                <w:rFonts w:ascii="宋体" w:hAnsi="宋体" w:cs="宋体" w:eastAsia="宋体" w:hint="default"/>
                <w:w w:val="101"/>
                <w:sz w:val="18"/>
                <w:szCs w:val="18"/>
              </w:rPr>
              <w:t> </w:t>
            </w:r>
            <w:r>
              <w:rPr>
                <w:rFonts w:ascii="宋体" w:hAnsi="宋体" w:cs="宋体" w:eastAsia="宋体" w:hint="default"/>
                <w:sz w:val="18"/>
                <w:szCs w:val="18"/>
              </w:rPr>
              <w:t>他长期资产支付的现金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24,811,602.24</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32,577,438.74</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2,000,000.00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341,000.00</w:t>
            </w: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4"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w:t>
            </w:r>
            <w:r>
              <w:rPr>
                <w:rFonts w:ascii="宋体" w:hAnsi="宋体" w:cs="宋体" w:eastAsia="宋体" w:hint="default"/>
                <w:w w:val="101"/>
                <w:sz w:val="18"/>
                <w:szCs w:val="18"/>
              </w:rPr>
              <w:t> </w:t>
            </w:r>
            <w:r>
              <w:rPr>
                <w:rFonts w:ascii="宋体" w:hAnsi="宋体" w:cs="宋体" w:eastAsia="宋体" w:hint="default"/>
                <w:sz w:val="18"/>
                <w:szCs w:val="18"/>
              </w:rPr>
              <w:t>付的现金净额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1,800,000.00</w:t>
            </w: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28,611,602.24</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32,918,438.74</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5,034,197.47</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2"/>
                <w:sz w:val="18"/>
              </w:rPr>
              <w:t>-32,917,438.74</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13" w:hRule="exact"/>
        </w:trPr>
        <w:tc>
          <w:tcPr>
            <w:tcW w:w="29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4" w:type="dxa"/>
            <w:tcBorders>
              <w:top w:val="single" w:sz="4" w:space="0" w:color="000000"/>
              <w:left w:val="single" w:sz="4" w:space="0" w:color="000000"/>
              <w:bottom w:val="single" w:sz="12" w:space="0" w:color="000000"/>
              <w:right w:val="single" w:sz="4" w:space="0" w:color="000000"/>
            </w:tcBorders>
          </w:tcPr>
          <w:p>
            <w:pPr/>
          </w:p>
        </w:tc>
        <w:tc>
          <w:tcPr>
            <w:tcW w:w="3299"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100" w:bottom="122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118" w:type="dxa"/>
        <w:tblLayout w:type="fixed"/>
        <w:tblCellMar>
          <w:top w:w="0" w:type="dxa"/>
          <w:left w:w="0" w:type="dxa"/>
          <w:bottom w:w="0" w:type="dxa"/>
          <w:right w:w="0" w:type="dxa"/>
        </w:tblCellMar>
        <w:tblLook w:val="01E0"/>
      </w:tblPr>
      <w:tblGrid>
        <w:gridCol w:w="2967"/>
        <w:gridCol w:w="3304"/>
        <w:gridCol w:w="3299"/>
      </w:tblGrid>
      <w:tr>
        <w:trPr>
          <w:trHeight w:val="413" w:hRule="exact"/>
        </w:trPr>
        <w:tc>
          <w:tcPr>
            <w:tcW w:w="2967"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205,000,000.00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129,000,000.00</w:t>
            </w:r>
          </w:p>
        </w:tc>
      </w:tr>
      <w:tr>
        <w:trPr>
          <w:trHeight w:val="711"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80,000,000.00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500,994.68</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285,000,000.00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129,500,994.68</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266,047,029.20</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193,617,498.60</w:t>
            </w: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5" w:right="147"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w:t>
            </w:r>
            <w:r>
              <w:rPr>
                <w:rFonts w:ascii="宋体" w:hAnsi="宋体" w:cs="宋体" w:eastAsia="宋体" w:hint="default"/>
                <w:w w:val="101"/>
                <w:sz w:val="18"/>
                <w:szCs w:val="18"/>
              </w:rPr>
              <w:t> </w:t>
            </w:r>
            <w:r>
              <w:rPr>
                <w:rFonts w:ascii="宋体" w:hAnsi="宋体" w:cs="宋体" w:eastAsia="宋体" w:hint="default"/>
                <w:sz w:val="18"/>
                <w:szCs w:val="18"/>
              </w:rPr>
              <w:t>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18,138,719.36</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16,873,036.30</w:t>
            </w:r>
          </w:p>
        </w:tc>
      </w:tr>
      <w:tr>
        <w:trPr>
          <w:trHeight w:val="710"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105,254,489.13</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29,920,335.00</w:t>
            </w:r>
          </w:p>
        </w:tc>
      </w:tr>
      <w:tr>
        <w:trPr>
          <w:trHeight w:val="403"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389,440,237.69</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240,410,869.90</w:t>
            </w:r>
          </w:p>
        </w:tc>
      </w:tr>
      <w:tr>
        <w:trPr>
          <w:trHeight w:val="404"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-104,440,237.69</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-110,909,875.22</w:t>
            </w:r>
          </w:p>
        </w:tc>
      </w:tr>
      <w:tr>
        <w:trPr>
          <w:trHeight w:val="715"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47"/>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的影响</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-6,937,471.54</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-72,355,630.23</w:t>
            </w:r>
          </w:p>
        </w:tc>
      </w:tr>
      <w:tr>
        <w:trPr>
          <w:trHeight w:val="716" w:hRule="exact"/>
        </w:trPr>
        <w:tc>
          <w:tcPr>
            <w:tcW w:w="296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w:t>
            </w:r>
          </w:p>
          <w:p>
            <w:pPr>
              <w:pStyle w:val="TableParagraph"/>
              <w:spacing w:line="240" w:lineRule="auto" w:before="81"/>
              <w:ind w:left="9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38,216,783.85</w:t>
            </w:r>
          </w:p>
        </w:tc>
        <w:tc>
          <w:tcPr>
            <w:tcW w:w="32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4"/>
              <w:jc w:val="right"/>
              <w:rPr>
                <w:rFonts w:ascii="宋体" w:hAnsi="宋体" w:cs="宋体" w:eastAsia="宋体" w:hint="default"/>
                <w:sz w:val="18"/>
                <w:szCs w:val="18"/>
              </w:rPr>
            </w:pPr>
            <w:r>
              <w:rPr>
                <w:rFonts w:ascii="宋体"/>
                <w:spacing w:val="-2"/>
                <w:sz w:val="18"/>
              </w:rPr>
              <w:t>110,572,414.08</w:t>
            </w:r>
          </w:p>
        </w:tc>
      </w:tr>
      <w:tr>
        <w:trPr>
          <w:trHeight w:val="413" w:hRule="exact"/>
        </w:trPr>
        <w:tc>
          <w:tcPr>
            <w:tcW w:w="296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31,279,312.31</w:t>
            </w:r>
          </w:p>
        </w:tc>
        <w:tc>
          <w:tcPr>
            <w:tcW w:w="329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38,216,783.85</w:t>
            </w:r>
          </w:p>
        </w:tc>
      </w:tr>
    </w:tbl>
    <w:p>
      <w:pPr>
        <w:spacing w:line="240" w:lineRule="auto" w:before="10"/>
        <w:rPr>
          <w:rFonts w:ascii="Times New Roman" w:hAnsi="Times New Roman" w:cs="Times New Roman" w:eastAsia="Times New Roman" w:hint="default"/>
          <w:sz w:val="21"/>
          <w:szCs w:val="21"/>
        </w:rPr>
      </w:pPr>
    </w:p>
    <w:p>
      <w:pPr>
        <w:spacing w:line="504" w:lineRule="auto" w:before="36"/>
        <w:ind w:left="1133" w:right="8326" w:firstLine="0"/>
        <w:jc w:val="left"/>
        <w:rPr>
          <w:rFonts w:ascii="宋体" w:hAnsi="宋体" w:cs="宋体" w:eastAsia="宋体" w:hint="default"/>
          <w:sz w:val="21"/>
          <w:szCs w:val="21"/>
        </w:rPr>
      </w:pPr>
      <w:bookmarkStart w:name="7、合并所有者权益变动表" w:id="213"/>
      <w:bookmarkEnd w:id="213"/>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b/>
          <w:bCs/>
          <w:spacing w:val="-102"/>
          <w:sz w:val="21"/>
          <w:szCs w:val="21"/>
        </w:rPr>
        <w:t> </w:t>
      </w:r>
      <w:bookmarkStart w:name="本期金额" w:id="214"/>
      <w:bookmarkEnd w:id="214"/>
      <w:r>
        <w:rPr>
          <w:rFonts w:ascii="宋体" w:hAnsi="宋体" w:cs="宋体" w:eastAsia="宋体" w:hint="default"/>
          <w:b/>
          <w:bCs/>
          <w:spacing w:val="-102"/>
          <w:sz w:val="21"/>
          <w:szCs w:val="21"/>
        </w:rPr>
      </w:r>
      <w:r>
        <w:rPr>
          <w:rFonts w:ascii="宋体" w:hAnsi="宋体" w:cs="宋体" w:eastAsia="宋体" w:hint="default"/>
          <w:sz w:val="21"/>
          <w:szCs w:val="21"/>
        </w:rPr>
        <w:t>本期金额</w:t>
      </w:r>
    </w:p>
    <w:p>
      <w:pPr>
        <w:spacing w:before="13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52" w:type="dxa"/>
        <w:tblLayout w:type="fixed"/>
        <w:tblCellMar>
          <w:top w:w="0" w:type="dxa"/>
          <w:left w:w="0" w:type="dxa"/>
          <w:bottom w:w="0" w:type="dxa"/>
          <w:right w:w="0" w:type="dxa"/>
        </w:tblCellMar>
        <w:tblLook w:val="01E0"/>
      </w:tblPr>
      <w:tblGrid>
        <w:gridCol w:w="1042"/>
        <w:gridCol w:w="1057"/>
        <w:gridCol w:w="288"/>
        <w:gridCol w:w="127"/>
        <w:gridCol w:w="127"/>
        <w:gridCol w:w="274"/>
        <w:gridCol w:w="1080"/>
        <w:gridCol w:w="1009"/>
        <w:gridCol w:w="264"/>
        <w:gridCol w:w="264"/>
        <w:gridCol w:w="1023"/>
        <w:gridCol w:w="418"/>
        <w:gridCol w:w="1167"/>
        <w:gridCol w:w="118"/>
        <w:gridCol w:w="122"/>
        <w:gridCol w:w="1176"/>
        <w:gridCol w:w="1018"/>
        <w:gridCol w:w="1177"/>
      </w:tblGrid>
      <w:tr>
        <w:trPr>
          <w:trHeight w:val="410" w:hRule="exact"/>
        </w:trPr>
        <w:tc>
          <w:tcPr>
            <w:tcW w:w="1042"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2"/>
                <w:szCs w:val="12"/>
              </w:rPr>
            </w:pPr>
          </w:p>
          <w:p>
            <w:pPr>
              <w:pStyle w:val="TableParagraph"/>
              <w:spacing w:line="240" w:lineRule="auto"/>
              <w:ind w:left="-1" w:right="12"/>
              <w:jc w:val="center"/>
              <w:rPr>
                <w:rFonts w:ascii="宋体" w:hAnsi="宋体" w:cs="宋体" w:eastAsia="宋体" w:hint="default"/>
                <w:sz w:val="15"/>
                <w:szCs w:val="15"/>
              </w:rPr>
            </w:pPr>
            <w:r>
              <w:rPr>
                <w:rFonts w:ascii="宋体" w:hAnsi="宋体" w:cs="宋体" w:eastAsia="宋体" w:hint="default"/>
                <w:w w:val="90"/>
                <w:sz w:val="15"/>
                <w:szCs w:val="15"/>
              </w:rPr>
              <w:t>项目</w:t>
            </w:r>
            <w:r>
              <w:rPr>
                <w:rFonts w:ascii="宋体" w:hAnsi="宋体" w:cs="宋体" w:eastAsia="宋体" w:hint="default"/>
                <w:sz w:val="15"/>
                <w:szCs w:val="15"/>
              </w:rPr>
            </w:r>
          </w:p>
        </w:tc>
        <w:tc>
          <w:tcPr>
            <w:tcW w:w="10708" w:type="dxa"/>
            <w:gridSpan w:val="17"/>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79"/>
              <w:ind w:left="9" w:right="0"/>
              <w:jc w:val="center"/>
              <w:rPr>
                <w:rFonts w:ascii="宋体" w:hAnsi="宋体" w:cs="宋体" w:eastAsia="宋体" w:hint="default"/>
                <w:sz w:val="15"/>
                <w:szCs w:val="15"/>
              </w:rPr>
            </w:pPr>
            <w:r>
              <w:rPr>
                <w:rFonts w:ascii="宋体" w:hAnsi="宋体" w:cs="宋体" w:eastAsia="宋体" w:hint="default"/>
                <w:w w:val="80"/>
                <w:sz w:val="15"/>
                <w:szCs w:val="15"/>
              </w:rPr>
              <w:t>2019</w:t>
            </w:r>
            <w:r>
              <w:rPr>
                <w:rFonts w:ascii="宋体" w:hAnsi="宋体" w:cs="宋体" w:eastAsia="宋体" w:hint="default"/>
                <w:spacing w:val="-35"/>
                <w:w w:val="80"/>
                <w:sz w:val="15"/>
                <w:szCs w:val="15"/>
              </w:rPr>
              <w:t> </w:t>
            </w:r>
            <w:r>
              <w:rPr>
                <w:rFonts w:ascii="宋体" w:hAnsi="宋体" w:cs="宋体" w:eastAsia="宋体" w:hint="default"/>
                <w:w w:val="80"/>
                <w:sz w:val="15"/>
                <w:szCs w:val="15"/>
              </w:rPr>
              <w:t>年度</w:t>
            </w:r>
            <w:r>
              <w:rPr>
                <w:rFonts w:ascii="宋体" w:hAnsi="宋体" w:cs="宋体" w:eastAsia="宋体" w:hint="default"/>
                <w:sz w:val="15"/>
                <w:szCs w:val="15"/>
              </w:rPr>
            </w:r>
          </w:p>
        </w:tc>
      </w:tr>
      <w:tr>
        <w:trPr>
          <w:trHeight w:val="397" w:hRule="exact"/>
        </w:trPr>
        <w:tc>
          <w:tcPr>
            <w:tcW w:w="1042" w:type="dxa"/>
            <w:vMerge/>
            <w:tcBorders>
              <w:left w:val="single" w:sz="12" w:space="0" w:color="000000"/>
              <w:right w:val="single" w:sz="4" w:space="0" w:color="000000"/>
            </w:tcBorders>
            <w:shd w:val="clear" w:color="auto" w:fill="D2D2D2"/>
          </w:tcPr>
          <w:p>
            <w:pPr/>
          </w:p>
        </w:tc>
        <w:tc>
          <w:tcPr>
            <w:tcW w:w="851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 w:right="0"/>
              <w:jc w:val="center"/>
              <w:rPr>
                <w:rFonts w:ascii="宋体" w:hAnsi="宋体" w:cs="宋体" w:eastAsia="宋体" w:hint="default"/>
                <w:sz w:val="15"/>
                <w:szCs w:val="15"/>
              </w:rPr>
            </w:pPr>
            <w:r>
              <w:rPr>
                <w:rFonts w:ascii="宋体" w:hAnsi="宋体" w:cs="宋体" w:eastAsia="宋体" w:hint="default"/>
                <w:w w:val="90"/>
                <w:sz w:val="15"/>
                <w:szCs w:val="15"/>
              </w:rPr>
              <w:t>归属于母公司所有者权益</w:t>
            </w:r>
            <w:r>
              <w:rPr>
                <w:rFonts w:ascii="宋体" w:hAnsi="宋体" w:cs="宋体" w:eastAsia="宋体" w:hint="default"/>
                <w:sz w:val="15"/>
                <w:szCs w:val="15"/>
              </w:rPr>
            </w:r>
          </w:p>
        </w:tc>
        <w:tc>
          <w:tcPr>
            <w:tcW w:w="10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44" w:right="0"/>
              <w:jc w:val="left"/>
              <w:rPr>
                <w:rFonts w:ascii="宋体" w:hAnsi="宋体" w:cs="宋体" w:eastAsia="宋体" w:hint="default"/>
                <w:sz w:val="15"/>
                <w:szCs w:val="15"/>
              </w:rPr>
            </w:pPr>
            <w:r>
              <w:rPr>
                <w:rFonts w:ascii="宋体" w:hAnsi="宋体" w:cs="宋体" w:eastAsia="宋体" w:hint="default"/>
                <w:w w:val="90"/>
                <w:sz w:val="15"/>
                <w:szCs w:val="15"/>
              </w:rPr>
              <w:t>少数股东权益</w:t>
            </w:r>
            <w:r>
              <w:rPr>
                <w:rFonts w:ascii="宋体" w:hAnsi="宋体" w:cs="宋体" w:eastAsia="宋体" w:hint="default"/>
                <w:sz w:val="15"/>
                <w:szCs w:val="15"/>
              </w:rPr>
            </w:r>
          </w:p>
        </w:tc>
        <w:tc>
          <w:tcPr>
            <w:tcW w:w="1177"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68" w:right="0"/>
              <w:jc w:val="left"/>
              <w:rPr>
                <w:rFonts w:ascii="宋体" w:hAnsi="宋体" w:cs="宋体" w:eastAsia="宋体" w:hint="default"/>
                <w:sz w:val="15"/>
                <w:szCs w:val="15"/>
              </w:rPr>
            </w:pPr>
            <w:r>
              <w:rPr>
                <w:rFonts w:ascii="宋体" w:hAnsi="宋体" w:cs="宋体" w:eastAsia="宋体" w:hint="default"/>
                <w:w w:val="90"/>
                <w:sz w:val="15"/>
                <w:szCs w:val="15"/>
              </w:rPr>
              <w:t>所有者权益合计</w:t>
            </w:r>
            <w:r>
              <w:rPr>
                <w:rFonts w:ascii="宋体" w:hAnsi="宋体" w:cs="宋体" w:eastAsia="宋体" w:hint="default"/>
                <w:sz w:val="15"/>
                <w:szCs w:val="15"/>
              </w:rPr>
            </w:r>
          </w:p>
        </w:tc>
      </w:tr>
      <w:tr>
        <w:trPr>
          <w:trHeight w:val="674" w:hRule="exact"/>
        </w:trPr>
        <w:tc>
          <w:tcPr>
            <w:tcW w:w="1042" w:type="dxa"/>
            <w:vMerge/>
            <w:tcBorders>
              <w:left w:val="single" w:sz="12" w:space="0" w:color="000000"/>
              <w:right w:val="single" w:sz="4" w:space="0" w:color="000000"/>
            </w:tcBorders>
            <w:shd w:val="clear" w:color="auto" w:fill="D2D2D2"/>
          </w:tcPr>
          <w:p>
            <w:pPr/>
          </w:p>
        </w:tc>
        <w:tc>
          <w:tcPr>
            <w:tcW w:w="10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90"/>
                <w:sz w:val="15"/>
                <w:szCs w:val="15"/>
              </w:rPr>
              <w:t>股本</w:t>
            </w:r>
            <w:r>
              <w:rPr>
                <w:rFonts w:ascii="宋体" w:hAnsi="宋体" w:cs="宋体" w:eastAsia="宋体" w:hint="default"/>
                <w:sz w:val="15"/>
                <w:szCs w:val="15"/>
              </w:rPr>
            </w:r>
          </w:p>
        </w:tc>
        <w:tc>
          <w:tcPr>
            <w:tcW w:w="81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6" w:lineRule="auto" w:before="84"/>
              <w:ind w:left="345" w:right="104" w:hanging="240"/>
              <w:jc w:val="left"/>
              <w:rPr>
                <w:rFonts w:ascii="宋体" w:hAnsi="宋体" w:cs="宋体" w:eastAsia="宋体" w:hint="default"/>
                <w:sz w:val="15"/>
                <w:szCs w:val="15"/>
              </w:rPr>
            </w:pPr>
            <w:r>
              <w:rPr>
                <w:rFonts w:ascii="宋体" w:hAnsi="宋体" w:cs="宋体" w:eastAsia="宋体" w:hint="default"/>
                <w:w w:val="80"/>
                <w:sz w:val="15"/>
                <w:szCs w:val="15"/>
              </w:rPr>
              <w:t>其他权益工</w:t>
            </w:r>
            <w:r>
              <w:rPr>
                <w:rFonts w:ascii="宋体" w:hAnsi="宋体" w:cs="宋体" w:eastAsia="宋体" w:hint="default"/>
                <w:w w:val="79"/>
                <w:sz w:val="15"/>
                <w:szCs w:val="15"/>
              </w:rPr>
              <w:t> </w:t>
            </w:r>
            <w:r>
              <w:rPr>
                <w:rFonts w:ascii="宋体" w:hAnsi="宋体" w:cs="宋体" w:eastAsia="宋体" w:hint="default"/>
                <w:w w:val="90"/>
                <w:sz w:val="15"/>
                <w:szCs w:val="15"/>
              </w:rPr>
              <w:t>具</w:t>
            </w:r>
            <w:r>
              <w:rPr>
                <w:rFonts w:ascii="宋体" w:hAnsi="宋体" w:cs="宋体" w:eastAsia="宋体" w:hint="default"/>
                <w:sz w:val="15"/>
                <w:szCs w:val="15"/>
              </w:rPr>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98" w:right="0"/>
              <w:jc w:val="left"/>
              <w:rPr>
                <w:rFonts w:ascii="宋体" w:hAnsi="宋体" w:cs="宋体" w:eastAsia="宋体" w:hint="default"/>
                <w:sz w:val="15"/>
                <w:szCs w:val="15"/>
              </w:rPr>
            </w:pPr>
            <w:r>
              <w:rPr>
                <w:rFonts w:ascii="宋体" w:hAnsi="宋体" w:cs="宋体" w:eastAsia="宋体" w:hint="default"/>
                <w:w w:val="90"/>
                <w:sz w:val="15"/>
                <w:szCs w:val="15"/>
              </w:rPr>
              <w:t>资本公积</w:t>
            </w:r>
            <w:r>
              <w:rPr>
                <w:rFonts w:ascii="宋体" w:hAnsi="宋体" w:cs="宋体" w:eastAsia="宋体" w:hint="default"/>
                <w:sz w:val="15"/>
                <w:szCs w:val="15"/>
              </w:rPr>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01" w:right="0"/>
              <w:jc w:val="left"/>
              <w:rPr>
                <w:rFonts w:ascii="宋体" w:hAnsi="宋体" w:cs="宋体" w:eastAsia="宋体" w:hint="default"/>
                <w:sz w:val="15"/>
                <w:szCs w:val="15"/>
              </w:rPr>
            </w:pPr>
            <w:r>
              <w:rPr>
                <w:rFonts w:ascii="宋体" w:hAnsi="宋体" w:cs="宋体" w:eastAsia="宋体" w:hint="default"/>
                <w:w w:val="90"/>
                <w:sz w:val="15"/>
                <w:szCs w:val="15"/>
              </w:rPr>
              <w:t>减：库存股</w:t>
            </w:r>
            <w:r>
              <w:rPr>
                <w:rFonts w:ascii="宋体" w:hAnsi="宋体" w:cs="宋体" w:eastAsia="宋体" w:hint="default"/>
                <w:sz w:val="15"/>
                <w:szCs w:val="15"/>
              </w:rPr>
            </w:r>
          </w:p>
        </w:tc>
        <w:tc>
          <w:tcPr>
            <w:tcW w:w="264"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84"/>
              <w:ind w:left="105" w:right="27"/>
              <w:jc w:val="both"/>
              <w:rPr>
                <w:rFonts w:ascii="宋体" w:hAnsi="宋体" w:cs="宋体" w:eastAsia="宋体" w:hint="default"/>
                <w:sz w:val="15"/>
                <w:szCs w:val="15"/>
              </w:rPr>
            </w:pPr>
            <w:r>
              <w:rPr>
                <w:rFonts w:ascii="宋体" w:hAnsi="宋体" w:cs="宋体" w:eastAsia="宋体" w:hint="default"/>
                <w:w w:val="85"/>
                <w:sz w:val="15"/>
                <w:szCs w:val="15"/>
              </w:rPr>
              <w:t>其</w:t>
            </w:r>
            <w:r>
              <w:rPr>
                <w:rFonts w:ascii="宋体" w:hAnsi="宋体" w:cs="宋体" w:eastAsia="宋体" w:hint="default"/>
                <w:w w:val="79"/>
                <w:sz w:val="15"/>
                <w:szCs w:val="15"/>
              </w:rPr>
              <w:t> </w:t>
            </w:r>
            <w:r>
              <w:rPr>
                <w:rFonts w:ascii="宋体" w:hAnsi="宋体" w:cs="宋体" w:eastAsia="宋体" w:hint="default"/>
                <w:w w:val="85"/>
                <w:sz w:val="15"/>
                <w:szCs w:val="15"/>
              </w:rPr>
              <w:t>他</w:t>
            </w:r>
            <w:r>
              <w:rPr>
                <w:rFonts w:ascii="宋体" w:hAnsi="宋体" w:cs="宋体" w:eastAsia="宋体" w:hint="default"/>
                <w:w w:val="79"/>
                <w:sz w:val="15"/>
                <w:szCs w:val="15"/>
              </w:rPr>
              <w:t> </w:t>
            </w:r>
            <w:r>
              <w:rPr>
                <w:rFonts w:ascii="宋体" w:hAnsi="宋体" w:cs="宋体" w:eastAsia="宋体" w:hint="default"/>
                <w:w w:val="85"/>
                <w:sz w:val="15"/>
                <w:szCs w:val="15"/>
              </w:rPr>
              <w:t>综</w:t>
            </w:r>
            <w:r>
              <w:rPr>
                <w:rFonts w:ascii="宋体" w:hAnsi="宋体" w:cs="宋体" w:eastAsia="宋体" w:hint="default"/>
                <w:w w:val="79"/>
                <w:sz w:val="15"/>
                <w:szCs w:val="15"/>
              </w:rPr>
              <w:t> </w:t>
            </w:r>
            <w:r>
              <w:rPr>
                <w:rFonts w:ascii="宋体" w:hAnsi="宋体" w:cs="宋体" w:eastAsia="宋体" w:hint="default"/>
                <w:w w:val="85"/>
                <w:sz w:val="15"/>
                <w:szCs w:val="15"/>
              </w:rPr>
              <w:t>合</w:t>
            </w:r>
            <w:r>
              <w:rPr>
                <w:rFonts w:ascii="宋体" w:hAnsi="宋体" w:cs="宋体" w:eastAsia="宋体" w:hint="default"/>
                <w:w w:val="79"/>
                <w:sz w:val="15"/>
                <w:szCs w:val="15"/>
              </w:rPr>
              <w:t> </w:t>
            </w:r>
            <w:r>
              <w:rPr>
                <w:rFonts w:ascii="宋体" w:hAnsi="宋体" w:cs="宋体" w:eastAsia="宋体" w:hint="default"/>
                <w:w w:val="85"/>
                <w:sz w:val="15"/>
                <w:szCs w:val="15"/>
              </w:rPr>
              <w:t>收</w:t>
            </w:r>
            <w:r>
              <w:rPr>
                <w:rFonts w:ascii="宋体" w:hAnsi="宋体" w:cs="宋体" w:eastAsia="宋体" w:hint="default"/>
                <w:w w:val="79"/>
                <w:sz w:val="15"/>
                <w:szCs w:val="15"/>
              </w:rPr>
              <w:t> </w:t>
            </w:r>
            <w:r>
              <w:rPr>
                <w:rFonts w:ascii="宋体" w:hAnsi="宋体" w:cs="宋体" w:eastAsia="宋体" w:hint="default"/>
                <w:w w:val="85"/>
                <w:sz w:val="15"/>
                <w:szCs w:val="15"/>
              </w:rPr>
              <w:t>益</w:t>
            </w:r>
            <w:r>
              <w:rPr>
                <w:rFonts w:ascii="宋体" w:hAnsi="宋体" w:cs="宋体" w:eastAsia="宋体" w:hint="default"/>
                <w:sz w:val="15"/>
                <w:szCs w:val="15"/>
              </w:rPr>
            </w:r>
          </w:p>
        </w:tc>
        <w:tc>
          <w:tcPr>
            <w:tcW w:w="2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384" w:lineRule="auto"/>
              <w:ind w:left="105" w:right="27"/>
              <w:jc w:val="both"/>
              <w:rPr>
                <w:rFonts w:ascii="宋体" w:hAnsi="宋体" w:cs="宋体" w:eastAsia="宋体" w:hint="default"/>
                <w:sz w:val="15"/>
                <w:szCs w:val="15"/>
              </w:rPr>
            </w:pPr>
            <w:r>
              <w:rPr>
                <w:rFonts w:ascii="宋体" w:hAnsi="宋体" w:cs="宋体" w:eastAsia="宋体" w:hint="default"/>
                <w:w w:val="85"/>
                <w:sz w:val="15"/>
                <w:szCs w:val="15"/>
              </w:rPr>
              <w:t>专</w:t>
            </w:r>
            <w:r>
              <w:rPr>
                <w:rFonts w:ascii="宋体" w:hAnsi="宋体" w:cs="宋体" w:eastAsia="宋体" w:hint="default"/>
                <w:w w:val="79"/>
                <w:sz w:val="15"/>
                <w:szCs w:val="15"/>
              </w:rPr>
              <w:t> </w:t>
            </w:r>
            <w:r>
              <w:rPr>
                <w:rFonts w:ascii="宋体" w:hAnsi="宋体" w:cs="宋体" w:eastAsia="宋体" w:hint="default"/>
                <w:w w:val="85"/>
                <w:sz w:val="15"/>
                <w:szCs w:val="15"/>
              </w:rPr>
              <w:t>项</w:t>
            </w:r>
            <w:r>
              <w:rPr>
                <w:rFonts w:ascii="宋体" w:hAnsi="宋体" w:cs="宋体" w:eastAsia="宋体" w:hint="default"/>
                <w:w w:val="79"/>
                <w:sz w:val="15"/>
                <w:szCs w:val="15"/>
              </w:rPr>
              <w:t> </w:t>
            </w:r>
            <w:r>
              <w:rPr>
                <w:rFonts w:ascii="宋体" w:hAnsi="宋体" w:cs="宋体" w:eastAsia="宋体" w:hint="default"/>
                <w:w w:val="85"/>
                <w:sz w:val="15"/>
                <w:szCs w:val="15"/>
              </w:rPr>
              <w:t>储</w:t>
            </w:r>
            <w:r>
              <w:rPr>
                <w:rFonts w:ascii="宋体" w:hAnsi="宋体" w:cs="宋体" w:eastAsia="宋体" w:hint="default"/>
                <w:w w:val="79"/>
                <w:sz w:val="15"/>
                <w:szCs w:val="15"/>
              </w:rPr>
              <w:t> </w:t>
            </w:r>
            <w:r>
              <w:rPr>
                <w:rFonts w:ascii="宋体" w:hAnsi="宋体" w:cs="宋体" w:eastAsia="宋体" w:hint="default"/>
                <w:w w:val="85"/>
                <w:sz w:val="15"/>
                <w:szCs w:val="15"/>
              </w:rPr>
              <w:t>备</w:t>
            </w:r>
            <w:r>
              <w:rPr>
                <w:rFonts w:ascii="宋体" w:hAnsi="宋体" w:cs="宋体" w:eastAsia="宋体" w:hint="default"/>
                <w:sz w:val="15"/>
                <w:szCs w:val="15"/>
              </w:rPr>
            </w:r>
          </w:p>
        </w:tc>
        <w:tc>
          <w:tcPr>
            <w:tcW w:w="10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64" w:right="0"/>
              <w:jc w:val="left"/>
              <w:rPr>
                <w:rFonts w:ascii="宋体" w:hAnsi="宋体" w:cs="宋体" w:eastAsia="宋体" w:hint="default"/>
                <w:sz w:val="15"/>
                <w:szCs w:val="15"/>
              </w:rPr>
            </w:pPr>
            <w:r>
              <w:rPr>
                <w:rFonts w:ascii="宋体" w:hAnsi="宋体" w:cs="宋体" w:eastAsia="宋体" w:hint="default"/>
                <w:w w:val="90"/>
                <w:sz w:val="15"/>
                <w:szCs w:val="15"/>
              </w:rPr>
              <w:t>盈余公积</w:t>
            </w:r>
            <w:r>
              <w:rPr>
                <w:rFonts w:ascii="宋体" w:hAnsi="宋体" w:cs="宋体" w:eastAsia="宋体" w:hint="default"/>
                <w:sz w:val="15"/>
                <w:szCs w:val="15"/>
              </w:rPr>
            </w:r>
          </w:p>
        </w:tc>
        <w:tc>
          <w:tcPr>
            <w:tcW w:w="418"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84"/>
              <w:ind w:left="139" w:right="148"/>
              <w:jc w:val="both"/>
              <w:rPr>
                <w:rFonts w:ascii="宋体" w:hAnsi="宋体" w:cs="宋体" w:eastAsia="宋体" w:hint="default"/>
                <w:sz w:val="15"/>
                <w:szCs w:val="15"/>
              </w:rPr>
            </w:pPr>
            <w:r>
              <w:rPr>
                <w:rFonts w:ascii="宋体" w:hAnsi="宋体" w:cs="宋体" w:eastAsia="宋体" w:hint="default"/>
                <w:w w:val="80"/>
                <w:sz w:val="15"/>
                <w:szCs w:val="15"/>
              </w:rPr>
              <w:t>一</w:t>
            </w:r>
            <w:r>
              <w:rPr>
                <w:rFonts w:ascii="宋体" w:hAnsi="宋体" w:cs="宋体" w:eastAsia="宋体" w:hint="default"/>
                <w:w w:val="79"/>
                <w:sz w:val="15"/>
                <w:szCs w:val="15"/>
              </w:rPr>
              <w:t> </w:t>
            </w:r>
            <w:r>
              <w:rPr>
                <w:rFonts w:ascii="宋体" w:hAnsi="宋体" w:cs="宋体" w:eastAsia="宋体" w:hint="default"/>
                <w:w w:val="80"/>
                <w:sz w:val="15"/>
                <w:szCs w:val="15"/>
              </w:rPr>
              <w:t>般</w:t>
            </w:r>
            <w:r>
              <w:rPr>
                <w:rFonts w:ascii="宋体" w:hAnsi="宋体" w:cs="宋体" w:eastAsia="宋体" w:hint="default"/>
                <w:w w:val="79"/>
                <w:sz w:val="15"/>
                <w:szCs w:val="15"/>
              </w:rPr>
              <w:t> </w:t>
            </w:r>
            <w:r>
              <w:rPr>
                <w:rFonts w:ascii="宋体" w:hAnsi="宋体" w:cs="宋体" w:eastAsia="宋体" w:hint="default"/>
                <w:w w:val="80"/>
                <w:sz w:val="15"/>
                <w:szCs w:val="15"/>
              </w:rPr>
              <w:t>风</w:t>
            </w:r>
            <w:r>
              <w:rPr>
                <w:rFonts w:ascii="宋体" w:hAnsi="宋体" w:cs="宋体" w:eastAsia="宋体" w:hint="default"/>
                <w:w w:val="79"/>
                <w:sz w:val="15"/>
                <w:szCs w:val="15"/>
              </w:rPr>
              <w:t> </w:t>
            </w:r>
            <w:r>
              <w:rPr>
                <w:rFonts w:ascii="宋体" w:hAnsi="宋体" w:cs="宋体" w:eastAsia="宋体" w:hint="default"/>
                <w:w w:val="80"/>
                <w:sz w:val="15"/>
                <w:szCs w:val="15"/>
              </w:rPr>
              <w:t>险</w:t>
            </w:r>
            <w:r>
              <w:rPr>
                <w:rFonts w:ascii="宋体" w:hAnsi="宋体" w:cs="宋体" w:eastAsia="宋体" w:hint="default"/>
                <w:w w:val="79"/>
                <w:sz w:val="15"/>
                <w:szCs w:val="15"/>
              </w:rPr>
              <w:t> </w:t>
            </w:r>
            <w:r>
              <w:rPr>
                <w:rFonts w:ascii="宋体" w:hAnsi="宋体" w:cs="宋体" w:eastAsia="宋体" w:hint="default"/>
                <w:w w:val="80"/>
                <w:sz w:val="15"/>
                <w:szCs w:val="15"/>
              </w:rPr>
              <w:t>准</w:t>
            </w:r>
            <w:r>
              <w:rPr>
                <w:rFonts w:ascii="宋体" w:hAnsi="宋体" w:cs="宋体" w:eastAsia="宋体" w:hint="default"/>
                <w:w w:val="79"/>
                <w:sz w:val="15"/>
                <w:szCs w:val="15"/>
              </w:rPr>
              <w:t> </w:t>
            </w:r>
            <w:r>
              <w:rPr>
                <w:rFonts w:ascii="宋体" w:hAnsi="宋体" w:cs="宋体" w:eastAsia="宋体" w:hint="default"/>
                <w:w w:val="80"/>
                <w:sz w:val="15"/>
                <w:szCs w:val="15"/>
              </w:rPr>
              <w:t>备</w:t>
            </w:r>
            <w:r>
              <w:rPr>
                <w:rFonts w:ascii="宋体" w:hAnsi="宋体" w:cs="宋体" w:eastAsia="宋体" w:hint="default"/>
                <w:sz w:val="15"/>
                <w:szCs w:val="15"/>
              </w:rPr>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w w:val="90"/>
                <w:sz w:val="15"/>
                <w:szCs w:val="15"/>
              </w:rPr>
              <w:t>未分配利润</w:t>
            </w:r>
            <w:r>
              <w:rPr>
                <w:rFonts w:ascii="宋体" w:hAnsi="宋体" w:cs="宋体" w:eastAsia="宋体" w:hint="default"/>
                <w:sz w:val="15"/>
                <w:szCs w:val="15"/>
              </w:rPr>
            </w:r>
          </w:p>
        </w:tc>
        <w:tc>
          <w:tcPr>
            <w:tcW w:w="24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w w:val="90"/>
                <w:sz w:val="15"/>
                <w:szCs w:val="15"/>
              </w:rPr>
              <w:t>小计</w:t>
            </w:r>
            <w:r>
              <w:rPr>
                <w:rFonts w:ascii="宋体" w:hAnsi="宋体" w:cs="宋体" w:eastAsia="宋体" w:hint="default"/>
                <w:sz w:val="15"/>
                <w:szCs w:val="15"/>
              </w:rPr>
            </w:r>
          </w:p>
        </w:tc>
        <w:tc>
          <w:tcPr>
            <w:tcW w:w="1018" w:type="dxa"/>
            <w:vMerge/>
            <w:tcBorders>
              <w:left w:val="single" w:sz="4" w:space="0" w:color="000000"/>
              <w:right w:val="single" w:sz="4" w:space="0" w:color="000000"/>
            </w:tcBorders>
            <w:shd w:val="clear" w:color="auto" w:fill="D2D2D2"/>
          </w:tcPr>
          <w:p>
            <w:pPr/>
          </w:p>
        </w:tc>
        <w:tc>
          <w:tcPr>
            <w:tcW w:w="1177" w:type="dxa"/>
            <w:vMerge/>
            <w:tcBorders>
              <w:left w:val="single" w:sz="4" w:space="0" w:color="000000"/>
              <w:right w:val="single" w:sz="12" w:space="0" w:color="000000"/>
            </w:tcBorders>
            <w:shd w:val="clear" w:color="auto" w:fill="D2D2D2"/>
          </w:tcPr>
          <w:p>
            <w:pPr/>
          </w:p>
        </w:tc>
      </w:tr>
      <w:tr>
        <w:trPr>
          <w:trHeight w:val="161" w:hRule="exact"/>
        </w:trPr>
        <w:tc>
          <w:tcPr>
            <w:tcW w:w="1042" w:type="dxa"/>
            <w:vMerge/>
            <w:tcBorders>
              <w:left w:val="single" w:sz="12"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2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7"/>
                <w:szCs w:val="17"/>
              </w:rPr>
            </w:pPr>
          </w:p>
          <w:p>
            <w:pPr>
              <w:pStyle w:val="TableParagraph"/>
              <w:spacing w:line="381" w:lineRule="auto"/>
              <w:ind w:left="105" w:right="51"/>
              <w:jc w:val="both"/>
              <w:rPr>
                <w:rFonts w:ascii="宋体" w:hAnsi="宋体" w:cs="宋体" w:eastAsia="宋体" w:hint="default"/>
                <w:sz w:val="15"/>
                <w:szCs w:val="15"/>
              </w:rPr>
            </w:pPr>
            <w:r>
              <w:rPr>
                <w:rFonts w:ascii="宋体" w:hAnsi="宋体" w:cs="宋体" w:eastAsia="宋体" w:hint="default"/>
                <w:w w:val="85"/>
                <w:sz w:val="15"/>
                <w:szCs w:val="15"/>
              </w:rPr>
              <w:t>优</w:t>
            </w:r>
            <w:r>
              <w:rPr>
                <w:rFonts w:ascii="宋体" w:hAnsi="宋体" w:cs="宋体" w:eastAsia="宋体" w:hint="default"/>
                <w:w w:val="79"/>
                <w:sz w:val="15"/>
                <w:szCs w:val="15"/>
              </w:rPr>
              <w:t> </w:t>
            </w:r>
            <w:r>
              <w:rPr>
                <w:rFonts w:ascii="宋体" w:hAnsi="宋体" w:cs="宋体" w:eastAsia="宋体" w:hint="default"/>
                <w:w w:val="85"/>
                <w:sz w:val="15"/>
                <w:szCs w:val="15"/>
              </w:rPr>
              <w:t>先</w:t>
            </w:r>
            <w:r>
              <w:rPr>
                <w:rFonts w:ascii="宋体" w:hAnsi="宋体" w:cs="宋体" w:eastAsia="宋体" w:hint="default"/>
                <w:w w:val="79"/>
                <w:sz w:val="15"/>
                <w:szCs w:val="15"/>
              </w:rPr>
              <w:t> </w:t>
            </w:r>
            <w:r>
              <w:rPr>
                <w:rFonts w:ascii="宋体" w:hAnsi="宋体" w:cs="宋体" w:eastAsia="宋体" w:hint="default"/>
                <w:w w:val="85"/>
                <w:sz w:val="15"/>
                <w:szCs w:val="15"/>
              </w:rPr>
              <w:t>股</w:t>
            </w:r>
            <w:r>
              <w:rPr>
                <w:rFonts w:ascii="宋体" w:hAnsi="宋体" w:cs="宋体" w:eastAsia="宋体" w:hint="default"/>
                <w:sz w:val="15"/>
                <w:szCs w:val="15"/>
              </w:rPr>
            </w:r>
          </w:p>
        </w:tc>
        <w:tc>
          <w:tcPr>
            <w:tcW w:w="25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381" w:lineRule="auto"/>
              <w:ind w:left="100" w:right="42"/>
              <w:jc w:val="left"/>
              <w:rPr>
                <w:rFonts w:ascii="宋体" w:hAnsi="宋体" w:cs="宋体" w:eastAsia="宋体" w:hint="default"/>
                <w:sz w:val="15"/>
                <w:szCs w:val="15"/>
              </w:rPr>
            </w:pPr>
            <w:r>
              <w:rPr>
                <w:rFonts w:ascii="宋体" w:hAnsi="宋体" w:cs="宋体" w:eastAsia="宋体" w:hint="default"/>
                <w:w w:val="80"/>
                <w:sz w:val="15"/>
                <w:szCs w:val="15"/>
              </w:rPr>
              <w:t>其</w:t>
            </w:r>
            <w:r>
              <w:rPr>
                <w:rFonts w:ascii="宋体" w:hAnsi="宋体" w:cs="宋体" w:eastAsia="宋体" w:hint="default"/>
                <w:w w:val="79"/>
                <w:sz w:val="15"/>
                <w:szCs w:val="15"/>
              </w:rPr>
              <w:t> </w:t>
            </w:r>
            <w:r>
              <w:rPr>
                <w:rFonts w:ascii="宋体" w:hAnsi="宋体" w:cs="宋体" w:eastAsia="宋体" w:hint="default"/>
                <w:w w:val="80"/>
                <w:sz w:val="15"/>
                <w:szCs w:val="15"/>
              </w:rPr>
              <w:t>他</w:t>
            </w:r>
            <w:r>
              <w:rPr>
                <w:rFonts w:ascii="宋体" w:hAnsi="宋体" w:cs="宋体" w:eastAsia="宋体" w:hint="default"/>
                <w:sz w:val="15"/>
                <w:szCs w:val="15"/>
              </w:rPr>
            </w:r>
          </w:p>
        </w:tc>
        <w:tc>
          <w:tcPr>
            <w:tcW w:w="1080" w:type="dxa"/>
            <w:vMerge/>
            <w:tcBorders>
              <w:left w:val="single" w:sz="4" w:space="0" w:color="000000"/>
              <w:right w:val="single" w:sz="4" w:space="0" w:color="000000"/>
            </w:tcBorders>
            <w:shd w:val="clear" w:color="auto" w:fill="D2D2D2"/>
          </w:tcPr>
          <w:p>
            <w:pPr/>
          </w:p>
        </w:tc>
        <w:tc>
          <w:tcPr>
            <w:tcW w:w="1009" w:type="dxa"/>
            <w:vMerge/>
            <w:tcBorders>
              <w:left w:val="single" w:sz="4" w:space="0" w:color="000000"/>
              <w:right w:val="single" w:sz="4" w:space="0" w:color="000000"/>
            </w:tcBorders>
            <w:shd w:val="clear" w:color="auto" w:fill="D2D2D2"/>
          </w:tcPr>
          <w:p>
            <w:pPr/>
          </w:p>
        </w:tc>
        <w:tc>
          <w:tcPr>
            <w:tcW w:w="264" w:type="dxa"/>
            <w:vMerge/>
            <w:tcBorders>
              <w:left w:val="single" w:sz="4" w:space="0" w:color="000000"/>
              <w:right w:val="single" w:sz="4" w:space="0" w:color="000000"/>
            </w:tcBorders>
            <w:shd w:val="clear" w:color="auto" w:fill="D2D2D2"/>
          </w:tcPr>
          <w:p>
            <w:pPr/>
          </w:p>
        </w:tc>
        <w:tc>
          <w:tcPr>
            <w:tcW w:w="264" w:type="dxa"/>
            <w:vMerge/>
            <w:tcBorders>
              <w:left w:val="single" w:sz="4" w:space="0" w:color="000000"/>
              <w:right w:val="single" w:sz="4" w:space="0" w:color="000000"/>
            </w:tcBorders>
            <w:shd w:val="clear" w:color="auto" w:fill="D2D2D2"/>
          </w:tcPr>
          <w:p>
            <w:pPr/>
          </w:p>
        </w:tc>
        <w:tc>
          <w:tcPr>
            <w:tcW w:w="1023" w:type="dxa"/>
            <w:vMerge/>
            <w:tcBorders>
              <w:left w:val="single" w:sz="4" w:space="0" w:color="000000"/>
              <w:right w:val="single" w:sz="4" w:space="0" w:color="000000"/>
            </w:tcBorders>
            <w:shd w:val="clear" w:color="auto" w:fill="D2D2D2"/>
          </w:tcPr>
          <w:p>
            <w:pPr/>
          </w:p>
        </w:tc>
        <w:tc>
          <w:tcPr>
            <w:tcW w:w="418" w:type="dxa"/>
            <w:vMerge/>
            <w:tcBorders>
              <w:left w:val="single" w:sz="4" w:space="0" w:color="000000"/>
              <w:right w:val="single" w:sz="4" w:space="0" w:color="000000"/>
            </w:tcBorders>
            <w:shd w:val="clear" w:color="auto" w:fill="D2D2D2"/>
          </w:tcPr>
          <w:p>
            <w:pPr/>
          </w:p>
        </w:tc>
        <w:tc>
          <w:tcPr>
            <w:tcW w:w="1167" w:type="dxa"/>
            <w:vMerge/>
            <w:tcBorders>
              <w:left w:val="single" w:sz="4" w:space="0" w:color="000000"/>
              <w:right w:val="single" w:sz="4" w:space="0" w:color="000000"/>
            </w:tcBorders>
            <w:shd w:val="clear" w:color="auto" w:fill="D2D2D2"/>
          </w:tcPr>
          <w:p>
            <w:pPr/>
          </w:p>
        </w:tc>
        <w:tc>
          <w:tcPr>
            <w:tcW w:w="118" w:type="dxa"/>
            <w:vMerge w:val="restart"/>
            <w:tcBorders>
              <w:top w:val="nil" w:sz="6" w:space="0" w:color="auto"/>
              <w:left w:val="single" w:sz="4" w:space="0" w:color="000000"/>
              <w:right w:val="nil" w:sz="6" w:space="0" w:color="auto"/>
            </w:tcBorders>
            <w:shd w:val="clear" w:color="auto" w:fill="D2D2D2"/>
          </w:tcPr>
          <w:p>
            <w:pPr/>
          </w:p>
        </w:tc>
        <w:tc>
          <w:tcPr>
            <w:tcW w:w="122" w:type="dxa"/>
            <w:vMerge w:val="restart"/>
            <w:tcBorders>
              <w:top w:val="nil" w:sz="6" w:space="0" w:color="auto"/>
              <w:left w:val="nil" w:sz="6" w:space="0" w:color="auto"/>
              <w:right w:val="single" w:sz="4" w:space="0" w:color="000000"/>
            </w:tcBorders>
            <w:shd w:val="clear" w:color="auto" w:fill="D2D2D2"/>
          </w:tcPr>
          <w:p>
            <w:pPr>
              <w:pStyle w:val="TableParagraph"/>
              <w:spacing w:line="386" w:lineRule="auto" w:before="38"/>
              <w:ind w:left="-13" w:right="8"/>
              <w:jc w:val="left"/>
              <w:rPr>
                <w:rFonts w:ascii="宋体" w:hAnsi="宋体" w:cs="宋体" w:eastAsia="宋体" w:hint="default"/>
                <w:sz w:val="15"/>
                <w:szCs w:val="15"/>
              </w:rPr>
            </w:pPr>
            <w:r>
              <w:rPr>
                <w:rFonts w:ascii="宋体" w:hAnsi="宋体" w:cs="宋体" w:eastAsia="宋体" w:hint="default"/>
                <w:w w:val="80"/>
                <w:sz w:val="15"/>
                <w:szCs w:val="15"/>
              </w:rPr>
              <w:t>其</w:t>
            </w:r>
            <w:r>
              <w:rPr>
                <w:rFonts w:ascii="宋体" w:hAnsi="宋体" w:cs="宋体" w:eastAsia="宋体" w:hint="default"/>
                <w:w w:val="79"/>
                <w:sz w:val="15"/>
                <w:szCs w:val="15"/>
              </w:rPr>
              <w:t> </w:t>
            </w:r>
            <w:r>
              <w:rPr>
                <w:rFonts w:ascii="宋体" w:hAnsi="宋体" w:cs="宋体" w:eastAsia="宋体" w:hint="default"/>
                <w:w w:val="80"/>
                <w:sz w:val="15"/>
                <w:szCs w:val="15"/>
              </w:rPr>
              <w:t>他</w:t>
            </w:r>
            <w:r>
              <w:rPr>
                <w:rFonts w:ascii="宋体" w:hAnsi="宋体" w:cs="宋体" w:eastAsia="宋体" w:hint="default"/>
                <w:sz w:val="15"/>
                <w:szCs w:val="15"/>
              </w:rPr>
            </w:r>
          </w:p>
        </w:tc>
        <w:tc>
          <w:tcPr>
            <w:tcW w:w="1176" w:type="dxa"/>
            <w:vMerge/>
            <w:tcBorders>
              <w:left w:val="single" w:sz="4" w:space="0" w:color="000000"/>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c>
          <w:tcPr>
            <w:tcW w:w="1177" w:type="dxa"/>
            <w:vMerge/>
            <w:tcBorders>
              <w:left w:val="single" w:sz="4" w:space="0" w:color="000000"/>
              <w:right w:val="single" w:sz="12" w:space="0" w:color="000000"/>
            </w:tcBorders>
            <w:shd w:val="clear" w:color="auto" w:fill="D2D2D2"/>
          </w:tcPr>
          <w:p>
            <w:pPr/>
          </w:p>
        </w:tc>
      </w:tr>
      <w:tr>
        <w:trPr>
          <w:trHeight w:val="504" w:hRule="exact"/>
        </w:trPr>
        <w:tc>
          <w:tcPr>
            <w:tcW w:w="1042" w:type="dxa"/>
            <w:vMerge/>
            <w:tcBorders>
              <w:left w:val="single" w:sz="12"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288" w:type="dxa"/>
            <w:vMerge/>
            <w:tcBorders>
              <w:left w:val="single" w:sz="4" w:space="0" w:color="000000"/>
              <w:right w:val="single" w:sz="4" w:space="0" w:color="000000"/>
            </w:tcBorders>
            <w:shd w:val="clear" w:color="auto" w:fill="D2D2D2"/>
          </w:tcPr>
          <w:p>
            <w:pPr/>
          </w:p>
        </w:tc>
        <w:tc>
          <w:tcPr>
            <w:tcW w:w="127" w:type="dxa"/>
            <w:vMerge w:val="restart"/>
            <w:tcBorders>
              <w:top w:val="nil" w:sz="6" w:space="0" w:color="auto"/>
              <w:left w:val="single" w:sz="4" w:space="0" w:color="000000"/>
              <w:right w:val="nil" w:sz="6" w:space="0" w:color="auto"/>
            </w:tcBorders>
            <w:shd w:val="clear" w:color="auto" w:fill="D2D2D2"/>
          </w:tcPr>
          <w:p>
            <w:pPr/>
          </w:p>
        </w:tc>
        <w:tc>
          <w:tcPr>
            <w:tcW w:w="127" w:type="dxa"/>
            <w:vMerge w:val="restart"/>
            <w:tcBorders>
              <w:top w:val="nil" w:sz="6" w:space="0" w:color="auto"/>
              <w:left w:val="nil" w:sz="6" w:space="0" w:color="auto"/>
              <w:right w:val="single" w:sz="4" w:space="0" w:color="000000"/>
            </w:tcBorders>
            <w:shd w:val="clear" w:color="auto" w:fill="D2D2D2"/>
          </w:tcPr>
          <w:p>
            <w:pPr>
              <w:pStyle w:val="TableParagraph"/>
              <w:spacing w:line="381" w:lineRule="auto" w:before="79"/>
              <w:ind w:left="-17" w:right="18"/>
              <w:jc w:val="both"/>
              <w:rPr>
                <w:rFonts w:ascii="宋体" w:hAnsi="宋体" w:cs="宋体" w:eastAsia="宋体" w:hint="default"/>
                <w:sz w:val="15"/>
                <w:szCs w:val="15"/>
              </w:rPr>
            </w:pPr>
            <w:r>
              <w:rPr>
                <w:rFonts w:ascii="宋体" w:hAnsi="宋体" w:cs="宋体" w:eastAsia="宋体" w:hint="default"/>
                <w:w w:val="80"/>
                <w:sz w:val="15"/>
                <w:szCs w:val="15"/>
              </w:rPr>
              <w:t>永</w:t>
            </w:r>
            <w:r>
              <w:rPr>
                <w:rFonts w:ascii="宋体" w:hAnsi="宋体" w:cs="宋体" w:eastAsia="宋体" w:hint="default"/>
                <w:w w:val="79"/>
                <w:sz w:val="15"/>
                <w:szCs w:val="15"/>
              </w:rPr>
              <w:t> </w:t>
            </w:r>
            <w:r>
              <w:rPr>
                <w:rFonts w:ascii="宋体" w:hAnsi="宋体" w:cs="宋体" w:eastAsia="宋体" w:hint="default"/>
                <w:w w:val="80"/>
                <w:sz w:val="15"/>
                <w:szCs w:val="15"/>
              </w:rPr>
              <w:t>续</w:t>
            </w:r>
            <w:r>
              <w:rPr>
                <w:rFonts w:ascii="宋体" w:hAnsi="宋体" w:cs="宋体" w:eastAsia="宋体" w:hint="default"/>
                <w:w w:val="79"/>
                <w:sz w:val="15"/>
                <w:szCs w:val="15"/>
              </w:rPr>
              <w:t> </w:t>
            </w:r>
            <w:r>
              <w:rPr>
                <w:rFonts w:ascii="宋体" w:hAnsi="宋体" w:cs="宋体" w:eastAsia="宋体" w:hint="default"/>
                <w:w w:val="80"/>
                <w:sz w:val="15"/>
                <w:szCs w:val="15"/>
              </w:rPr>
              <w:t>债</w:t>
            </w:r>
            <w:r>
              <w:rPr>
                <w:rFonts w:ascii="宋体" w:hAnsi="宋体" w:cs="宋体" w:eastAsia="宋体" w:hint="default"/>
                <w:sz w:val="15"/>
                <w:szCs w:val="15"/>
              </w:rPr>
            </w:r>
          </w:p>
        </w:tc>
        <w:tc>
          <w:tcPr>
            <w:tcW w:w="274"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009" w:type="dxa"/>
            <w:vMerge/>
            <w:tcBorders>
              <w:left w:val="single" w:sz="4" w:space="0" w:color="000000"/>
              <w:right w:val="single" w:sz="4" w:space="0" w:color="000000"/>
            </w:tcBorders>
            <w:shd w:val="clear" w:color="auto" w:fill="D2D2D2"/>
          </w:tcPr>
          <w:p>
            <w:pPr/>
          </w:p>
        </w:tc>
        <w:tc>
          <w:tcPr>
            <w:tcW w:w="264" w:type="dxa"/>
            <w:vMerge/>
            <w:tcBorders>
              <w:left w:val="single" w:sz="4" w:space="0" w:color="000000"/>
              <w:right w:val="single" w:sz="4" w:space="0" w:color="000000"/>
            </w:tcBorders>
            <w:shd w:val="clear" w:color="auto" w:fill="D2D2D2"/>
          </w:tcPr>
          <w:p>
            <w:pPr/>
          </w:p>
        </w:tc>
        <w:tc>
          <w:tcPr>
            <w:tcW w:w="264" w:type="dxa"/>
            <w:vMerge/>
            <w:tcBorders>
              <w:left w:val="single" w:sz="4" w:space="0" w:color="000000"/>
              <w:right w:val="single" w:sz="4" w:space="0" w:color="000000"/>
            </w:tcBorders>
            <w:shd w:val="clear" w:color="auto" w:fill="D2D2D2"/>
          </w:tcPr>
          <w:p>
            <w:pPr/>
          </w:p>
        </w:tc>
        <w:tc>
          <w:tcPr>
            <w:tcW w:w="1023" w:type="dxa"/>
            <w:vMerge/>
            <w:tcBorders>
              <w:left w:val="single" w:sz="4" w:space="0" w:color="000000"/>
              <w:right w:val="single" w:sz="4" w:space="0" w:color="000000"/>
            </w:tcBorders>
            <w:shd w:val="clear" w:color="auto" w:fill="D2D2D2"/>
          </w:tcPr>
          <w:p>
            <w:pPr/>
          </w:p>
        </w:tc>
        <w:tc>
          <w:tcPr>
            <w:tcW w:w="418" w:type="dxa"/>
            <w:vMerge/>
            <w:tcBorders>
              <w:left w:val="single" w:sz="4" w:space="0" w:color="000000"/>
              <w:right w:val="single" w:sz="4" w:space="0" w:color="000000"/>
            </w:tcBorders>
            <w:shd w:val="clear" w:color="auto" w:fill="D2D2D2"/>
          </w:tcPr>
          <w:p>
            <w:pPr/>
          </w:p>
        </w:tc>
        <w:tc>
          <w:tcPr>
            <w:tcW w:w="1167" w:type="dxa"/>
            <w:vMerge/>
            <w:tcBorders>
              <w:left w:val="single" w:sz="4" w:space="0" w:color="000000"/>
              <w:right w:val="single" w:sz="4" w:space="0" w:color="000000"/>
            </w:tcBorders>
            <w:shd w:val="clear" w:color="auto" w:fill="D2D2D2"/>
          </w:tcPr>
          <w:p>
            <w:pPr/>
          </w:p>
        </w:tc>
        <w:tc>
          <w:tcPr>
            <w:tcW w:w="118" w:type="dxa"/>
            <w:vMerge/>
            <w:tcBorders>
              <w:left w:val="single" w:sz="4" w:space="0" w:color="000000"/>
              <w:bottom w:val="nil" w:sz="6" w:space="0" w:color="auto"/>
              <w:right w:val="nil" w:sz="6" w:space="0" w:color="auto"/>
            </w:tcBorders>
            <w:shd w:val="clear" w:color="auto" w:fill="D2D2D2"/>
          </w:tcPr>
          <w:p>
            <w:pPr/>
          </w:p>
        </w:tc>
        <w:tc>
          <w:tcPr>
            <w:tcW w:w="122" w:type="dxa"/>
            <w:vMerge/>
            <w:tcBorders>
              <w:left w:val="nil" w:sz="6" w:space="0" w:color="auto"/>
              <w:bottom w:val="nil" w:sz="6" w:space="0" w:color="auto"/>
              <w:right w:val="single" w:sz="4" w:space="0" w:color="000000"/>
            </w:tcBorders>
            <w:shd w:val="clear" w:color="auto" w:fill="D2D2D2"/>
          </w:tcPr>
          <w:p>
            <w:pPr/>
          </w:p>
        </w:tc>
        <w:tc>
          <w:tcPr>
            <w:tcW w:w="1176" w:type="dxa"/>
            <w:vMerge/>
            <w:tcBorders>
              <w:left w:val="single" w:sz="4" w:space="0" w:color="000000"/>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c>
          <w:tcPr>
            <w:tcW w:w="1177" w:type="dxa"/>
            <w:vMerge/>
            <w:tcBorders>
              <w:left w:val="single" w:sz="4" w:space="0" w:color="000000"/>
              <w:right w:val="single" w:sz="12" w:space="0" w:color="000000"/>
            </w:tcBorders>
            <w:shd w:val="clear" w:color="auto" w:fill="D2D2D2"/>
          </w:tcPr>
          <w:p>
            <w:pPr/>
          </w:p>
        </w:tc>
      </w:tr>
      <w:tr>
        <w:trPr>
          <w:trHeight w:val="629" w:hRule="exact"/>
        </w:trPr>
        <w:tc>
          <w:tcPr>
            <w:tcW w:w="1042" w:type="dxa"/>
            <w:vMerge/>
            <w:tcBorders>
              <w:left w:val="single" w:sz="12"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288" w:type="dxa"/>
            <w:vMerge/>
            <w:tcBorders>
              <w:left w:val="single" w:sz="4" w:space="0" w:color="000000"/>
              <w:bottom w:val="single" w:sz="4" w:space="0" w:color="000000"/>
              <w:right w:val="single" w:sz="4" w:space="0" w:color="000000"/>
            </w:tcBorders>
            <w:shd w:val="clear" w:color="auto" w:fill="D2D2D2"/>
          </w:tcPr>
          <w:p>
            <w:pPr/>
          </w:p>
        </w:tc>
        <w:tc>
          <w:tcPr>
            <w:tcW w:w="127" w:type="dxa"/>
            <w:vMerge/>
            <w:tcBorders>
              <w:left w:val="single" w:sz="4" w:space="0" w:color="000000"/>
              <w:bottom w:val="single" w:sz="4" w:space="0" w:color="000000"/>
              <w:right w:val="nil" w:sz="6" w:space="0" w:color="auto"/>
            </w:tcBorders>
            <w:shd w:val="clear" w:color="auto" w:fill="D2D2D2"/>
          </w:tcPr>
          <w:p>
            <w:pPr/>
          </w:p>
        </w:tc>
        <w:tc>
          <w:tcPr>
            <w:tcW w:w="127" w:type="dxa"/>
            <w:vMerge/>
            <w:tcBorders>
              <w:left w:val="nil" w:sz="6" w:space="0" w:color="auto"/>
              <w:bottom w:val="single" w:sz="4" w:space="0" w:color="000000"/>
              <w:right w:val="single" w:sz="4" w:space="0" w:color="000000"/>
            </w:tcBorders>
            <w:shd w:val="clear" w:color="auto" w:fill="D2D2D2"/>
          </w:tcPr>
          <w:p>
            <w:pPr/>
          </w:p>
        </w:tc>
        <w:tc>
          <w:tcPr>
            <w:tcW w:w="274"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264" w:type="dxa"/>
            <w:vMerge/>
            <w:tcBorders>
              <w:left w:val="single" w:sz="4" w:space="0" w:color="000000"/>
              <w:bottom w:val="single" w:sz="4" w:space="0" w:color="000000"/>
              <w:right w:val="single" w:sz="4" w:space="0" w:color="000000"/>
            </w:tcBorders>
            <w:shd w:val="clear" w:color="auto" w:fill="D2D2D2"/>
          </w:tcPr>
          <w:p>
            <w:pPr/>
          </w:p>
        </w:tc>
        <w:tc>
          <w:tcPr>
            <w:tcW w:w="264" w:type="dxa"/>
            <w:vMerge/>
            <w:tcBorders>
              <w:left w:val="single" w:sz="4" w:space="0" w:color="000000"/>
              <w:bottom w:val="single" w:sz="4" w:space="0" w:color="000000"/>
              <w:right w:val="single" w:sz="4" w:space="0" w:color="000000"/>
            </w:tcBorders>
            <w:shd w:val="clear" w:color="auto" w:fill="D2D2D2"/>
          </w:tcPr>
          <w:p>
            <w:pPr/>
          </w:p>
        </w:tc>
        <w:tc>
          <w:tcPr>
            <w:tcW w:w="1023" w:type="dxa"/>
            <w:vMerge/>
            <w:tcBorders>
              <w:left w:val="single" w:sz="4" w:space="0" w:color="000000"/>
              <w:bottom w:val="single" w:sz="4" w:space="0" w:color="000000"/>
              <w:right w:val="single" w:sz="4" w:space="0" w:color="000000"/>
            </w:tcBorders>
            <w:shd w:val="clear" w:color="auto" w:fill="D2D2D2"/>
          </w:tcPr>
          <w:p>
            <w:pPr/>
          </w:p>
        </w:tc>
        <w:tc>
          <w:tcPr>
            <w:tcW w:w="41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24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018" w:type="dxa"/>
            <w:vMerge/>
            <w:tcBorders>
              <w:left w:val="single" w:sz="4" w:space="0" w:color="000000"/>
              <w:bottom w:val="single" w:sz="4" w:space="0" w:color="000000"/>
              <w:right w:val="single" w:sz="4" w:space="0" w:color="000000"/>
            </w:tcBorders>
            <w:shd w:val="clear" w:color="auto" w:fill="D2D2D2"/>
          </w:tcPr>
          <w:p>
            <w:pPr/>
          </w:p>
        </w:tc>
        <w:tc>
          <w:tcPr>
            <w:tcW w:w="1177" w:type="dxa"/>
            <w:vMerge/>
            <w:tcBorders>
              <w:left w:val="single" w:sz="4" w:space="0" w:color="000000"/>
              <w:bottom w:val="single" w:sz="4" w:space="0" w:color="000000"/>
              <w:right w:val="single" w:sz="12" w:space="0" w:color="000000"/>
            </w:tcBorders>
            <w:shd w:val="clear" w:color="auto" w:fill="D2D2D2"/>
          </w:tcPr>
          <w:p>
            <w:pPr/>
          </w:p>
        </w:tc>
      </w:tr>
      <w:tr>
        <w:trPr>
          <w:trHeight w:val="715"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05"/>
              <w:jc w:val="left"/>
              <w:rPr>
                <w:rFonts w:ascii="宋体" w:hAnsi="宋体" w:cs="宋体" w:eastAsia="宋体" w:hint="default"/>
                <w:sz w:val="15"/>
                <w:szCs w:val="15"/>
              </w:rPr>
            </w:pPr>
            <w:r>
              <w:rPr>
                <w:rFonts w:ascii="宋体" w:hAnsi="宋体" w:cs="宋体" w:eastAsia="宋体" w:hint="default"/>
                <w:spacing w:val="-3"/>
                <w:w w:val="80"/>
                <w:sz w:val="15"/>
                <w:szCs w:val="15"/>
              </w:rPr>
              <w:t>一、上年期末余</w:t>
            </w:r>
            <w:r>
              <w:rPr>
                <w:rFonts w:ascii="宋体" w:hAnsi="宋体" w:cs="宋体" w:eastAsia="宋体" w:hint="default"/>
                <w:w w:val="79"/>
                <w:sz w:val="15"/>
                <w:szCs w:val="15"/>
              </w:rPr>
              <w:t> </w:t>
            </w:r>
            <w:r>
              <w:rPr>
                <w:rFonts w:ascii="宋体" w:hAnsi="宋体" w:cs="宋体" w:eastAsia="宋体" w:hint="default"/>
                <w:w w:val="90"/>
                <w:sz w:val="15"/>
                <w:szCs w:val="15"/>
              </w:rPr>
              <w:t>额</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5"/>
                <w:szCs w:val="15"/>
              </w:rPr>
            </w:pPr>
            <w:r>
              <w:rPr>
                <w:rFonts w:ascii="宋体"/>
                <w:w w:val="85"/>
                <w:sz w:val="15"/>
              </w:rPr>
              <w:t>411,118,370.00</w:t>
            </w:r>
            <w:r>
              <w:rPr>
                <w:rFonts w:ascii="宋体"/>
                <w:sz w:val="15"/>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gridSpan w:val="2"/>
            <w:tcBorders>
              <w:top w:val="single" w:sz="44" w:space="0" w:color="D2D2D2"/>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4" w:right="0"/>
              <w:jc w:val="left"/>
              <w:rPr>
                <w:rFonts w:ascii="宋体" w:hAnsi="宋体" w:cs="宋体" w:eastAsia="宋体" w:hint="default"/>
                <w:sz w:val="15"/>
                <w:szCs w:val="15"/>
              </w:rPr>
            </w:pPr>
            <w:r>
              <w:rPr>
                <w:rFonts w:ascii="宋体"/>
                <w:w w:val="85"/>
                <w:sz w:val="15"/>
              </w:rPr>
              <w:t>739,285,789.70</w:t>
            </w:r>
            <w:r>
              <w:rPr>
                <w:rFonts w:ascii="宋体"/>
                <w:sz w:val="15"/>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9" w:right="0"/>
              <w:jc w:val="left"/>
              <w:rPr>
                <w:rFonts w:ascii="宋体" w:hAnsi="宋体" w:cs="宋体" w:eastAsia="宋体" w:hint="default"/>
                <w:sz w:val="15"/>
                <w:szCs w:val="15"/>
              </w:rPr>
            </w:pPr>
            <w:r>
              <w:rPr>
                <w:rFonts w:ascii="宋体"/>
                <w:w w:val="85"/>
                <w:sz w:val="15"/>
              </w:rPr>
              <w:t>25,041,540.00</w:t>
            </w:r>
            <w:r>
              <w:rPr>
                <w:rFonts w:ascii="宋体"/>
                <w:sz w:val="15"/>
              </w:rPr>
            </w: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30" w:right="0"/>
              <w:jc w:val="left"/>
              <w:rPr>
                <w:rFonts w:ascii="宋体" w:hAnsi="宋体" w:cs="宋体" w:eastAsia="宋体" w:hint="default"/>
                <w:sz w:val="15"/>
                <w:szCs w:val="15"/>
              </w:rPr>
            </w:pPr>
            <w:r>
              <w:rPr>
                <w:rFonts w:ascii="宋体"/>
                <w:w w:val="85"/>
                <w:sz w:val="15"/>
              </w:rPr>
              <w:t>21,281,039.35</w:t>
            </w:r>
            <w:r>
              <w:rPr>
                <w:rFonts w:ascii="宋体"/>
                <w:sz w:val="15"/>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5" w:right="0"/>
              <w:jc w:val="left"/>
              <w:rPr>
                <w:rFonts w:ascii="宋体" w:hAnsi="宋体" w:cs="宋体" w:eastAsia="宋体" w:hint="default"/>
                <w:sz w:val="15"/>
                <w:szCs w:val="15"/>
              </w:rPr>
            </w:pPr>
            <w:r>
              <w:rPr>
                <w:rFonts w:ascii="宋体"/>
                <w:w w:val="85"/>
                <w:sz w:val="15"/>
              </w:rPr>
              <w:t>-93,456,318.93</w:t>
            </w:r>
            <w:r>
              <w:rPr>
                <w:rFonts w:ascii="宋体"/>
                <w:sz w:val="15"/>
              </w:rPr>
            </w: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15"/>
                <w:szCs w:val="15"/>
              </w:rPr>
            </w:pPr>
            <w:r>
              <w:rPr>
                <w:rFonts w:ascii="宋体"/>
                <w:w w:val="85"/>
                <w:sz w:val="15"/>
              </w:rPr>
              <w:t>1,053,187,340.12</w:t>
            </w:r>
            <w:r>
              <w:rPr>
                <w:rFonts w:ascii="宋体"/>
                <w:sz w:val="15"/>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7" w:right="0"/>
              <w:jc w:val="left"/>
              <w:rPr>
                <w:rFonts w:ascii="宋体" w:hAnsi="宋体" w:cs="宋体" w:eastAsia="宋体" w:hint="default"/>
                <w:sz w:val="15"/>
                <w:szCs w:val="15"/>
              </w:rPr>
            </w:pPr>
            <w:r>
              <w:rPr>
                <w:rFonts w:ascii="宋体"/>
                <w:w w:val="85"/>
                <w:sz w:val="15"/>
              </w:rPr>
              <w:t>3,741,716.65</w:t>
            </w:r>
            <w:r>
              <w:rPr>
                <w:rFonts w:ascii="宋体"/>
                <w:sz w:val="15"/>
              </w:rPr>
            </w:r>
          </w:p>
        </w:tc>
        <w:tc>
          <w:tcPr>
            <w:tcW w:w="11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0" w:right="0"/>
              <w:jc w:val="left"/>
              <w:rPr>
                <w:rFonts w:ascii="宋体" w:hAnsi="宋体" w:cs="宋体" w:eastAsia="宋体" w:hint="default"/>
                <w:sz w:val="15"/>
                <w:szCs w:val="15"/>
              </w:rPr>
            </w:pPr>
            <w:r>
              <w:rPr>
                <w:rFonts w:ascii="宋体"/>
                <w:w w:val="85"/>
                <w:sz w:val="15"/>
              </w:rPr>
              <w:t>1,056,929,056.77</w:t>
            </w:r>
            <w:r>
              <w:rPr>
                <w:rFonts w:ascii="宋体"/>
                <w:sz w:val="15"/>
              </w:rPr>
            </w:r>
          </w:p>
        </w:tc>
      </w:tr>
      <w:tr>
        <w:trPr>
          <w:trHeight w:val="711"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05" w:firstLine="240"/>
              <w:jc w:val="left"/>
              <w:rPr>
                <w:rFonts w:ascii="宋体" w:hAnsi="宋体" w:cs="宋体" w:eastAsia="宋体" w:hint="default"/>
                <w:sz w:val="15"/>
                <w:szCs w:val="15"/>
              </w:rPr>
            </w:pPr>
            <w:r>
              <w:rPr>
                <w:rFonts w:ascii="宋体" w:hAnsi="宋体" w:cs="宋体" w:eastAsia="宋体" w:hint="default"/>
                <w:spacing w:val="-4"/>
                <w:w w:val="80"/>
                <w:sz w:val="15"/>
                <w:szCs w:val="15"/>
              </w:rPr>
              <w:t>加：会计政</w:t>
            </w:r>
            <w:r>
              <w:rPr>
                <w:rFonts w:ascii="宋体" w:hAnsi="宋体" w:cs="宋体" w:eastAsia="宋体" w:hint="default"/>
                <w:w w:val="79"/>
                <w:sz w:val="15"/>
                <w:szCs w:val="15"/>
              </w:rPr>
              <w:t> </w:t>
            </w:r>
            <w:r>
              <w:rPr>
                <w:rFonts w:ascii="宋体" w:hAnsi="宋体" w:cs="宋体" w:eastAsia="宋体" w:hint="default"/>
                <w:w w:val="90"/>
                <w:sz w:val="15"/>
                <w:szCs w:val="15"/>
              </w:rPr>
              <w:t>策变更</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gridSpan w:val="2"/>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84"/>
              <w:ind w:left="91" w:right="215" w:firstLine="475"/>
              <w:jc w:val="left"/>
              <w:rPr>
                <w:rFonts w:ascii="宋体" w:hAnsi="宋体" w:cs="宋体" w:eastAsia="宋体" w:hint="default"/>
                <w:sz w:val="15"/>
                <w:szCs w:val="15"/>
              </w:rPr>
            </w:pPr>
            <w:r>
              <w:rPr>
                <w:rFonts w:ascii="宋体" w:hAnsi="宋体" w:cs="宋体" w:eastAsia="宋体" w:hint="default"/>
                <w:w w:val="80"/>
                <w:sz w:val="15"/>
                <w:szCs w:val="15"/>
              </w:rPr>
              <w:t>前期</w:t>
            </w:r>
            <w:r>
              <w:rPr>
                <w:rFonts w:ascii="宋体" w:hAnsi="宋体" w:cs="宋体" w:eastAsia="宋体" w:hint="default"/>
                <w:w w:val="79"/>
                <w:sz w:val="15"/>
                <w:szCs w:val="15"/>
              </w:rPr>
              <w:t> </w:t>
            </w:r>
            <w:r>
              <w:rPr>
                <w:rFonts w:ascii="宋体" w:hAnsi="宋体" w:cs="宋体" w:eastAsia="宋体" w:hint="default"/>
                <w:w w:val="90"/>
                <w:sz w:val="15"/>
                <w:szCs w:val="15"/>
              </w:rPr>
              <w:t>差错更正</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gridSpan w:val="2"/>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bl>
    <w:p>
      <w:pPr>
        <w:spacing w:after="0"/>
        <w:sectPr>
          <w:pgSz w:w="11910" w:h="16840"/>
          <w:pgMar w:header="871" w:footer="1037" w:top="1100" w:bottom="1220" w:left="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52" w:type="dxa"/>
        <w:tblLayout w:type="fixed"/>
        <w:tblCellMar>
          <w:top w:w="0" w:type="dxa"/>
          <w:left w:w="0" w:type="dxa"/>
          <w:bottom w:w="0" w:type="dxa"/>
          <w:right w:w="0" w:type="dxa"/>
        </w:tblCellMar>
        <w:tblLook w:val="01E0"/>
      </w:tblPr>
      <w:tblGrid>
        <w:gridCol w:w="1042"/>
        <w:gridCol w:w="1057"/>
        <w:gridCol w:w="288"/>
        <w:gridCol w:w="254"/>
        <w:gridCol w:w="274"/>
        <w:gridCol w:w="1080"/>
        <w:gridCol w:w="1009"/>
        <w:gridCol w:w="264"/>
        <w:gridCol w:w="264"/>
        <w:gridCol w:w="1023"/>
        <w:gridCol w:w="418"/>
        <w:gridCol w:w="1167"/>
        <w:gridCol w:w="240"/>
        <w:gridCol w:w="1176"/>
        <w:gridCol w:w="1018"/>
        <w:gridCol w:w="1177"/>
      </w:tblGrid>
      <w:tr>
        <w:trPr>
          <w:trHeight w:val="1027"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215" w:firstLine="475"/>
              <w:jc w:val="both"/>
              <w:rPr>
                <w:rFonts w:ascii="宋体" w:hAnsi="宋体" w:cs="宋体" w:eastAsia="宋体" w:hint="default"/>
                <w:sz w:val="15"/>
                <w:szCs w:val="15"/>
              </w:rPr>
            </w:pPr>
            <w:r>
              <w:rPr>
                <w:rFonts w:ascii="宋体" w:hAnsi="宋体" w:cs="宋体" w:eastAsia="宋体" w:hint="default"/>
                <w:w w:val="80"/>
                <w:sz w:val="15"/>
                <w:szCs w:val="15"/>
              </w:rPr>
              <w:t>同一</w:t>
            </w:r>
            <w:r>
              <w:rPr>
                <w:rFonts w:ascii="宋体" w:hAnsi="宋体" w:cs="宋体" w:eastAsia="宋体" w:hint="default"/>
                <w:w w:val="79"/>
                <w:sz w:val="15"/>
                <w:szCs w:val="15"/>
              </w:rPr>
              <w:t> </w:t>
            </w:r>
            <w:r>
              <w:rPr>
                <w:rFonts w:ascii="宋体" w:hAnsi="宋体" w:cs="宋体" w:eastAsia="宋体" w:hint="default"/>
                <w:w w:val="80"/>
                <w:sz w:val="15"/>
                <w:szCs w:val="15"/>
              </w:rPr>
              <w:t>控制下企业合</w:t>
            </w:r>
            <w:r>
              <w:rPr>
                <w:rFonts w:ascii="宋体" w:hAnsi="宋体" w:cs="宋体" w:eastAsia="宋体" w:hint="default"/>
                <w:w w:val="79"/>
                <w:sz w:val="15"/>
                <w:szCs w:val="15"/>
              </w:rPr>
              <w:t> </w:t>
            </w:r>
            <w:r>
              <w:rPr>
                <w:rFonts w:ascii="宋体" w:hAnsi="宋体" w:cs="宋体" w:eastAsia="宋体" w:hint="default"/>
                <w:w w:val="90"/>
                <w:sz w:val="15"/>
                <w:szCs w:val="15"/>
              </w:rPr>
              <w:t>并</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566" w:right="0"/>
              <w:jc w:val="left"/>
              <w:rPr>
                <w:rFonts w:ascii="宋体" w:hAnsi="宋体" w:cs="宋体" w:eastAsia="宋体" w:hint="default"/>
                <w:sz w:val="15"/>
                <w:szCs w:val="15"/>
              </w:rPr>
            </w:pPr>
            <w:r>
              <w:rPr>
                <w:rFonts w:ascii="宋体" w:hAnsi="宋体" w:cs="宋体" w:eastAsia="宋体" w:hint="default"/>
                <w:w w:val="90"/>
                <w:sz w:val="15"/>
                <w:szCs w:val="15"/>
              </w:rPr>
              <w:t>其他</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84"/>
              <w:ind w:left="91" w:right="105"/>
              <w:jc w:val="left"/>
              <w:rPr>
                <w:rFonts w:ascii="宋体" w:hAnsi="宋体" w:cs="宋体" w:eastAsia="宋体" w:hint="default"/>
                <w:sz w:val="15"/>
                <w:szCs w:val="15"/>
              </w:rPr>
            </w:pPr>
            <w:r>
              <w:rPr>
                <w:rFonts w:ascii="宋体" w:hAnsi="宋体" w:cs="宋体" w:eastAsia="宋体" w:hint="default"/>
                <w:spacing w:val="-3"/>
                <w:w w:val="80"/>
                <w:sz w:val="15"/>
                <w:szCs w:val="15"/>
              </w:rPr>
              <w:t>二、本年期初余</w:t>
            </w:r>
            <w:r>
              <w:rPr>
                <w:rFonts w:ascii="宋体" w:hAnsi="宋体" w:cs="宋体" w:eastAsia="宋体" w:hint="default"/>
                <w:w w:val="79"/>
                <w:sz w:val="15"/>
                <w:szCs w:val="15"/>
              </w:rPr>
              <w:t> </w:t>
            </w:r>
            <w:r>
              <w:rPr>
                <w:rFonts w:ascii="宋体" w:hAnsi="宋体" w:cs="宋体" w:eastAsia="宋体" w:hint="default"/>
                <w:w w:val="90"/>
                <w:sz w:val="15"/>
                <w:szCs w:val="15"/>
              </w:rPr>
              <w:t>额</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宋体" w:hAnsi="宋体" w:cs="宋体" w:eastAsia="宋体" w:hint="default"/>
                <w:sz w:val="15"/>
                <w:szCs w:val="15"/>
              </w:rPr>
            </w:pPr>
            <w:r>
              <w:rPr>
                <w:rFonts w:ascii="宋体"/>
                <w:w w:val="85"/>
                <w:sz w:val="15"/>
              </w:rPr>
              <w:t>411,118,370.00</w:t>
            </w:r>
            <w:r>
              <w:rPr>
                <w:rFonts w:ascii="宋体"/>
                <w:sz w:val="15"/>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15"/>
                <w:szCs w:val="15"/>
              </w:rPr>
            </w:pPr>
            <w:r>
              <w:rPr>
                <w:rFonts w:ascii="宋体"/>
                <w:spacing w:val="-1"/>
                <w:w w:val="75"/>
                <w:sz w:val="15"/>
              </w:rPr>
              <w:t>739,285,789.70</w:t>
            </w:r>
            <w:r>
              <w:rPr>
                <w:rFonts w:ascii="宋体"/>
                <w:spacing w:val="-1"/>
                <w:sz w:val="15"/>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19" w:right="0"/>
              <w:jc w:val="left"/>
              <w:rPr>
                <w:rFonts w:ascii="宋体" w:hAnsi="宋体" w:cs="宋体" w:eastAsia="宋体" w:hint="default"/>
                <w:sz w:val="15"/>
                <w:szCs w:val="15"/>
              </w:rPr>
            </w:pPr>
            <w:r>
              <w:rPr>
                <w:rFonts w:ascii="宋体"/>
                <w:w w:val="85"/>
                <w:sz w:val="15"/>
              </w:rPr>
              <w:t>25,041,540.00</w:t>
            </w:r>
            <w:r>
              <w:rPr>
                <w:rFonts w:ascii="宋体"/>
                <w:sz w:val="15"/>
              </w:rPr>
            </w: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30" w:right="0"/>
              <w:jc w:val="left"/>
              <w:rPr>
                <w:rFonts w:ascii="宋体" w:hAnsi="宋体" w:cs="宋体" w:eastAsia="宋体" w:hint="default"/>
                <w:sz w:val="15"/>
                <w:szCs w:val="15"/>
              </w:rPr>
            </w:pPr>
            <w:r>
              <w:rPr>
                <w:rFonts w:ascii="宋体"/>
                <w:w w:val="85"/>
                <w:sz w:val="15"/>
              </w:rPr>
              <w:t>21,281,039.35</w:t>
            </w:r>
            <w:r>
              <w:rPr>
                <w:rFonts w:ascii="宋体"/>
                <w:sz w:val="15"/>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15"/>
                <w:szCs w:val="15"/>
              </w:rPr>
            </w:pPr>
            <w:r>
              <w:rPr>
                <w:rFonts w:ascii="宋体"/>
                <w:spacing w:val="-1"/>
                <w:w w:val="75"/>
                <w:sz w:val="15"/>
              </w:rPr>
              <w:t>-93,456,318.93</w:t>
            </w:r>
            <w:r>
              <w:rPr>
                <w:rFonts w:ascii="宋体"/>
                <w:spacing w:val="-1"/>
                <w:sz w:val="15"/>
              </w:rPr>
            </w: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15"/>
                <w:szCs w:val="15"/>
              </w:rPr>
            </w:pPr>
            <w:r>
              <w:rPr>
                <w:rFonts w:ascii="宋体"/>
                <w:spacing w:val="-1"/>
                <w:w w:val="75"/>
                <w:sz w:val="15"/>
              </w:rPr>
              <w:t>1,053,187,340.12</w:t>
            </w:r>
            <w:r>
              <w:rPr>
                <w:rFonts w:ascii="宋体"/>
                <w:spacing w:val="-1"/>
                <w:sz w:val="15"/>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宋体" w:hAnsi="宋体" w:cs="宋体" w:eastAsia="宋体" w:hint="default"/>
                <w:sz w:val="15"/>
                <w:szCs w:val="15"/>
              </w:rPr>
            </w:pPr>
            <w:r>
              <w:rPr>
                <w:rFonts w:ascii="宋体"/>
                <w:spacing w:val="-1"/>
                <w:w w:val="75"/>
                <w:sz w:val="15"/>
              </w:rPr>
              <w:t>3,741,716.65</w:t>
            </w:r>
            <w:r>
              <w:rPr>
                <w:rFonts w:ascii="宋体"/>
                <w:spacing w:val="-1"/>
                <w:sz w:val="15"/>
              </w:rPr>
            </w:r>
          </w:p>
        </w:tc>
        <w:tc>
          <w:tcPr>
            <w:tcW w:w="11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2"/>
              <w:jc w:val="right"/>
              <w:rPr>
                <w:rFonts w:ascii="宋体" w:hAnsi="宋体" w:cs="宋体" w:eastAsia="宋体" w:hint="default"/>
                <w:sz w:val="15"/>
                <w:szCs w:val="15"/>
              </w:rPr>
            </w:pPr>
            <w:r>
              <w:rPr>
                <w:rFonts w:ascii="宋体"/>
                <w:spacing w:val="-1"/>
                <w:w w:val="75"/>
                <w:sz w:val="15"/>
              </w:rPr>
              <w:t>1,056,929,056.77</w:t>
            </w:r>
            <w:r>
              <w:rPr>
                <w:rFonts w:ascii="宋体"/>
                <w:spacing w:val="-1"/>
                <w:sz w:val="15"/>
              </w:rPr>
            </w:r>
          </w:p>
        </w:tc>
      </w:tr>
      <w:tr>
        <w:trPr>
          <w:trHeight w:val="1028"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4" w:lineRule="auto" w:before="79"/>
              <w:ind w:left="91" w:right="96"/>
              <w:jc w:val="both"/>
              <w:rPr>
                <w:rFonts w:ascii="宋体" w:hAnsi="宋体" w:cs="宋体" w:eastAsia="宋体" w:hint="default"/>
                <w:sz w:val="15"/>
                <w:szCs w:val="15"/>
              </w:rPr>
            </w:pPr>
            <w:r>
              <w:rPr>
                <w:rFonts w:ascii="宋体" w:hAnsi="宋体" w:cs="宋体" w:eastAsia="宋体" w:hint="default"/>
                <w:spacing w:val="-3"/>
                <w:w w:val="80"/>
                <w:sz w:val="15"/>
                <w:szCs w:val="15"/>
              </w:rPr>
              <w:t>三、本期增减变</w:t>
            </w:r>
            <w:r>
              <w:rPr>
                <w:rFonts w:ascii="宋体" w:hAnsi="宋体" w:cs="宋体" w:eastAsia="宋体" w:hint="default"/>
                <w:w w:val="79"/>
                <w:sz w:val="15"/>
                <w:szCs w:val="15"/>
              </w:rPr>
              <w:t> </w:t>
            </w:r>
            <w:r>
              <w:rPr>
                <w:rFonts w:ascii="宋体" w:hAnsi="宋体" w:cs="宋体" w:eastAsia="宋体" w:hint="default"/>
                <w:spacing w:val="-3"/>
                <w:w w:val="80"/>
                <w:sz w:val="15"/>
                <w:szCs w:val="15"/>
              </w:rPr>
              <w:t>动金额（减少以</w:t>
            </w:r>
            <w:r>
              <w:rPr>
                <w:rFonts w:ascii="宋体" w:hAnsi="宋体" w:cs="宋体" w:eastAsia="宋体" w:hint="default"/>
                <w:w w:val="79"/>
                <w:sz w:val="15"/>
                <w:szCs w:val="15"/>
              </w:rPr>
              <w:t> </w:t>
            </w:r>
            <w:r>
              <w:rPr>
                <w:rFonts w:ascii="宋体" w:hAnsi="宋体" w:cs="宋体" w:eastAsia="宋体" w:hint="default"/>
                <w:w w:val="80"/>
                <w:sz w:val="15"/>
                <w:szCs w:val="15"/>
              </w:rPr>
              <w:t>“－”号填列）</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15"/>
                <w:szCs w:val="15"/>
              </w:rPr>
            </w:pPr>
            <w:r>
              <w:rPr>
                <w:rFonts w:ascii="宋体"/>
                <w:spacing w:val="-1"/>
                <w:w w:val="75"/>
                <w:sz w:val="15"/>
              </w:rPr>
              <w:t>115,634.70</w:t>
            </w:r>
            <w:r>
              <w:rPr>
                <w:rFonts w:ascii="宋体"/>
                <w:spacing w:val="-1"/>
                <w:sz w:val="15"/>
              </w:rPr>
            </w: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15"/>
                <w:szCs w:val="15"/>
              </w:rPr>
            </w:pPr>
            <w:r>
              <w:rPr>
                <w:rFonts w:ascii="宋体"/>
                <w:spacing w:val="-1"/>
                <w:w w:val="80"/>
                <w:sz w:val="15"/>
              </w:rPr>
              <w:t>25,194,200.65</w:t>
            </w:r>
            <w:r>
              <w:rPr>
                <w:rFonts w:ascii="宋体"/>
                <w:spacing w:val="-1"/>
                <w:sz w:val="15"/>
              </w:rPr>
            </w: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15"/>
                <w:szCs w:val="15"/>
              </w:rPr>
            </w:pPr>
            <w:r>
              <w:rPr>
                <w:rFonts w:ascii="宋体"/>
                <w:spacing w:val="-1"/>
                <w:w w:val="80"/>
                <w:sz w:val="15"/>
              </w:rPr>
              <w:t>25,309,835.35</w:t>
            </w:r>
            <w:r>
              <w:rPr>
                <w:rFonts w:ascii="宋体"/>
                <w:spacing w:val="-1"/>
                <w:sz w:val="15"/>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宋体" w:hAnsi="宋体" w:cs="宋体" w:eastAsia="宋体" w:hint="default"/>
                <w:sz w:val="15"/>
                <w:szCs w:val="15"/>
              </w:rPr>
            </w:pPr>
            <w:r>
              <w:rPr>
                <w:rFonts w:ascii="宋体"/>
                <w:spacing w:val="-1"/>
                <w:w w:val="75"/>
                <w:sz w:val="15"/>
              </w:rPr>
              <w:t>424,047.81</w:t>
            </w:r>
            <w:r>
              <w:rPr>
                <w:rFonts w:ascii="宋体"/>
                <w:spacing w:val="-1"/>
                <w:sz w:val="15"/>
              </w:rPr>
            </w:r>
          </w:p>
        </w:tc>
        <w:tc>
          <w:tcPr>
            <w:tcW w:w="11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2"/>
              <w:jc w:val="right"/>
              <w:rPr>
                <w:rFonts w:ascii="宋体" w:hAnsi="宋体" w:cs="宋体" w:eastAsia="宋体" w:hint="default"/>
                <w:sz w:val="15"/>
                <w:szCs w:val="15"/>
              </w:rPr>
            </w:pPr>
            <w:r>
              <w:rPr>
                <w:rFonts w:ascii="宋体"/>
                <w:spacing w:val="-1"/>
                <w:w w:val="80"/>
                <w:sz w:val="15"/>
              </w:rPr>
              <w:t>25,733,883.16</w:t>
            </w:r>
            <w:r>
              <w:rPr>
                <w:rFonts w:ascii="宋体"/>
                <w:spacing w:val="-1"/>
                <w:sz w:val="15"/>
              </w:rPr>
            </w:r>
          </w:p>
        </w:tc>
      </w:tr>
      <w:tr>
        <w:trPr>
          <w:trHeight w:val="715"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05"/>
              <w:jc w:val="left"/>
              <w:rPr>
                <w:rFonts w:ascii="宋体" w:hAnsi="宋体" w:cs="宋体" w:eastAsia="宋体" w:hint="default"/>
                <w:sz w:val="15"/>
                <w:szCs w:val="15"/>
              </w:rPr>
            </w:pPr>
            <w:r>
              <w:rPr>
                <w:rFonts w:ascii="宋体" w:hAnsi="宋体" w:cs="宋体" w:eastAsia="宋体" w:hint="default"/>
                <w:spacing w:val="-3"/>
                <w:w w:val="80"/>
                <w:sz w:val="15"/>
                <w:szCs w:val="15"/>
              </w:rPr>
              <w:t>（一）综合收益</w:t>
            </w:r>
            <w:r>
              <w:rPr>
                <w:rFonts w:ascii="宋体" w:hAnsi="宋体" w:cs="宋体" w:eastAsia="宋体" w:hint="default"/>
                <w:w w:val="79"/>
                <w:sz w:val="15"/>
                <w:szCs w:val="15"/>
              </w:rPr>
              <w:t> </w:t>
            </w:r>
            <w:r>
              <w:rPr>
                <w:rFonts w:ascii="宋体" w:hAnsi="宋体" w:cs="宋体" w:eastAsia="宋体" w:hint="default"/>
                <w:w w:val="90"/>
                <w:sz w:val="15"/>
                <w:szCs w:val="15"/>
              </w:rPr>
              <w:t>总额</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15"/>
                <w:szCs w:val="15"/>
              </w:rPr>
            </w:pPr>
            <w:r>
              <w:rPr>
                <w:rFonts w:ascii="宋体"/>
                <w:spacing w:val="-1"/>
                <w:w w:val="80"/>
                <w:sz w:val="15"/>
              </w:rPr>
              <w:t>25,194,200.65</w:t>
            </w:r>
            <w:r>
              <w:rPr>
                <w:rFonts w:ascii="宋体"/>
                <w:spacing w:val="-1"/>
                <w:sz w:val="15"/>
              </w:rPr>
            </w: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15"/>
                <w:szCs w:val="15"/>
              </w:rPr>
            </w:pPr>
            <w:r>
              <w:rPr>
                <w:rFonts w:ascii="宋体"/>
                <w:spacing w:val="-1"/>
                <w:w w:val="80"/>
                <w:sz w:val="15"/>
              </w:rPr>
              <w:t>25,194,200.65</w:t>
            </w:r>
            <w:r>
              <w:rPr>
                <w:rFonts w:ascii="宋体"/>
                <w:spacing w:val="-1"/>
                <w:sz w:val="15"/>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宋体" w:hAnsi="宋体" w:cs="宋体" w:eastAsia="宋体" w:hint="default"/>
                <w:sz w:val="15"/>
                <w:szCs w:val="15"/>
              </w:rPr>
            </w:pPr>
            <w:r>
              <w:rPr>
                <w:rFonts w:ascii="宋体"/>
                <w:spacing w:val="-1"/>
                <w:w w:val="75"/>
                <w:sz w:val="15"/>
              </w:rPr>
              <w:t>1,899,179.59</w:t>
            </w:r>
            <w:r>
              <w:rPr>
                <w:rFonts w:ascii="宋体"/>
                <w:spacing w:val="-1"/>
                <w:sz w:val="15"/>
              </w:rPr>
            </w:r>
          </w:p>
        </w:tc>
        <w:tc>
          <w:tcPr>
            <w:tcW w:w="11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2"/>
              <w:jc w:val="right"/>
              <w:rPr>
                <w:rFonts w:ascii="宋体" w:hAnsi="宋体" w:cs="宋体" w:eastAsia="宋体" w:hint="default"/>
                <w:sz w:val="15"/>
                <w:szCs w:val="15"/>
              </w:rPr>
            </w:pPr>
            <w:r>
              <w:rPr>
                <w:rFonts w:ascii="宋体"/>
                <w:spacing w:val="-1"/>
                <w:w w:val="80"/>
                <w:sz w:val="15"/>
              </w:rPr>
              <w:t>27,093,380.24</w:t>
            </w:r>
            <w:r>
              <w:rPr>
                <w:rFonts w:ascii="宋体"/>
                <w:spacing w:val="-1"/>
                <w:sz w:val="15"/>
              </w:rPr>
            </w:r>
          </w:p>
        </w:tc>
      </w:tr>
      <w:tr>
        <w:trPr>
          <w:trHeight w:val="711"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05"/>
              <w:jc w:val="left"/>
              <w:rPr>
                <w:rFonts w:ascii="宋体" w:hAnsi="宋体" w:cs="宋体" w:eastAsia="宋体" w:hint="default"/>
                <w:sz w:val="15"/>
                <w:szCs w:val="15"/>
              </w:rPr>
            </w:pPr>
            <w:r>
              <w:rPr>
                <w:rFonts w:ascii="宋体" w:hAnsi="宋体" w:cs="宋体" w:eastAsia="宋体" w:hint="default"/>
                <w:spacing w:val="-3"/>
                <w:w w:val="80"/>
                <w:sz w:val="15"/>
                <w:szCs w:val="15"/>
              </w:rPr>
              <w:t>（二）所有者投</w:t>
            </w:r>
            <w:r>
              <w:rPr>
                <w:rFonts w:ascii="宋体" w:hAnsi="宋体" w:cs="宋体" w:eastAsia="宋体" w:hint="default"/>
                <w:w w:val="79"/>
                <w:sz w:val="15"/>
                <w:szCs w:val="15"/>
              </w:rPr>
              <w:t> </w:t>
            </w:r>
            <w:r>
              <w:rPr>
                <w:rFonts w:ascii="宋体" w:hAnsi="宋体" w:cs="宋体" w:eastAsia="宋体" w:hint="default"/>
                <w:w w:val="85"/>
                <w:sz w:val="15"/>
                <w:szCs w:val="15"/>
              </w:rPr>
              <w:t>入和减少资本</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15"/>
                <w:szCs w:val="15"/>
              </w:rPr>
            </w:pPr>
            <w:r>
              <w:rPr>
                <w:rFonts w:ascii="宋体"/>
                <w:spacing w:val="-1"/>
                <w:w w:val="75"/>
                <w:sz w:val="15"/>
              </w:rPr>
              <w:t>115,634.70</w:t>
            </w:r>
            <w:r>
              <w:rPr>
                <w:rFonts w:ascii="宋体"/>
                <w:spacing w:val="-1"/>
                <w:sz w:val="15"/>
              </w:rPr>
            </w: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15"/>
                <w:szCs w:val="15"/>
              </w:rPr>
            </w:pPr>
            <w:r>
              <w:rPr>
                <w:rFonts w:ascii="宋体"/>
                <w:spacing w:val="-1"/>
                <w:w w:val="75"/>
                <w:sz w:val="15"/>
              </w:rPr>
              <w:t>115,634.70</w:t>
            </w:r>
            <w:r>
              <w:rPr>
                <w:rFonts w:ascii="宋体"/>
                <w:spacing w:val="-1"/>
                <w:sz w:val="15"/>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15"/>
                <w:szCs w:val="15"/>
              </w:rPr>
            </w:pPr>
            <w:r>
              <w:rPr>
                <w:rFonts w:ascii="宋体"/>
                <w:spacing w:val="-1"/>
                <w:w w:val="80"/>
                <w:sz w:val="15"/>
              </w:rPr>
              <w:t>-1,475,131.78</w:t>
            </w:r>
            <w:r>
              <w:rPr>
                <w:rFonts w:ascii="宋体"/>
                <w:spacing w:val="-1"/>
                <w:sz w:val="15"/>
              </w:rPr>
            </w:r>
          </w:p>
        </w:tc>
        <w:tc>
          <w:tcPr>
            <w:tcW w:w="11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92"/>
              <w:jc w:val="right"/>
              <w:rPr>
                <w:rFonts w:ascii="宋体" w:hAnsi="宋体" w:cs="宋体" w:eastAsia="宋体" w:hint="default"/>
                <w:sz w:val="15"/>
                <w:szCs w:val="15"/>
              </w:rPr>
            </w:pPr>
            <w:r>
              <w:rPr>
                <w:rFonts w:ascii="宋体"/>
                <w:spacing w:val="-1"/>
                <w:w w:val="80"/>
                <w:sz w:val="15"/>
              </w:rPr>
              <w:t>-1,359,497.08</w:t>
            </w:r>
            <w:r>
              <w:rPr>
                <w:rFonts w:ascii="宋体"/>
                <w:spacing w:val="-1"/>
                <w:sz w:val="15"/>
              </w:rPr>
            </w:r>
          </w:p>
        </w:tc>
      </w:tr>
      <w:tr>
        <w:trPr>
          <w:trHeight w:val="715"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84"/>
              <w:ind w:left="91" w:right="152"/>
              <w:jc w:val="left"/>
              <w:rPr>
                <w:rFonts w:ascii="宋体" w:hAnsi="宋体" w:cs="宋体" w:eastAsia="宋体" w:hint="default"/>
                <w:sz w:val="15"/>
                <w:szCs w:val="15"/>
              </w:rPr>
            </w:pPr>
            <w:r>
              <w:rPr>
                <w:rFonts w:ascii="宋体" w:hAnsi="宋体" w:cs="宋体" w:eastAsia="宋体" w:hint="default"/>
                <w:w w:val="80"/>
                <w:sz w:val="15"/>
                <w:szCs w:val="15"/>
              </w:rPr>
              <w:t>1</w:t>
            </w:r>
            <w:r>
              <w:rPr>
                <w:rFonts w:ascii="宋体" w:hAnsi="宋体" w:cs="宋体" w:eastAsia="宋体" w:hint="default"/>
                <w:w w:val="80"/>
                <w:sz w:val="15"/>
                <w:szCs w:val="15"/>
              </w:rPr>
              <w:t>．所有者投入</w:t>
            </w:r>
            <w:r>
              <w:rPr>
                <w:rFonts w:ascii="宋体" w:hAnsi="宋体" w:cs="宋体" w:eastAsia="宋体" w:hint="default"/>
                <w:w w:val="79"/>
                <w:sz w:val="15"/>
                <w:szCs w:val="15"/>
              </w:rPr>
              <w:t> </w:t>
            </w:r>
            <w:r>
              <w:rPr>
                <w:rFonts w:ascii="宋体" w:hAnsi="宋体" w:cs="宋体" w:eastAsia="宋体" w:hint="default"/>
                <w:w w:val="90"/>
                <w:sz w:val="15"/>
                <w:szCs w:val="15"/>
              </w:rPr>
              <w:t>的普通股</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1028"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4" w:lineRule="auto" w:before="79"/>
              <w:ind w:left="91" w:right="152"/>
              <w:jc w:val="left"/>
              <w:rPr>
                <w:rFonts w:ascii="宋体" w:hAnsi="宋体" w:cs="宋体" w:eastAsia="宋体" w:hint="default"/>
                <w:sz w:val="15"/>
                <w:szCs w:val="15"/>
              </w:rPr>
            </w:pPr>
            <w:r>
              <w:rPr>
                <w:rFonts w:ascii="宋体" w:hAnsi="宋体" w:cs="宋体" w:eastAsia="宋体" w:hint="default"/>
                <w:w w:val="80"/>
                <w:sz w:val="15"/>
                <w:szCs w:val="15"/>
              </w:rPr>
              <w:t>2</w:t>
            </w:r>
            <w:r>
              <w:rPr>
                <w:rFonts w:ascii="宋体" w:hAnsi="宋体" w:cs="宋体" w:eastAsia="宋体" w:hint="default"/>
                <w:w w:val="80"/>
                <w:sz w:val="15"/>
                <w:szCs w:val="15"/>
              </w:rPr>
              <w:t>．其他权益工</w:t>
            </w:r>
            <w:r>
              <w:rPr>
                <w:rFonts w:ascii="宋体" w:hAnsi="宋体" w:cs="宋体" w:eastAsia="宋体" w:hint="default"/>
                <w:w w:val="79"/>
                <w:sz w:val="15"/>
                <w:szCs w:val="15"/>
              </w:rPr>
              <w:t> </w:t>
            </w:r>
            <w:r>
              <w:rPr>
                <w:rFonts w:ascii="宋体" w:hAnsi="宋体" w:cs="宋体" w:eastAsia="宋体" w:hint="default"/>
                <w:w w:val="85"/>
                <w:sz w:val="15"/>
                <w:szCs w:val="15"/>
              </w:rPr>
              <w:t>具持有者投入</w:t>
            </w:r>
            <w:r>
              <w:rPr>
                <w:rFonts w:ascii="宋体" w:hAnsi="宋体" w:cs="宋体" w:eastAsia="宋体" w:hint="default"/>
                <w:w w:val="79"/>
                <w:sz w:val="15"/>
                <w:szCs w:val="15"/>
              </w:rPr>
              <w:t> </w:t>
            </w:r>
            <w:r>
              <w:rPr>
                <w:rFonts w:ascii="宋体" w:hAnsi="宋体" w:cs="宋体" w:eastAsia="宋体" w:hint="default"/>
                <w:w w:val="90"/>
                <w:sz w:val="15"/>
                <w:szCs w:val="15"/>
              </w:rPr>
              <w:t>资本</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52"/>
              <w:jc w:val="left"/>
              <w:rPr>
                <w:rFonts w:ascii="宋体" w:hAnsi="宋体" w:cs="宋体" w:eastAsia="宋体" w:hint="default"/>
                <w:sz w:val="15"/>
                <w:szCs w:val="15"/>
              </w:rPr>
            </w:pPr>
            <w:r>
              <w:rPr>
                <w:rFonts w:ascii="宋体" w:hAnsi="宋体" w:cs="宋体" w:eastAsia="宋体" w:hint="default"/>
                <w:w w:val="80"/>
                <w:sz w:val="15"/>
                <w:szCs w:val="15"/>
              </w:rPr>
              <w:t>3</w:t>
            </w:r>
            <w:r>
              <w:rPr>
                <w:rFonts w:ascii="宋体" w:hAnsi="宋体" w:cs="宋体" w:eastAsia="宋体" w:hint="default"/>
                <w:w w:val="80"/>
                <w:sz w:val="15"/>
                <w:szCs w:val="15"/>
              </w:rPr>
              <w:t>．股份支付计</w:t>
            </w:r>
            <w:r>
              <w:rPr>
                <w:rFonts w:ascii="宋体" w:hAnsi="宋体" w:cs="宋体" w:eastAsia="宋体" w:hint="default"/>
                <w:w w:val="79"/>
                <w:sz w:val="15"/>
                <w:szCs w:val="15"/>
              </w:rPr>
              <w:t> </w:t>
            </w:r>
            <w:r>
              <w:rPr>
                <w:rFonts w:ascii="宋体" w:hAnsi="宋体" w:cs="宋体" w:eastAsia="宋体" w:hint="default"/>
                <w:w w:val="85"/>
                <w:sz w:val="15"/>
                <w:szCs w:val="15"/>
              </w:rPr>
              <w:t>入所有者权益</w:t>
            </w:r>
            <w:r>
              <w:rPr>
                <w:rFonts w:ascii="宋体" w:hAnsi="宋体" w:cs="宋体" w:eastAsia="宋体" w:hint="default"/>
                <w:w w:val="79"/>
                <w:sz w:val="15"/>
                <w:szCs w:val="15"/>
              </w:rPr>
              <w:t> </w:t>
            </w:r>
            <w:r>
              <w:rPr>
                <w:rFonts w:ascii="宋体" w:hAnsi="宋体" w:cs="宋体" w:eastAsia="宋体" w:hint="default"/>
                <w:w w:val="90"/>
                <w:sz w:val="15"/>
                <w:szCs w:val="15"/>
              </w:rPr>
              <w:t>的金额</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w w:val="90"/>
                <w:sz w:val="15"/>
                <w:szCs w:val="15"/>
              </w:rPr>
              <w:t>4</w:t>
            </w:r>
            <w:r>
              <w:rPr>
                <w:rFonts w:ascii="宋体" w:hAnsi="宋体" w:cs="宋体" w:eastAsia="宋体" w:hint="default"/>
                <w:w w:val="90"/>
                <w:sz w:val="15"/>
                <w:szCs w:val="15"/>
              </w:rPr>
              <w:t>．其他</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w w:val="75"/>
                <w:sz w:val="15"/>
              </w:rPr>
              <w:t>115,634.70</w:t>
            </w:r>
            <w:r>
              <w:rPr>
                <w:rFonts w:ascii="宋体"/>
                <w:spacing w:val="-1"/>
                <w:sz w:val="15"/>
              </w:rPr>
            </w: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7"/>
              <w:jc w:val="right"/>
              <w:rPr>
                <w:rFonts w:ascii="宋体" w:hAnsi="宋体" w:cs="宋体" w:eastAsia="宋体" w:hint="default"/>
                <w:sz w:val="15"/>
                <w:szCs w:val="15"/>
              </w:rPr>
            </w:pPr>
            <w:r>
              <w:rPr>
                <w:rFonts w:ascii="宋体"/>
                <w:spacing w:val="-1"/>
                <w:w w:val="75"/>
                <w:sz w:val="15"/>
              </w:rPr>
              <w:t>115,634.70</w:t>
            </w:r>
            <w:r>
              <w:rPr>
                <w:rFonts w:ascii="宋体"/>
                <w:spacing w:val="-1"/>
                <w:sz w:val="15"/>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7"/>
              <w:jc w:val="right"/>
              <w:rPr>
                <w:rFonts w:ascii="宋体" w:hAnsi="宋体" w:cs="宋体" w:eastAsia="宋体" w:hint="default"/>
                <w:sz w:val="15"/>
                <w:szCs w:val="15"/>
              </w:rPr>
            </w:pPr>
            <w:r>
              <w:rPr>
                <w:rFonts w:ascii="宋体"/>
                <w:spacing w:val="-1"/>
                <w:w w:val="80"/>
                <w:sz w:val="15"/>
              </w:rPr>
              <w:t>-1,475,131.78</w:t>
            </w:r>
            <w:r>
              <w:rPr>
                <w:rFonts w:ascii="宋体"/>
                <w:spacing w:val="-1"/>
                <w:sz w:val="15"/>
              </w:rPr>
            </w:r>
          </w:p>
        </w:tc>
        <w:tc>
          <w:tcPr>
            <w:tcW w:w="117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9"/>
              <w:ind w:right="92"/>
              <w:jc w:val="right"/>
              <w:rPr>
                <w:rFonts w:ascii="宋体" w:hAnsi="宋体" w:cs="宋体" w:eastAsia="宋体" w:hint="default"/>
                <w:sz w:val="15"/>
                <w:szCs w:val="15"/>
              </w:rPr>
            </w:pPr>
            <w:r>
              <w:rPr>
                <w:rFonts w:ascii="宋体"/>
                <w:spacing w:val="-1"/>
                <w:w w:val="80"/>
                <w:sz w:val="15"/>
              </w:rPr>
              <w:t>-1,359,497.08</w:t>
            </w:r>
            <w:r>
              <w:rPr>
                <w:rFonts w:ascii="宋体"/>
                <w:spacing w:val="-1"/>
                <w:sz w:val="15"/>
              </w:rPr>
            </w:r>
          </w:p>
        </w:tc>
      </w:tr>
      <w:tr>
        <w:trPr>
          <w:trHeight w:val="404"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4"/>
              <w:ind w:left="91" w:right="0"/>
              <w:jc w:val="left"/>
              <w:rPr>
                <w:rFonts w:ascii="宋体" w:hAnsi="宋体" w:cs="宋体" w:eastAsia="宋体" w:hint="default"/>
                <w:sz w:val="15"/>
                <w:szCs w:val="15"/>
              </w:rPr>
            </w:pPr>
            <w:r>
              <w:rPr>
                <w:rFonts w:ascii="宋体" w:hAnsi="宋体" w:cs="宋体" w:eastAsia="宋体" w:hint="default"/>
                <w:spacing w:val="-3"/>
                <w:w w:val="85"/>
                <w:sz w:val="15"/>
                <w:szCs w:val="15"/>
              </w:rPr>
              <w:t>（三）利润分配</w:t>
            </w:r>
            <w:r>
              <w:rPr>
                <w:rFonts w:ascii="宋体" w:hAnsi="宋体" w:cs="宋体" w:eastAsia="宋体" w:hint="default"/>
                <w:spacing w:val="-3"/>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6" w:lineRule="auto" w:before="79"/>
              <w:ind w:left="91" w:right="152"/>
              <w:jc w:val="left"/>
              <w:rPr>
                <w:rFonts w:ascii="宋体" w:hAnsi="宋体" w:cs="宋体" w:eastAsia="宋体" w:hint="default"/>
                <w:sz w:val="15"/>
                <w:szCs w:val="15"/>
              </w:rPr>
            </w:pPr>
            <w:r>
              <w:rPr>
                <w:rFonts w:ascii="宋体" w:hAnsi="宋体" w:cs="宋体" w:eastAsia="宋体" w:hint="default"/>
                <w:w w:val="80"/>
                <w:sz w:val="15"/>
                <w:szCs w:val="15"/>
              </w:rPr>
              <w:t>1</w:t>
            </w:r>
            <w:r>
              <w:rPr>
                <w:rFonts w:ascii="宋体" w:hAnsi="宋体" w:cs="宋体" w:eastAsia="宋体" w:hint="default"/>
                <w:w w:val="80"/>
                <w:sz w:val="15"/>
                <w:szCs w:val="15"/>
              </w:rPr>
              <w:t>．提取盈余公</w:t>
            </w:r>
            <w:r>
              <w:rPr>
                <w:rFonts w:ascii="宋体" w:hAnsi="宋体" w:cs="宋体" w:eastAsia="宋体" w:hint="default"/>
                <w:w w:val="79"/>
                <w:sz w:val="15"/>
                <w:szCs w:val="15"/>
              </w:rPr>
              <w:t> </w:t>
            </w:r>
            <w:r>
              <w:rPr>
                <w:rFonts w:ascii="宋体" w:hAnsi="宋体" w:cs="宋体" w:eastAsia="宋体" w:hint="default"/>
                <w:w w:val="90"/>
                <w:sz w:val="15"/>
                <w:szCs w:val="15"/>
              </w:rPr>
              <w:t>积</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52"/>
              <w:jc w:val="left"/>
              <w:rPr>
                <w:rFonts w:ascii="宋体" w:hAnsi="宋体" w:cs="宋体" w:eastAsia="宋体" w:hint="default"/>
                <w:sz w:val="15"/>
                <w:szCs w:val="15"/>
              </w:rPr>
            </w:pPr>
            <w:r>
              <w:rPr>
                <w:rFonts w:ascii="宋体" w:hAnsi="宋体" w:cs="宋体" w:eastAsia="宋体" w:hint="default"/>
                <w:w w:val="80"/>
                <w:sz w:val="15"/>
                <w:szCs w:val="15"/>
              </w:rPr>
              <w:t>2</w:t>
            </w:r>
            <w:r>
              <w:rPr>
                <w:rFonts w:ascii="宋体" w:hAnsi="宋体" w:cs="宋体" w:eastAsia="宋体" w:hint="default"/>
                <w:w w:val="80"/>
                <w:sz w:val="15"/>
                <w:szCs w:val="15"/>
              </w:rPr>
              <w:t>．提取一般风</w:t>
            </w:r>
            <w:r>
              <w:rPr>
                <w:rFonts w:ascii="宋体" w:hAnsi="宋体" w:cs="宋体" w:eastAsia="宋体" w:hint="default"/>
                <w:w w:val="79"/>
                <w:sz w:val="15"/>
                <w:szCs w:val="15"/>
              </w:rPr>
              <w:t> </w:t>
            </w:r>
            <w:r>
              <w:rPr>
                <w:rFonts w:ascii="宋体" w:hAnsi="宋体" w:cs="宋体" w:eastAsia="宋体" w:hint="default"/>
                <w:w w:val="90"/>
                <w:sz w:val="15"/>
                <w:szCs w:val="15"/>
              </w:rPr>
              <w:t>险准备</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05"/>
              <w:jc w:val="left"/>
              <w:rPr>
                <w:rFonts w:ascii="宋体" w:hAnsi="宋体" w:cs="宋体" w:eastAsia="宋体" w:hint="default"/>
                <w:sz w:val="15"/>
                <w:szCs w:val="15"/>
              </w:rPr>
            </w:pPr>
            <w:r>
              <w:rPr>
                <w:rFonts w:ascii="宋体" w:hAnsi="宋体" w:cs="宋体" w:eastAsia="宋体" w:hint="default"/>
                <w:spacing w:val="-12"/>
                <w:w w:val="80"/>
                <w:sz w:val="15"/>
                <w:szCs w:val="15"/>
              </w:rPr>
              <w:t>3</w:t>
            </w:r>
            <w:r>
              <w:rPr>
                <w:rFonts w:ascii="宋体" w:hAnsi="宋体" w:cs="宋体" w:eastAsia="宋体" w:hint="default"/>
                <w:spacing w:val="-12"/>
                <w:w w:val="80"/>
                <w:sz w:val="15"/>
                <w:szCs w:val="15"/>
              </w:rPr>
              <w:t>．对所有者（或</w:t>
            </w:r>
            <w:r>
              <w:rPr>
                <w:rFonts w:ascii="宋体" w:hAnsi="宋体" w:cs="宋体" w:eastAsia="宋体" w:hint="default"/>
                <w:spacing w:val="-44"/>
                <w:w w:val="80"/>
                <w:sz w:val="15"/>
                <w:szCs w:val="15"/>
              </w:rPr>
              <w:t> </w:t>
            </w:r>
            <w:r>
              <w:rPr>
                <w:rFonts w:ascii="宋体" w:hAnsi="宋体" w:cs="宋体" w:eastAsia="宋体" w:hint="default"/>
                <w:spacing w:val="-44"/>
                <w:w w:val="80"/>
                <w:sz w:val="15"/>
                <w:szCs w:val="15"/>
              </w:rPr>
            </w:r>
            <w:r>
              <w:rPr>
                <w:rFonts w:ascii="宋体" w:hAnsi="宋体" w:cs="宋体" w:eastAsia="宋体" w:hint="default"/>
                <w:w w:val="85"/>
                <w:sz w:val="15"/>
                <w:szCs w:val="15"/>
              </w:rPr>
              <w:t>股东）的分配</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4"/>
              <w:ind w:left="91" w:right="0"/>
              <w:jc w:val="left"/>
              <w:rPr>
                <w:rFonts w:ascii="宋体" w:hAnsi="宋体" w:cs="宋体" w:eastAsia="宋体" w:hint="default"/>
                <w:sz w:val="15"/>
                <w:szCs w:val="15"/>
              </w:rPr>
            </w:pPr>
            <w:r>
              <w:rPr>
                <w:rFonts w:ascii="宋体" w:hAnsi="宋体" w:cs="宋体" w:eastAsia="宋体" w:hint="default"/>
                <w:w w:val="90"/>
                <w:sz w:val="15"/>
                <w:szCs w:val="15"/>
              </w:rPr>
              <w:t>4</w:t>
            </w:r>
            <w:r>
              <w:rPr>
                <w:rFonts w:ascii="宋体" w:hAnsi="宋体" w:cs="宋体" w:eastAsia="宋体" w:hint="default"/>
                <w:w w:val="90"/>
                <w:sz w:val="15"/>
                <w:szCs w:val="15"/>
              </w:rPr>
              <w:t>．其他</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8" w:lineRule="auto" w:before="79"/>
              <w:ind w:left="91" w:right="105"/>
              <w:jc w:val="left"/>
              <w:rPr>
                <w:rFonts w:ascii="宋体" w:hAnsi="宋体" w:cs="宋体" w:eastAsia="宋体" w:hint="default"/>
                <w:sz w:val="15"/>
                <w:szCs w:val="15"/>
              </w:rPr>
            </w:pPr>
            <w:r>
              <w:rPr>
                <w:rFonts w:ascii="宋体" w:hAnsi="宋体" w:cs="宋体" w:eastAsia="宋体" w:hint="default"/>
                <w:spacing w:val="-3"/>
                <w:w w:val="80"/>
                <w:sz w:val="15"/>
                <w:szCs w:val="15"/>
              </w:rPr>
              <w:t>（四）所有者权</w:t>
            </w:r>
            <w:r>
              <w:rPr>
                <w:rFonts w:ascii="宋体" w:hAnsi="宋体" w:cs="宋体" w:eastAsia="宋体" w:hint="default"/>
                <w:w w:val="79"/>
                <w:sz w:val="15"/>
                <w:szCs w:val="15"/>
              </w:rPr>
              <w:t> </w:t>
            </w:r>
            <w:r>
              <w:rPr>
                <w:rFonts w:ascii="宋体" w:hAnsi="宋体" w:cs="宋体" w:eastAsia="宋体" w:hint="default"/>
                <w:w w:val="90"/>
                <w:sz w:val="15"/>
                <w:szCs w:val="15"/>
              </w:rPr>
              <w:t>益内部结转</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52"/>
              <w:jc w:val="left"/>
              <w:rPr>
                <w:rFonts w:ascii="宋体" w:hAnsi="宋体" w:cs="宋体" w:eastAsia="宋体" w:hint="default"/>
                <w:sz w:val="15"/>
                <w:szCs w:val="15"/>
              </w:rPr>
            </w:pPr>
            <w:r>
              <w:rPr>
                <w:rFonts w:ascii="宋体" w:hAnsi="宋体" w:cs="宋体" w:eastAsia="宋体" w:hint="default"/>
                <w:w w:val="80"/>
                <w:sz w:val="15"/>
                <w:szCs w:val="15"/>
              </w:rPr>
              <w:t>1</w:t>
            </w:r>
            <w:r>
              <w:rPr>
                <w:rFonts w:ascii="宋体" w:hAnsi="宋体" w:cs="宋体" w:eastAsia="宋体" w:hint="default"/>
                <w:w w:val="80"/>
                <w:sz w:val="15"/>
                <w:szCs w:val="15"/>
              </w:rPr>
              <w:t>．资本公积转</w:t>
            </w:r>
            <w:r>
              <w:rPr>
                <w:rFonts w:ascii="宋体" w:hAnsi="宋体" w:cs="宋体" w:eastAsia="宋体" w:hint="default"/>
                <w:w w:val="79"/>
                <w:sz w:val="15"/>
                <w:szCs w:val="15"/>
              </w:rPr>
              <w:t> </w:t>
            </w:r>
            <w:r>
              <w:rPr>
                <w:rFonts w:ascii="宋体" w:hAnsi="宋体" w:cs="宋体" w:eastAsia="宋体" w:hint="default"/>
                <w:w w:val="85"/>
                <w:sz w:val="15"/>
                <w:szCs w:val="15"/>
              </w:rPr>
              <w:t>增资本（或股</w:t>
            </w:r>
            <w:r>
              <w:rPr>
                <w:rFonts w:ascii="宋体" w:hAnsi="宋体" w:cs="宋体" w:eastAsia="宋体" w:hint="default"/>
                <w:w w:val="79"/>
                <w:sz w:val="15"/>
                <w:szCs w:val="15"/>
              </w:rPr>
              <w:t> </w:t>
            </w:r>
            <w:r>
              <w:rPr>
                <w:rFonts w:ascii="宋体" w:hAnsi="宋体" w:cs="宋体" w:eastAsia="宋体" w:hint="default"/>
                <w:w w:val="90"/>
                <w:sz w:val="15"/>
                <w:szCs w:val="15"/>
              </w:rPr>
              <w:t>本）</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1023"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52"/>
              <w:jc w:val="left"/>
              <w:rPr>
                <w:rFonts w:ascii="宋体" w:hAnsi="宋体" w:cs="宋体" w:eastAsia="宋体" w:hint="default"/>
                <w:sz w:val="15"/>
                <w:szCs w:val="15"/>
              </w:rPr>
            </w:pPr>
            <w:r>
              <w:rPr>
                <w:rFonts w:ascii="宋体" w:hAnsi="宋体" w:cs="宋体" w:eastAsia="宋体" w:hint="default"/>
                <w:w w:val="80"/>
                <w:sz w:val="15"/>
                <w:szCs w:val="15"/>
              </w:rPr>
              <w:t>2</w:t>
            </w:r>
            <w:r>
              <w:rPr>
                <w:rFonts w:ascii="宋体" w:hAnsi="宋体" w:cs="宋体" w:eastAsia="宋体" w:hint="default"/>
                <w:w w:val="80"/>
                <w:sz w:val="15"/>
                <w:szCs w:val="15"/>
              </w:rPr>
              <w:t>．盈余公积转</w:t>
            </w:r>
            <w:r>
              <w:rPr>
                <w:rFonts w:ascii="宋体" w:hAnsi="宋体" w:cs="宋体" w:eastAsia="宋体" w:hint="default"/>
                <w:w w:val="79"/>
                <w:sz w:val="15"/>
                <w:szCs w:val="15"/>
              </w:rPr>
              <w:t> </w:t>
            </w:r>
            <w:r>
              <w:rPr>
                <w:rFonts w:ascii="宋体" w:hAnsi="宋体" w:cs="宋体" w:eastAsia="宋体" w:hint="default"/>
                <w:w w:val="85"/>
                <w:sz w:val="15"/>
                <w:szCs w:val="15"/>
              </w:rPr>
              <w:t>增资本（或股</w:t>
            </w:r>
            <w:r>
              <w:rPr>
                <w:rFonts w:ascii="宋体" w:hAnsi="宋体" w:cs="宋体" w:eastAsia="宋体" w:hint="default"/>
                <w:w w:val="79"/>
                <w:sz w:val="15"/>
                <w:szCs w:val="15"/>
              </w:rPr>
              <w:t> </w:t>
            </w:r>
            <w:r>
              <w:rPr>
                <w:rFonts w:ascii="宋体" w:hAnsi="宋体" w:cs="宋体" w:eastAsia="宋体" w:hint="default"/>
                <w:w w:val="90"/>
                <w:sz w:val="15"/>
                <w:szCs w:val="15"/>
              </w:rPr>
              <w:t>本）</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3"/>
              <w:ind w:left="91" w:right="0"/>
              <w:jc w:val="left"/>
              <w:rPr>
                <w:rFonts w:ascii="宋体" w:hAnsi="宋体" w:cs="宋体" w:eastAsia="宋体" w:hint="default"/>
                <w:sz w:val="15"/>
                <w:szCs w:val="15"/>
              </w:rPr>
            </w:pPr>
            <w:r>
              <w:rPr>
                <w:rFonts w:ascii="宋体" w:hAnsi="宋体" w:cs="宋体" w:eastAsia="宋体" w:hint="default"/>
                <w:w w:val="90"/>
                <w:sz w:val="15"/>
                <w:szCs w:val="15"/>
              </w:rPr>
              <w:t>3</w:t>
            </w:r>
            <w:r>
              <w:rPr>
                <w:rFonts w:ascii="宋体" w:hAnsi="宋体" w:cs="宋体" w:eastAsia="宋体" w:hint="default"/>
                <w:w w:val="90"/>
                <w:sz w:val="15"/>
                <w:szCs w:val="15"/>
              </w:rPr>
              <w:t>．盈余公积弥</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bl>
    <w:p>
      <w:pPr>
        <w:spacing w:after="0"/>
        <w:sectPr>
          <w:pgSz w:w="11910" w:h="16840"/>
          <w:pgMar w:header="871" w:footer="1037" w:top="1100" w:bottom="1220" w:left="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52" w:type="dxa"/>
        <w:tblLayout w:type="fixed"/>
        <w:tblCellMar>
          <w:top w:w="0" w:type="dxa"/>
          <w:left w:w="0" w:type="dxa"/>
          <w:bottom w:w="0" w:type="dxa"/>
          <w:right w:w="0" w:type="dxa"/>
        </w:tblCellMar>
        <w:tblLook w:val="01E0"/>
      </w:tblPr>
      <w:tblGrid>
        <w:gridCol w:w="1042"/>
        <w:gridCol w:w="1057"/>
        <w:gridCol w:w="288"/>
        <w:gridCol w:w="254"/>
        <w:gridCol w:w="274"/>
        <w:gridCol w:w="1080"/>
        <w:gridCol w:w="1009"/>
        <w:gridCol w:w="264"/>
        <w:gridCol w:w="264"/>
        <w:gridCol w:w="1023"/>
        <w:gridCol w:w="418"/>
        <w:gridCol w:w="1167"/>
        <w:gridCol w:w="240"/>
        <w:gridCol w:w="1176"/>
        <w:gridCol w:w="1018"/>
        <w:gridCol w:w="1177"/>
      </w:tblGrid>
      <w:tr>
        <w:trPr>
          <w:trHeight w:val="360"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1"/>
              <w:ind w:left="91" w:right="0"/>
              <w:jc w:val="left"/>
              <w:rPr>
                <w:rFonts w:ascii="宋体" w:hAnsi="宋体" w:cs="宋体" w:eastAsia="宋体" w:hint="default"/>
                <w:sz w:val="15"/>
                <w:szCs w:val="15"/>
              </w:rPr>
            </w:pPr>
            <w:r>
              <w:rPr>
                <w:rFonts w:ascii="宋体" w:hAnsi="宋体" w:cs="宋体" w:eastAsia="宋体" w:hint="default"/>
                <w:w w:val="90"/>
                <w:sz w:val="15"/>
                <w:szCs w:val="15"/>
              </w:rPr>
              <w:t>补亏损</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1028"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4" w:lineRule="auto" w:before="79"/>
              <w:ind w:left="91" w:right="152"/>
              <w:jc w:val="left"/>
              <w:rPr>
                <w:rFonts w:ascii="宋体" w:hAnsi="宋体" w:cs="宋体" w:eastAsia="宋体" w:hint="default"/>
                <w:sz w:val="15"/>
                <w:szCs w:val="15"/>
              </w:rPr>
            </w:pPr>
            <w:r>
              <w:rPr>
                <w:rFonts w:ascii="宋体" w:hAnsi="宋体" w:cs="宋体" w:eastAsia="宋体" w:hint="default"/>
                <w:w w:val="80"/>
                <w:sz w:val="15"/>
                <w:szCs w:val="15"/>
              </w:rPr>
              <w:t>4</w:t>
            </w:r>
            <w:r>
              <w:rPr>
                <w:rFonts w:ascii="宋体" w:hAnsi="宋体" w:cs="宋体" w:eastAsia="宋体" w:hint="default"/>
                <w:w w:val="80"/>
                <w:sz w:val="15"/>
                <w:szCs w:val="15"/>
              </w:rPr>
              <w:t>．设定受益计</w:t>
            </w:r>
            <w:r>
              <w:rPr>
                <w:rFonts w:ascii="宋体" w:hAnsi="宋体" w:cs="宋体" w:eastAsia="宋体" w:hint="default"/>
                <w:w w:val="79"/>
                <w:sz w:val="15"/>
                <w:szCs w:val="15"/>
              </w:rPr>
              <w:t> </w:t>
            </w:r>
            <w:r>
              <w:rPr>
                <w:rFonts w:ascii="宋体" w:hAnsi="宋体" w:cs="宋体" w:eastAsia="宋体" w:hint="default"/>
                <w:w w:val="85"/>
                <w:sz w:val="15"/>
                <w:szCs w:val="15"/>
              </w:rPr>
              <w:t>划变动额结转</w:t>
            </w:r>
            <w:r>
              <w:rPr>
                <w:rFonts w:ascii="宋体" w:hAnsi="宋体" w:cs="宋体" w:eastAsia="宋体" w:hint="default"/>
                <w:w w:val="79"/>
                <w:sz w:val="15"/>
                <w:szCs w:val="15"/>
              </w:rPr>
              <w:t> </w:t>
            </w:r>
            <w:r>
              <w:rPr>
                <w:rFonts w:ascii="宋体" w:hAnsi="宋体" w:cs="宋体" w:eastAsia="宋体" w:hint="default"/>
                <w:w w:val="90"/>
                <w:sz w:val="15"/>
                <w:szCs w:val="15"/>
              </w:rPr>
              <w:t>留存收益</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4" w:lineRule="auto" w:before="79"/>
              <w:ind w:left="91" w:right="152"/>
              <w:jc w:val="left"/>
              <w:rPr>
                <w:rFonts w:ascii="宋体" w:hAnsi="宋体" w:cs="宋体" w:eastAsia="宋体" w:hint="default"/>
                <w:sz w:val="15"/>
                <w:szCs w:val="15"/>
              </w:rPr>
            </w:pPr>
            <w:r>
              <w:rPr>
                <w:rFonts w:ascii="宋体" w:hAnsi="宋体" w:cs="宋体" w:eastAsia="宋体" w:hint="default"/>
                <w:w w:val="80"/>
                <w:sz w:val="15"/>
                <w:szCs w:val="15"/>
              </w:rPr>
              <w:t>5</w:t>
            </w:r>
            <w:r>
              <w:rPr>
                <w:rFonts w:ascii="宋体" w:hAnsi="宋体" w:cs="宋体" w:eastAsia="宋体" w:hint="default"/>
                <w:w w:val="80"/>
                <w:sz w:val="15"/>
                <w:szCs w:val="15"/>
              </w:rPr>
              <w:t>．其他综合收</w:t>
            </w:r>
            <w:r>
              <w:rPr>
                <w:rFonts w:ascii="宋体" w:hAnsi="宋体" w:cs="宋体" w:eastAsia="宋体" w:hint="default"/>
                <w:w w:val="79"/>
                <w:sz w:val="15"/>
                <w:szCs w:val="15"/>
              </w:rPr>
              <w:t> </w:t>
            </w:r>
            <w:r>
              <w:rPr>
                <w:rFonts w:ascii="宋体" w:hAnsi="宋体" w:cs="宋体" w:eastAsia="宋体" w:hint="default"/>
                <w:w w:val="85"/>
                <w:sz w:val="15"/>
                <w:szCs w:val="15"/>
              </w:rPr>
              <w:t>益结转留存收</w:t>
            </w:r>
            <w:r>
              <w:rPr>
                <w:rFonts w:ascii="宋体" w:hAnsi="宋体" w:cs="宋体" w:eastAsia="宋体" w:hint="default"/>
                <w:w w:val="79"/>
                <w:sz w:val="15"/>
                <w:szCs w:val="15"/>
              </w:rPr>
              <w:t> </w:t>
            </w:r>
            <w:r>
              <w:rPr>
                <w:rFonts w:ascii="宋体" w:hAnsi="宋体" w:cs="宋体" w:eastAsia="宋体" w:hint="default"/>
                <w:w w:val="90"/>
                <w:sz w:val="15"/>
                <w:szCs w:val="15"/>
              </w:rPr>
              <w:t>益</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w w:val="90"/>
                <w:sz w:val="15"/>
                <w:szCs w:val="15"/>
              </w:rPr>
              <w:t>6</w:t>
            </w:r>
            <w:r>
              <w:rPr>
                <w:rFonts w:ascii="宋体" w:hAnsi="宋体" w:cs="宋体" w:eastAsia="宋体" w:hint="default"/>
                <w:w w:val="90"/>
                <w:sz w:val="15"/>
                <w:szCs w:val="15"/>
              </w:rPr>
              <w:t>．其他</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pacing w:val="-3"/>
                <w:w w:val="85"/>
                <w:sz w:val="15"/>
                <w:szCs w:val="15"/>
              </w:rPr>
              <w:t>（五）专项储备</w:t>
            </w:r>
            <w:r>
              <w:rPr>
                <w:rFonts w:ascii="宋体" w:hAnsi="宋体" w:cs="宋体" w:eastAsia="宋体" w:hint="default"/>
                <w:spacing w:val="-3"/>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w w:val="90"/>
                <w:sz w:val="15"/>
                <w:szCs w:val="15"/>
              </w:rPr>
              <w:t>1</w:t>
            </w:r>
            <w:r>
              <w:rPr>
                <w:rFonts w:ascii="宋体" w:hAnsi="宋体" w:cs="宋体" w:eastAsia="宋体" w:hint="default"/>
                <w:w w:val="90"/>
                <w:sz w:val="15"/>
                <w:szCs w:val="15"/>
              </w:rPr>
              <w:t>．本期提取</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w w:val="90"/>
                <w:sz w:val="15"/>
                <w:szCs w:val="15"/>
              </w:rPr>
              <w:t>2</w:t>
            </w:r>
            <w:r>
              <w:rPr>
                <w:rFonts w:ascii="宋体" w:hAnsi="宋体" w:cs="宋体" w:eastAsia="宋体" w:hint="default"/>
                <w:w w:val="90"/>
                <w:sz w:val="15"/>
                <w:szCs w:val="15"/>
              </w:rPr>
              <w:t>．本期使用</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04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w w:val="90"/>
                <w:sz w:val="15"/>
                <w:szCs w:val="15"/>
              </w:rPr>
              <w:t>（六）其他</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54"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12" w:space="0" w:color="000000"/>
            </w:tcBorders>
          </w:tcPr>
          <w:p>
            <w:pPr/>
          </w:p>
        </w:tc>
      </w:tr>
      <w:tr>
        <w:trPr>
          <w:trHeight w:val="725" w:hRule="exact"/>
        </w:trPr>
        <w:tc>
          <w:tcPr>
            <w:tcW w:w="104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81" w:lineRule="auto" w:before="80"/>
              <w:ind w:left="91" w:right="105"/>
              <w:jc w:val="left"/>
              <w:rPr>
                <w:rFonts w:ascii="宋体" w:hAnsi="宋体" w:cs="宋体" w:eastAsia="宋体" w:hint="default"/>
                <w:sz w:val="15"/>
                <w:szCs w:val="15"/>
              </w:rPr>
            </w:pPr>
            <w:r>
              <w:rPr>
                <w:rFonts w:ascii="宋体" w:hAnsi="宋体" w:cs="宋体" w:eastAsia="宋体" w:hint="default"/>
                <w:spacing w:val="-3"/>
                <w:w w:val="80"/>
                <w:sz w:val="15"/>
                <w:szCs w:val="15"/>
              </w:rPr>
              <w:t>四、本期期末余</w:t>
            </w:r>
            <w:r>
              <w:rPr>
                <w:rFonts w:ascii="宋体" w:hAnsi="宋体" w:cs="宋体" w:eastAsia="宋体" w:hint="default"/>
                <w:w w:val="79"/>
                <w:sz w:val="15"/>
                <w:szCs w:val="15"/>
              </w:rPr>
              <w:t> </w:t>
            </w:r>
            <w:r>
              <w:rPr>
                <w:rFonts w:ascii="宋体" w:hAnsi="宋体" w:cs="宋体" w:eastAsia="宋体" w:hint="default"/>
                <w:w w:val="90"/>
                <w:sz w:val="15"/>
                <w:szCs w:val="15"/>
              </w:rPr>
              <w:t>额</w:t>
            </w:r>
            <w:r>
              <w:rPr>
                <w:rFonts w:ascii="宋体" w:hAnsi="宋体" w:cs="宋体" w:eastAsia="宋体" w:hint="default"/>
                <w:sz w:val="15"/>
                <w:szCs w:val="15"/>
              </w:rPr>
            </w:r>
          </w:p>
        </w:tc>
        <w:tc>
          <w:tcPr>
            <w:tcW w:w="10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宋体" w:hAnsi="宋体" w:cs="宋体" w:eastAsia="宋体" w:hint="default"/>
                <w:sz w:val="15"/>
                <w:szCs w:val="15"/>
              </w:rPr>
            </w:pPr>
            <w:r>
              <w:rPr>
                <w:rFonts w:ascii="宋体"/>
                <w:w w:val="85"/>
                <w:sz w:val="15"/>
              </w:rPr>
              <w:t>411,118,370.00</w:t>
            </w:r>
            <w:r>
              <w:rPr>
                <w:rFonts w:ascii="宋体"/>
                <w:sz w:val="15"/>
              </w:rPr>
            </w:r>
          </w:p>
        </w:tc>
        <w:tc>
          <w:tcPr>
            <w:tcW w:w="288" w:type="dxa"/>
            <w:tcBorders>
              <w:top w:val="single" w:sz="4" w:space="0" w:color="000000"/>
              <w:left w:val="single" w:sz="4" w:space="0" w:color="000000"/>
              <w:bottom w:val="single" w:sz="12" w:space="0" w:color="000000"/>
              <w:right w:val="single" w:sz="4" w:space="0" w:color="000000"/>
            </w:tcBorders>
          </w:tcPr>
          <w:p>
            <w:pPr/>
          </w:p>
        </w:tc>
        <w:tc>
          <w:tcPr>
            <w:tcW w:w="254" w:type="dxa"/>
            <w:tcBorders>
              <w:top w:val="single" w:sz="4" w:space="0" w:color="000000"/>
              <w:left w:val="single" w:sz="4" w:space="0" w:color="000000"/>
              <w:bottom w:val="single" w:sz="12" w:space="0" w:color="000000"/>
              <w:right w:val="single" w:sz="4" w:space="0" w:color="000000"/>
            </w:tcBorders>
          </w:tcPr>
          <w:p>
            <w:pPr/>
          </w:p>
        </w:tc>
        <w:tc>
          <w:tcPr>
            <w:tcW w:w="274" w:type="dxa"/>
            <w:tcBorders>
              <w:top w:val="single" w:sz="4" w:space="0" w:color="000000"/>
              <w:left w:val="single" w:sz="4" w:space="0" w:color="000000"/>
              <w:bottom w:val="single" w:sz="12" w:space="0" w:color="000000"/>
              <w:right w:val="single" w:sz="4" w:space="0" w:color="000000"/>
            </w:tcBorders>
          </w:tcPr>
          <w:p>
            <w:pP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34" w:right="0"/>
              <w:jc w:val="left"/>
              <w:rPr>
                <w:rFonts w:ascii="宋体" w:hAnsi="宋体" w:cs="宋体" w:eastAsia="宋体" w:hint="default"/>
                <w:sz w:val="15"/>
                <w:szCs w:val="15"/>
              </w:rPr>
            </w:pPr>
            <w:r>
              <w:rPr>
                <w:rFonts w:ascii="宋体"/>
                <w:w w:val="85"/>
                <w:sz w:val="15"/>
              </w:rPr>
              <w:t>739,401,424.40</w:t>
            </w:r>
            <w:r>
              <w:rPr>
                <w:rFonts w:ascii="宋体"/>
                <w:sz w:val="15"/>
              </w:rPr>
            </w:r>
          </w:p>
        </w:tc>
        <w:tc>
          <w:tcPr>
            <w:tcW w:w="10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19" w:right="0"/>
              <w:jc w:val="left"/>
              <w:rPr>
                <w:rFonts w:ascii="宋体" w:hAnsi="宋体" w:cs="宋体" w:eastAsia="宋体" w:hint="default"/>
                <w:sz w:val="15"/>
                <w:szCs w:val="15"/>
              </w:rPr>
            </w:pPr>
            <w:r>
              <w:rPr>
                <w:rFonts w:ascii="宋体"/>
                <w:w w:val="85"/>
                <w:sz w:val="15"/>
              </w:rPr>
              <w:t>25,041,540.00</w:t>
            </w:r>
            <w:r>
              <w:rPr>
                <w:rFonts w:ascii="宋体"/>
                <w:sz w:val="15"/>
              </w:rPr>
            </w:r>
          </w:p>
        </w:tc>
        <w:tc>
          <w:tcPr>
            <w:tcW w:w="264" w:type="dxa"/>
            <w:tcBorders>
              <w:top w:val="single" w:sz="4" w:space="0" w:color="000000"/>
              <w:left w:val="single" w:sz="4" w:space="0" w:color="000000"/>
              <w:bottom w:val="single" w:sz="12" w:space="0" w:color="000000"/>
              <w:right w:val="single" w:sz="4" w:space="0" w:color="000000"/>
            </w:tcBorders>
          </w:tcPr>
          <w:p>
            <w:pPr/>
          </w:p>
        </w:tc>
        <w:tc>
          <w:tcPr>
            <w:tcW w:w="264" w:type="dxa"/>
            <w:tcBorders>
              <w:top w:val="single" w:sz="4" w:space="0" w:color="000000"/>
              <w:left w:val="single" w:sz="4" w:space="0" w:color="000000"/>
              <w:bottom w:val="single" w:sz="12" w:space="0" w:color="000000"/>
              <w:right w:val="single" w:sz="4" w:space="0" w:color="000000"/>
            </w:tcBorders>
          </w:tcPr>
          <w:p>
            <w:pPr/>
          </w:p>
        </w:tc>
        <w:tc>
          <w:tcPr>
            <w:tcW w:w="10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30" w:right="0"/>
              <w:jc w:val="left"/>
              <w:rPr>
                <w:rFonts w:ascii="宋体" w:hAnsi="宋体" w:cs="宋体" w:eastAsia="宋体" w:hint="default"/>
                <w:sz w:val="15"/>
                <w:szCs w:val="15"/>
              </w:rPr>
            </w:pPr>
            <w:r>
              <w:rPr>
                <w:rFonts w:ascii="宋体"/>
                <w:w w:val="85"/>
                <w:sz w:val="15"/>
              </w:rPr>
              <w:t>21,281,039.35</w:t>
            </w:r>
            <w:r>
              <w:rPr>
                <w:rFonts w:ascii="宋体"/>
                <w:sz w:val="15"/>
              </w:rPr>
            </w:r>
          </w:p>
        </w:tc>
        <w:tc>
          <w:tcPr>
            <w:tcW w:w="418" w:type="dxa"/>
            <w:tcBorders>
              <w:top w:val="single" w:sz="4" w:space="0" w:color="000000"/>
              <w:left w:val="single" w:sz="4" w:space="0" w:color="000000"/>
              <w:bottom w:val="single" w:sz="12" w:space="0" w:color="000000"/>
              <w:right w:val="single" w:sz="4" w:space="0" w:color="000000"/>
            </w:tcBorders>
          </w:tcPr>
          <w:p>
            <w:pPr/>
          </w:p>
        </w:tc>
        <w:tc>
          <w:tcPr>
            <w:tcW w:w="11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15" w:right="0"/>
              <w:jc w:val="left"/>
              <w:rPr>
                <w:rFonts w:ascii="宋体" w:hAnsi="宋体" w:cs="宋体" w:eastAsia="宋体" w:hint="default"/>
                <w:sz w:val="15"/>
                <w:szCs w:val="15"/>
              </w:rPr>
            </w:pPr>
            <w:r>
              <w:rPr>
                <w:rFonts w:ascii="宋体"/>
                <w:w w:val="85"/>
                <w:sz w:val="15"/>
              </w:rPr>
              <w:t>-68,262,118.28</w:t>
            </w:r>
            <w:r>
              <w:rPr>
                <w:rFonts w:ascii="宋体"/>
                <w:sz w:val="15"/>
              </w:rPr>
            </w:r>
          </w:p>
        </w:tc>
        <w:tc>
          <w:tcPr>
            <w:tcW w:w="240" w:type="dxa"/>
            <w:tcBorders>
              <w:top w:val="single" w:sz="4" w:space="0" w:color="000000"/>
              <w:left w:val="single" w:sz="4" w:space="0" w:color="000000"/>
              <w:bottom w:val="single" w:sz="12" w:space="0" w:color="000000"/>
              <w:right w:val="single" w:sz="4" w:space="0" w:color="000000"/>
            </w:tcBorders>
          </w:tcPr>
          <w:p>
            <w:pPr/>
          </w:p>
        </w:tc>
        <w:tc>
          <w:tcPr>
            <w:tcW w:w="1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5"/>
                <w:szCs w:val="15"/>
              </w:rPr>
            </w:pPr>
            <w:r>
              <w:rPr>
                <w:rFonts w:ascii="宋体"/>
                <w:w w:val="85"/>
                <w:sz w:val="15"/>
              </w:rPr>
              <w:t>1,078,497,175.47</w:t>
            </w:r>
            <w:r>
              <w:rPr>
                <w:rFonts w:ascii="宋体"/>
                <w:sz w:val="15"/>
              </w:rPr>
            </w:r>
          </w:p>
        </w:tc>
        <w:tc>
          <w:tcPr>
            <w:tcW w:w="10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87" w:right="0"/>
              <w:jc w:val="left"/>
              <w:rPr>
                <w:rFonts w:ascii="宋体" w:hAnsi="宋体" w:cs="宋体" w:eastAsia="宋体" w:hint="default"/>
                <w:sz w:val="15"/>
                <w:szCs w:val="15"/>
              </w:rPr>
            </w:pPr>
            <w:r>
              <w:rPr>
                <w:rFonts w:ascii="宋体"/>
                <w:w w:val="85"/>
                <w:sz w:val="15"/>
              </w:rPr>
              <w:t>4,165,764.46</w:t>
            </w:r>
            <w:r>
              <w:rPr>
                <w:rFonts w:ascii="宋体"/>
                <w:sz w:val="15"/>
              </w:rPr>
            </w:r>
          </w:p>
        </w:tc>
        <w:tc>
          <w:tcPr>
            <w:tcW w:w="117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宋体" w:hAnsi="宋体" w:cs="宋体" w:eastAsia="宋体" w:hint="default"/>
                <w:sz w:val="15"/>
                <w:szCs w:val="15"/>
              </w:rPr>
            </w:pPr>
            <w:r>
              <w:rPr>
                <w:rFonts w:ascii="宋体"/>
                <w:w w:val="85"/>
                <w:sz w:val="15"/>
              </w:rPr>
              <w:t>1,082,662,939.93</w:t>
            </w:r>
            <w:r>
              <w:rPr>
                <w:rFonts w:ascii="宋体"/>
                <w:sz w:val="15"/>
              </w:rPr>
            </w:r>
          </w:p>
        </w:tc>
      </w:tr>
    </w:tbl>
    <w:p>
      <w:pPr>
        <w:spacing w:line="240" w:lineRule="auto" w:before="10"/>
        <w:rPr>
          <w:rFonts w:ascii="Times New Roman" w:hAnsi="Times New Roman" w:cs="Times New Roman" w:eastAsia="Times New Roman" w:hint="default"/>
          <w:sz w:val="21"/>
          <w:szCs w:val="21"/>
        </w:rPr>
      </w:pPr>
    </w:p>
    <w:p>
      <w:pPr>
        <w:pStyle w:val="BodyText"/>
        <w:spacing w:line="240" w:lineRule="auto" w:before="36"/>
        <w:ind w:left="1133" w:right="8326"/>
        <w:jc w:val="left"/>
      </w:pPr>
      <w:bookmarkStart w:name="上期金额" w:id="215"/>
      <w:bookmarkEnd w:id="215"/>
      <w:r>
        <w:rPr/>
      </w:r>
      <w:r>
        <w:rPr/>
        <w:t>上期金额</w:t>
      </w:r>
    </w:p>
    <w:p>
      <w:pPr>
        <w:spacing w:line="240" w:lineRule="auto" w:before="5"/>
        <w:rPr>
          <w:rFonts w:ascii="宋体" w:hAnsi="宋体" w:cs="宋体" w:eastAsia="宋体" w:hint="default"/>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62" w:type="dxa"/>
        <w:tblLayout w:type="fixed"/>
        <w:tblCellMar>
          <w:top w:w="0" w:type="dxa"/>
          <w:left w:w="0" w:type="dxa"/>
          <w:bottom w:w="0" w:type="dxa"/>
          <w:right w:w="0" w:type="dxa"/>
        </w:tblCellMar>
        <w:tblLook w:val="01E0"/>
      </w:tblPr>
      <w:tblGrid>
        <w:gridCol w:w="1032"/>
        <w:gridCol w:w="1057"/>
        <w:gridCol w:w="288"/>
        <w:gridCol w:w="122"/>
        <w:gridCol w:w="118"/>
        <w:gridCol w:w="278"/>
        <w:gridCol w:w="1056"/>
        <w:gridCol w:w="1090"/>
        <w:gridCol w:w="122"/>
        <w:gridCol w:w="118"/>
        <w:gridCol w:w="122"/>
        <w:gridCol w:w="118"/>
        <w:gridCol w:w="1023"/>
        <w:gridCol w:w="418"/>
        <w:gridCol w:w="1167"/>
        <w:gridCol w:w="118"/>
        <w:gridCol w:w="122"/>
        <w:gridCol w:w="1176"/>
        <w:gridCol w:w="1008"/>
        <w:gridCol w:w="1186"/>
      </w:tblGrid>
      <w:tr>
        <w:trPr>
          <w:trHeight w:val="410" w:hRule="exact"/>
        </w:trPr>
        <w:tc>
          <w:tcPr>
            <w:tcW w:w="1032"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 w:right="3"/>
              <w:jc w:val="center"/>
              <w:rPr>
                <w:rFonts w:ascii="宋体" w:hAnsi="宋体" w:cs="宋体" w:eastAsia="宋体" w:hint="default"/>
                <w:sz w:val="15"/>
                <w:szCs w:val="15"/>
              </w:rPr>
            </w:pPr>
            <w:r>
              <w:rPr>
                <w:rFonts w:ascii="宋体" w:hAnsi="宋体" w:cs="宋体" w:eastAsia="宋体" w:hint="default"/>
                <w:w w:val="90"/>
                <w:sz w:val="15"/>
                <w:szCs w:val="15"/>
              </w:rPr>
              <w:t>项目</w:t>
            </w:r>
            <w:r>
              <w:rPr>
                <w:rFonts w:ascii="宋体" w:hAnsi="宋体" w:cs="宋体" w:eastAsia="宋体" w:hint="default"/>
                <w:sz w:val="15"/>
                <w:szCs w:val="15"/>
              </w:rPr>
            </w:r>
          </w:p>
        </w:tc>
        <w:tc>
          <w:tcPr>
            <w:tcW w:w="10708" w:type="dxa"/>
            <w:gridSpan w:val="19"/>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1"/>
              <w:ind w:left="14" w:right="0"/>
              <w:jc w:val="center"/>
              <w:rPr>
                <w:rFonts w:ascii="宋体" w:hAnsi="宋体" w:cs="宋体" w:eastAsia="宋体" w:hint="default"/>
                <w:sz w:val="15"/>
                <w:szCs w:val="15"/>
              </w:rPr>
            </w:pPr>
            <w:r>
              <w:rPr>
                <w:rFonts w:ascii="宋体" w:hAnsi="宋体" w:cs="宋体" w:eastAsia="宋体" w:hint="default"/>
                <w:w w:val="80"/>
                <w:sz w:val="15"/>
                <w:szCs w:val="15"/>
              </w:rPr>
              <w:t>2018</w:t>
            </w:r>
            <w:r>
              <w:rPr>
                <w:rFonts w:ascii="宋体" w:hAnsi="宋体" w:cs="宋体" w:eastAsia="宋体" w:hint="default"/>
                <w:spacing w:val="-36"/>
                <w:w w:val="80"/>
                <w:sz w:val="15"/>
                <w:szCs w:val="15"/>
              </w:rPr>
              <w:t> </w:t>
            </w:r>
            <w:r>
              <w:rPr>
                <w:rFonts w:ascii="宋体" w:hAnsi="宋体" w:cs="宋体" w:eastAsia="宋体" w:hint="default"/>
                <w:w w:val="80"/>
                <w:sz w:val="15"/>
                <w:szCs w:val="15"/>
              </w:rPr>
              <w:t>年年度</w:t>
            </w:r>
            <w:r>
              <w:rPr>
                <w:rFonts w:ascii="宋体" w:hAnsi="宋体" w:cs="宋体" w:eastAsia="宋体" w:hint="default"/>
                <w:sz w:val="15"/>
                <w:szCs w:val="15"/>
              </w:rPr>
            </w:r>
          </w:p>
        </w:tc>
      </w:tr>
      <w:tr>
        <w:trPr>
          <w:trHeight w:val="398" w:hRule="exact"/>
        </w:trPr>
        <w:tc>
          <w:tcPr>
            <w:tcW w:w="1032" w:type="dxa"/>
            <w:vMerge/>
            <w:tcBorders>
              <w:left w:val="single" w:sz="12" w:space="0" w:color="000000"/>
              <w:right w:val="single" w:sz="4" w:space="0" w:color="000000"/>
            </w:tcBorders>
            <w:shd w:val="clear" w:color="auto" w:fill="D2D2D2"/>
          </w:tcPr>
          <w:p>
            <w:pPr/>
          </w:p>
        </w:tc>
        <w:tc>
          <w:tcPr>
            <w:tcW w:w="8514"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2" w:right="0"/>
              <w:jc w:val="center"/>
              <w:rPr>
                <w:rFonts w:ascii="宋体" w:hAnsi="宋体" w:cs="宋体" w:eastAsia="宋体" w:hint="default"/>
                <w:sz w:val="15"/>
                <w:szCs w:val="15"/>
              </w:rPr>
            </w:pPr>
            <w:r>
              <w:rPr>
                <w:rFonts w:ascii="宋体" w:hAnsi="宋体" w:cs="宋体" w:eastAsia="宋体" w:hint="default"/>
                <w:w w:val="90"/>
                <w:sz w:val="15"/>
                <w:szCs w:val="15"/>
              </w:rPr>
              <w:t>归属于母公司所有者权益</w:t>
            </w:r>
            <w:r>
              <w:rPr>
                <w:rFonts w:ascii="宋体" w:hAnsi="宋体" w:cs="宋体" w:eastAsia="宋体" w:hint="default"/>
                <w:sz w:val="15"/>
                <w:szCs w:val="15"/>
              </w:rPr>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39" w:right="0"/>
              <w:jc w:val="left"/>
              <w:rPr>
                <w:rFonts w:ascii="宋体" w:hAnsi="宋体" w:cs="宋体" w:eastAsia="宋体" w:hint="default"/>
                <w:sz w:val="15"/>
                <w:szCs w:val="15"/>
              </w:rPr>
            </w:pPr>
            <w:r>
              <w:rPr>
                <w:rFonts w:ascii="宋体" w:hAnsi="宋体" w:cs="宋体" w:eastAsia="宋体" w:hint="default"/>
                <w:w w:val="90"/>
                <w:sz w:val="15"/>
                <w:szCs w:val="15"/>
              </w:rPr>
              <w:t>少数股东权益</w:t>
            </w:r>
            <w:r>
              <w:rPr>
                <w:rFonts w:ascii="宋体" w:hAnsi="宋体" w:cs="宋体" w:eastAsia="宋体" w:hint="default"/>
                <w:sz w:val="15"/>
                <w:szCs w:val="15"/>
              </w:rPr>
            </w:r>
          </w:p>
        </w:tc>
        <w:tc>
          <w:tcPr>
            <w:tcW w:w="1186"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68" w:right="0"/>
              <w:jc w:val="left"/>
              <w:rPr>
                <w:rFonts w:ascii="宋体" w:hAnsi="宋体" w:cs="宋体" w:eastAsia="宋体" w:hint="default"/>
                <w:sz w:val="15"/>
                <w:szCs w:val="15"/>
              </w:rPr>
            </w:pPr>
            <w:r>
              <w:rPr>
                <w:rFonts w:ascii="宋体" w:hAnsi="宋体" w:cs="宋体" w:eastAsia="宋体" w:hint="default"/>
                <w:w w:val="90"/>
                <w:sz w:val="15"/>
                <w:szCs w:val="15"/>
              </w:rPr>
              <w:t>所有者权益合计</w:t>
            </w:r>
            <w:r>
              <w:rPr>
                <w:rFonts w:ascii="宋体" w:hAnsi="宋体" w:cs="宋体" w:eastAsia="宋体" w:hint="default"/>
                <w:sz w:val="15"/>
                <w:szCs w:val="15"/>
              </w:rPr>
            </w:r>
          </w:p>
        </w:tc>
      </w:tr>
      <w:tr>
        <w:trPr>
          <w:trHeight w:val="322" w:hRule="exact"/>
        </w:trPr>
        <w:tc>
          <w:tcPr>
            <w:tcW w:w="1032" w:type="dxa"/>
            <w:vMerge/>
            <w:tcBorders>
              <w:left w:val="single" w:sz="12" w:space="0" w:color="000000"/>
              <w:right w:val="single" w:sz="4" w:space="0" w:color="000000"/>
            </w:tcBorders>
            <w:shd w:val="clear" w:color="auto" w:fill="D2D2D2"/>
          </w:tcPr>
          <w:p>
            <w:pPr/>
          </w:p>
        </w:tc>
        <w:tc>
          <w:tcPr>
            <w:tcW w:w="10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90"/>
                <w:sz w:val="15"/>
                <w:szCs w:val="15"/>
              </w:rPr>
              <w:t>股本</w:t>
            </w:r>
            <w:r>
              <w:rPr>
                <w:rFonts w:ascii="宋体" w:hAnsi="宋体" w:cs="宋体" w:eastAsia="宋体" w:hint="default"/>
                <w:sz w:val="15"/>
                <w:szCs w:val="15"/>
              </w:rPr>
            </w:r>
          </w:p>
        </w:tc>
        <w:tc>
          <w:tcPr>
            <w:tcW w:w="80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84"/>
              <w:ind w:left="278" w:right="156" w:hanging="120"/>
              <w:jc w:val="left"/>
              <w:rPr>
                <w:rFonts w:ascii="宋体" w:hAnsi="宋体" w:cs="宋体" w:eastAsia="宋体" w:hint="default"/>
                <w:sz w:val="15"/>
                <w:szCs w:val="15"/>
              </w:rPr>
            </w:pPr>
            <w:r>
              <w:rPr>
                <w:rFonts w:ascii="宋体" w:hAnsi="宋体" w:cs="宋体" w:eastAsia="宋体" w:hint="default"/>
                <w:w w:val="80"/>
                <w:sz w:val="15"/>
                <w:szCs w:val="15"/>
              </w:rPr>
              <w:t>其他权益</w:t>
            </w:r>
            <w:r>
              <w:rPr>
                <w:rFonts w:ascii="宋体" w:hAnsi="宋体" w:cs="宋体" w:eastAsia="宋体" w:hint="default"/>
                <w:w w:val="79"/>
                <w:sz w:val="15"/>
                <w:szCs w:val="15"/>
              </w:rPr>
              <w:t> </w:t>
            </w:r>
            <w:r>
              <w:rPr>
                <w:rFonts w:ascii="宋体" w:hAnsi="宋体" w:cs="宋体" w:eastAsia="宋体" w:hint="default"/>
                <w:w w:val="90"/>
                <w:sz w:val="15"/>
                <w:szCs w:val="15"/>
              </w:rPr>
              <w:t>工具</w:t>
            </w:r>
            <w:r>
              <w:rPr>
                <w:rFonts w:ascii="宋体" w:hAnsi="宋体" w:cs="宋体" w:eastAsia="宋体" w:hint="default"/>
                <w:sz w:val="15"/>
                <w:szCs w:val="15"/>
              </w:rPr>
            </w:r>
          </w:p>
        </w:tc>
        <w:tc>
          <w:tcPr>
            <w:tcW w:w="10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w w:val="90"/>
                <w:sz w:val="15"/>
                <w:szCs w:val="15"/>
              </w:rPr>
              <w:t>资本公积</w:t>
            </w:r>
            <w:r>
              <w:rPr>
                <w:rFonts w:ascii="宋体" w:hAnsi="宋体" w:cs="宋体" w:eastAsia="宋体" w:hint="default"/>
                <w:sz w:val="15"/>
                <w:szCs w:val="15"/>
              </w:rPr>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39" w:right="0"/>
              <w:jc w:val="left"/>
              <w:rPr>
                <w:rFonts w:ascii="宋体" w:hAnsi="宋体" w:cs="宋体" w:eastAsia="宋体" w:hint="default"/>
                <w:sz w:val="15"/>
                <w:szCs w:val="15"/>
              </w:rPr>
            </w:pPr>
            <w:r>
              <w:rPr>
                <w:rFonts w:ascii="宋体" w:hAnsi="宋体" w:cs="宋体" w:eastAsia="宋体" w:hint="default"/>
                <w:w w:val="90"/>
                <w:sz w:val="15"/>
                <w:szCs w:val="15"/>
              </w:rPr>
              <w:t>减：库存股</w:t>
            </w:r>
            <w:r>
              <w:rPr>
                <w:rFonts w:ascii="宋体" w:hAnsi="宋体" w:cs="宋体" w:eastAsia="宋体" w:hint="default"/>
                <w:sz w:val="15"/>
                <w:szCs w:val="15"/>
              </w:rPr>
            </w:r>
          </w:p>
        </w:tc>
        <w:tc>
          <w:tcPr>
            <w:tcW w:w="122" w:type="dxa"/>
            <w:vMerge w:val="restart"/>
            <w:tcBorders>
              <w:top w:val="single" w:sz="4" w:space="0" w:color="000000"/>
              <w:left w:val="single" w:sz="4" w:space="0" w:color="000000"/>
              <w:right w:val="nil" w:sz="6" w:space="0" w:color="auto"/>
            </w:tcBorders>
            <w:shd w:val="clear" w:color="auto" w:fill="D2D2D2"/>
          </w:tcPr>
          <w:p>
            <w:pPr/>
          </w:p>
        </w:tc>
        <w:tc>
          <w:tcPr>
            <w:tcW w:w="118" w:type="dxa"/>
            <w:vMerge w:val="restart"/>
            <w:tcBorders>
              <w:top w:val="single" w:sz="4" w:space="0" w:color="000000"/>
              <w:left w:val="nil" w:sz="6" w:space="0" w:color="auto"/>
              <w:right w:val="single" w:sz="4" w:space="0" w:color="000000"/>
            </w:tcBorders>
            <w:shd w:val="clear" w:color="auto" w:fill="D2D2D2"/>
          </w:tcPr>
          <w:p>
            <w:pPr>
              <w:pStyle w:val="TableParagraph"/>
              <w:spacing w:line="381" w:lineRule="auto" w:before="84"/>
              <w:ind w:left="-12" w:right="3"/>
              <w:jc w:val="both"/>
              <w:rPr>
                <w:rFonts w:ascii="宋体" w:hAnsi="宋体" w:cs="宋体" w:eastAsia="宋体" w:hint="default"/>
                <w:sz w:val="15"/>
                <w:szCs w:val="15"/>
              </w:rPr>
            </w:pPr>
            <w:r>
              <w:rPr>
                <w:rFonts w:ascii="宋体" w:hAnsi="宋体" w:cs="宋体" w:eastAsia="宋体" w:hint="default"/>
                <w:w w:val="80"/>
                <w:sz w:val="15"/>
                <w:szCs w:val="15"/>
              </w:rPr>
              <w:t>其</w:t>
            </w:r>
            <w:r>
              <w:rPr>
                <w:rFonts w:ascii="宋体" w:hAnsi="宋体" w:cs="宋体" w:eastAsia="宋体" w:hint="default"/>
                <w:w w:val="79"/>
                <w:sz w:val="15"/>
                <w:szCs w:val="15"/>
              </w:rPr>
              <w:t> </w:t>
            </w:r>
            <w:r>
              <w:rPr>
                <w:rFonts w:ascii="宋体" w:hAnsi="宋体" w:cs="宋体" w:eastAsia="宋体" w:hint="default"/>
                <w:w w:val="80"/>
                <w:sz w:val="15"/>
                <w:szCs w:val="15"/>
              </w:rPr>
              <w:t>他</w:t>
            </w:r>
            <w:r>
              <w:rPr>
                <w:rFonts w:ascii="宋体" w:hAnsi="宋体" w:cs="宋体" w:eastAsia="宋体" w:hint="default"/>
                <w:w w:val="79"/>
                <w:sz w:val="15"/>
                <w:szCs w:val="15"/>
              </w:rPr>
              <w:t> </w:t>
            </w:r>
            <w:r>
              <w:rPr>
                <w:rFonts w:ascii="宋体" w:hAnsi="宋体" w:cs="宋体" w:eastAsia="宋体" w:hint="default"/>
                <w:w w:val="80"/>
                <w:sz w:val="15"/>
                <w:szCs w:val="15"/>
              </w:rPr>
              <w:t>综</w:t>
            </w:r>
            <w:r>
              <w:rPr>
                <w:rFonts w:ascii="宋体" w:hAnsi="宋体" w:cs="宋体" w:eastAsia="宋体" w:hint="default"/>
                <w:w w:val="79"/>
                <w:sz w:val="15"/>
                <w:szCs w:val="15"/>
              </w:rPr>
              <w:t> </w:t>
            </w:r>
            <w:r>
              <w:rPr>
                <w:rFonts w:ascii="宋体" w:hAnsi="宋体" w:cs="宋体" w:eastAsia="宋体" w:hint="default"/>
                <w:w w:val="80"/>
                <w:sz w:val="15"/>
                <w:szCs w:val="15"/>
              </w:rPr>
              <w:t>合</w:t>
            </w:r>
            <w:r>
              <w:rPr>
                <w:rFonts w:ascii="宋体" w:hAnsi="宋体" w:cs="宋体" w:eastAsia="宋体" w:hint="default"/>
                <w:w w:val="79"/>
                <w:sz w:val="15"/>
                <w:szCs w:val="15"/>
              </w:rPr>
              <w:t> </w:t>
            </w:r>
            <w:r>
              <w:rPr>
                <w:rFonts w:ascii="宋体" w:hAnsi="宋体" w:cs="宋体" w:eastAsia="宋体" w:hint="default"/>
                <w:w w:val="80"/>
                <w:sz w:val="15"/>
                <w:szCs w:val="15"/>
              </w:rPr>
              <w:t>收</w:t>
            </w:r>
            <w:r>
              <w:rPr>
                <w:rFonts w:ascii="宋体" w:hAnsi="宋体" w:cs="宋体" w:eastAsia="宋体" w:hint="default"/>
                <w:w w:val="79"/>
                <w:sz w:val="15"/>
                <w:szCs w:val="15"/>
              </w:rPr>
              <w:t> </w:t>
            </w:r>
            <w:r>
              <w:rPr>
                <w:rFonts w:ascii="宋体" w:hAnsi="宋体" w:cs="宋体" w:eastAsia="宋体" w:hint="default"/>
                <w:w w:val="80"/>
                <w:sz w:val="15"/>
                <w:szCs w:val="15"/>
              </w:rPr>
              <w:t>益</w:t>
            </w:r>
            <w:r>
              <w:rPr>
                <w:rFonts w:ascii="宋体" w:hAnsi="宋体" w:cs="宋体" w:eastAsia="宋体" w:hint="default"/>
                <w:sz w:val="15"/>
                <w:szCs w:val="15"/>
              </w:rPr>
            </w:r>
          </w:p>
        </w:tc>
        <w:tc>
          <w:tcPr>
            <w:tcW w:w="24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64" w:right="0"/>
              <w:jc w:val="left"/>
              <w:rPr>
                <w:rFonts w:ascii="宋体" w:hAnsi="宋体" w:cs="宋体" w:eastAsia="宋体" w:hint="default"/>
                <w:sz w:val="15"/>
                <w:szCs w:val="15"/>
              </w:rPr>
            </w:pPr>
            <w:r>
              <w:rPr>
                <w:rFonts w:ascii="宋体" w:hAnsi="宋体" w:cs="宋体" w:eastAsia="宋体" w:hint="default"/>
                <w:w w:val="90"/>
                <w:sz w:val="15"/>
                <w:szCs w:val="15"/>
              </w:rPr>
              <w:t>盈余公积</w:t>
            </w:r>
            <w:r>
              <w:rPr>
                <w:rFonts w:ascii="宋体" w:hAnsi="宋体" w:cs="宋体" w:eastAsia="宋体" w:hint="default"/>
                <w:sz w:val="15"/>
                <w:szCs w:val="15"/>
              </w:rPr>
            </w:r>
          </w:p>
        </w:tc>
        <w:tc>
          <w:tcPr>
            <w:tcW w:w="418"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84"/>
              <w:ind w:left="139" w:right="148"/>
              <w:jc w:val="both"/>
              <w:rPr>
                <w:rFonts w:ascii="宋体" w:hAnsi="宋体" w:cs="宋体" w:eastAsia="宋体" w:hint="default"/>
                <w:sz w:val="15"/>
                <w:szCs w:val="15"/>
              </w:rPr>
            </w:pPr>
            <w:r>
              <w:rPr>
                <w:rFonts w:ascii="宋体" w:hAnsi="宋体" w:cs="宋体" w:eastAsia="宋体" w:hint="default"/>
                <w:w w:val="80"/>
                <w:sz w:val="15"/>
                <w:szCs w:val="15"/>
              </w:rPr>
              <w:t>一</w:t>
            </w:r>
            <w:r>
              <w:rPr>
                <w:rFonts w:ascii="宋体" w:hAnsi="宋体" w:cs="宋体" w:eastAsia="宋体" w:hint="default"/>
                <w:w w:val="79"/>
                <w:sz w:val="15"/>
                <w:szCs w:val="15"/>
              </w:rPr>
              <w:t> </w:t>
            </w:r>
            <w:r>
              <w:rPr>
                <w:rFonts w:ascii="宋体" w:hAnsi="宋体" w:cs="宋体" w:eastAsia="宋体" w:hint="default"/>
                <w:w w:val="80"/>
                <w:sz w:val="15"/>
                <w:szCs w:val="15"/>
              </w:rPr>
              <w:t>般</w:t>
            </w:r>
            <w:r>
              <w:rPr>
                <w:rFonts w:ascii="宋体" w:hAnsi="宋体" w:cs="宋体" w:eastAsia="宋体" w:hint="default"/>
                <w:w w:val="79"/>
                <w:sz w:val="15"/>
                <w:szCs w:val="15"/>
              </w:rPr>
              <w:t> </w:t>
            </w:r>
            <w:r>
              <w:rPr>
                <w:rFonts w:ascii="宋体" w:hAnsi="宋体" w:cs="宋体" w:eastAsia="宋体" w:hint="default"/>
                <w:w w:val="80"/>
                <w:sz w:val="15"/>
                <w:szCs w:val="15"/>
              </w:rPr>
              <w:t>风</w:t>
            </w:r>
            <w:r>
              <w:rPr>
                <w:rFonts w:ascii="宋体" w:hAnsi="宋体" w:cs="宋体" w:eastAsia="宋体" w:hint="default"/>
                <w:w w:val="79"/>
                <w:sz w:val="15"/>
                <w:szCs w:val="15"/>
              </w:rPr>
              <w:t> </w:t>
            </w:r>
            <w:r>
              <w:rPr>
                <w:rFonts w:ascii="宋体" w:hAnsi="宋体" w:cs="宋体" w:eastAsia="宋体" w:hint="default"/>
                <w:w w:val="80"/>
                <w:sz w:val="15"/>
                <w:szCs w:val="15"/>
              </w:rPr>
              <w:t>险</w:t>
            </w:r>
            <w:r>
              <w:rPr>
                <w:rFonts w:ascii="宋体" w:hAnsi="宋体" w:cs="宋体" w:eastAsia="宋体" w:hint="default"/>
                <w:w w:val="79"/>
                <w:sz w:val="15"/>
                <w:szCs w:val="15"/>
              </w:rPr>
              <w:t> </w:t>
            </w:r>
            <w:r>
              <w:rPr>
                <w:rFonts w:ascii="宋体" w:hAnsi="宋体" w:cs="宋体" w:eastAsia="宋体" w:hint="default"/>
                <w:w w:val="80"/>
                <w:sz w:val="15"/>
                <w:szCs w:val="15"/>
              </w:rPr>
              <w:t>准</w:t>
            </w:r>
            <w:r>
              <w:rPr>
                <w:rFonts w:ascii="宋体" w:hAnsi="宋体" w:cs="宋体" w:eastAsia="宋体" w:hint="default"/>
                <w:w w:val="79"/>
                <w:sz w:val="15"/>
                <w:szCs w:val="15"/>
              </w:rPr>
              <w:t> </w:t>
            </w:r>
            <w:r>
              <w:rPr>
                <w:rFonts w:ascii="宋体" w:hAnsi="宋体" w:cs="宋体" w:eastAsia="宋体" w:hint="default"/>
                <w:w w:val="80"/>
                <w:sz w:val="15"/>
                <w:szCs w:val="15"/>
              </w:rPr>
              <w:t>备</w:t>
            </w:r>
            <w:r>
              <w:rPr>
                <w:rFonts w:ascii="宋体" w:hAnsi="宋体" w:cs="宋体" w:eastAsia="宋体" w:hint="default"/>
                <w:sz w:val="15"/>
                <w:szCs w:val="15"/>
              </w:rPr>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78" w:right="0"/>
              <w:jc w:val="left"/>
              <w:rPr>
                <w:rFonts w:ascii="宋体" w:hAnsi="宋体" w:cs="宋体" w:eastAsia="宋体" w:hint="default"/>
                <w:sz w:val="15"/>
                <w:szCs w:val="15"/>
              </w:rPr>
            </w:pPr>
            <w:r>
              <w:rPr>
                <w:rFonts w:ascii="宋体" w:hAnsi="宋体" w:cs="宋体" w:eastAsia="宋体" w:hint="default"/>
                <w:w w:val="90"/>
                <w:sz w:val="15"/>
                <w:szCs w:val="15"/>
              </w:rPr>
              <w:t>未分配利润</w:t>
            </w:r>
            <w:r>
              <w:rPr>
                <w:rFonts w:ascii="宋体" w:hAnsi="宋体" w:cs="宋体" w:eastAsia="宋体" w:hint="default"/>
                <w:sz w:val="15"/>
                <w:szCs w:val="15"/>
              </w:rPr>
            </w:r>
          </w:p>
        </w:tc>
        <w:tc>
          <w:tcPr>
            <w:tcW w:w="240" w:type="dxa"/>
            <w:gridSpan w:val="2"/>
            <w:vMerge w:val="restart"/>
            <w:tcBorders>
              <w:top w:val="single" w:sz="4" w:space="0" w:color="000000"/>
              <w:left w:val="single" w:sz="4" w:space="0" w:color="000000"/>
              <w:right w:val="single" w:sz="4" w:space="0" w:color="000000"/>
            </w:tcBorders>
            <w:shd w:val="clear" w:color="auto" w:fill="D2D2D2"/>
          </w:tcPr>
          <w:p>
            <w:pP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w w:val="90"/>
                <w:sz w:val="15"/>
                <w:szCs w:val="15"/>
              </w:rPr>
              <w:t>小计</w:t>
            </w:r>
            <w:r>
              <w:rPr>
                <w:rFonts w:ascii="宋体" w:hAnsi="宋体" w:cs="宋体" w:eastAsia="宋体" w:hint="default"/>
                <w:sz w:val="15"/>
                <w:szCs w:val="15"/>
              </w:rPr>
            </w:r>
          </w:p>
        </w:tc>
        <w:tc>
          <w:tcPr>
            <w:tcW w:w="1008"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right w:val="single" w:sz="12" w:space="0" w:color="000000"/>
            </w:tcBorders>
            <w:shd w:val="clear" w:color="auto" w:fill="D2D2D2"/>
          </w:tcPr>
          <w:p>
            <w:pPr/>
          </w:p>
        </w:tc>
      </w:tr>
      <w:tr>
        <w:trPr>
          <w:trHeight w:val="312" w:hRule="exact"/>
        </w:trPr>
        <w:tc>
          <w:tcPr>
            <w:tcW w:w="1032" w:type="dxa"/>
            <w:vMerge/>
            <w:tcBorders>
              <w:left w:val="single" w:sz="12"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806" w:type="dxa"/>
            <w:gridSpan w:val="4"/>
            <w:vMerge/>
            <w:tcBorders>
              <w:left w:val="single" w:sz="4" w:space="0" w:color="000000"/>
              <w:right w:val="single" w:sz="4" w:space="0" w:color="000000"/>
            </w:tcBorders>
            <w:shd w:val="clear" w:color="auto" w:fill="D2D2D2"/>
          </w:tcPr>
          <w:p>
            <w:pPr/>
          </w:p>
        </w:tc>
        <w:tc>
          <w:tcPr>
            <w:tcW w:w="1056"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22" w:type="dxa"/>
            <w:vMerge/>
            <w:tcBorders>
              <w:left w:val="single" w:sz="4" w:space="0" w:color="000000"/>
              <w:right w:val="nil" w:sz="6" w:space="0" w:color="auto"/>
            </w:tcBorders>
            <w:shd w:val="clear" w:color="auto" w:fill="D2D2D2"/>
          </w:tcPr>
          <w:p>
            <w:pPr/>
          </w:p>
        </w:tc>
        <w:tc>
          <w:tcPr>
            <w:tcW w:w="118" w:type="dxa"/>
            <w:vMerge/>
            <w:tcBorders>
              <w:left w:val="nil" w:sz="6" w:space="0" w:color="auto"/>
              <w:right w:val="single" w:sz="4" w:space="0" w:color="000000"/>
            </w:tcBorders>
            <w:shd w:val="clear" w:color="auto" w:fill="D2D2D2"/>
          </w:tcPr>
          <w:p>
            <w:pPr/>
          </w:p>
        </w:tc>
        <w:tc>
          <w:tcPr>
            <w:tcW w:w="122" w:type="dxa"/>
            <w:vMerge w:val="restart"/>
            <w:tcBorders>
              <w:top w:val="nil" w:sz="6" w:space="0" w:color="auto"/>
              <w:left w:val="single" w:sz="4" w:space="0" w:color="000000"/>
              <w:right w:val="nil" w:sz="6" w:space="0" w:color="auto"/>
            </w:tcBorders>
            <w:shd w:val="clear" w:color="auto" w:fill="D2D2D2"/>
          </w:tcPr>
          <w:p>
            <w:pPr/>
          </w:p>
        </w:tc>
        <w:tc>
          <w:tcPr>
            <w:tcW w:w="118" w:type="dxa"/>
            <w:vMerge w:val="restart"/>
            <w:tcBorders>
              <w:top w:val="nil" w:sz="6" w:space="0" w:color="auto"/>
              <w:left w:val="nil" w:sz="6" w:space="0" w:color="auto"/>
              <w:right w:val="single" w:sz="4" w:space="0" w:color="000000"/>
            </w:tcBorders>
            <w:shd w:val="clear" w:color="auto" w:fill="D2D2D2"/>
          </w:tcPr>
          <w:p>
            <w:pPr>
              <w:pStyle w:val="TableParagraph"/>
              <w:spacing w:line="381" w:lineRule="auto" w:before="79"/>
              <w:ind w:left="-12" w:right="3"/>
              <w:jc w:val="both"/>
              <w:rPr>
                <w:rFonts w:ascii="宋体" w:hAnsi="宋体" w:cs="宋体" w:eastAsia="宋体" w:hint="default"/>
                <w:sz w:val="15"/>
                <w:szCs w:val="15"/>
              </w:rPr>
            </w:pPr>
            <w:r>
              <w:rPr>
                <w:rFonts w:ascii="宋体" w:hAnsi="宋体" w:cs="宋体" w:eastAsia="宋体" w:hint="default"/>
                <w:w w:val="80"/>
                <w:sz w:val="15"/>
                <w:szCs w:val="15"/>
              </w:rPr>
              <w:t>专</w:t>
            </w:r>
            <w:r>
              <w:rPr>
                <w:rFonts w:ascii="宋体" w:hAnsi="宋体" w:cs="宋体" w:eastAsia="宋体" w:hint="default"/>
                <w:w w:val="79"/>
                <w:sz w:val="15"/>
                <w:szCs w:val="15"/>
              </w:rPr>
              <w:t> </w:t>
            </w:r>
            <w:r>
              <w:rPr>
                <w:rFonts w:ascii="宋体" w:hAnsi="宋体" w:cs="宋体" w:eastAsia="宋体" w:hint="default"/>
                <w:w w:val="80"/>
                <w:sz w:val="15"/>
                <w:szCs w:val="15"/>
              </w:rPr>
              <w:t>项</w:t>
            </w:r>
            <w:r>
              <w:rPr>
                <w:rFonts w:ascii="宋体" w:hAnsi="宋体" w:cs="宋体" w:eastAsia="宋体" w:hint="default"/>
                <w:w w:val="79"/>
                <w:sz w:val="15"/>
                <w:szCs w:val="15"/>
              </w:rPr>
              <w:t> </w:t>
            </w:r>
            <w:r>
              <w:rPr>
                <w:rFonts w:ascii="宋体" w:hAnsi="宋体" w:cs="宋体" w:eastAsia="宋体" w:hint="default"/>
                <w:w w:val="80"/>
                <w:sz w:val="15"/>
                <w:szCs w:val="15"/>
              </w:rPr>
              <w:t>储</w:t>
            </w:r>
            <w:r>
              <w:rPr>
                <w:rFonts w:ascii="宋体" w:hAnsi="宋体" w:cs="宋体" w:eastAsia="宋体" w:hint="default"/>
                <w:w w:val="79"/>
                <w:sz w:val="15"/>
                <w:szCs w:val="15"/>
              </w:rPr>
              <w:t> </w:t>
            </w:r>
            <w:r>
              <w:rPr>
                <w:rFonts w:ascii="宋体" w:hAnsi="宋体" w:cs="宋体" w:eastAsia="宋体" w:hint="default"/>
                <w:w w:val="80"/>
                <w:sz w:val="15"/>
                <w:szCs w:val="15"/>
              </w:rPr>
              <w:t>备</w:t>
            </w:r>
            <w:r>
              <w:rPr>
                <w:rFonts w:ascii="宋体" w:hAnsi="宋体" w:cs="宋体" w:eastAsia="宋体" w:hint="default"/>
                <w:sz w:val="15"/>
                <w:szCs w:val="15"/>
              </w:rPr>
            </w:r>
          </w:p>
        </w:tc>
        <w:tc>
          <w:tcPr>
            <w:tcW w:w="1023" w:type="dxa"/>
            <w:vMerge/>
            <w:tcBorders>
              <w:left w:val="single" w:sz="4" w:space="0" w:color="000000"/>
              <w:right w:val="single" w:sz="4" w:space="0" w:color="000000"/>
            </w:tcBorders>
            <w:shd w:val="clear" w:color="auto" w:fill="D2D2D2"/>
          </w:tcPr>
          <w:p>
            <w:pPr/>
          </w:p>
        </w:tc>
        <w:tc>
          <w:tcPr>
            <w:tcW w:w="418" w:type="dxa"/>
            <w:vMerge/>
            <w:tcBorders>
              <w:left w:val="single" w:sz="4" w:space="0" w:color="000000"/>
              <w:right w:val="single" w:sz="4" w:space="0" w:color="000000"/>
            </w:tcBorders>
            <w:shd w:val="clear" w:color="auto" w:fill="D2D2D2"/>
          </w:tcPr>
          <w:p>
            <w:pPr/>
          </w:p>
        </w:tc>
        <w:tc>
          <w:tcPr>
            <w:tcW w:w="1167" w:type="dxa"/>
            <w:vMerge/>
            <w:tcBorders>
              <w:left w:val="single" w:sz="4" w:space="0" w:color="000000"/>
              <w:right w:val="single" w:sz="4" w:space="0" w:color="000000"/>
            </w:tcBorders>
            <w:shd w:val="clear" w:color="auto" w:fill="D2D2D2"/>
          </w:tcPr>
          <w:p>
            <w:pPr/>
          </w:p>
        </w:tc>
        <w:tc>
          <w:tcPr>
            <w:tcW w:w="240" w:type="dxa"/>
            <w:gridSpan w:val="2"/>
            <w:vMerge/>
            <w:tcBorders>
              <w:left w:val="single" w:sz="4" w:space="0" w:color="000000"/>
              <w:bottom w:val="nil" w:sz="6" w:space="0" w:color="auto"/>
              <w:right w:val="single" w:sz="4" w:space="0" w:color="000000"/>
            </w:tcBorders>
            <w:shd w:val="clear" w:color="auto" w:fill="D2D2D2"/>
          </w:tcPr>
          <w:p>
            <w:pPr/>
          </w:p>
        </w:tc>
        <w:tc>
          <w:tcPr>
            <w:tcW w:w="1176" w:type="dxa"/>
            <w:vMerge/>
            <w:tcBorders>
              <w:left w:val="single" w:sz="4" w:space="0" w:color="000000"/>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right w:val="single" w:sz="12" w:space="0" w:color="000000"/>
            </w:tcBorders>
            <w:shd w:val="clear" w:color="auto" w:fill="D2D2D2"/>
          </w:tcPr>
          <w:p>
            <w:pPr/>
          </w:p>
        </w:tc>
      </w:tr>
      <w:tr>
        <w:trPr>
          <w:trHeight w:val="82" w:hRule="exact"/>
        </w:trPr>
        <w:tc>
          <w:tcPr>
            <w:tcW w:w="1032" w:type="dxa"/>
            <w:vMerge/>
            <w:tcBorders>
              <w:left w:val="single" w:sz="12"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806" w:type="dxa"/>
            <w:gridSpan w:val="4"/>
            <w:vMerge/>
            <w:tcBorders>
              <w:left w:val="single" w:sz="4" w:space="0" w:color="000000"/>
              <w:bottom w:val="single" w:sz="4" w:space="0" w:color="000000"/>
              <w:right w:val="single" w:sz="4" w:space="0" w:color="000000"/>
            </w:tcBorders>
            <w:shd w:val="clear" w:color="auto" w:fill="D2D2D2"/>
          </w:tcPr>
          <w:p>
            <w:pPr/>
          </w:p>
        </w:tc>
        <w:tc>
          <w:tcPr>
            <w:tcW w:w="1056"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22" w:type="dxa"/>
            <w:vMerge/>
            <w:tcBorders>
              <w:left w:val="single" w:sz="4" w:space="0" w:color="000000"/>
              <w:right w:val="nil" w:sz="6" w:space="0" w:color="auto"/>
            </w:tcBorders>
            <w:shd w:val="clear" w:color="auto" w:fill="D2D2D2"/>
          </w:tcPr>
          <w:p>
            <w:pPr/>
          </w:p>
        </w:tc>
        <w:tc>
          <w:tcPr>
            <w:tcW w:w="118" w:type="dxa"/>
            <w:vMerge/>
            <w:tcBorders>
              <w:left w:val="nil" w:sz="6" w:space="0" w:color="auto"/>
              <w:right w:val="single" w:sz="4" w:space="0" w:color="000000"/>
            </w:tcBorders>
            <w:shd w:val="clear" w:color="auto" w:fill="D2D2D2"/>
          </w:tcPr>
          <w:p>
            <w:pPr/>
          </w:p>
        </w:tc>
        <w:tc>
          <w:tcPr>
            <w:tcW w:w="122" w:type="dxa"/>
            <w:vMerge/>
            <w:tcBorders>
              <w:left w:val="single" w:sz="4" w:space="0" w:color="000000"/>
              <w:right w:val="nil" w:sz="6" w:space="0" w:color="auto"/>
            </w:tcBorders>
            <w:shd w:val="clear" w:color="auto" w:fill="D2D2D2"/>
          </w:tcPr>
          <w:p>
            <w:pPr/>
          </w:p>
        </w:tc>
        <w:tc>
          <w:tcPr>
            <w:tcW w:w="118" w:type="dxa"/>
            <w:vMerge/>
            <w:tcBorders>
              <w:left w:val="nil" w:sz="6" w:space="0" w:color="auto"/>
              <w:right w:val="single" w:sz="4" w:space="0" w:color="000000"/>
            </w:tcBorders>
            <w:shd w:val="clear" w:color="auto" w:fill="D2D2D2"/>
          </w:tcPr>
          <w:p>
            <w:pPr/>
          </w:p>
        </w:tc>
        <w:tc>
          <w:tcPr>
            <w:tcW w:w="1023" w:type="dxa"/>
            <w:vMerge/>
            <w:tcBorders>
              <w:left w:val="single" w:sz="4" w:space="0" w:color="000000"/>
              <w:right w:val="single" w:sz="4" w:space="0" w:color="000000"/>
            </w:tcBorders>
            <w:shd w:val="clear" w:color="auto" w:fill="D2D2D2"/>
          </w:tcPr>
          <w:p>
            <w:pPr/>
          </w:p>
        </w:tc>
        <w:tc>
          <w:tcPr>
            <w:tcW w:w="418" w:type="dxa"/>
            <w:vMerge/>
            <w:tcBorders>
              <w:left w:val="single" w:sz="4" w:space="0" w:color="000000"/>
              <w:right w:val="single" w:sz="4" w:space="0" w:color="000000"/>
            </w:tcBorders>
            <w:shd w:val="clear" w:color="auto" w:fill="D2D2D2"/>
          </w:tcPr>
          <w:p>
            <w:pPr/>
          </w:p>
        </w:tc>
        <w:tc>
          <w:tcPr>
            <w:tcW w:w="1167" w:type="dxa"/>
            <w:vMerge/>
            <w:tcBorders>
              <w:left w:val="single" w:sz="4" w:space="0" w:color="000000"/>
              <w:right w:val="single" w:sz="4" w:space="0" w:color="000000"/>
            </w:tcBorders>
            <w:shd w:val="clear" w:color="auto" w:fill="D2D2D2"/>
          </w:tcPr>
          <w:p>
            <w:pPr/>
          </w:p>
        </w:tc>
        <w:tc>
          <w:tcPr>
            <w:tcW w:w="118" w:type="dxa"/>
            <w:vMerge w:val="restart"/>
            <w:tcBorders>
              <w:top w:val="nil" w:sz="6" w:space="0" w:color="auto"/>
              <w:left w:val="single" w:sz="4" w:space="0" w:color="000000"/>
              <w:right w:val="nil" w:sz="6" w:space="0" w:color="auto"/>
            </w:tcBorders>
            <w:shd w:val="clear" w:color="auto" w:fill="D2D2D2"/>
          </w:tcPr>
          <w:p>
            <w:pPr/>
          </w:p>
        </w:tc>
        <w:tc>
          <w:tcPr>
            <w:tcW w:w="122" w:type="dxa"/>
            <w:vMerge w:val="restart"/>
            <w:tcBorders>
              <w:top w:val="nil" w:sz="6" w:space="0" w:color="auto"/>
              <w:left w:val="nil" w:sz="6" w:space="0" w:color="auto"/>
              <w:right w:val="single" w:sz="4" w:space="0" w:color="000000"/>
            </w:tcBorders>
            <w:shd w:val="clear" w:color="auto" w:fill="D2D2D2"/>
          </w:tcPr>
          <w:p>
            <w:pPr>
              <w:pStyle w:val="TableParagraph"/>
              <w:spacing w:line="381" w:lineRule="auto" w:before="79"/>
              <w:ind w:left="-13" w:right="8"/>
              <w:jc w:val="left"/>
              <w:rPr>
                <w:rFonts w:ascii="宋体" w:hAnsi="宋体" w:cs="宋体" w:eastAsia="宋体" w:hint="default"/>
                <w:sz w:val="15"/>
                <w:szCs w:val="15"/>
              </w:rPr>
            </w:pPr>
            <w:r>
              <w:rPr>
                <w:rFonts w:ascii="宋体" w:hAnsi="宋体" w:cs="宋体" w:eastAsia="宋体" w:hint="default"/>
                <w:w w:val="80"/>
                <w:sz w:val="15"/>
                <w:szCs w:val="15"/>
              </w:rPr>
              <w:t>其</w:t>
            </w:r>
            <w:r>
              <w:rPr>
                <w:rFonts w:ascii="宋体" w:hAnsi="宋体" w:cs="宋体" w:eastAsia="宋体" w:hint="default"/>
                <w:w w:val="79"/>
                <w:sz w:val="15"/>
                <w:szCs w:val="15"/>
              </w:rPr>
              <w:t> </w:t>
            </w:r>
            <w:r>
              <w:rPr>
                <w:rFonts w:ascii="宋体" w:hAnsi="宋体" w:cs="宋体" w:eastAsia="宋体" w:hint="default"/>
                <w:w w:val="80"/>
                <w:sz w:val="15"/>
                <w:szCs w:val="15"/>
              </w:rPr>
              <w:t>他</w:t>
            </w:r>
            <w:r>
              <w:rPr>
                <w:rFonts w:ascii="宋体" w:hAnsi="宋体" w:cs="宋体" w:eastAsia="宋体" w:hint="default"/>
                <w:sz w:val="15"/>
                <w:szCs w:val="15"/>
              </w:rPr>
            </w:r>
          </w:p>
        </w:tc>
        <w:tc>
          <w:tcPr>
            <w:tcW w:w="1176" w:type="dxa"/>
            <w:vMerge/>
            <w:tcBorders>
              <w:left w:val="single" w:sz="4" w:space="0" w:color="000000"/>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right w:val="single" w:sz="12" w:space="0" w:color="000000"/>
            </w:tcBorders>
            <w:shd w:val="clear" w:color="auto" w:fill="D2D2D2"/>
          </w:tcPr>
          <w:p>
            <w:pPr/>
          </w:p>
        </w:tc>
      </w:tr>
      <w:tr>
        <w:trPr>
          <w:trHeight w:val="120" w:hRule="exact"/>
        </w:trPr>
        <w:tc>
          <w:tcPr>
            <w:tcW w:w="1032" w:type="dxa"/>
            <w:vMerge/>
            <w:tcBorders>
              <w:left w:val="single" w:sz="12"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28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81" w:lineRule="auto"/>
              <w:ind w:left="105" w:right="51"/>
              <w:jc w:val="both"/>
              <w:rPr>
                <w:rFonts w:ascii="宋体" w:hAnsi="宋体" w:cs="宋体" w:eastAsia="宋体" w:hint="default"/>
                <w:sz w:val="15"/>
                <w:szCs w:val="15"/>
              </w:rPr>
            </w:pPr>
            <w:r>
              <w:rPr>
                <w:rFonts w:ascii="宋体" w:hAnsi="宋体" w:cs="宋体" w:eastAsia="宋体" w:hint="default"/>
                <w:w w:val="85"/>
                <w:sz w:val="15"/>
                <w:szCs w:val="15"/>
              </w:rPr>
              <w:t>优</w:t>
            </w:r>
            <w:r>
              <w:rPr>
                <w:rFonts w:ascii="宋体" w:hAnsi="宋体" w:cs="宋体" w:eastAsia="宋体" w:hint="default"/>
                <w:w w:val="79"/>
                <w:sz w:val="15"/>
                <w:szCs w:val="15"/>
              </w:rPr>
              <w:t> </w:t>
            </w:r>
            <w:r>
              <w:rPr>
                <w:rFonts w:ascii="宋体" w:hAnsi="宋体" w:cs="宋体" w:eastAsia="宋体" w:hint="default"/>
                <w:w w:val="85"/>
                <w:sz w:val="15"/>
                <w:szCs w:val="15"/>
              </w:rPr>
              <w:t>先</w:t>
            </w:r>
            <w:r>
              <w:rPr>
                <w:rFonts w:ascii="宋体" w:hAnsi="宋体" w:cs="宋体" w:eastAsia="宋体" w:hint="default"/>
                <w:w w:val="79"/>
                <w:sz w:val="15"/>
                <w:szCs w:val="15"/>
              </w:rPr>
              <w:t> </w:t>
            </w:r>
            <w:r>
              <w:rPr>
                <w:rFonts w:ascii="宋体" w:hAnsi="宋体" w:cs="宋体" w:eastAsia="宋体" w:hint="default"/>
                <w:w w:val="85"/>
                <w:sz w:val="15"/>
                <w:szCs w:val="15"/>
              </w:rPr>
              <w:t>股</w:t>
            </w:r>
            <w:r>
              <w:rPr>
                <w:rFonts w:ascii="宋体" w:hAnsi="宋体" w:cs="宋体" w:eastAsia="宋体" w:hint="default"/>
                <w:sz w:val="15"/>
                <w:szCs w:val="15"/>
              </w:rPr>
            </w:r>
          </w:p>
        </w:tc>
        <w:tc>
          <w:tcPr>
            <w:tcW w:w="24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86" w:lineRule="auto"/>
              <w:ind w:left="105" w:right="42"/>
              <w:jc w:val="left"/>
              <w:rPr>
                <w:rFonts w:ascii="宋体" w:hAnsi="宋体" w:cs="宋体" w:eastAsia="宋体" w:hint="default"/>
                <w:sz w:val="15"/>
                <w:szCs w:val="15"/>
              </w:rPr>
            </w:pPr>
            <w:r>
              <w:rPr>
                <w:rFonts w:ascii="宋体" w:hAnsi="宋体" w:cs="宋体" w:eastAsia="宋体" w:hint="default"/>
                <w:w w:val="80"/>
                <w:sz w:val="15"/>
                <w:szCs w:val="15"/>
              </w:rPr>
              <w:t>其</w:t>
            </w:r>
            <w:r>
              <w:rPr>
                <w:rFonts w:ascii="宋体" w:hAnsi="宋体" w:cs="宋体" w:eastAsia="宋体" w:hint="default"/>
                <w:w w:val="79"/>
                <w:sz w:val="15"/>
                <w:szCs w:val="15"/>
              </w:rPr>
              <w:t> </w:t>
            </w:r>
            <w:r>
              <w:rPr>
                <w:rFonts w:ascii="宋体" w:hAnsi="宋体" w:cs="宋体" w:eastAsia="宋体" w:hint="default"/>
                <w:w w:val="80"/>
                <w:sz w:val="15"/>
                <w:szCs w:val="15"/>
              </w:rPr>
              <w:t>他</w:t>
            </w:r>
            <w:r>
              <w:rPr>
                <w:rFonts w:ascii="宋体" w:hAnsi="宋体" w:cs="宋体" w:eastAsia="宋体" w:hint="default"/>
                <w:sz w:val="15"/>
                <w:szCs w:val="15"/>
              </w:rPr>
            </w:r>
          </w:p>
        </w:tc>
        <w:tc>
          <w:tcPr>
            <w:tcW w:w="1056"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22" w:type="dxa"/>
            <w:vMerge/>
            <w:tcBorders>
              <w:left w:val="single" w:sz="4" w:space="0" w:color="000000"/>
              <w:right w:val="nil" w:sz="6" w:space="0" w:color="auto"/>
            </w:tcBorders>
            <w:shd w:val="clear" w:color="auto" w:fill="D2D2D2"/>
          </w:tcPr>
          <w:p>
            <w:pPr/>
          </w:p>
        </w:tc>
        <w:tc>
          <w:tcPr>
            <w:tcW w:w="118" w:type="dxa"/>
            <w:vMerge/>
            <w:tcBorders>
              <w:left w:val="nil" w:sz="6" w:space="0" w:color="auto"/>
              <w:right w:val="single" w:sz="4" w:space="0" w:color="000000"/>
            </w:tcBorders>
            <w:shd w:val="clear" w:color="auto" w:fill="D2D2D2"/>
          </w:tcPr>
          <w:p>
            <w:pPr/>
          </w:p>
        </w:tc>
        <w:tc>
          <w:tcPr>
            <w:tcW w:w="122" w:type="dxa"/>
            <w:vMerge/>
            <w:tcBorders>
              <w:left w:val="single" w:sz="4" w:space="0" w:color="000000"/>
              <w:right w:val="nil" w:sz="6" w:space="0" w:color="auto"/>
            </w:tcBorders>
            <w:shd w:val="clear" w:color="auto" w:fill="D2D2D2"/>
          </w:tcPr>
          <w:p>
            <w:pPr/>
          </w:p>
        </w:tc>
        <w:tc>
          <w:tcPr>
            <w:tcW w:w="118" w:type="dxa"/>
            <w:vMerge/>
            <w:tcBorders>
              <w:left w:val="nil" w:sz="6" w:space="0" w:color="auto"/>
              <w:right w:val="single" w:sz="4" w:space="0" w:color="000000"/>
            </w:tcBorders>
            <w:shd w:val="clear" w:color="auto" w:fill="D2D2D2"/>
          </w:tcPr>
          <w:p>
            <w:pPr/>
          </w:p>
        </w:tc>
        <w:tc>
          <w:tcPr>
            <w:tcW w:w="1023" w:type="dxa"/>
            <w:vMerge/>
            <w:tcBorders>
              <w:left w:val="single" w:sz="4" w:space="0" w:color="000000"/>
              <w:right w:val="single" w:sz="4" w:space="0" w:color="000000"/>
            </w:tcBorders>
            <w:shd w:val="clear" w:color="auto" w:fill="D2D2D2"/>
          </w:tcPr>
          <w:p>
            <w:pPr/>
          </w:p>
        </w:tc>
        <w:tc>
          <w:tcPr>
            <w:tcW w:w="418" w:type="dxa"/>
            <w:vMerge/>
            <w:tcBorders>
              <w:left w:val="single" w:sz="4" w:space="0" w:color="000000"/>
              <w:right w:val="single" w:sz="4" w:space="0" w:color="000000"/>
            </w:tcBorders>
            <w:shd w:val="clear" w:color="auto" w:fill="D2D2D2"/>
          </w:tcPr>
          <w:p>
            <w:pPr/>
          </w:p>
        </w:tc>
        <w:tc>
          <w:tcPr>
            <w:tcW w:w="1167" w:type="dxa"/>
            <w:vMerge/>
            <w:tcBorders>
              <w:left w:val="single" w:sz="4" w:space="0" w:color="000000"/>
              <w:right w:val="single" w:sz="4" w:space="0" w:color="000000"/>
            </w:tcBorders>
            <w:shd w:val="clear" w:color="auto" w:fill="D2D2D2"/>
          </w:tcPr>
          <w:p>
            <w:pPr/>
          </w:p>
        </w:tc>
        <w:tc>
          <w:tcPr>
            <w:tcW w:w="118" w:type="dxa"/>
            <w:vMerge/>
            <w:tcBorders>
              <w:left w:val="single" w:sz="4" w:space="0" w:color="000000"/>
              <w:right w:val="nil" w:sz="6" w:space="0" w:color="auto"/>
            </w:tcBorders>
            <w:shd w:val="clear" w:color="auto" w:fill="D2D2D2"/>
          </w:tcPr>
          <w:p>
            <w:pPr/>
          </w:p>
        </w:tc>
        <w:tc>
          <w:tcPr>
            <w:tcW w:w="122" w:type="dxa"/>
            <w:vMerge/>
            <w:tcBorders>
              <w:left w:val="nil" w:sz="6" w:space="0" w:color="auto"/>
              <w:right w:val="single" w:sz="4" w:space="0" w:color="000000"/>
            </w:tcBorders>
            <w:shd w:val="clear" w:color="auto" w:fill="D2D2D2"/>
          </w:tcPr>
          <w:p>
            <w:pPr/>
          </w:p>
        </w:tc>
        <w:tc>
          <w:tcPr>
            <w:tcW w:w="1176" w:type="dxa"/>
            <w:vMerge/>
            <w:tcBorders>
              <w:left w:val="single" w:sz="4" w:space="0" w:color="000000"/>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right w:val="single" w:sz="12" w:space="0" w:color="000000"/>
            </w:tcBorders>
            <w:shd w:val="clear" w:color="auto" w:fill="D2D2D2"/>
          </w:tcPr>
          <w:p>
            <w:pPr/>
          </w:p>
        </w:tc>
      </w:tr>
      <w:tr>
        <w:trPr>
          <w:trHeight w:val="504" w:hRule="exact"/>
        </w:trPr>
        <w:tc>
          <w:tcPr>
            <w:tcW w:w="1032" w:type="dxa"/>
            <w:vMerge/>
            <w:tcBorders>
              <w:left w:val="single" w:sz="12"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288" w:type="dxa"/>
            <w:vMerge/>
            <w:tcBorders>
              <w:left w:val="single" w:sz="4" w:space="0" w:color="000000"/>
              <w:right w:val="single" w:sz="4" w:space="0" w:color="000000"/>
            </w:tcBorders>
          </w:tcPr>
          <w:p>
            <w:pPr/>
          </w:p>
        </w:tc>
        <w:tc>
          <w:tcPr>
            <w:tcW w:w="122" w:type="dxa"/>
            <w:vMerge w:val="restart"/>
            <w:tcBorders>
              <w:top w:val="nil" w:sz="6" w:space="0" w:color="auto"/>
              <w:left w:val="single" w:sz="4" w:space="0" w:color="000000"/>
              <w:right w:val="nil" w:sz="6" w:space="0" w:color="auto"/>
            </w:tcBorders>
            <w:shd w:val="clear" w:color="auto" w:fill="D2D2D2"/>
          </w:tcPr>
          <w:p>
            <w:pPr/>
          </w:p>
        </w:tc>
        <w:tc>
          <w:tcPr>
            <w:tcW w:w="118" w:type="dxa"/>
            <w:vMerge w:val="restart"/>
            <w:tcBorders>
              <w:top w:val="nil" w:sz="6" w:space="0" w:color="auto"/>
              <w:left w:val="nil" w:sz="6" w:space="0" w:color="auto"/>
              <w:right w:val="single" w:sz="4" w:space="0" w:color="000000"/>
            </w:tcBorders>
            <w:shd w:val="clear" w:color="auto" w:fill="D2D2D2"/>
          </w:tcPr>
          <w:p>
            <w:pPr>
              <w:pStyle w:val="TableParagraph"/>
              <w:spacing w:line="381" w:lineRule="auto" w:before="79"/>
              <w:ind w:left="-12" w:right="3"/>
              <w:jc w:val="both"/>
              <w:rPr>
                <w:rFonts w:ascii="宋体" w:hAnsi="宋体" w:cs="宋体" w:eastAsia="宋体" w:hint="default"/>
                <w:sz w:val="15"/>
                <w:szCs w:val="15"/>
              </w:rPr>
            </w:pPr>
            <w:r>
              <w:rPr>
                <w:rFonts w:ascii="宋体" w:hAnsi="宋体" w:cs="宋体" w:eastAsia="宋体" w:hint="default"/>
                <w:w w:val="80"/>
                <w:sz w:val="15"/>
                <w:szCs w:val="15"/>
              </w:rPr>
              <w:t>永</w:t>
            </w:r>
            <w:r>
              <w:rPr>
                <w:rFonts w:ascii="宋体" w:hAnsi="宋体" w:cs="宋体" w:eastAsia="宋体" w:hint="default"/>
                <w:w w:val="79"/>
                <w:sz w:val="15"/>
                <w:szCs w:val="15"/>
              </w:rPr>
              <w:t> </w:t>
            </w:r>
            <w:r>
              <w:rPr>
                <w:rFonts w:ascii="宋体" w:hAnsi="宋体" w:cs="宋体" w:eastAsia="宋体" w:hint="default"/>
                <w:w w:val="80"/>
                <w:sz w:val="15"/>
                <w:szCs w:val="15"/>
              </w:rPr>
              <w:t>续</w:t>
            </w:r>
            <w:r>
              <w:rPr>
                <w:rFonts w:ascii="宋体" w:hAnsi="宋体" w:cs="宋体" w:eastAsia="宋体" w:hint="default"/>
                <w:w w:val="79"/>
                <w:sz w:val="15"/>
                <w:szCs w:val="15"/>
              </w:rPr>
              <w:t> </w:t>
            </w:r>
            <w:r>
              <w:rPr>
                <w:rFonts w:ascii="宋体" w:hAnsi="宋体" w:cs="宋体" w:eastAsia="宋体" w:hint="default"/>
                <w:w w:val="80"/>
                <w:sz w:val="15"/>
                <w:szCs w:val="15"/>
              </w:rPr>
              <w:t>债</w:t>
            </w:r>
            <w:r>
              <w:rPr>
                <w:rFonts w:ascii="宋体" w:hAnsi="宋体" w:cs="宋体" w:eastAsia="宋体" w:hint="default"/>
                <w:sz w:val="15"/>
                <w:szCs w:val="15"/>
              </w:rPr>
            </w:r>
          </w:p>
        </w:tc>
        <w:tc>
          <w:tcPr>
            <w:tcW w:w="278" w:type="dxa"/>
            <w:vMerge/>
            <w:tcBorders>
              <w:left w:val="single" w:sz="4" w:space="0" w:color="000000"/>
              <w:right w:val="single" w:sz="4" w:space="0" w:color="000000"/>
            </w:tcBorders>
            <w:shd w:val="clear" w:color="auto" w:fill="D2D2D2"/>
          </w:tcPr>
          <w:p>
            <w:pPr/>
          </w:p>
        </w:tc>
        <w:tc>
          <w:tcPr>
            <w:tcW w:w="1056"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22" w:type="dxa"/>
            <w:vMerge/>
            <w:tcBorders>
              <w:left w:val="single" w:sz="4" w:space="0" w:color="000000"/>
              <w:right w:val="nil" w:sz="6" w:space="0" w:color="auto"/>
            </w:tcBorders>
            <w:shd w:val="clear" w:color="auto" w:fill="D2D2D2"/>
          </w:tcPr>
          <w:p>
            <w:pPr/>
          </w:p>
        </w:tc>
        <w:tc>
          <w:tcPr>
            <w:tcW w:w="118" w:type="dxa"/>
            <w:vMerge/>
            <w:tcBorders>
              <w:left w:val="nil" w:sz="6" w:space="0" w:color="auto"/>
              <w:right w:val="single" w:sz="4" w:space="0" w:color="000000"/>
            </w:tcBorders>
            <w:shd w:val="clear" w:color="auto" w:fill="D2D2D2"/>
          </w:tcPr>
          <w:p>
            <w:pPr/>
          </w:p>
        </w:tc>
        <w:tc>
          <w:tcPr>
            <w:tcW w:w="122" w:type="dxa"/>
            <w:vMerge/>
            <w:tcBorders>
              <w:left w:val="single" w:sz="4" w:space="0" w:color="000000"/>
              <w:right w:val="nil" w:sz="6" w:space="0" w:color="auto"/>
            </w:tcBorders>
            <w:shd w:val="clear" w:color="auto" w:fill="D2D2D2"/>
          </w:tcPr>
          <w:p>
            <w:pPr/>
          </w:p>
        </w:tc>
        <w:tc>
          <w:tcPr>
            <w:tcW w:w="118" w:type="dxa"/>
            <w:vMerge/>
            <w:tcBorders>
              <w:left w:val="nil" w:sz="6" w:space="0" w:color="auto"/>
              <w:right w:val="single" w:sz="4" w:space="0" w:color="000000"/>
            </w:tcBorders>
            <w:shd w:val="clear" w:color="auto" w:fill="D2D2D2"/>
          </w:tcPr>
          <w:p>
            <w:pPr/>
          </w:p>
        </w:tc>
        <w:tc>
          <w:tcPr>
            <w:tcW w:w="1023" w:type="dxa"/>
            <w:vMerge/>
            <w:tcBorders>
              <w:left w:val="single" w:sz="4" w:space="0" w:color="000000"/>
              <w:right w:val="single" w:sz="4" w:space="0" w:color="000000"/>
            </w:tcBorders>
            <w:shd w:val="clear" w:color="auto" w:fill="D2D2D2"/>
          </w:tcPr>
          <w:p>
            <w:pPr/>
          </w:p>
        </w:tc>
        <w:tc>
          <w:tcPr>
            <w:tcW w:w="418" w:type="dxa"/>
            <w:vMerge/>
            <w:tcBorders>
              <w:left w:val="single" w:sz="4" w:space="0" w:color="000000"/>
              <w:right w:val="single" w:sz="4" w:space="0" w:color="000000"/>
            </w:tcBorders>
            <w:shd w:val="clear" w:color="auto" w:fill="D2D2D2"/>
          </w:tcPr>
          <w:p>
            <w:pPr/>
          </w:p>
        </w:tc>
        <w:tc>
          <w:tcPr>
            <w:tcW w:w="1167" w:type="dxa"/>
            <w:vMerge/>
            <w:tcBorders>
              <w:left w:val="single" w:sz="4" w:space="0" w:color="000000"/>
              <w:right w:val="single" w:sz="4" w:space="0" w:color="000000"/>
            </w:tcBorders>
            <w:shd w:val="clear" w:color="auto" w:fill="D2D2D2"/>
          </w:tcPr>
          <w:p>
            <w:pPr/>
          </w:p>
        </w:tc>
        <w:tc>
          <w:tcPr>
            <w:tcW w:w="118" w:type="dxa"/>
            <w:vMerge/>
            <w:tcBorders>
              <w:left w:val="single" w:sz="4" w:space="0" w:color="000000"/>
              <w:bottom w:val="nil" w:sz="6" w:space="0" w:color="auto"/>
              <w:right w:val="nil" w:sz="6" w:space="0" w:color="auto"/>
            </w:tcBorders>
            <w:shd w:val="clear" w:color="auto" w:fill="D2D2D2"/>
          </w:tcPr>
          <w:p>
            <w:pPr/>
          </w:p>
        </w:tc>
        <w:tc>
          <w:tcPr>
            <w:tcW w:w="122" w:type="dxa"/>
            <w:vMerge/>
            <w:tcBorders>
              <w:left w:val="nil" w:sz="6" w:space="0" w:color="auto"/>
              <w:bottom w:val="nil" w:sz="6" w:space="0" w:color="auto"/>
              <w:right w:val="single" w:sz="4" w:space="0" w:color="000000"/>
            </w:tcBorders>
            <w:shd w:val="clear" w:color="auto" w:fill="D2D2D2"/>
          </w:tcPr>
          <w:p>
            <w:pPr/>
          </w:p>
        </w:tc>
        <w:tc>
          <w:tcPr>
            <w:tcW w:w="1176" w:type="dxa"/>
            <w:vMerge/>
            <w:tcBorders>
              <w:left w:val="single" w:sz="4" w:space="0" w:color="000000"/>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right w:val="single" w:sz="12" w:space="0" w:color="000000"/>
            </w:tcBorders>
            <w:shd w:val="clear" w:color="auto" w:fill="D2D2D2"/>
          </w:tcPr>
          <w:p>
            <w:pPr/>
          </w:p>
        </w:tc>
      </w:tr>
      <w:tr>
        <w:trPr>
          <w:trHeight w:val="312" w:hRule="exact"/>
        </w:trPr>
        <w:tc>
          <w:tcPr>
            <w:tcW w:w="1032" w:type="dxa"/>
            <w:vMerge/>
            <w:tcBorders>
              <w:left w:val="single" w:sz="12"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288" w:type="dxa"/>
            <w:vMerge/>
            <w:tcBorders>
              <w:left w:val="single" w:sz="4" w:space="0" w:color="000000"/>
              <w:right w:val="single" w:sz="4" w:space="0" w:color="000000"/>
            </w:tcBorders>
          </w:tcPr>
          <w:p>
            <w:pPr/>
          </w:p>
        </w:tc>
        <w:tc>
          <w:tcPr>
            <w:tcW w:w="122" w:type="dxa"/>
            <w:vMerge/>
            <w:tcBorders>
              <w:left w:val="single" w:sz="4" w:space="0" w:color="000000"/>
              <w:right w:val="nil" w:sz="6" w:space="0" w:color="auto"/>
            </w:tcBorders>
            <w:shd w:val="clear" w:color="auto" w:fill="D2D2D2"/>
          </w:tcPr>
          <w:p>
            <w:pPr/>
          </w:p>
        </w:tc>
        <w:tc>
          <w:tcPr>
            <w:tcW w:w="118" w:type="dxa"/>
            <w:vMerge/>
            <w:tcBorders>
              <w:left w:val="nil" w:sz="6" w:space="0" w:color="auto"/>
              <w:right w:val="single" w:sz="4" w:space="0" w:color="000000"/>
            </w:tcBorders>
            <w:shd w:val="clear" w:color="auto" w:fill="D2D2D2"/>
          </w:tcPr>
          <w:p>
            <w:pPr/>
          </w:p>
        </w:tc>
        <w:tc>
          <w:tcPr>
            <w:tcW w:w="278" w:type="dxa"/>
            <w:vMerge/>
            <w:tcBorders>
              <w:left w:val="single" w:sz="4" w:space="0" w:color="000000"/>
              <w:right w:val="single" w:sz="4" w:space="0" w:color="000000"/>
            </w:tcBorders>
            <w:shd w:val="clear" w:color="auto" w:fill="D2D2D2"/>
          </w:tcPr>
          <w:p>
            <w:pPr/>
          </w:p>
        </w:tc>
        <w:tc>
          <w:tcPr>
            <w:tcW w:w="1056"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22" w:type="dxa"/>
            <w:vMerge/>
            <w:tcBorders>
              <w:left w:val="single" w:sz="4" w:space="0" w:color="000000"/>
              <w:right w:val="nil" w:sz="6" w:space="0" w:color="auto"/>
            </w:tcBorders>
            <w:shd w:val="clear" w:color="auto" w:fill="D2D2D2"/>
          </w:tcPr>
          <w:p>
            <w:pPr/>
          </w:p>
        </w:tc>
        <w:tc>
          <w:tcPr>
            <w:tcW w:w="118" w:type="dxa"/>
            <w:vMerge/>
            <w:tcBorders>
              <w:left w:val="nil" w:sz="6" w:space="0" w:color="auto"/>
              <w:right w:val="single" w:sz="4" w:space="0" w:color="000000"/>
            </w:tcBorders>
            <w:shd w:val="clear" w:color="auto" w:fill="D2D2D2"/>
          </w:tcPr>
          <w:p>
            <w:pPr/>
          </w:p>
        </w:tc>
        <w:tc>
          <w:tcPr>
            <w:tcW w:w="122" w:type="dxa"/>
            <w:vMerge/>
            <w:tcBorders>
              <w:left w:val="single" w:sz="4" w:space="0" w:color="000000"/>
              <w:bottom w:val="nil" w:sz="6" w:space="0" w:color="auto"/>
              <w:right w:val="nil" w:sz="6" w:space="0" w:color="auto"/>
            </w:tcBorders>
            <w:shd w:val="clear" w:color="auto" w:fill="D2D2D2"/>
          </w:tcPr>
          <w:p>
            <w:pPr/>
          </w:p>
        </w:tc>
        <w:tc>
          <w:tcPr>
            <w:tcW w:w="118" w:type="dxa"/>
            <w:vMerge/>
            <w:tcBorders>
              <w:left w:val="nil" w:sz="6" w:space="0" w:color="auto"/>
              <w:bottom w:val="nil" w:sz="6" w:space="0" w:color="auto"/>
              <w:right w:val="single" w:sz="4" w:space="0" w:color="000000"/>
            </w:tcBorders>
            <w:shd w:val="clear" w:color="auto" w:fill="D2D2D2"/>
          </w:tcPr>
          <w:p>
            <w:pPr/>
          </w:p>
        </w:tc>
        <w:tc>
          <w:tcPr>
            <w:tcW w:w="1023" w:type="dxa"/>
            <w:vMerge/>
            <w:tcBorders>
              <w:left w:val="single" w:sz="4" w:space="0" w:color="000000"/>
              <w:right w:val="single" w:sz="4" w:space="0" w:color="000000"/>
            </w:tcBorders>
            <w:shd w:val="clear" w:color="auto" w:fill="D2D2D2"/>
          </w:tcPr>
          <w:p>
            <w:pPr/>
          </w:p>
        </w:tc>
        <w:tc>
          <w:tcPr>
            <w:tcW w:w="418" w:type="dxa"/>
            <w:vMerge/>
            <w:tcBorders>
              <w:left w:val="single" w:sz="4" w:space="0" w:color="000000"/>
              <w:right w:val="single" w:sz="4" w:space="0" w:color="000000"/>
            </w:tcBorders>
            <w:shd w:val="clear" w:color="auto" w:fill="D2D2D2"/>
          </w:tcPr>
          <w:p>
            <w:pPr/>
          </w:p>
        </w:tc>
        <w:tc>
          <w:tcPr>
            <w:tcW w:w="1167" w:type="dxa"/>
            <w:vMerge/>
            <w:tcBorders>
              <w:left w:val="single" w:sz="4" w:space="0" w:color="000000"/>
              <w:right w:val="single" w:sz="4" w:space="0" w:color="000000"/>
            </w:tcBorders>
            <w:shd w:val="clear" w:color="auto" w:fill="D2D2D2"/>
          </w:tcPr>
          <w:p>
            <w:pPr/>
          </w:p>
        </w:tc>
        <w:tc>
          <w:tcPr>
            <w:tcW w:w="240" w:type="dxa"/>
            <w:gridSpan w:val="2"/>
            <w:vMerge w:val="restart"/>
            <w:tcBorders>
              <w:top w:val="nil" w:sz="6" w:space="0" w:color="auto"/>
              <w:left w:val="single" w:sz="4" w:space="0" w:color="000000"/>
              <w:right w:val="single" w:sz="4" w:space="0" w:color="000000"/>
            </w:tcBorders>
            <w:shd w:val="clear" w:color="auto" w:fill="D2D2D2"/>
          </w:tcPr>
          <w:p>
            <w:pPr/>
          </w:p>
        </w:tc>
        <w:tc>
          <w:tcPr>
            <w:tcW w:w="1176" w:type="dxa"/>
            <w:vMerge/>
            <w:tcBorders>
              <w:left w:val="single" w:sz="4" w:space="0" w:color="000000"/>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right w:val="single" w:sz="12" w:space="0" w:color="000000"/>
            </w:tcBorders>
            <w:shd w:val="clear" w:color="auto" w:fill="D2D2D2"/>
          </w:tcPr>
          <w:p>
            <w:pPr/>
          </w:p>
        </w:tc>
      </w:tr>
      <w:tr>
        <w:trPr>
          <w:trHeight w:val="202" w:hRule="exact"/>
        </w:trPr>
        <w:tc>
          <w:tcPr>
            <w:tcW w:w="1032" w:type="dxa"/>
            <w:vMerge/>
            <w:tcBorders>
              <w:left w:val="single" w:sz="12" w:space="0" w:color="000000"/>
              <w:right w:val="single" w:sz="4" w:space="0" w:color="000000"/>
            </w:tcBorders>
            <w:shd w:val="clear" w:color="auto" w:fill="D2D2D2"/>
          </w:tcPr>
          <w:p>
            <w:pPr/>
          </w:p>
        </w:tc>
        <w:tc>
          <w:tcPr>
            <w:tcW w:w="1057" w:type="dxa"/>
            <w:vMerge/>
            <w:tcBorders>
              <w:left w:val="single" w:sz="4" w:space="0" w:color="000000"/>
              <w:right w:val="single" w:sz="4" w:space="0" w:color="000000"/>
            </w:tcBorders>
            <w:shd w:val="clear" w:color="auto" w:fill="D2D2D2"/>
          </w:tcPr>
          <w:p>
            <w:pPr/>
          </w:p>
        </w:tc>
        <w:tc>
          <w:tcPr>
            <w:tcW w:w="288" w:type="dxa"/>
            <w:vMerge/>
            <w:tcBorders>
              <w:left w:val="single" w:sz="4" w:space="0" w:color="000000"/>
              <w:right w:val="single" w:sz="4" w:space="0" w:color="000000"/>
            </w:tcBorders>
          </w:tcPr>
          <w:p>
            <w:pPr/>
          </w:p>
        </w:tc>
        <w:tc>
          <w:tcPr>
            <w:tcW w:w="122" w:type="dxa"/>
            <w:vMerge/>
            <w:tcBorders>
              <w:left w:val="single" w:sz="4" w:space="0" w:color="000000"/>
              <w:bottom w:val="nil" w:sz="6" w:space="0" w:color="auto"/>
              <w:right w:val="nil" w:sz="6" w:space="0" w:color="auto"/>
            </w:tcBorders>
            <w:shd w:val="clear" w:color="auto" w:fill="D2D2D2"/>
          </w:tcPr>
          <w:p>
            <w:pPr/>
          </w:p>
        </w:tc>
        <w:tc>
          <w:tcPr>
            <w:tcW w:w="118" w:type="dxa"/>
            <w:vMerge/>
            <w:tcBorders>
              <w:left w:val="nil" w:sz="6" w:space="0" w:color="auto"/>
              <w:bottom w:val="nil" w:sz="6" w:space="0" w:color="auto"/>
              <w:right w:val="single" w:sz="4" w:space="0" w:color="000000"/>
            </w:tcBorders>
            <w:shd w:val="clear" w:color="auto" w:fill="D2D2D2"/>
          </w:tcPr>
          <w:p>
            <w:pPr/>
          </w:p>
        </w:tc>
        <w:tc>
          <w:tcPr>
            <w:tcW w:w="278" w:type="dxa"/>
            <w:vMerge/>
            <w:tcBorders>
              <w:left w:val="single" w:sz="4" w:space="0" w:color="000000"/>
              <w:right w:val="single" w:sz="4" w:space="0" w:color="000000"/>
            </w:tcBorders>
            <w:shd w:val="clear" w:color="auto" w:fill="D2D2D2"/>
          </w:tcPr>
          <w:p>
            <w:pPr/>
          </w:p>
        </w:tc>
        <w:tc>
          <w:tcPr>
            <w:tcW w:w="1056"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22" w:type="dxa"/>
            <w:vMerge/>
            <w:tcBorders>
              <w:left w:val="single" w:sz="4" w:space="0" w:color="000000"/>
              <w:right w:val="nil" w:sz="6" w:space="0" w:color="auto"/>
            </w:tcBorders>
            <w:shd w:val="clear" w:color="auto" w:fill="D2D2D2"/>
          </w:tcPr>
          <w:p>
            <w:pPr/>
          </w:p>
        </w:tc>
        <w:tc>
          <w:tcPr>
            <w:tcW w:w="118" w:type="dxa"/>
            <w:vMerge/>
            <w:tcBorders>
              <w:left w:val="nil" w:sz="6" w:space="0" w:color="auto"/>
              <w:right w:val="single" w:sz="4" w:space="0" w:color="000000"/>
            </w:tcBorders>
            <w:shd w:val="clear" w:color="auto" w:fill="D2D2D2"/>
          </w:tcPr>
          <w:p>
            <w:pPr/>
          </w:p>
        </w:tc>
        <w:tc>
          <w:tcPr>
            <w:tcW w:w="240" w:type="dxa"/>
            <w:gridSpan w:val="2"/>
            <w:vMerge w:val="restart"/>
            <w:tcBorders>
              <w:top w:val="nil" w:sz="6" w:space="0" w:color="auto"/>
              <w:left w:val="single" w:sz="4" w:space="0" w:color="000000"/>
              <w:right w:val="single" w:sz="4" w:space="0" w:color="000000"/>
            </w:tcBorders>
            <w:shd w:val="clear" w:color="auto" w:fill="D2D2D2"/>
          </w:tcPr>
          <w:p>
            <w:pPr/>
          </w:p>
        </w:tc>
        <w:tc>
          <w:tcPr>
            <w:tcW w:w="1023" w:type="dxa"/>
            <w:vMerge/>
            <w:tcBorders>
              <w:left w:val="single" w:sz="4" w:space="0" w:color="000000"/>
              <w:right w:val="single" w:sz="4" w:space="0" w:color="000000"/>
            </w:tcBorders>
            <w:shd w:val="clear" w:color="auto" w:fill="D2D2D2"/>
          </w:tcPr>
          <w:p>
            <w:pPr/>
          </w:p>
        </w:tc>
        <w:tc>
          <w:tcPr>
            <w:tcW w:w="418" w:type="dxa"/>
            <w:vMerge/>
            <w:tcBorders>
              <w:left w:val="single" w:sz="4" w:space="0" w:color="000000"/>
              <w:right w:val="single" w:sz="4" w:space="0" w:color="000000"/>
            </w:tcBorders>
            <w:shd w:val="clear" w:color="auto" w:fill="D2D2D2"/>
          </w:tcPr>
          <w:p>
            <w:pPr/>
          </w:p>
        </w:tc>
        <w:tc>
          <w:tcPr>
            <w:tcW w:w="1167" w:type="dxa"/>
            <w:vMerge/>
            <w:tcBorders>
              <w:left w:val="single" w:sz="4" w:space="0" w:color="000000"/>
              <w:right w:val="single" w:sz="4" w:space="0" w:color="000000"/>
            </w:tcBorders>
            <w:shd w:val="clear" w:color="auto" w:fill="D2D2D2"/>
          </w:tcPr>
          <w:p>
            <w:pPr/>
          </w:p>
        </w:tc>
        <w:tc>
          <w:tcPr>
            <w:tcW w:w="240" w:type="dxa"/>
            <w:gridSpan w:val="2"/>
            <w:vMerge/>
            <w:tcBorders>
              <w:left w:val="single" w:sz="4" w:space="0" w:color="000000"/>
              <w:right w:val="single" w:sz="4" w:space="0" w:color="000000"/>
            </w:tcBorders>
            <w:shd w:val="clear" w:color="auto" w:fill="D2D2D2"/>
          </w:tcPr>
          <w:p>
            <w:pPr/>
          </w:p>
        </w:tc>
        <w:tc>
          <w:tcPr>
            <w:tcW w:w="1176" w:type="dxa"/>
            <w:vMerge/>
            <w:tcBorders>
              <w:left w:val="single" w:sz="4" w:space="0" w:color="000000"/>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right w:val="single" w:sz="12" w:space="0" w:color="000000"/>
            </w:tcBorders>
            <w:shd w:val="clear" w:color="auto" w:fill="D2D2D2"/>
          </w:tcPr>
          <w:p>
            <w:pPr/>
          </w:p>
        </w:tc>
      </w:tr>
      <w:tr>
        <w:trPr>
          <w:trHeight w:val="115" w:hRule="exact"/>
        </w:trPr>
        <w:tc>
          <w:tcPr>
            <w:tcW w:w="1032" w:type="dxa"/>
            <w:vMerge/>
            <w:tcBorders>
              <w:left w:val="single" w:sz="12"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288" w:type="dxa"/>
            <w:vMerge/>
            <w:tcBorders>
              <w:left w:val="single" w:sz="4" w:space="0" w:color="000000"/>
              <w:bottom w:val="single" w:sz="4" w:space="0" w:color="000000"/>
              <w:right w:val="single" w:sz="4" w:space="0" w:color="000000"/>
            </w:tcBorders>
          </w:tcPr>
          <w:p>
            <w:pPr/>
          </w:p>
        </w:tc>
        <w:tc>
          <w:tcPr>
            <w:tcW w:w="24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78" w:type="dxa"/>
            <w:vMerge/>
            <w:tcBorders>
              <w:left w:val="single" w:sz="4" w:space="0" w:color="000000"/>
              <w:bottom w:val="single" w:sz="4" w:space="0" w:color="000000"/>
              <w:right w:val="single" w:sz="4" w:space="0" w:color="000000"/>
            </w:tcBorders>
            <w:shd w:val="clear" w:color="auto" w:fill="D2D2D2"/>
          </w:tcPr>
          <w:p>
            <w:pPr/>
          </w:p>
        </w:tc>
        <w:tc>
          <w:tcPr>
            <w:tcW w:w="1056"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22" w:type="dxa"/>
            <w:vMerge/>
            <w:tcBorders>
              <w:left w:val="single" w:sz="4" w:space="0" w:color="000000"/>
              <w:bottom w:val="single" w:sz="4" w:space="0" w:color="000000"/>
              <w:right w:val="nil" w:sz="6" w:space="0" w:color="auto"/>
            </w:tcBorders>
            <w:shd w:val="clear" w:color="auto" w:fill="D2D2D2"/>
          </w:tcPr>
          <w:p>
            <w:pPr/>
          </w:p>
        </w:tc>
        <w:tc>
          <w:tcPr>
            <w:tcW w:w="118" w:type="dxa"/>
            <w:vMerge/>
            <w:tcBorders>
              <w:left w:val="nil" w:sz="6" w:space="0" w:color="auto"/>
              <w:bottom w:val="single" w:sz="4" w:space="0" w:color="000000"/>
              <w:right w:val="single" w:sz="4" w:space="0" w:color="000000"/>
            </w:tcBorders>
            <w:shd w:val="clear" w:color="auto" w:fill="D2D2D2"/>
          </w:tcPr>
          <w:p>
            <w:pPr/>
          </w:p>
        </w:tc>
        <w:tc>
          <w:tcPr>
            <w:tcW w:w="240" w:type="dxa"/>
            <w:gridSpan w:val="2"/>
            <w:vMerge/>
            <w:tcBorders>
              <w:left w:val="single" w:sz="4" w:space="0" w:color="000000"/>
              <w:bottom w:val="single" w:sz="4" w:space="0" w:color="000000"/>
              <w:right w:val="single" w:sz="4" w:space="0" w:color="000000"/>
            </w:tcBorders>
            <w:shd w:val="clear" w:color="auto" w:fill="D2D2D2"/>
          </w:tcPr>
          <w:p>
            <w:pPr/>
          </w:p>
        </w:tc>
        <w:tc>
          <w:tcPr>
            <w:tcW w:w="1023" w:type="dxa"/>
            <w:vMerge/>
            <w:tcBorders>
              <w:left w:val="single" w:sz="4" w:space="0" w:color="000000"/>
              <w:bottom w:val="single" w:sz="4" w:space="0" w:color="000000"/>
              <w:right w:val="single" w:sz="4" w:space="0" w:color="000000"/>
            </w:tcBorders>
            <w:shd w:val="clear" w:color="auto" w:fill="D2D2D2"/>
          </w:tcPr>
          <w:p>
            <w:pPr/>
          </w:p>
        </w:tc>
        <w:tc>
          <w:tcPr>
            <w:tcW w:w="41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240" w:type="dxa"/>
            <w:gridSpan w:val="2"/>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12" w:space="0" w:color="000000"/>
            </w:tcBorders>
            <w:shd w:val="clear" w:color="auto" w:fill="D2D2D2"/>
          </w:tcPr>
          <w:p>
            <w:pPr/>
          </w:p>
        </w:tc>
      </w:tr>
      <w:tr>
        <w:trPr>
          <w:trHeight w:val="711" w:hRule="exact"/>
        </w:trPr>
        <w:tc>
          <w:tcPr>
            <w:tcW w:w="103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5" w:right="100"/>
              <w:jc w:val="left"/>
              <w:rPr>
                <w:rFonts w:ascii="宋体" w:hAnsi="宋体" w:cs="宋体" w:eastAsia="宋体" w:hint="default"/>
                <w:sz w:val="15"/>
                <w:szCs w:val="15"/>
              </w:rPr>
            </w:pPr>
            <w:r>
              <w:rPr>
                <w:rFonts w:ascii="宋体" w:hAnsi="宋体" w:cs="宋体" w:eastAsia="宋体" w:hint="default"/>
                <w:spacing w:val="-5"/>
                <w:w w:val="80"/>
                <w:sz w:val="15"/>
                <w:szCs w:val="15"/>
              </w:rPr>
              <w:t>一、上年期末余</w:t>
            </w:r>
            <w:r>
              <w:rPr>
                <w:rFonts w:ascii="宋体" w:hAnsi="宋体" w:cs="宋体" w:eastAsia="宋体" w:hint="default"/>
                <w:spacing w:val="-55"/>
                <w:w w:val="80"/>
                <w:sz w:val="15"/>
                <w:szCs w:val="15"/>
              </w:rPr>
              <w:t> </w:t>
            </w:r>
            <w:r>
              <w:rPr>
                <w:rFonts w:ascii="宋体" w:hAnsi="宋体" w:cs="宋体" w:eastAsia="宋体" w:hint="default"/>
                <w:spacing w:val="-55"/>
                <w:w w:val="80"/>
                <w:sz w:val="15"/>
                <w:szCs w:val="15"/>
              </w:rPr>
            </w:r>
            <w:r>
              <w:rPr>
                <w:rFonts w:ascii="宋体" w:hAnsi="宋体" w:cs="宋体" w:eastAsia="宋体" w:hint="default"/>
                <w:w w:val="90"/>
                <w:sz w:val="15"/>
                <w:szCs w:val="15"/>
              </w:rPr>
              <w:t>额</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15"/>
                <w:szCs w:val="15"/>
              </w:rPr>
            </w:pPr>
            <w:r>
              <w:rPr>
                <w:rFonts w:ascii="宋体"/>
                <w:w w:val="85"/>
                <w:sz w:val="15"/>
              </w:rPr>
              <w:t>414,849,620.00</w:t>
            </w:r>
            <w:r>
              <w:rPr>
                <w:rFonts w:ascii="宋体"/>
                <w:sz w:val="15"/>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5"/>
                <w:szCs w:val="15"/>
              </w:rPr>
            </w:pPr>
            <w:r>
              <w:rPr>
                <w:rFonts w:ascii="宋体"/>
                <w:spacing w:val="-1"/>
                <w:w w:val="75"/>
                <w:sz w:val="15"/>
              </w:rPr>
              <w:t>769,199,153.53</w:t>
            </w:r>
            <w:r>
              <w:rPr>
                <w:rFonts w:ascii="宋体"/>
                <w:spacing w:val="-1"/>
                <w:sz w:val="15"/>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5"/>
                <w:szCs w:val="15"/>
              </w:rPr>
            </w:pPr>
            <w:r>
              <w:rPr>
                <w:rFonts w:ascii="宋体"/>
                <w:spacing w:val="-1"/>
                <w:w w:val="80"/>
                <w:sz w:val="15"/>
              </w:rPr>
              <w:t>54,115,440.00</w:t>
            </w:r>
            <w:r>
              <w:rPr>
                <w:rFonts w:ascii="宋体"/>
                <w:spacing w:val="-1"/>
                <w:sz w:val="15"/>
              </w:rPr>
            </w: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0" w:right="0"/>
              <w:jc w:val="center"/>
              <w:rPr>
                <w:rFonts w:ascii="宋体" w:hAnsi="宋体" w:cs="宋体" w:eastAsia="宋体" w:hint="default"/>
                <w:sz w:val="15"/>
                <w:szCs w:val="15"/>
              </w:rPr>
            </w:pPr>
            <w:r>
              <w:rPr>
                <w:rFonts w:ascii="宋体"/>
                <w:w w:val="85"/>
                <w:sz w:val="15"/>
              </w:rPr>
              <w:t>21,281,039.35</w:t>
            </w:r>
            <w:r>
              <w:rPr>
                <w:rFonts w:ascii="宋体"/>
                <w:sz w:val="15"/>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3" w:right="0"/>
              <w:jc w:val="center"/>
              <w:rPr>
                <w:rFonts w:ascii="宋体" w:hAnsi="宋体" w:cs="宋体" w:eastAsia="宋体" w:hint="default"/>
                <w:sz w:val="15"/>
                <w:szCs w:val="15"/>
              </w:rPr>
            </w:pPr>
            <w:r>
              <w:rPr>
                <w:rFonts w:ascii="宋体"/>
                <w:w w:val="85"/>
                <w:sz w:val="15"/>
              </w:rPr>
              <w:t>-116,859,807.86</w:t>
            </w:r>
            <w:r>
              <w:rPr>
                <w:rFonts w:ascii="宋体"/>
                <w:sz w:val="15"/>
              </w:rPr>
            </w: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15"/>
                <w:szCs w:val="15"/>
              </w:rPr>
            </w:pPr>
            <w:r>
              <w:rPr>
                <w:rFonts w:ascii="宋体"/>
                <w:spacing w:val="-1"/>
                <w:w w:val="75"/>
                <w:sz w:val="15"/>
              </w:rPr>
              <w:t>1,034,354,565.02</w:t>
            </w:r>
            <w:r>
              <w:rPr>
                <w:rFonts w:ascii="宋体"/>
                <w:spacing w:val="-1"/>
                <w:sz w:val="15"/>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8" w:right="0"/>
              <w:jc w:val="center"/>
              <w:rPr>
                <w:rFonts w:ascii="宋体" w:hAnsi="宋体" w:cs="宋体" w:eastAsia="宋体" w:hint="default"/>
                <w:sz w:val="15"/>
                <w:szCs w:val="15"/>
              </w:rPr>
            </w:pPr>
            <w:r>
              <w:rPr>
                <w:rFonts w:ascii="宋体"/>
                <w:w w:val="85"/>
                <w:sz w:val="15"/>
              </w:rPr>
              <w:t>5,701,653.19</w:t>
            </w:r>
            <w:r>
              <w:rPr>
                <w:rFonts w:ascii="宋体"/>
                <w:sz w:val="15"/>
              </w:rPr>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2"/>
              <w:jc w:val="right"/>
              <w:rPr>
                <w:rFonts w:ascii="宋体" w:hAnsi="宋体" w:cs="宋体" w:eastAsia="宋体" w:hint="default"/>
                <w:sz w:val="15"/>
                <w:szCs w:val="15"/>
              </w:rPr>
            </w:pPr>
            <w:r>
              <w:rPr>
                <w:rFonts w:ascii="宋体"/>
                <w:spacing w:val="-1"/>
                <w:w w:val="75"/>
                <w:sz w:val="15"/>
              </w:rPr>
              <w:t>1,040,056,218.21</w:t>
            </w:r>
            <w:r>
              <w:rPr>
                <w:rFonts w:ascii="宋体"/>
                <w:spacing w:val="-1"/>
                <w:sz w:val="15"/>
              </w:rPr>
            </w:r>
          </w:p>
        </w:tc>
      </w:tr>
      <w:tr>
        <w:trPr>
          <w:trHeight w:val="715" w:hRule="exact"/>
        </w:trPr>
        <w:tc>
          <w:tcPr>
            <w:tcW w:w="103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84"/>
              <w:ind w:left="95" w:right="100" w:firstLine="240"/>
              <w:jc w:val="left"/>
              <w:rPr>
                <w:rFonts w:ascii="宋体" w:hAnsi="宋体" w:cs="宋体" w:eastAsia="宋体" w:hint="default"/>
                <w:sz w:val="15"/>
                <w:szCs w:val="15"/>
              </w:rPr>
            </w:pPr>
            <w:r>
              <w:rPr>
                <w:rFonts w:ascii="宋体" w:hAnsi="宋体" w:cs="宋体" w:eastAsia="宋体" w:hint="default"/>
                <w:spacing w:val="-6"/>
                <w:w w:val="80"/>
                <w:sz w:val="15"/>
                <w:szCs w:val="15"/>
              </w:rPr>
              <w:t>加：会计政</w:t>
            </w:r>
            <w:r>
              <w:rPr>
                <w:rFonts w:ascii="宋体" w:hAnsi="宋体" w:cs="宋体" w:eastAsia="宋体" w:hint="default"/>
                <w:w w:val="79"/>
                <w:sz w:val="15"/>
                <w:szCs w:val="15"/>
              </w:rPr>
              <w:t> </w:t>
            </w:r>
            <w:r>
              <w:rPr>
                <w:rFonts w:ascii="宋体" w:hAnsi="宋体" w:cs="宋体" w:eastAsia="宋体" w:hint="default"/>
                <w:w w:val="90"/>
                <w:sz w:val="15"/>
                <w:szCs w:val="15"/>
              </w:rPr>
              <w:t>策变更</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03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8" w:lineRule="auto" w:before="79"/>
              <w:ind w:left="95" w:right="199" w:firstLine="475"/>
              <w:jc w:val="left"/>
              <w:rPr>
                <w:rFonts w:ascii="宋体" w:hAnsi="宋体" w:cs="宋体" w:eastAsia="宋体" w:hint="default"/>
                <w:sz w:val="15"/>
                <w:szCs w:val="15"/>
              </w:rPr>
            </w:pPr>
            <w:r>
              <w:rPr>
                <w:rFonts w:ascii="宋体" w:hAnsi="宋体" w:cs="宋体" w:eastAsia="宋体" w:hint="default"/>
                <w:w w:val="85"/>
                <w:sz w:val="15"/>
                <w:szCs w:val="15"/>
              </w:rPr>
              <w:t>前期</w:t>
            </w:r>
            <w:r>
              <w:rPr>
                <w:rFonts w:ascii="宋体" w:hAnsi="宋体" w:cs="宋体" w:eastAsia="宋体" w:hint="default"/>
                <w:w w:val="79"/>
                <w:sz w:val="15"/>
                <w:szCs w:val="15"/>
              </w:rPr>
              <w:t> </w:t>
            </w:r>
            <w:r>
              <w:rPr>
                <w:rFonts w:ascii="宋体" w:hAnsi="宋体" w:cs="宋体" w:eastAsia="宋体" w:hint="default"/>
                <w:w w:val="90"/>
                <w:sz w:val="15"/>
                <w:szCs w:val="15"/>
              </w:rPr>
              <w:t>差错更正</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03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5" w:right="199" w:firstLine="475"/>
              <w:jc w:val="both"/>
              <w:rPr>
                <w:rFonts w:ascii="宋体" w:hAnsi="宋体" w:cs="宋体" w:eastAsia="宋体" w:hint="default"/>
                <w:sz w:val="15"/>
                <w:szCs w:val="15"/>
              </w:rPr>
            </w:pPr>
            <w:r>
              <w:rPr>
                <w:rFonts w:ascii="宋体" w:hAnsi="宋体" w:cs="宋体" w:eastAsia="宋体" w:hint="default"/>
                <w:w w:val="85"/>
                <w:sz w:val="15"/>
                <w:szCs w:val="15"/>
              </w:rPr>
              <w:t>同一</w:t>
            </w:r>
            <w:r>
              <w:rPr>
                <w:rFonts w:ascii="宋体" w:hAnsi="宋体" w:cs="宋体" w:eastAsia="宋体" w:hint="default"/>
                <w:w w:val="79"/>
                <w:sz w:val="15"/>
                <w:szCs w:val="15"/>
              </w:rPr>
              <w:t> </w:t>
            </w:r>
            <w:r>
              <w:rPr>
                <w:rFonts w:ascii="宋体" w:hAnsi="宋体" w:cs="宋体" w:eastAsia="宋体" w:hint="default"/>
                <w:w w:val="80"/>
                <w:sz w:val="15"/>
                <w:szCs w:val="15"/>
              </w:rPr>
              <w:t>控制下企业合</w:t>
            </w:r>
            <w:r>
              <w:rPr>
                <w:rFonts w:ascii="宋体" w:hAnsi="宋体" w:cs="宋体" w:eastAsia="宋体" w:hint="default"/>
                <w:w w:val="79"/>
                <w:sz w:val="15"/>
                <w:szCs w:val="15"/>
              </w:rPr>
              <w:t> </w:t>
            </w:r>
            <w:r>
              <w:rPr>
                <w:rFonts w:ascii="宋体" w:hAnsi="宋体" w:cs="宋体" w:eastAsia="宋体" w:hint="default"/>
                <w:w w:val="90"/>
                <w:sz w:val="15"/>
                <w:szCs w:val="15"/>
              </w:rPr>
              <w:t>并</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03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571" w:right="0"/>
              <w:jc w:val="left"/>
              <w:rPr>
                <w:rFonts w:ascii="宋体" w:hAnsi="宋体" w:cs="宋体" w:eastAsia="宋体" w:hint="default"/>
                <w:sz w:val="15"/>
                <w:szCs w:val="15"/>
              </w:rPr>
            </w:pPr>
            <w:r>
              <w:rPr>
                <w:rFonts w:ascii="宋体" w:hAnsi="宋体" w:cs="宋体" w:eastAsia="宋体" w:hint="default"/>
                <w:w w:val="90"/>
                <w:sz w:val="15"/>
                <w:szCs w:val="15"/>
              </w:rPr>
              <w:t>其他</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03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6" w:lineRule="auto" w:before="80"/>
              <w:ind w:left="95" w:right="100"/>
              <w:jc w:val="left"/>
              <w:rPr>
                <w:rFonts w:ascii="宋体" w:hAnsi="宋体" w:cs="宋体" w:eastAsia="宋体" w:hint="default"/>
                <w:sz w:val="15"/>
                <w:szCs w:val="15"/>
              </w:rPr>
            </w:pPr>
            <w:r>
              <w:rPr>
                <w:rFonts w:ascii="宋体" w:hAnsi="宋体" w:cs="宋体" w:eastAsia="宋体" w:hint="default"/>
                <w:spacing w:val="-5"/>
                <w:w w:val="80"/>
                <w:sz w:val="15"/>
                <w:szCs w:val="15"/>
              </w:rPr>
              <w:t>二、本年期初余</w:t>
            </w:r>
            <w:r>
              <w:rPr>
                <w:rFonts w:ascii="宋体" w:hAnsi="宋体" w:cs="宋体" w:eastAsia="宋体" w:hint="default"/>
                <w:spacing w:val="-55"/>
                <w:w w:val="80"/>
                <w:sz w:val="15"/>
                <w:szCs w:val="15"/>
              </w:rPr>
              <w:t> </w:t>
            </w:r>
            <w:r>
              <w:rPr>
                <w:rFonts w:ascii="宋体" w:hAnsi="宋体" w:cs="宋体" w:eastAsia="宋体" w:hint="default"/>
                <w:spacing w:val="-55"/>
                <w:w w:val="80"/>
                <w:sz w:val="15"/>
                <w:szCs w:val="15"/>
              </w:rPr>
            </w:r>
            <w:r>
              <w:rPr>
                <w:rFonts w:ascii="宋体" w:hAnsi="宋体" w:cs="宋体" w:eastAsia="宋体" w:hint="default"/>
                <w:w w:val="90"/>
                <w:sz w:val="15"/>
                <w:szCs w:val="15"/>
              </w:rPr>
              <w:t>额</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5"/>
                <w:szCs w:val="15"/>
              </w:rPr>
            </w:pPr>
            <w:r>
              <w:rPr>
                <w:rFonts w:ascii="宋体"/>
                <w:w w:val="85"/>
                <w:sz w:val="15"/>
              </w:rPr>
              <w:t>414,849,620.00</w:t>
            </w:r>
            <w:r>
              <w:rPr>
                <w:rFonts w:ascii="宋体"/>
                <w:sz w:val="15"/>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5"/>
                <w:szCs w:val="15"/>
              </w:rPr>
            </w:pPr>
            <w:r>
              <w:rPr>
                <w:rFonts w:ascii="宋体"/>
                <w:spacing w:val="-1"/>
                <w:w w:val="75"/>
                <w:sz w:val="15"/>
              </w:rPr>
              <w:t>769,199,153.53</w:t>
            </w:r>
            <w:r>
              <w:rPr>
                <w:rFonts w:ascii="宋体"/>
                <w:spacing w:val="-1"/>
                <w:sz w:val="15"/>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5"/>
                <w:szCs w:val="15"/>
              </w:rPr>
            </w:pPr>
            <w:r>
              <w:rPr>
                <w:rFonts w:ascii="宋体"/>
                <w:spacing w:val="-1"/>
                <w:w w:val="80"/>
                <w:sz w:val="15"/>
              </w:rPr>
              <w:t>54,115,440.00</w:t>
            </w:r>
            <w:r>
              <w:rPr>
                <w:rFonts w:ascii="宋体"/>
                <w:spacing w:val="-1"/>
                <w:sz w:val="15"/>
              </w:rPr>
            </w: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0" w:right="0"/>
              <w:jc w:val="center"/>
              <w:rPr>
                <w:rFonts w:ascii="宋体" w:hAnsi="宋体" w:cs="宋体" w:eastAsia="宋体" w:hint="default"/>
                <w:sz w:val="15"/>
                <w:szCs w:val="15"/>
              </w:rPr>
            </w:pPr>
            <w:r>
              <w:rPr>
                <w:rFonts w:ascii="宋体"/>
                <w:w w:val="85"/>
                <w:sz w:val="15"/>
              </w:rPr>
              <w:t>21,281,039.35</w:t>
            </w:r>
            <w:r>
              <w:rPr>
                <w:rFonts w:ascii="宋体"/>
                <w:sz w:val="15"/>
              </w:rPr>
            </w: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center"/>
              <w:rPr>
                <w:rFonts w:ascii="宋体" w:hAnsi="宋体" w:cs="宋体" w:eastAsia="宋体" w:hint="default"/>
                <w:sz w:val="15"/>
                <w:szCs w:val="15"/>
              </w:rPr>
            </w:pPr>
            <w:r>
              <w:rPr>
                <w:rFonts w:ascii="宋体"/>
                <w:w w:val="85"/>
                <w:sz w:val="15"/>
              </w:rPr>
              <w:t>-116,859,807.86</w:t>
            </w:r>
            <w:r>
              <w:rPr>
                <w:rFonts w:ascii="宋体"/>
                <w:sz w:val="15"/>
              </w:rPr>
            </w: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5"/>
                <w:szCs w:val="15"/>
              </w:rPr>
            </w:pPr>
            <w:r>
              <w:rPr>
                <w:rFonts w:ascii="宋体"/>
                <w:spacing w:val="-1"/>
                <w:w w:val="75"/>
                <w:sz w:val="15"/>
              </w:rPr>
              <w:t>1,034,354,565.02</w:t>
            </w:r>
            <w:r>
              <w:rPr>
                <w:rFonts w:ascii="宋体"/>
                <w:spacing w:val="-1"/>
                <w:sz w:val="15"/>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8" w:right="0"/>
              <w:jc w:val="center"/>
              <w:rPr>
                <w:rFonts w:ascii="宋体" w:hAnsi="宋体" w:cs="宋体" w:eastAsia="宋体" w:hint="default"/>
                <w:sz w:val="15"/>
                <w:szCs w:val="15"/>
              </w:rPr>
            </w:pPr>
            <w:r>
              <w:rPr>
                <w:rFonts w:ascii="宋体"/>
                <w:w w:val="85"/>
                <w:sz w:val="15"/>
              </w:rPr>
              <w:t>5,701,653.19</w:t>
            </w:r>
            <w:r>
              <w:rPr>
                <w:rFonts w:ascii="宋体"/>
                <w:sz w:val="15"/>
              </w:rPr>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2"/>
              <w:jc w:val="right"/>
              <w:rPr>
                <w:rFonts w:ascii="宋体" w:hAnsi="宋体" w:cs="宋体" w:eastAsia="宋体" w:hint="default"/>
                <w:sz w:val="15"/>
                <w:szCs w:val="15"/>
              </w:rPr>
            </w:pPr>
            <w:r>
              <w:rPr>
                <w:rFonts w:ascii="宋体"/>
                <w:spacing w:val="-1"/>
                <w:w w:val="75"/>
                <w:sz w:val="15"/>
              </w:rPr>
              <w:t>1,040,056,218.21</w:t>
            </w:r>
            <w:r>
              <w:rPr>
                <w:rFonts w:ascii="宋体"/>
                <w:spacing w:val="-1"/>
                <w:sz w:val="15"/>
              </w:rPr>
            </w:r>
          </w:p>
        </w:tc>
      </w:tr>
      <w:tr>
        <w:trPr>
          <w:trHeight w:val="403" w:hRule="exact"/>
        </w:trPr>
        <w:tc>
          <w:tcPr>
            <w:tcW w:w="103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98"/>
              <w:ind w:left="95" w:right="0"/>
              <w:jc w:val="left"/>
              <w:rPr>
                <w:rFonts w:ascii="宋体" w:hAnsi="宋体" w:cs="宋体" w:eastAsia="宋体" w:hint="default"/>
                <w:sz w:val="15"/>
                <w:szCs w:val="15"/>
              </w:rPr>
            </w:pPr>
            <w:r>
              <w:rPr>
                <w:rFonts w:ascii="宋体" w:hAnsi="宋体" w:cs="宋体" w:eastAsia="宋体" w:hint="default"/>
                <w:spacing w:val="-5"/>
                <w:w w:val="85"/>
                <w:sz w:val="15"/>
                <w:szCs w:val="15"/>
              </w:rPr>
              <w:t>三、本期增减变</w:t>
            </w:r>
            <w:r>
              <w:rPr>
                <w:rFonts w:ascii="宋体" w:hAnsi="宋体" w:cs="宋体" w:eastAsia="宋体" w:hint="default"/>
                <w:spacing w:val="-5"/>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3" w:right="0"/>
              <w:jc w:val="center"/>
              <w:rPr>
                <w:rFonts w:ascii="宋体" w:hAnsi="宋体" w:cs="宋体" w:eastAsia="宋体" w:hint="default"/>
                <w:sz w:val="15"/>
                <w:szCs w:val="15"/>
              </w:rPr>
            </w:pPr>
            <w:r>
              <w:rPr>
                <w:rFonts w:ascii="宋体"/>
                <w:w w:val="85"/>
                <w:sz w:val="15"/>
              </w:rPr>
              <w:t>-3,731,250.00</w:t>
            </w:r>
            <w:r>
              <w:rPr>
                <w:rFonts w:ascii="宋体"/>
                <w:sz w:val="15"/>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7"/>
              <w:jc w:val="right"/>
              <w:rPr>
                <w:rFonts w:ascii="宋体" w:hAnsi="宋体" w:cs="宋体" w:eastAsia="宋体" w:hint="default"/>
                <w:sz w:val="15"/>
                <w:szCs w:val="15"/>
              </w:rPr>
            </w:pPr>
            <w:r>
              <w:rPr>
                <w:rFonts w:ascii="宋体"/>
                <w:spacing w:val="-1"/>
                <w:w w:val="75"/>
                <w:sz w:val="15"/>
              </w:rPr>
              <w:t>-29,913,363.83</w:t>
            </w:r>
            <w:r>
              <w:rPr>
                <w:rFonts w:ascii="宋体"/>
                <w:spacing w:val="-1"/>
                <w:sz w:val="15"/>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spacing w:val="-1"/>
                <w:w w:val="75"/>
                <w:sz w:val="15"/>
              </w:rPr>
              <w:t>-29,073,900.00</w:t>
            </w:r>
            <w:r>
              <w:rPr>
                <w:rFonts w:ascii="宋体"/>
                <w:spacing w:val="-1"/>
                <w:sz w:val="15"/>
              </w:rPr>
            </w: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63" w:right="0"/>
              <w:jc w:val="center"/>
              <w:rPr>
                <w:rFonts w:ascii="宋体" w:hAnsi="宋体" w:cs="宋体" w:eastAsia="宋体" w:hint="default"/>
                <w:sz w:val="15"/>
                <w:szCs w:val="15"/>
              </w:rPr>
            </w:pPr>
            <w:r>
              <w:rPr>
                <w:rFonts w:ascii="宋体"/>
                <w:w w:val="85"/>
                <w:sz w:val="15"/>
              </w:rPr>
              <w:t>23,403,488.93</w:t>
            </w:r>
            <w:r>
              <w:rPr>
                <w:rFonts w:ascii="宋体"/>
                <w:sz w:val="15"/>
              </w:rPr>
            </w: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7"/>
              <w:jc w:val="right"/>
              <w:rPr>
                <w:rFonts w:ascii="宋体" w:hAnsi="宋体" w:cs="宋体" w:eastAsia="宋体" w:hint="default"/>
                <w:sz w:val="15"/>
                <w:szCs w:val="15"/>
              </w:rPr>
            </w:pPr>
            <w:r>
              <w:rPr>
                <w:rFonts w:ascii="宋体"/>
                <w:spacing w:val="-1"/>
                <w:w w:val="80"/>
                <w:sz w:val="15"/>
              </w:rPr>
              <w:t>18,832,775.10</w:t>
            </w:r>
            <w:r>
              <w:rPr>
                <w:rFonts w:ascii="宋体"/>
                <w:spacing w:val="-1"/>
                <w:sz w:val="15"/>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 w:right="0"/>
              <w:jc w:val="center"/>
              <w:rPr>
                <w:rFonts w:ascii="宋体" w:hAnsi="宋体" w:cs="宋体" w:eastAsia="宋体" w:hint="default"/>
                <w:sz w:val="15"/>
                <w:szCs w:val="15"/>
              </w:rPr>
            </w:pPr>
            <w:r>
              <w:rPr>
                <w:rFonts w:ascii="宋体"/>
                <w:w w:val="85"/>
                <w:sz w:val="15"/>
              </w:rPr>
              <w:t>-1,959,936.54</w:t>
            </w:r>
            <w:r>
              <w:rPr>
                <w:rFonts w:ascii="宋体"/>
                <w:sz w:val="15"/>
              </w:rPr>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9"/>
              <w:ind w:right="92"/>
              <w:jc w:val="right"/>
              <w:rPr>
                <w:rFonts w:ascii="宋体" w:hAnsi="宋体" w:cs="宋体" w:eastAsia="宋体" w:hint="default"/>
                <w:sz w:val="15"/>
                <w:szCs w:val="15"/>
              </w:rPr>
            </w:pPr>
            <w:r>
              <w:rPr>
                <w:rFonts w:ascii="宋体"/>
                <w:spacing w:val="-1"/>
                <w:w w:val="80"/>
                <w:sz w:val="15"/>
              </w:rPr>
              <w:t>16,872,838.56</w:t>
            </w:r>
            <w:r>
              <w:rPr>
                <w:rFonts w:ascii="宋体"/>
                <w:spacing w:val="-1"/>
                <w:sz w:val="15"/>
              </w:rPr>
            </w:r>
          </w:p>
        </w:tc>
      </w:tr>
    </w:tbl>
    <w:p>
      <w:pPr>
        <w:spacing w:after="0" w:line="240" w:lineRule="auto"/>
        <w:jc w:val="right"/>
        <w:rPr>
          <w:rFonts w:ascii="宋体" w:hAnsi="宋体" w:cs="宋体" w:eastAsia="宋体" w:hint="default"/>
          <w:sz w:val="15"/>
          <w:szCs w:val="15"/>
        </w:rPr>
        <w:sectPr>
          <w:pgSz w:w="11910" w:h="16840"/>
          <w:pgMar w:header="871" w:footer="1037" w:top="1100" w:bottom="1220" w:left="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64" w:type="dxa"/>
        <w:tblLayout w:type="fixed"/>
        <w:tblCellMar>
          <w:top w:w="0" w:type="dxa"/>
          <w:left w:w="0" w:type="dxa"/>
          <w:bottom w:w="0" w:type="dxa"/>
          <w:right w:w="0" w:type="dxa"/>
        </w:tblCellMar>
        <w:tblLook w:val="01E0"/>
      </w:tblPr>
      <w:tblGrid>
        <w:gridCol w:w="1030"/>
        <w:gridCol w:w="1057"/>
        <w:gridCol w:w="288"/>
        <w:gridCol w:w="240"/>
        <w:gridCol w:w="278"/>
        <w:gridCol w:w="1056"/>
        <w:gridCol w:w="1090"/>
        <w:gridCol w:w="240"/>
        <w:gridCol w:w="240"/>
        <w:gridCol w:w="1023"/>
        <w:gridCol w:w="418"/>
        <w:gridCol w:w="1167"/>
        <w:gridCol w:w="240"/>
        <w:gridCol w:w="1176"/>
        <w:gridCol w:w="1008"/>
        <w:gridCol w:w="1186"/>
      </w:tblGrid>
      <w:tr>
        <w:trPr>
          <w:trHeight w:val="672"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6" w:lineRule="auto" w:before="36"/>
              <w:ind w:left="93" w:right="81"/>
              <w:jc w:val="left"/>
              <w:rPr>
                <w:rFonts w:ascii="宋体" w:hAnsi="宋体" w:cs="宋体" w:eastAsia="宋体" w:hint="default"/>
                <w:sz w:val="15"/>
                <w:szCs w:val="15"/>
              </w:rPr>
            </w:pPr>
            <w:r>
              <w:rPr>
                <w:rFonts w:ascii="宋体" w:hAnsi="宋体" w:cs="宋体" w:eastAsia="宋体" w:hint="default"/>
                <w:spacing w:val="-5"/>
                <w:w w:val="80"/>
                <w:sz w:val="15"/>
                <w:szCs w:val="15"/>
              </w:rPr>
              <w:t>动金额（减少以</w:t>
            </w:r>
            <w:r>
              <w:rPr>
                <w:rFonts w:ascii="宋体" w:hAnsi="宋体" w:cs="宋体" w:eastAsia="宋体" w:hint="default"/>
                <w:spacing w:val="-56"/>
                <w:w w:val="80"/>
                <w:sz w:val="15"/>
                <w:szCs w:val="15"/>
              </w:rPr>
              <w:t> </w:t>
            </w:r>
            <w:r>
              <w:rPr>
                <w:rFonts w:ascii="宋体" w:hAnsi="宋体" w:cs="宋体" w:eastAsia="宋体" w:hint="default"/>
                <w:spacing w:val="-56"/>
                <w:w w:val="80"/>
                <w:sz w:val="15"/>
                <w:szCs w:val="15"/>
              </w:rPr>
            </w:r>
            <w:r>
              <w:rPr>
                <w:rFonts w:ascii="宋体" w:hAnsi="宋体" w:cs="宋体" w:eastAsia="宋体" w:hint="default"/>
                <w:w w:val="80"/>
                <w:sz w:val="15"/>
                <w:szCs w:val="15"/>
              </w:rPr>
              <w:t>“－”号填列）</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8" w:lineRule="auto" w:before="79"/>
              <w:ind w:left="93" w:right="100"/>
              <w:jc w:val="left"/>
              <w:rPr>
                <w:rFonts w:ascii="宋体" w:hAnsi="宋体" w:cs="宋体" w:eastAsia="宋体" w:hint="default"/>
                <w:sz w:val="15"/>
                <w:szCs w:val="15"/>
              </w:rPr>
            </w:pPr>
            <w:r>
              <w:rPr>
                <w:rFonts w:ascii="宋体" w:hAnsi="宋体" w:cs="宋体" w:eastAsia="宋体" w:hint="default"/>
                <w:spacing w:val="-5"/>
                <w:w w:val="80"/>
                <w:sz w:val="15"/>
                <w:szCs w:val="15"/>
              </w:rPr>
              <w:t>（一）综合收益</w:t>
            </w:r>
            <w:r>
              <w:rPr>
                <w:rFonts w:ascii="宋体" w:hAnsi="宋体" w:cs="宋体" w:eastAsia="宋体" w:hint="default"/>
                <w:spacing w:val="-55"/>
                <w:w w:val="80"/>
                <w:sz w:val="15"/>
                <w:szCs w:val="15"/>
              </w:rPr>
              <w:t> </w:t>
            </w:r>
            <w:r>
              <w:rPr>
                <w:rFonts w:ascii="宋体" w:hAnsi="宋体" w:cs="宋体" w:eastAsia="宋体" w:hint="default"/>
                <w:spacing w:val="-55"/>
                <w:w w:val="80"/>
                <w:sz w:val="15"/>
                <w:szCs w:val="15"/>
              </w:rPr>
            </w:r>
            <w:r>
              <w:rPr>
                <w:rFonts w:ascii="宋体" w:hAnsi="宋体" w:cs="宋体" w:eastAsia="宋体" w:hint="default"/>
                <w:w w:val="90"/>
                <w:sz w:val="15"/>
                <w:szCs w:val="15"/>
              </w:rPr>
              <w:t>总额</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8" w:right="0"/>
              <w:jc w:val="left"/>
              <w:rPr>
                <w:rFonts w:ascii="宋体" w:hAnsi="宋体" w:cs="宋体" w:eastAsia="宋体" w:hint="default"/>
                <w:sz w:val="15"/>
                <w:szCs w:val="15"/>
              </w:rPr>
            </w:pPr>
            <w:r>
              <w:rPr>
                <w:rFonts w:ascii="宋体"/>
                <w:w w:val="85"/>
                <w:sz w:val="15"/>
              </w:rPr>
              <w:t>-3,731,250.00</w:t>
            </w:r>
            <w:r>
              <w:rPr>
                <w:rFonts w:ascii="宋体"/>
                <w:sz w:val="15"/>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73" w:right="0"/>
              <w:jc w:val="left"/>
              <w:rPr>
                <w:rFonts w:ascii="宋体" w:hAnsi="宋体" w:cs="宋体" w:eastAsia="宋体" w:hint="default"/>
                <w:sz w:val="15"/>
                <w:szCs w:val="15"/>
              </w:rPr>
            </w:pPr>
            <w:r>
              <w:rPr>
                <w:rFonts w:ascii="宋体"/>
                <w:w w:val="85"/>
                <w:sz w:val="15"/>
              </w:rPr>
              <w:t>23,403,488.93</w:t>
            </w:r>
            <w:r>
              <w:rPr>
                <w:rFonts w:ascii="宋体"/>
                <w:sz w:val="15"/>
              </w:rPr>
            </w: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15"/>
                <w:szCs w:val="15"/>
              </w:rPr>
            </w:pPr>
            <w:r>
              <w:rPr>
                <w:rFonts w:ascii="宋体"/>
                <w:spacing w:val="-1"/>
                <w:w w:val="80"/>
                <w:sz w:val="15"/>
              </w:rPr>
              <w:t>23,403,488.93</w:t>
            </w:r>
            <w:r>
              <w:rPr>
                <w:rFonts w:ascii="宋体"/>
                <w:spacing w:val="-1"/>
                <w:sz w:val="15"/>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15"/>
                <w:szCs w:val="15"/>
              </w:rPr>
            </w:pPr>
            <w:r>
              <w:rPr>
                <w:rFonts w:ascii="宋体"/>
                <w:spacing w:val="-1"/>
                <w:w w:val="80"/>
                <w:sz w:val="15"/>
              </w:rPr>
              <w:t>-1,912,811.43</w:t>
            </w:r>
            <w:r>
              <w:rPr>
                <w:rFonts w:ascii="宋体"/>
                <w:spacing w:val="-1"/>
                <w:sz w:val="15"/>
              </w:rPr>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2"/>
              <w:jc w:val="right"/>
              <w:rPr>
                <w:rFonts w:ascii="宋体" w:hAnsi="宋体" w:cs="宋体" w:eastAsia="宋体" w:hint="default"/>
                <w:sz w:val="15"/>
                <w:szCs w:val="15"/>
              </w:rPr>
            </w:pPr>
            <w:r>
              <w:rPr>
                <w:rFonts w:ascii="宋体"/>
                <w:spacing w:val="-1"/>
                <w:w w:val="80"/>
                <w:sz w:val="15"/>
              </w:rPr>
              <w:t>21,490,677.50</w:t>
            </w:r>
            <w:r>
              <w:rPr>
                <w:rFonts w:ascii="宋体"/>
                <w:spacing w:val="-1"/>
                <w:sz w:val="15"/>
              </w:rPr>
            </w:r>
          </w:p>
        </w:tc>
      </w:tr>
      <w:tr>
        <w:trPr>
          <w:trHeight w:val="715"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6" w:lineRule="auto" w:before="79"/>
              <w:ind w:left="93" w:right="100"/>
              <w:jc w:val="left"/>
              <w:rPr>
                <w:rFonts w:ascii="宋体" w:hAnsi="宋体" w:cs="宋体" w:eastAsia="宋体" w:hint="default"/>
                <w:sz w:val="15"/>
                <w:szCs w:val="15"/>
              </w:rPr>
            </w:pPr>
            <w:r>
              <w:rPr>
                <w:rFonts w:ascii="宋体" w:hAnsi="宋体" w:cs="宋体" w:eastAsia="宋体" w:hint="default"/>
                <w:spacing w:val="-5"/>
                <w:w w:val="80"/>
                <w:sz w:val="15"/>
                <w:szCs w:val="15"/>
              </w:rPr>
              <w:t>（二）所有者投</w:t>
            </w:r>
            <w:r>
              <w:rPr>
                <w:rFonts w:ascii="宋体" w:hAnsi="宋体" w:cs="宋体" w:eastAsia="宋体" w:hint="default"/>
                <w:spacing w:val="-55"/>
                <w:w w:val="80"/>
                <w:sz w:val="15"/>
                <w:szCs w:val="15"/>
              </w:rPr>
              <w:t> </w:t>
            </w:r>
            <w:r>
              <w:rPr>
                <w:rFonts w:ascii="宋体" w:hAnsi="宋体" w:cs="宋体" w:eastAsia="宋体" w:hint="default"/>
                <w:spacing w:val="-55"/>
                <w:w w:val="80"/>
                <w:sz w:val="15"/>
                <w:szCs w:val="15"/>
              </w:rPr>
            </w:r>
            <w:r>
              <w:rPr>
                <w:rFonts w:ascii="宋体" w:hAnsi="宋体" w:cs="宋体" w:eastAsia="宋体" w:hint="default"/>
                <w:w w:val="85"/>
                <w:sz w:val="15"/>
                <w:szCs w:val="15"/>
              </w:rPr>
              <w:t>入和减少资本</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15"/>
                <w:szCs w:val="15"/>
              </w:rPr>
            </w:pPr>
            <w:r>
              <w:rPr>
                <w:rFonts w:ascii="宋体"/>
                <w:spacing w:val="-1"/>
                <w:w w:val="75"/>
                <w:sz w:val="15"/>
              </w:rPr>
              <w:t>-29,913,363.83</w:t>
            </w:r>
            <w:r>
              <w:rPr>
                <w:rFonts w:ascii="宋体"/>
                <w:spacing w:val="-1"/>
                <w:sz w:val="15"/>
              </w:rPr>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43" w:right="0"/>
              <w:jc w:val="left"/>
              <w:rPr>
                <w:rFonts w:ascii="宋体" w:hAnsi="宋体" w:cs="宋体" w:eastAsia="宋体" w:hint="default"/>
                <w:sz w:val="15"/>
                <w:szCs w:val="15"/>
              </w:rPr>
            </w:pPr>
            <w:r>
              <w:rPr>
                <w:rFonts w:ascii="宋体"/>
                <w:w w:val="85"/>
                <w:sz w:val="15"/>
              </w:rPr>
              <w:t>-29,073,900.00</w:t>
            </w:r>
            <w:r>
              <w:rPr>
                <w:rFonts w:ascii="宋体"/>
                <w:sz w:val="15"/>
              </w:rPr>
            </w: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15"/>
                <w:szCs w:val="15"/>
              </w:rPr>
            </w:pPr>
            <w:r>
              <w:rPr>
                <w:rFonts w:ascii="宋体"/>
                <w:spacing w:val="-1"/>
                <w:w w:val="80"/>
                <w:sz w:val="15"/>
              </w:rPr>
              <w:t>-4,570,713.83</w:t>
            </w:r>
            <w:r>
              <w:rPr>
                <w:rFonts w:ascii="宋体"/>
                <w:spacing w:val="-1"/>
                <w:sz w:val="15"/>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宋体" w:hAnsi="宋体" w:cs="宋体" w:eastAsia="宋体" w:hint="default"/>
                <w:sz w:val="15"/>
                <w:szCs w:val="15"/>
              </w:rPr>
            </w:pPr>
            <w:r>
              <w:rPr>
                <w:rFonts w:ascii="宋体"/>
                <w:spacing w:val="-1"/>
                <w:w w:val="75"/>
                <w:sz w:val="15"/>
              </w:rPr>
              <w:t>-47,125.11</w:t>
            </w:r>
            <w:r>
              <w:rPr>
                <w:rFonts w:ascii="宋体"/>
                <w:spacing w:val="-1"/>
                <w:sz w:val="15"/>
              </w:rPr>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2"/>
              <w:jc w:val="right"/>
              <w:rPr>
                <w:rFonts w:ascii="宋体" w:hAnsi="宋体" w:cs="宋体" w:eastAsia="宋体" w:hint="default"/>
                <w:sz w:val="15"/>
                <w:szCs w:val="15"/>
              </w:rPr>
            </w:pPr>
            <w:r>
              <w:rPr>
                <w:rFonts w:ascii="宋体"/>
                <w:spacing w:val="-1"/>
                <w:w w:val="80"/>
                <w:sz w:val="15"/>
              </w:rPr>
              <w:t>-4,617,838.94</w:t>
            </w:r>
            <w:r>
              <w:rPr>
                <w:rFonts w:ascii="宋体"/>
                <w:spacing w:val="-1"/>
                <w:sz w:val="15"/>
              </w:rPr>
            </w:r>
          </w:p>
        </w:tc>
      </w:tr>
      <w:tr>
        <w:trPr>
          <w:trHeight w:val="716"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3" w:right="137"/>
              <w:jc w:val="left"/>
              <w:rPr>
                <w:rFonts w:ascii="宋体" w:hAnsi="宋体" w:cs="宋体" w:eastAsia="宋体" w:hint="default"/>
                <w:sz w:val="15"/>
                <w:szCs w:val="15"/>
              </w:rPr>
            </w:pPr>
            <w:r>
              <w:rPr>
                <w:rFonts w:ascii="宋体" w:hAnsi="宋体" w:cs="宋体" w:eastAsia="宋体" w:hint="default"/>
                <w:w w:val="80"/>
                <w:sz w:val="15"/>
                <w:szCs w:val="15"/>
              </w:rPr>
              <w:t>1</w:t>
            </w:r>
            <w:r>
              <w:rPr>
                <w:rFonts w:ascii="宋体" w:hAnsi="宋体" w:cs="宋体" w:eastAsia="宋体" w:hint="default"/>
                <w:w w:val="80"/>
                <w:sz w:val="15"/>
                <w:szCs w:val="15"/>
              </w:rPr>
              <w:t>．所有者投入</w:t>
            </w:r>
            <w:r>
              <w:rPr>
                <w:rFonts w:ascii="宋体" w:hAnsi="宋体" w:cs="宋体" w:eastAsia="宋体" w:hint="default"/>
                <w:w w:val="79"/>
                <w:sz w:val="15"/>
                <w:szCs w:val="15"/>
              </w:rPr>
              <w:t> </w:t>
            </w:r>
            <w:r>
              <w:rPr>
                <w:rFonts w:ascii="宋体" w:hAnsi="宋体" w:cs="宋体" w:eastAsia="宋体" w:hint="default"/>
                <w:w w:val="90"/>
                <w:sz w:val="15"/>
                <w:szCs w:val="15"/>
              </w:rPr>
              <w:t>的普通股</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15"/>
                <w:szCs w:val="15"/>
              </w:rPr>
            </w:pPr>
            <w:r>
              <w:rPr>
                <w:rFonts w:ascii="宋体"/>
                <w:spacing w:val="-1"/>
                <w:w w:val="75"/>
                <w:sz w:val="15"/>
              </w:rPr>
              <w:t>-25,342,650.00</w:t>
            </w:r>
            <w:r>
              <w:rPr>
                <w:rFonts w:ascii="宋体"/>
                <w:spacing w:val="-1"/>
                <w:sz w:val="15"/>
              </w:rPr>
            </w: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1022"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3" w:right="137"/>
              <w:jc w:val="left"/>
              <w:rPr>
                <w:rFonts w:ascii="宋体" w:hAnsi="宋体" w:cs="宋体" w:eastAsia="宋体" w:hint="default"/>
                <w:sz w:val="15"/>
                <w:szCs w:val="15"/>
              </w:rPr>
            </w:pPr>
            <w:r>
              <w:rPr>
                <w:rFonts w:ascii="宋体" w:hAnsi="宋体" w:cs="宋体" w:eastAsia="宋体" w:hint="default"/>
                <w:w w:val="80"/>
                <w:sz w:val="15"/>
                <w:szCs w:val="15"/>
              </w:rPr>
              <w:t>2</w:t>
            </w:r>
            <w:r>
              <w:rPr>
                <w:rFonts w:ascii="宋体" w:hAnsi="宋体" w:cs="宋体" w:eastAsia="宋体" w:hint="default"/>
                <w:w w:val="80"/>
                <w:sz w:val="15"/>
                <w:szCs w:val="15"/>
              </w:rPr>
              <w:t>．其他权益工</w:t>
            </w:r>
            <w:r>
              <w:rPr>
                <w:rFonts w:ascii="宋体" w:hAnsi="宋体" w:cs="宋体" w:eastAsia="宋体" w:hint="default"/>
                <w:w w:val="79"/>
                <w:sz w:val="15"/>
                <w:szCs w:val="15"/>
              </w:rPr>
              <w:t> </w:t>
            </w:r>
            <w:r>
              <w:rPr>
                <w:rFonts w:ascii="宋体" w:hAnsi="宋体" w:cs="宋体" w:eastAsia="宋体" w:hint="default"/>
                <w:w w:val="85"/>
                <w:sz w:val="15"/>
                <w:szCs w:val="15"/>
              </w:rPr>
              <w:t>具持有者投入</w:t>
            </w:r>
            <w:r>
              <w:rPr>
                <w:rFonts w:ascii="宋体" w:hAnsi="宋体" w:cs="宋体" w:eastAsia="宋体" w:hint="default"/>
                <w:w w:val="79"/>
                <w:sz w:val="15"/>
                <w:szCs w:val="15"/>
              </w:rPr>
              <w:t> </w:t>
            </w:r>
            <w:r>
              <w:rPr>
                <w:rFonts w:ascii="宋体" w:hAnsi="宋体" w:cs="宋体" w:eastAsia="宋体" w:hint="default"/>
                <w:w w:val="90"/>
                <w:sz w:val="15"/>
                <w:szCs w:val="15"/>
              </w:rPr>
              <w:t>资本</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1028"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4" w:lineRule="auto" w:before="79"/>
              <w:ind w:left="93" w:right="137"/>
              <w:jc w:val="left"/>
              <w:rPr>
                <w:rFonts w:ascii="宋体" w:hAnsi="宋体" w:cs="宋体" w:eastAsia="宋体" w:hint="default"/>
                <w:sz w:val="15"/>
                <w:szCs w:val="15"/>
              </w:rPr>
            </w:pPr>
            <w:r>
              <w:rPr>
                <w:rFonts w:ascii="宋体" w:hAnsi="宋体" w:cs="宋体" w:eastAsia="宋体" w:hint="default"/>
                <w:w w:val="80"/>
                <w:sz w:val="15"/>
                <w:szCs w:val="15"/>
              </w:rPr>
              <w:t>3</w:t>
            </w:r>
            <w:r>
              <w:rPr>
                <w:rFonts w:ascii="宋体" w:hAnsi="宋体" w:cs="宋体" w:eastAsia="宋体" w:hint="default"/>
                <w:w w:val="80"/>
                <w:sz w:val="15"/>
                <w:szCs w:val="15"/>
              </w:rPr>
              <w:t>．股份支付计</w:t>
            </w:r>
            <w:r>
              <w:rPr>
                <w:rFonts w:ascii="宋体" w:hAnsi="宋体" w:cs="宋体" w:eastAsia="宋体" w:hint="default"/>
                <w:w w:val="79"/>
                <w:sz w:val="15"/>
                <w:szCs w:val="15"/>
              </w:rPr>
              <w:t> </w:t>
            </w:r>
            <w:r>
              <w:rPr>
                <w:rFonts w:ascii="宋体" w:hAnsi="宋体" w:cs="宋体" w:eastAsia="宋体" w:hint="default"/>
                <w:w w:val="85"/>
                <w:sz w:val="15"/>
                <w:szCs w:val="15"/>
              </w:rPr>
              <w:t>入所有者权益</w:t>
            </w:r>
            <w:r>
              <w:rPr>
                <w:rFonts w:ascii="宋体" w:hAnsi="宋体" w:cs="宋体" w:eastAsia="宋体" w:hint="default"/>
                <w:w w:val="79"/>
                <w:sz w:val="15"/>
                <w:szCs w:val="15"/>
              </w:rPr>
              <w:t> </w:t>
            </w:r>
            <w:r>
              <w:rPr>
                <w:rFonts w:ascii="宋体" w:hAnsi="宋体" w:cs="宋体" w:eastAsia="宋体" w:hint="default"/>
                <w:w w:val="90"/>
                <w:sz w:val="15"/>
                <w:szCs w:val="15"/>
              </w:rPr>
              <w:t>的金额</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15"/>
                <w:szCs w:val="15"/>
              </w:rPr>
            </w:pPr>
            <w:r>
              <w:rPr>
                <w:rFonts w:ascii="宋体"/>
                <w:spacing w:val="-1"/>
                <w:w w:val="80"/>
                <w:sz w:val="15"/>
              </w:rPr>
              <w:t>-3,562,808.70</w:t>
            </w:r>
            <w:r>
              <w:rPr>
                <w:rFonts w:ascii="宋体"/>
                <w:spacing w:val="-1"/>
                <w:sz w:val="15"/>
              </w:rPr>
            </w: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15"/>
                <w:szCs w:val="15"/>
              </w:rPr>
            </w:pPr>
            <w:r>
              <w:rPr>
                <w:rFonts w:ascii="宋体"/>
                <w:spacing w:val="-1"/>
                <w:w w:val="80"/>
                <w:sz w:val="15"/>
              </w:rPr>
              <w:t>-3,562,808.70</w:t>
            </w:r>
            <w:r>
              <w:rPr>
                <w:rFonts w:ascii="宋体"/>
                <w:spacing w:val="-1"/>
                <w:sz w:val="15"/>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宋体" w:hAnsi="宋体" w:cs="宋体" w:eastAsia="宋体" w:hint="default"/>
                <w:sz w:val="15"/>
                <w:szCs w:val="15"/>
              </w:rPr>
            </w:pPr>
            <w:r>
              <w:rPr>
                <w:rFonts w:ascii="宋体"/>
                <w:spacing w:val="-1"/>
                <w:w w:val="75"/>
                <w:sz w:val="15"/>
              </w:rPr>
              <w:t>-47,125.11</w:t>
            </w:r>
            <w:r>
              <w:rPr>
                <w:rFonts w:ascii="宋体"/>
                <w:spacing w:val="-1"/>
                <w:sz w:val="15"/>
              </w:rPr>
            </w: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2"/>
              <w:jc w:val="right"/>
              <w:rPr>
                <w:rFonts w:ascii="宋体" w:hAnsi="宋体" w:cs="宋体" w:eastAsia="宋体" w:hint="default"/>
                <w:sz w:val="15"/>
                <w:szCs w:val="15"/>
              </w:rPr>
            </w:pPr>
            <w:r>
              <w:rPr>
                <w:rFonts w:ascii="宋体"/>
                <w:spacing w:val="-1"/>
                <w:w w:val="80"/>
                <w:sz w:val="15"/>
              </w:rPr>
              <w:t>-3,609,933.81</w:t>
            </w:r>
            <w:r>
              <w:rPr>
                <w:rFonts w:ascii="宋体"/>
                <w:spacing w:val="-1"/>
                <w:sz w:val="15"/>
              </w:rPr>
            </w:r>
          </w:p>
        </w:tc>
      </w:tr>
      <w:tr>
        <w:trPr>
          <w:trHeight w:val="403"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3" w:right="0"/>
              <w:jc w:val="left"/>
              <w:rPr>
                <w:rFonts w:ascii="宋体" w:hAnsi="宋体" w:cs="宋体" w:eastAsia="宋体" w:hint="default"/>
                <w:sz w:val="15"/>
                <w:szCs w:val="15"/>
              </w:rPr>
            </w:pPr>
            <w:r>
              <w:rPr>
                <w:rFonts w:ascii="宋体" w:hAnsi="宋体" w:cs="宋体" w:eastAsia="宋体" w:hint="default"/>
                <w:w w:val="90"/>
                <w:sz w:val="15"/>
                <w:szCs w:val="15"/>
              </w:rPr>
              <w:t>4</w:t>
            </w:r>
            <w:r>
              <w:rPr>
                <w:rFonts w:ascii="宋体" w:hAnsi="宋体" w:cs="宋体" w:eastAsia="宋体" w:hint="default"/>
                <w:w w:val="90"/>
                <w:sz w:val="15"/>
                <w:szCs w:val="15"/>
              </w:rPr>
              <w:t>．其他</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7"/>
              <w:jc w:val="right"/>
              <w:rPr>
                <w:rFonts w:ascii="宋体" w:hAnsi="宋体" w:cs="宋体" w:eastAsia="宋体" w:hint="default"/>
                <w:sz w:val="15"/>
                <w:szCs w:val="15"/>
              </w:rPr>
            </w:pPr>
            <w:r>
              <w:rPr>
                <w:rFonts w:ascii="宋体"/>
                <w:spacing w:val="-1"/>
                <w:w w:val="80"/>
                <w:sz w:val="15"/>
              </w:rPr>
              <w:t>-1,007,905.13</w:t>
            </w:r>
            <w:r>
              <w:rPr>
                <w:rFonts w:ascii="宋体"/>
                <w:spacing w:val="-1"/>
                <w:sz w:val="15"/>
              </w:rPr>
            </w: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7"/>
              <w:jc w:val="right"/>
              <w:rPr>
                <w:rFonts w:ascii="宋体" w:hAnsi="宋体" w:cs="宋体" w:eastAsia="宋体" w:hint="default"/>
                <w:sz w:val="15"/>
                <w:szCs w:val="15"/>
              </w:rPr>
            </w:pPr>
            <w:r>
              <w:rPr>
                <w:rFonts w:ascii="宋体"/>
                <w:spacing w:val="-1"/>
                <w:w w:val="80"/>
                <w:sz w:val="15"/>
              </w:rPr>
              <w:t>-1,007,905.13</w:t>
            </w:r>
            <w:r>
              <w:rPr>
                <w:rFonts w:ascii="宋体"/>
                <w:spacing w:val="-1"/>
                <w:sz w:val="15"/>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9"/>
              <w:ind w:right="92"/>
              <w:jc w:val="right"/>
              <w:rPr>
                <w:rFonts w:ascii="宋体" w:hAnsi="宋体" w:cs="宋体" w:eastAsia="宋体" w:hint="default"/>
                <w:sz w:val="15"/>
                <w:szCs w:val="15"/>
              </w:rPr>
            </w:pPr>
            <w:r>
              <w:rPr>
                <w:rFonts w:ascii="宋体"/>
                <w:spacing w:val="-1"/>
                <w:w w:val="80"/>
                <w:sz w:val="15"/>
              </w:rPr>
              <w:t>-1,007,905.13</w:t>
            </w:r>
            <w:r>
              <w:rPr>
                <w:rFonts w:ascii="宋体"/>
                <w:spacing w:val="-1"/>
                <w:sz w:val="15"/>
              </w:rPr>
            </w:r>
          </w:p>
        </w:tc>
      </w:tr>
      <w:tr>
        <w:trPr>
          <w:trHeight w:val="403"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3" w:right="0"/>
              <w:jc w:val="left"/>
              <w:rPr>
                <w:rFonts w:ascii="宋体" w:hAnsi="宋体" w:cs="宋体" w:eastAsia="宋体" w:hint="default"/>
                <w:sz w:val="15"/>
                <w:szCs w:val="15"/>
              </w:rPr>
            </w:pPr>
            <w:r>
              <w:rPr>
                <w:rFonts w:ascii="宋体" w:hAnsi="宋体" w:cs="宋体" w:eastAsia="宋体" w:hint="default"/>
                <w:spacing w:val="-5"/>
                <w:w w:val="85"/>
                <w:sz w:val="15"/>
                <w:szCs w:val="15"/>
              </w:rPr>
              <w:t>（三）利润分配</w:t>
            </w:r>
            <w:r>
              <w:rPr>
                <w:rFonts w:ascii="宋体" w:hAnsi="宋体" w:cs="宋体" w:eastAsia="宋体" w:hint="default"/>
                <w:spacing w:val="-5"/>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711"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3" w:right="137"/>
              <w:jc w:val="left"/>
              <w:rPr>
                <w:rFonts w:ascii="宋体" w:hAnsi="宋体" w:cs="宋体" w:eastAsia="宋体" w:hint="default"/>
                <w:sz w:val="15"/>
                <w:szCs w:val="15"/>
              </w:rPr>
            </w:pPr>
            <w:r>
              <w:rPr>
                <w:rFonts w:ascii="宋体" w:hAnsi="宋体" w:cs="宋体" w:eastAsia="宋体" w:hint="default"/>
                <w:w w:val="80"/>
                <w:sz w:val="15"/>
                <w:szCs w:val="15"/>
              </w:rPr>
              <w:t>1</w:t>
            </w:r>
            <w:r>
              <w:rPr>
                <w:rFonts w:ascii="宋体" w:hAnsi="宋体" w:cs="宋体" w:eastAsia="宋体" w:hint="default"/>
                <w:w w:val="80"/>
                <w:sz w:val="15"/>
                <w:szCs w:val="15"/>
              </w:rPr>
              <w:t>．提取盈余公</w:t>
            </w:r>
            <w:r>
              <w:rPr>
                <w:rFonts w:ascii="宋体" w:hAnsi="宋体" w:cs="宋体" w:eastAsia="宋体" w:hint="default"/>
                <w:w w:val="79"/>
                <w:sz w:val="15"/>
                <w:szCs w:val="15"/>
              </w:rPr>
              <w:t> </w:t>
            </w:r>
            <w:r>
              <w:rPr>
                <w:rFonts w:ascii="宋体" w:hAnsi="宋体" w:cs="宋体" w:eastAsia="宋体" w:hint="default"/>
                <w:w w:val="90"/>
                <w:sz w:val="15"/>
                <w:szCs w:val="15"/>
              </w:rPr>
              <w:t>积</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6" w:lineRule="auto" w:before="79"/>
              <w:ind w:left="93" w:right="137"/>
              <w:jc w:val="left"/>
              <w:rPr>
                <w:rFonts w:ascii="宋体" w:hAnsi="宋体" w:cs="宋体" w:eastAsia="宋体" w:hint="default"/>
                <w:sz w:val="15"/>
                <w:szCs w:val="15"/>
              </w:rPr>
            </w:pPr>
            <w:r>
              <w:rPr>
                <w:rFonts w:ascii="宋体" w:hAnsi="宋体" w:cs="宋体" w:eastAsia="宋体" w:hint="default"/>
                <w:w w:val="80"/>
                <w:sz w:val="15"/>
                <w:szCs w:val="15"/>
              </w:rPr>
              <w:t>2</w:t>
            </w:r>
            <w:r>
              <w:rPr>
                <w:rFonts w:ascii="宋体" w:hAnsi="宋体" w:cs="宋体" w:eastAsia="宋体" w:hint="default"/>
                <w:w w:val="80"/>
                <w:sz w:val="15"/>
                <w:szCs w:val="15"/>
              </w:rPr>
              <w:t>．提取一般风</w:t>
            </w:r>
            <w:r>
              <w:rPr>
                <w:rFonts w:ascii="宋体" w:hAnsi="宋体" w:cs="宋体" w:eastAsia="宋体" w:hint="default"/>
                <w:w w:val="79"/>
                <w:sz w:val="15"/>
                <w:szCs w:val="15"/>
              </w:rPr>
              <w:t> </w:t>
            </w:r>
            <w:r>
              <w:rPr>
                <w:rFonts w:ascii="宋体" w:hAnsi="宋体" w:cs="宋体" w:eastAsia="宋体" w:hint="default"/>
                <w:w w:val="90"/>
                <w:sz w:val="15"/>
                <w:szCs w:val="15"/>
              </w:rPr>
              <w:t>险准备</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6" w:lineRule="auto" w:before="79"/>
              <w:ind w:left="93" w:right="100"/>
              <w:jc w:val="left"/>
              <w:rPr>
                <w:rFonts w:ascii="宋体" w:hAnsi="宋体" w:cs="宋体" w:eastAsia="宋体" w:hint="default"/>
                <w:sz w:val="15"/>
                <w:szCs w:val="15"/>
              </w:rPr>
            </w:pPr>
            <w:r>
              <w:rPr>
                <w:rFonts w:ascii="宋体" w:hAnsi="宋体" w:cs="宋体" w:eastAsia="宋体" w:hint="default"/>
                <w:spacing w:val="-14"/>
                <w:w w:val="80"/>
                <w:sz w:val="15"/>
                <w:szCs w:val="15"/>
              </w:rPr>
              <w:t>3</w:t>
            </w:r>
            <w:r>
              <w:rPr>
                <w:rFonts w:ascii="宋体" w:hAnsi="宋体" w:cs="宋体" w:eastAsia="宋体" w:hint="default"/>
                <w:spacing w:val="-14"/>
                <w:w w:val="80"/>
                <w:sz w:val="15"/>
                <w:szCs w:val="15"/>
              </w:rPr>
              <w:t>．对所有者（或</w:t>
            </w:r>
            <w:r>
              <w:rPr>
                <w:rFonts w:ascii="宋体" w:hAnsi="宋体" w:cs="宋体" w:eastAsia="宋体" w:hint="default"/>
                <w:spacing w:val="-39"/>
                <w:w w:val="80"/>
                <w:sz w:val="15"/>
                <w:szCs w:val="15"/>
              </w:rPr>
              <w:t> </w:t>
            </w:r>
            <w:r>
              <w:rPr>
                <w:rFonts w:ascii="宋体" w:hAnsi="宋体" w:cs="宋体" w:eastAsia="宋体" w:hint="default"/>
                <w:spacing w:val="-39"/>
                <w:w w:val="80"/>
                <w:sz w:val="15"/>
                <w:szCs w:val="15"/>
              </w:rPr>
            </w:r>
            <w:r>
              <w:rPr>
                <w:rFonts w:ascii="宋体" w:hAnsi="宋体" w:cs="宋体" w:eastAsia="宋体" w:hint="default"/>
                <w:w w:val="85"/>
                <w:sz w:val="15"/>
                <w:szCs w:val="15"/>
              </w:rPr>
              <w:t>股东）的分配</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3" w:right="0"/>
              <w:jc w:val="left"/>
              <w:rPr>
                <w:rFonts w:ascii="宋体" w:hAnsi="宋体" w:cs="宋体" w:eastAsia="宋体" w:hint="default"/>
                <w:sz w:val="15"/>
                <w:szCs w:val="15"/>
              </w:rPr>
            </w:pPr>
            <w:r>
              <w:rPr>
                <w:rFonts w:ascii="宋体" w:hAnsi="宋体" w:cs="宋体" w:eastAsia="宋体" w:hint="default"/>
                <w:w w:val="90"/>
                <w:sz w:val="15"/>
                <w:szCs w:val="15"/>
              </w:rPr>
              <w:t>4</w:t>
            </w:r>
            <w:r>
              <w:rPr>
                <w:rFonts w:ascii="宋体" w:hAnsi="宋体" w:cs="宋体" w:eastAsia="宋体" w:hint="default"/>
                <w:w w:val="90"/>
                <w:sz w:val="15"/>
                <w:szCs w:val="15"/>
              </w:rPr>
              <w:t>．其他</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3" w:right="100"/>
              <w:jc w:val="left"/>
              <w:rPr>
                <w:rFonts w:ascii="宋体" w:hAnsi="宋体" w:cs="宋体" w:eastAsia="宋体" w:hint="default"/>
                <w:sz w:val="15"/>
                <w:szCs w:val="15"/>
              </w:rPr>
            </w:pPr>
            <w:r>
              <w:rPr>
                <w:rFonts w:ascii="宋体" w:hAnsi="宋体" w:cs="宋体" w:eastAsia="宋体" w:hint="default"/>
                <w:spacing w:val="-5"/>
                <w:w w:val="80"/>
                <w:sz w:val="15"/>
                <w:szCs w:val="15"/>
              </w:rPr>
              <w:t>（四）所有者权</w:t>
            </w:r>
            <w:r>
              <w:rPr>
                <w:rFonts w:ascii="宋体" w:hAnsi="宋体" w:cs="宋体" w:eastAsia="宋体" w:hint="default"/>
                <w:spacing w:val="-55"/>
                <w:w w:val="80"/>
                <w:sz w:val="15"/>
                <w:szCs w:val="15"/>
              </w:rPr>
              <w:t> </w:t>
            </w:r>
            <w:r>
              <w:rPr>
                <w:rFonts w:ascii="宋体" w:hAnsi="宋体" w:cs="宋体" w:eastAsia="宋体" w:hint="default"/>
                <w:spacing w:val="-55"/>
                <w:w w:val="80"/>
                <w:sz w:val="15"/>
                <w:szCs w:val="15"/>
              </w:rPr>
            </w:r>
            <w:r>
              <w:rPr>
                <w:rFonts w:ascii="宋体" w:hAnsi="宋体" w:cs="宋体" w:eastAsia="宋体" w:hint="default"/>
                <w:w w:val="90"/>
                <w:sz w:val="15"/>
                <w:szCs w:val="15"/>
              </w:rPr>
              <w:t>益内部结转</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1028"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4" w:lineRule="auto" w:before="79"/>
              <w:ind w:left="93" w:right="137"/>
              <w:jc w:val="left"/>
              <w:rPr>
                <w:rFonts w:ascii="宋体" w:hAnsi="宋体" w:cs="宋体" w:eastAsia="宋体" w:hint="default"/>
                <w:sz w:val="15"/>
                <w:szCs w:val="15"/>
              </w:rPr>
            </w:pPr>
            <w:r>
              <w:rPr>
                <w:rFonts w:ascii="宋体" w:hAnsi="宋体" w:cs="宋体" w:eastAsia="宋体" w:hint="default"/>
                <w:w w:val="80"/>
                <w:sz w:val="15"/>
                <w:szCs w:val="15"/>
              </w:rPr>
              <w:t>1</w:t>
            </w:r>
            <w:r>
              <w:rPr>
                <w:rFonts w:ascii="宋体" w:hAnsi="宋体" w:cs="宋体" w:eastAsia="宋体" w:hint="default"/>
                <w:w w:val="80"/>
                <w:sz w:val="15"/>
                <w:szCs w:val="15"/>
              </w:rPr>
              <w:t>．资本公积转</w:t>
            </w:r>
            <w:r>
              <w:rPr>
                <w:rFonts w:ascii="宋体" w:hAnsi="宋体" w:cs="宋体" w:eastAsia="宋体" w:hint="default"/>
                <w:w w:val="79"/>
                <w:sz w:val="15"/>
                <w:szCs w:val="15"/>
              </w:rPr>
              <w:t> </w:t>
            </w:r>
            <w:r>
              <w:rPr>
                <w:rFonts w:ascii="宋体" w:hAnsi="宋体" w:cs="宋体" w:eastAsia="宋体" w:hint="default"/>
                <w:w w:val="85"/>
                <w:sz w:val="15"/>
                <w:szCs w:val="15"/>
              </w:rPr>
              <w:t>增资本（或股</w:t>
            </w:r>
            <w:r>
              <w:rPr>
                <w:rFonts w:ascii="宋体" w:hAnsi="宋体" w:cs="宋体" w:eastAsia="宋体" w:hint="default"/>
                <w:w w:val="79"/>
                <w:sz w:val="15"/>
                <w:szCs w:val="15"/>
              </w:rPr>
              <w:t> </w:t>
            </w:r>
            <w:r>
              <w:rPr>
                <w:rFonts w:ascii="宋体" w:hAnsi="宋体" w:cs="宋体" w:eastAsia="宋体" w:hint="default"/>
                <w:w w:val="90"/>
                <w:sz w:val="15"/>
                <w:szCs w:val="15"/>
              </w:rPr>
              <w:t>本）</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4" w:lineRule="auto" w:before="79"/>
              <w:ind w:left="93" w:right="137"/>
              <w:jc w:val="left"/>
              <w:rPr>
                <w:rFonts w:ascii="宋体" w:hAnsi="宋体" w:cs="宋体" w:eastAsia="宋体" w:hint="default"/>
                <w:sz w:val="15"/>
                <w:szCs w:val="15"/>
              </w:rPr>
            </w:pPr>
            <w:r>
              <w:rPr>
                <w:rFonts w:ascii="宋体" w:hAnsi="宋体" w:cs="宋体" w:eastAsia="宋体" w:hint="default"/>
                <w:w w:val="80"/>
                <w:sz w:val="15"/>
                <w:szCs w:val="15"/>
              </w:rPr>
              <w:t>2</w:t>
            </w:r>
            <w:r>
              <w:rPr>
                <w:rFonts w:ascii="宋体" w:hAnsi="宋体" w:cs="宋体" w:eastAsia="宋体" w:hint="default"/>
                <w:w w:val="80"/>
                <w:sz w:val="15"/>
                <w:szCs w:val="15"/>
              </w:rPr>
              <w:t>．盈余公积转</w:t>
            </w:r>
            <w:r>
              <w:rPr>
                <w:rFonts w:ascii="宋体" w:hAnsi="宋体" w:cs="宋体" w:eastAsia="宋体" w:hint="default"/>
                <w:w w:val="79"/>
                <w:sz w:val="15"/>
                <w:szCs w:val="15"/>
              </w:rPr>
              <w:t> </w:t>
            </w:r>
            <w:r>
              <w:rPr>
                <w:rFonts w:ascii="宋体" w:hAnsi="宋体" w:cs="宋体" w:eastAsia="宋体" w:hint="default"/>
                <w:w w:val="85"/>
                <w:sz w:val="15"/>
                <w:szCs w:val="15"/>
              </w:rPr>
              <w:t>增资本（或股</w:t>
            </w:r>
            <w:r>
              <w:rPr>
                <w:rFonts w:ascii="宋体" w:hAnsi="宋体" w:cs="宋体" w:eastAsia="宋体" w:hint="default"/>
                <w:w w:val="79"/>
                <w:sz w:val="15"/>
                <w:szCs w:val="15"/>
              </w:rPr>
              <w:t> </w:t>
            </w:r>
            <w:r>
              <w:rPr>
                <w:rFonts w:ascii="宋体" w:hAnsi="宋体" w:cs="宋体" w:eastAsia="宋体" w:hint="default"/>
                <w:w w:val="90"/>
                <w:sz w:val="15"/>
                <w:szCs w:val="15"/>
              </w:rPr>
              <w:t>本）</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3" w:right="137"/>
              <w:jc w:val="left"/>
              <w:rPr>
                <w:rFonts w:ascii="宋体" w:hAnsi="宋体" w:cs="宋体" w:eastAsia="宋体" w:hint="default"/>
                <w:sz w:val="15"/>
                <w:szCs w:val="15"/>
              </w:rPr>
            </w:pPr>
            <w:r>
              <w:rPr>
                <w:rFonts w:ascii="宋体" w:hAnsi="宋体" w:cs="宋体" w:eastAsia="宋体" w:hint="default"/>
                <w:w w:val="80"/>
                <w:sz w:val="15"/>
                <w:szCs w:val="15"/>
              </w:rPr>
              <w:t>3</w:t>
            </w:r>
            <w:r>
              <w:rPr>
                <w:rFonts w:ascii="宋体" w:hAnsi="宋体" w:cs="宋体" w:eastAsia="宋体" w:hint="default"/>
                <w:w w:val="80"/>
                <w:sz w:val="15"/>
                <w:szCs w:val="15"/>
              </w:rPr>
              <w:t>．盈余公积弥</w:t>
            </w:r>
            <w:r>
              <w:rPr>
                <w:rFonts w:ascii="宋体" w:hAnsi="宋体" w:cs="宋体" w:eastAsia="宋体" w:hint="default"/>
                <w:w w:val="79"/>
                <w:sz w:val="15"/>
                <w:szCs w:val="15"/>
              </w:rPr>
              <w:t> </w:t>
            </w:r>
            <w:r>
              <w:rPr>
                <w:rFonts w:ascii="宋体" w:hAnsi="宋体" w:cs="宋体" w:eastAsia="宋体" w:hint="default"/>
                <w:w w:val="90"/>
                <w:sz w:val="15"/>
                <w:szCs w:val="15"/>
              </w:rPr>
              <w:t>补亏损</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1022"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3" w:right="137"/>
              <w:jc w:val="left"/>
              <w:rPr>
                <w:rFonts w:ascii="宋体" w:hAnsi="宋体" w:cs="宋体" w:eastAsia="宋体" w:hint="default"/>
                <w:sz w:val="15"/>
                <w:szCs w:val="15"/>
              </w:rPr>
            </w:pPr>
            <w:r>
              <w:rPr>
                <w:rFonts w:ascii="宋体" w:hAnsi="宋体" w:cs="宋体" w:eastAsia="宋体" w:hint="default"/>
                <w:w w:val="80"/>
                <w:sz w:val="15"/>
                <w:szCs w:val="15"/>
              </w:rPr>
              <w:t>4</w:t>
            </w:r>
            <w:r>
              <w:rPr>
                <w:rFonts w:ascii="宋体" w:hAnsi="宋体" w:cs="宋体" w:eastAsia="宋体" w:hint="default"/>
                <w:w w:val="80"/>
                <w:sz w:val="15"/>
                <w:szCs w:val="15"/>
              </w:rPr>
              <w:t>．设定受益计</w:t>
            </w:r>
            <w:r>
              <w:rPr>
                <w:rFonts w:ascii="宋体" w:hAnsi="宋体" w:cs="宋体" w:eastAsia="宋体" w:hint="default"/>
                <w:w w:val="79"/>
                <w:sz w:val="15"/>
                <w:szCs w:val="15"/>
              </w:rPr>
              <w:t> </w:t>
            </w:r>
            <w:r>
              <w:rPr>
                <w:rFonts w:ascii="宋体" w:hAnsi="宋体" w:cs="宋体" w:eastAsia="宋体" w:hint="default"/>
                <w:w w:val="85"/>
                <w:sz w:val="15"/>
                <w:szCs w:val="15"/>
              </w:rPr>
              <w:t>划变动额结转</w:t>
            </w:r>
            <w:r>
              <w:rPr>
                <w:rFonts w:ascii="宋体" w:hAnsi="宋体" w:cs="宋体" w:eastAsia="宋体" w:hint="default"/>
                <w:w w:val="79"/>
                <w:sz w:val="15"/>
                <w:szCs w:val="15"/>
              </w:rPr>
              <w:t> </w:t>
            </w:r>
            <w:r>
              <w:rPr>
                <w:rFonts w:ascii="宋体" w:hAnsi="宋体" w:cs="宋体" w:eastAsia="宋体" w:hint="default"/>
                <w:w w:val="90"/>
                <w:sz w:val="15"/>
                <w:szCs w:val="15"/>
              </w:rPr>
              <w:t>留存收益</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1028"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4" w:lineRule="auto" w:before="80"/>
              <w:ind w:left="93" w:right="137"/>
              <w:jc w:val="left"/>
              <w:rPr>
                <w:rFonts w:ascii="宋体" w:hAnsi="宋体" w:cs="宋体" w:eastAsia="宋体" w:hint="default"/>
                <w:sz w:val="15"/>
                <w:szCs w:val="15"/>
              </w:rPr>
            </w:pPr>
            <w:r>
              <w:rPr>
                <w:rFonts w:ascii="宋体" w:hAnsi="宋体" w:cs="宋体" w:eastAsia="宋体" w:hint="default"/>
                <w:w w:val="80"/>
                <w:sz w:val="15"/>
                <w:szCs w:val="15"/>
              </w:rPr>
              <w:t>5</w:t>
            </w:r>
            <w:r>
              <w:rPr>
                <w:rFonts w:ascii="宋体" w:hAnsi="宋体" w:cs="宋体" w:eastAsia="宋体" w:hint="default"/>
                <w:w w:val="80"/>
                <w:sz w:val="15"/>
                <w:szCs w:val="15"/>
              </w:rPr>
              <w:t>．其他综合收</w:t>
            </w:r>
            <w:r>
              <w:rPr>
                <w:rFonts w:ascii="宋体" w:hAnsi="宋体" w:cs="宋体" w:eastAsia="宋体" w:hint="default"/>
                <w:w w:val="79"/>
                <w:sz w:val="15"/>
                <w:szCs w:val="15"/>
              </w:rPr>
              <w:t> </w:t>
            </w:r>
            <w:r>
              <w:rPr>
                <w:rFonts w:ascii="宋体" w:hAnsi="宋体" w:cs="宋体" w:eastAsia="宋体" w:hint="default"/>
                <w:w w:val="85"/>
                <w:sz w:val="15"/>
                <w:szCs w:val="15"/>
              </w:rPr>
              <w:t>益结转留存收</w:t>
            </w:r>
            <w:r>
              <w:rPr>
                <w:rFonts w:ascii="宋体" w:hAnsi="宋体" w:cs="宋体" w:eastAsia="宋体" w:hint="default"/>
                <w:w w:val="79"/>
                <w:sz w:val="15"/>
                <w:szCs w:val="15"/>
              </w:rPr>
              <w:t> </w:t>
            </w:r>
            <w:r>
              <w:rPr>
                <w:rFonts w:ascii="宋体" w:hAnsi="宋体" w:cs="宋体" w:eastAsia="宋体" w:hint="default"/>
                <w:w w:val="90"/>
                <w:sz w:val="15"/>
                <w:szCs w:val="15"/>
              </w:rPr>
              <w:t>益</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bl>
    <w:p>
      <w:pPr>
        <w:spacing w:after="0"/>
        <w:sectPr>
          <w:pgSz w:w="11910" w:h="16840"/>
          <w:pgMar w:header="871" w:footer="1037" w:top="1100" w:bottom="1220" w:left="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64" w:type="dxa"/>
        <w:tblLayout w:type="fixed"/>
        <w:tblCellMar>
          <w:top w:w="0" w:type="dxa"/>
          <w:left w:w="0" w:type="dxa"/>
          <w:bottom w:w="0" w:type="dxa"/>
          <w:right w:w="0" w:type="dxa"/>
        </w:tblCellMar>
        <w:tblLook w:val="01E0"/>
      </w:tblPr>
      <w:tblGrid>
        <w:gridCol w:w="1030"/>
        <w:gridCol w:w="1057"/>
        <w:gridCol w:w="288"/>
        <w:gridCol w:w="240"/>
        <w:gridCol w:w="278"/>
        <w:gridCol w:w="1056"/>
        <w:gridCol w:w="1090"/>
        <w:gridCol w:w="240"/>
        <w:gridCol w:w="240"/>
        <w:gridCol w:w="1023"/>
        <w:gridCol w:w="418"/>
        <w:gridCol w:w="1167"/>
        <w:gridCol w:w="240"/>
        <w:gridCol w:w="1176"/>
        <w:gridCol w:w="1008"/>
        <w:gridCol w:w="1186"/>
      </w:tblGrid>
      <w:tr>
        <w:trPr>
          <w:trHeight w:val="403"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3" w:right="0"/>
              <w:jc w:val="left"/>
              <w:rPr>
                <w:rFonts w:ascii="宋体" w:hAnsi="宋体" w:cs="宋体" w:eastAsia="宋体" w:hint="default"/>
                <w:sz w:val="15"/>
                <w:szCs w:val="15"/>
              </w:rPr>
            </w:pPr>
            <w:r>
              <w:rPr>
                <w:rFonts w:ascii="宋体" w:hAnsi="宋体" w:cs="宋体" w:eastAsia="宋体" w:hint="default"/>
                <w:w w:val="90"/>
                <w:sz w:val="15"/>
                <w:szCs w:val="15"/>
              </w:rPr>
              <w:t>6</w:t>
            </w:r>
            <w:r>
              <w:rPr>
                <w:rFonts w:ascii="宋体" w:hAnsi="宋体" w:cs="宋体" w:eastAsia="宋体" w:hint="default"/>
                <w:w w:val="90"/>
                <w:sz w:val="15"/>
                <w:szCs w:val="15"/>
              </w:rPr>
              <w:t>．其他</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3" w:right="0"/>
              <w:jc w:val="left"/>
              <w:rPr>
                <w:rFonts w:ascii="宋体" w:hAnsi="宋体" w:cs="宋体" w:eastAsia="宋体" w:hint="default"/>
                <w:sz w:val="15"/>
                <w:szCs w:val="15"/>
              </w:rPr>
            </w:pPr>
            <w:r>
              <w:rPr>
                <w:rFonts w:ascii="宋体" w:hAnsi="宋体" w:cs="宋体" w:eastAsia="宋体" w:hint="default"/>
                <w:spacing w:val="-5"/>
                <w:w w:val="85"/>
                <w:sz w:val="15"/>
                <w:szCs w:val="15"/>
              </w:rPr>
              <w:t>（五）专项储备</w:t>
            </w:r>
            <w:r>
              <w:rPr>
                <w:rFonts w:ascii="宋体" w:hAnsi="宋体" w:cs="宋体" w:eastAsia="宋体" w:hint="default"/>
                <w:spacing w:val="-5"/>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4"/>
              <w:ind w:left="93" w:right="0"/>
              <w:jc w:val="left"/>
              <w:rPr>
                <w:rFonts w:ascii="宋体" w:hAnsi="宋体" w:cs="宋体" w:eastAsia="宋体" w:hint="default"/>
                <w:sz w:val="15"/>
                <w:szCs w:val="15"/>
              </w:rPr>
            </w:pPr>
            <w:r>
              <w:rPr>
                <w:rFonts w:ascii="宋体" w:hAnsi="宋体" w:cs="宋体" w:eastAsia="宋体" w:hint="default"/>
                <w:w w:val="90"/>
                <w:sz w:val="15"/>
                <w:szCs w:val="15"/>
              </w:rPr>
              <w:t>1</w:t>
            </w:r>
            <w:r>
              <w:rPr>
                <w:rFonts w:ascii="宋体" w:hAnsi="宋体" w:cs="宋体" w:eastAsia="宋体" w:hint="default"/>
                <w:w w:val="90"/>
                <w:sz w:val="15"/>
                <w:szCs w:val="15"/>
              </w:rPr>
              <w:t>．本期提取</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3" w:right="0"/>
              <w:jc w:val="left"/>
              <w:rPr>
                <w:rFonts w:ascii="宋体" w:hAnsi="宋体" w:cs="宋体" w:eastAsia="宋体" w:hint="default"/>
                <w:sz w:val="15"/>
                <w:szCs w:val="15"/>
              </w:rPr>
            </w:pPr>
            <w:r>
              <w:rPr>
                <w:rFonts w:ascii="宋体" w:hAnsi="宋体" w:cs="宋体" w:eastAsia="宋体" w:hint="default"/>
                <w:w w:val="90"/>
                <w:sz w:val="15"/>
                <w:szCs w:val="15"/>
              </w:rPr>
              <w:t>2</w:t>
            </w:r>
            <w:r>
              <w:rPr>
                <w:rFonts w:ascii="宋体" w:hAnsi="宋体" w:cs="宋体" w:eastAsia="宋体" w:hint="default"/>
                <w:w w:val="90"/>
                <w:sz w:val="15"/>
                <w:szCs w:val="15"/>
              </w:rPr>
              <w:t>．本期使用</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03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3" w:right="0"/>
              <w:jc w:val="left"/>
              <w:rPr>
                <w:rFonts w:ascii="宋体" w:hAnsi="宋体" w:cs="宋体" w:eastAsia="宋体" w:hint="default"/>
                <w:sz w:val="15"/>
                <w:szCs w:val="15"/>
              </w:rPr>
            </w:pPr>
            <w:r>
              <w:rPr>
                <w:rFonts w:ascii="宋体" w:hAnsi="宋体" w:cs="宋体" w:eastAsia="宋体" w:hint="default"/>
                <w:w w:val="90"/>
                <w:sz w:val="15"/>
                <w:szCs w:val="15"/>
              </w:rPr>
              <w:t>（六）其他</w:t>
            </w:r>
            <w:r>
              <w:rPr>
                <w:rFonts w:ascii="宋体" w:hAnsi="宋体" w:cs="宋体" w:eastAsia="宋体" w:hint="default"/>
                <w:sz w:val="15"/>
                <w:szCs w:val="15"/>
              </w:rPr>
            </w:r>
          </w:p>
        </w:tc>
        <w:tc>
          <w:tcPr>
            <w:tcW w:w="1057"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7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12" w:space="0" w:color="000000"/>
            </w:tcBorders>
          </w:tcPr>
          <w:p>
            <w:pPr/>
          </w:p>
        </w:tc>
      </w:tr>
      <w:tr>
        <w:trPr>
          <w:trHeight w:val="725" w:hRule="exact"/>
        </w:trPr>
        <w:tc>
          <w:tcPr>
            <w:tcW w:w="103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81" w:lineRule="auto" w:before="79"/>
              <w:ind w:left="93" w:right="100"/>
              <w:jc w:val="left"/>
              <w:rPr>
                <w:rFonts w:ascii="宋体" w:hAnsi="宋体" w:cs="宋体" w:eastAsia="宋体" w:hint="default"/>
                <w:sz w:val="15"/>
                <w:szCs w:val="15"/>
              </w:rPr>
            </w:pPr>
            <w:r>
              <w:rPr>
                <w:rFonts w:ascii="宋体" w:hAnsi="宋体" w:cs="宋体" w:eastAsia="宋体" w:hint="default"/>
                <w:spacing w:val="-5"/>
                <w:w w:val="80"/>
                <w:sz w:val="15"/>
                <w:szCs w:val="15"/>
              </w:rPr>
              <w:t>四、本期期末余</w:t>
            </w:r>
            <w:r>
              <w:rPr>
                <w:rFonts w:ascii="宋体" w:hAnsi="宋体" w:cs="宋体" w:eastAsia="宋体" w:hint="default"/>
                <w:spacing w:val="-55"/>
                <w:w w:val="80"/>
                <w:sz w:val="15"/>
                <w:szCs w:val="15"/>
              </w:rPr>
              <w:t> </w:t>
            </w:r>
            <w:r>
              <w:rPr>
                <w:rFonts w:ascii="宋体" w:hAnsi="宋体" w:cs="宋体" w:eastAsia="宋体" w:hint="default"/>
                <w:spacing w:val="-55"/>
                <w:w w:val="80"/>
                <w:sz w:val="15"/>
                <w:szCs w:val="15"/>
              </w:rPr>
            </w:r>
            <w:r>
              <w:rPr>
                <w:rFonts w:ascii="宋体" w:hAnsi="宋体" w:cs="宋体" w:eastAsia="宋体" w:hint="default"/>
                <w:w w:val="90"/>
                <w:sz w:val="15"/>
                <w:szCs w:val="15"/>
              </w:rPr>
              <w:t>额</w:t>
            </w:r>
            <w:r>
              <w:rPr>
                <w:rFonts w:ascii="宋体" w:hAnsi="宋体" w:cs="宋体" w:eastAsia="宋体" w:hint="default"/>
                <w:sz w:val="15"/>
                <w:szCs w:val="15"/>
              </w:rPr>
            </w:r>
          </w:p>
        </w:tc>
        <w:tc>
          <w:tcPr>
            <w:tcW w:w="10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宋体" w:hAnsi="宋体" w:cs="宋体" w:eastAsia="宋体" w:hint="default"/>
                <w:sz w:val="15"/>
                <w:szCs w:val="15"/>
              </w:rPr>
            </w:pPr>
            <w:r>
              <w:rPr>
                <w:rFonts w:ascii="宋体"/>
                <w:w w:val="85"/>
                <w:sz w:val="15"/>
              </w:rPr>
              <w:t>411,118,370.00</w:t>
            </w:r>
            <w:r>
              <w:rPr>
                <w:rFonts w:ascii="宋体"/>
                <w:sz w:val="15"/>
              </w:rPr>
            </w:r>
          </w:p>
        </w:tc>
        <w:tc>
          <w:tcPr>
            <w:tcW w:w="288" w:type="dxa"/>
            <w:tcBorders>
              <w:top w:val="single" w:sz="4" w:space="0" w:color="000000"/>
              <w:left w:val="single" w:sz="4" w:space="0" w:color="000000"/>
              <w:bottom w:val="single" w:sz="12" w:space="0" w:color="000000"/>
              <w:right w:val="single" w:sz="4" w:space="0" w:color="000000"/>
            </w:tcBorders>
          </w:tcPr>
          <w:p>
            <w:pPr/>
          </w:p>
        </w:tc>
        <w:tc>
          <w:tcPr>
            <w:tcW w:w="240" w:type="dxa"/>
            <w:tcBorders>
              <w:top w:val="single" w:sz="4" w:space="0" w:color="000000"/>
              <w:left w:val="single" w:sz="4" w:space="0" w:color="000000"/>
              <w:bottom w:val="single" w:sz="12" w:space="0" w:color="000000"/>
              <w:right w:val="single" w:sz="4" w:space="0" w:color="000000"/>
            </w:tcBorders>
          </w:tcPr>
          <w:p>
            <w:pPr/>
          </w:p>
        </w:tc>
        <w:tc>
          <w:tcPr>
            <w:tcW w:w="278" w:type="dxa"/>
            <w:tcBorders>
              <w:top w:val="single" w:sz="4" w:space="0" w:color="000000"/>
              <w:left w:val="single" w:sz="4" w:space="0" w:color="000000"/>
              <w:bottom w:val="single" w:sz="12" w:space="0" w:color="000000"/>
              <w:right w:val="single" w:sz="4" w:space="0" w:color="000000"/>
            </w:tcBorders>
          </w:tcPr>
          <w:p>
            <w:pPr/>
          </w:p>
        </w:tc>
        <w:tc>
          <w:tcPr>
            <w:tcW w:w="10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5"/>
                <w:szCs w:val="15"/>
              </w:rPr>
            </w:pPr>
            <w:r>
              <w:rPr>
                <w:rFonts w:ascii="宋体"/>
                <w:w w:val="85"/>
                <w:sz w:val="15"/>
              </w:rPr>
              <w:t>739,285,789.70</w:t>
            </w:r>
            <w:r>
              <w:rPr>
                <w:rFonts w:ascii="宋体"/>
                <w:sz w:val="15"/>
              </w:rPr>
            </w:r>
          </w:p>
        </w:tc>
        <w:tc>
          <w:tcPr>
            <w:tcW w:w="10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01" w:right="0"/>
              <w:jc w:val="left"/>
              <w:rPr>
                <w:rFonts w:ascii="宋体" w:hAnsi="宋体" w:cs="宋体" w:eastAsia="宋体" w:hint="default"/>
                <w:sz w:val="15"/>
                <w:szCs w:val="15"/>
              </w:rPr>
            </w:pPr>
            <w:r>
              <w:rPr>
                <w:rFonts w:ascii="宋体"/>
                <w:w w:val="85"/>
                <w:sz w:val="15"/>
              </w:rPr>
              <w:t>25,041,540.00</w:t>
            </w:r>
            <w:r>
              <w:rPr>
                <w:rFonts w:ascii="宋体"/>
                <w:sz w:val="15"/>
              </w:rPr>
            </w:r>
          </w:p>
        </w:tc>
        <w:tc>
          <w:tcPr>
            <w:tcW w:w="240" w:type="dxa"/>
            <w:tcBorders>
              <w:top w:val="single" w:sz="4" w:space="0" w:color="000000"/>
              <w:left w:val="single" w:sz="4" w:space="0" w:color="000000"/>
              <w:bottom w:val="single" w:sz="12" w:space="0" w:color="000000"/>
              <w:right w:val="single" w:sz="4" w:space="0" w:color="000000"/>
            </w:tcBorders>
          </w:tcPr>
          <w:p>
            <w:pPr/>
          </w:p>
        </w:tc>
        <w:tc>
          <w:tcPr>
            <w:tcW w:w="240" w:type="dxa"/>
            <w:tcBorders>
              <w:top w:val="single" w:sz="4" w:space="0" w:color="000000"/>
              <w:left w:val="single" w:sz="4" w:space="0" w:color="000000"/>
              <w:bottom w:val="single" w:sz="12" w:space="0" w:color="000000"/>
              <w:right w:val="single" w:sz="4" w:space="0" w:color="000000"/>
            </w:tcBorders>
          </w:tcPr>
          <w:p>
            <w:pPr/>
          </w:p>
        </w:tc>
        <w:tc>
          <w:tcPr>
            <w:tcW w:w="10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30" w:right="0"/>
              <w:jc w:val="left"/>
              <w:rPr>
                <w:rFonts w:ascii="宋体" w:hAnsi="宋体" w:cs="宋体" w:eastAsia="宋体" w:hint="default"/>
                <w:sz w:val="15"/>
                <w:szCs w:val="15"/>
              </w:rPr>
            </w:pPr>
            <w:r>
              <w:rPr>
                <w:rFonts w:ascii="宋体"/>
                <w:w w:val="85"/>
                <w:sz w:val="15"/>
              </w:rPr>
              <w:t>21,281,039.35</w:t>
            </w:r>
            <w:r>
              <w:rPr>
                <w:rFonts w:ascii="宋体"/>
                <w:sz w:val="15"/>
              </w:rPr>
            </w:r>
          </w:p>
        </w:tc>
        <w:tc>
          <w:tcPr>
            <w:tcW w:w="418" w:type="dxa"/>
            <w:tcBorders>
              <w:top w:val="single" w:sz="4" w:space="0" w:color="000000"/>
              <w:left w:val="single" w:sz="4" w:space="0" w:color="000000"/>
              <w:bottom w:val="single" w:sz="12" w:space="0" w:color="000000"/>
              <w:right w:val="single" w:sz="4" w:space="0" w:color="000000"/>
            </w:tcBorders>
          </w:tcPr>
          <w:p>
            <w:pPr/>
          </w:p>
        </w:tc>
        <w:tc>
          <w:tcPr>
            <w:tcW w:w="11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15" w:right="0"/>
              <w:jc w:val="left"/>
              <w:rPr>
                <w:rFonts w:ascii="宋体" w:hAnsi="宋体" w:cs="宋体" w:eastAsia="宋体" w:hint="default"/>
                <w:sz w:val="15"/>
                <w:szCs w:val="15"/>
              </w:rPr>
            </w:pPr>
            <w:r>
              <w:rPr>
                <w:rFonts w:ascii="宋体"/>
                <w:w w:val="85"/>
                <w:sz w:val="15"/>
              </w:rPr>
              <w:t>-93,456,318.93</w:t>
            </w:r>
            <w:r>
              <w:rPr>
                <w:rFonts w:ascii="宋体"/>
                <w:sz w:val="15"/>
              </w:rPr>
            </w:r>
          </w:p>
        </w:tc>
        <w:tc>
          <w:tcPr>
            <w:tcW w:w="240" w:type="dxa"/>
            <w:tcBorders>
              <w:top w:val="single" w:sz="4" w:space="0" w:color="000000"/>
              <w:left w:val="single" w:sz="4" w:space="0" w:color="000000"/>
              <w:bottom w:val="single" w:sz="12" w:space="0" w:color="000000"/>
              <w:right w:val="single" w:sz="4" w:space="0" w:color="000000"/>
            </w:tcBorders>
          </w:tcPr>
          <w:p>
            <w:pPr/>
          </w:p>
        </w:tc>
        <w:tc>
          <w:tcPr>
            <w:tcW w:w="11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5"/>
                <w:szCs w:val="15"/>
              </w:rPr>
            </w:pPr>
            <w:r>
              <w:rPr>
                <w:rFonts w:ascii="宋体"/>
                <w:w w:val="85"/>
                <w:sz w:val="15"/>
              </w:rPr>
              <w:t>1,053,187,340.12</w:t>
            </w:r>
            <w:r>
              <w:rPr>
                <w:rFonts w:ascii="宋体"/>
                <w:sz w:val="15"/>
              </w:rPr>
            </w:r>
          </w:p>
        </w:tc>
        <w:tc>
          <w:tcPr>
            <w:tcW w:w="10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77" w:right="0"/>
              <w:jc w:val="left"/>
              <w:rPr>
                <w:rFonts w:ascii="宋体" w:hAnsi="宋体" w:cs="宋体" w:eastAsia="宋体" w:hint="default"/>
                <w:sz w:val="15"/>
                <w:szCs w:val="15"/>
              </w:rPr>
            </w:pPr>
            <w:r>
              <w:rPr>
                <w:rFonts w:ascii="宋体"/>
                <w:w w:val="85"/>
                <w:sz w:val="15"/>
              </w:rPr>
              <w:t>3,741,716.65</w:t>
            </w:r>
            <w:r>
              <w:rPr>
                <w:rFonts w:ascii="宋体"/>
                <w:sz w:val="15"/>
              </w:rPr>
            </w:r>
          </w:p>
        </w:tc>
        <w:tc>
          <w:tcPr>
            <w:tcW w:w="11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20" w:right="0"/>
              <w:jc w:val="left"/>
              <w:rPr>
                <w:rFonts w:ascii="宋体" w:hAnsi="宋体" w:cs="宋体" w:eastAsia="宋体" w:hint="default"/>
                <w:sz w:val="15"/>
                <w:szCs w:val="15"/>
              </w:rPr>
            </w:pPr>
            <w:r>
              <w:rPr>
                <w:rFonts w:ascii="宋体"/>
                <w:w w:val="85"/>
                <w:sz w:val="15"/>
              </w:rPr>
              <w:t>1,056,929,056.77</w:t>
            </w:r>
            <w:r>
              <w:rPr>
                <w:rFonts w:ascii="宋体"/>
                <w:sz w:val="15"/>
              </w:rPr>
            </w:r>
          </w:p>
        </w:tc>
      </w:tr>
    </w:tbl>
    <w:p>
      <w:pPr>
        <w:spacing w:line="240" w:lineRule="auto" w:before="10"/>
        <w:rPr>
          <w:rFonts w:ascii="Times New Roman" w:hAnsi="Times New Roman" w:cs="Times New Roman" w:eastAsia="Times New Roman" w:hint="default"/>
          <w:sz w:val="21"/>
          <w:szCs w:val="21"/>
        </w:rPr>
      </w:pPr>
    </w:p>
    <w:p>
      <w:pPr>
        <w:spacing w:line="504" w:lineRule="auto" w:before="36"/>
        <w:ind w:left="1133" w:right="8116" w:firstLine="0"/>
        <w:jc w:val="left"/>
        <w:rPr>
          <w:rFonts w:ascii="宋体" w:hAnsi="宋体" w:cs="宋体" w:eastAsia="宋体" w:hint="default"/>
          <w:sz w:val="21"/>
          <w:szCs w:val="21"/>
        </w:rPr>
      </w:pPr>
      <w:bookmarkStart w:name="8、母公司所有者权益变动表" w:id="216"/>
      <w:bookmarkEnd w:id="21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b/>
          <w:bCs/>
          <w:spacing w:val="-101"/>
          <w:sz w:val="21"/>
          <w:szCs w:val="21"/>
        </w:rPr>
        <w:t> </w:t>
      </w:r>
      <w:bookmarkStart w:name="本期金额" w:id="217"/>
      <w:bookmarkEnd w:id="217"/>
      <w:r>
        <w:rPr>
          <w:rFonts w:ascii="宋体" w:hAnsi="宋体" w:cs="宋体" w:eastAsia="宋体" w:hint="default"/>
          <w:b/>
          <w:bCs/>
          <w:spacing w:val="-101"/>
          <w:sz w:val="21"/>
          <w:szCs w:val="21"/>
        </w:rPr>
      </w:r>
      <w:r>
        <w:rPr>
          <w:rFonts w:ascii="宋体" w:hAnsi="宋体" w:cs="宋体" w:eastAsia="宋体" w:hint="default"/>
          <w:sz w:val="21"/>
          <w:szCs w:val="21"/>
        </w:rPr>
        <w:t>本期金额</w:t>
      </w:r>
    </w:p>
    <w:p>
      <w:pPr>
        <w:spacing w:before="13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52" w:type="dxa"/>
        <w:tblLayout w:type="fixed"/>
        <w:tblCellMar>
          <w:top w:w="0" w:type="dxa"/>
          <w:left w:w="0" w:type="dxa"/>
          <w:bottom w:w="0" w:type="dxa"/>
          <w:right w:w="0" w:type="dxa"/>
        </w:tblCellMar>
        <w:tblLook w:val="01E0"/>
      </w:tblPr>
      <w:tblGrid>
        <w:gridCol w:w="1883"/>
        <w:gridCol w:w="1440"/>
        <w:gridCol w:w="336"/>
        <w:gridCol w:w="288"/>
        <w:gridCol w:w="350"/>
        <w:gridCol w:w="1345"/>
        <w:gridCol w:w="1248"/>
        <w:gridCol w:w="274"/>
        <w:gridCol w:w="288"/>
        <w:gridCol w:w="1201"/>
        <w:gridCol w:w="1383"/>
        <w:gridCol w:w="312"/>
        <w:gridCol w:w="1417"/>
      </w:tblGrid>
      <w:tr>
        <w:trPr>
          <w:trHeight w:val="408" w:hRule="exact"/>
        </w:trPr>
        <w:tc>
          <w:tcPr>
            <w:tcW w:w="1883"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 w:right="17"/>
              <w:jc w:val="center"/>
              <w:rPr>
                <w:rFonts w:ascii="宋体" w:hAnsi="宋体" w:cs="宋体" w:eastAsia="宋体" w:hint="default"/>
                <w:sz w:val="15"/>
                <w:szCs w:val="15"/>
              </w:rPr>
            </w:pPr>
            <w:r>
              <w:rPr>
                <w:rFonts w:ascii="宋体" w:hAnsi="宋体" w:cs="宋体" w:eastAsia="宋体" w:hint="default"/>
                <w:sz w:val="15"/>
                <w:szCs w:val="15"/>
              </w:rPr>
              <w:t>项目</w:t>
            </w:r>
          </w:p>
        </w:tc>
        <w:tc>
          <w:tcPr>
            <w:tcW w:w="9882" w:type="dxa"/>
            <w:gridSpan w:val="12"/>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79"/>
              <w:ind w:left="13" w:right="0"/>
              <w:jc w:val="center"/>
              <w:rPr>
                <w:rFonts w:ascii="宋体" w:hAnsi="宋体" w:cs="宋体" w:eastAsia="宋体" w:hint="default"/>
                <w:sz w:val="15"/>
                <w:szCs w:val="15"/>
              </w:rPr>
            </w:pPr>
            <w:r>
              <w:rPr>
                <w:rFonts w:ascii="宋体" w:hAnsi="宋体" w:cs="宋体" w:eastAsia="宋体" w:hint="default"/>
                <w:sz w:val="15"/>
                <w:szCs w:val="15"/>
              </w:rPr>
              <w:t>2019</w:t>
            </w:r>
            <w:r>
              <w:rPr>
                <w:rFonts w:ascii="宋体" w:hAnsi="宋体" w:cs="宋体" w:eastAsia="宋体" w:hint="default"/>
                <w:spacing w:val="-38"/>
                <w:sz w:val="15"/>
                <w:szCs w:val="15"/>
              </w:rPr>
              <w:t> </w:t>
            </w:r>
            <w:r>
              <w:rPr>
                <w:rFonts w:ascii="宋体" w:hAnsi="宋体" w:cs="宋体" w:eastAsia="宋体" w:hint="default"/>
                <w:sz w:val="15"/>
                <w:szCs w:val="15"/>
              </w:rPr>
              <w:t>年度</w:t>
            </w:r>
          </w:p>
        </w:tc>
      </w:tr>
      <w:tr>
        <w:trPr>
          <w:trHeight w:val="720" w:hRule="exact"/>
        </w:trPr>
        <w:tc>
          <w:tcPr>
            <w:tcW w:w="1883" w:type="dxa"/>
            <w:vMerge/>
            <w:tcBorders>
              <w:left w:val="single" w:sz="12" w:space="0" w:color="000000"/>
              <w:right w:val="single" w:sz="4" w:space="0" w:color="000000"/>
            </w:tcBorders>
            <w:shd w:val="clear" w:color="auto" w:fill="D2D2D2"/>
          </w:tcPr>
          <w:p>
            <w:pPr/>
          </w:p>
        </w:tc>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9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84"/>
              <w:ind w:left="408" w:right="108" w:hanging="298"/>
              <w:jc w:val="left"/>
              <w:rPr>
                <w:rFonts w:ascii="宋体" w:hAnsi="宋体" w:cs="宋体" w:eastAsia="宋体" w:hint="default"/>
                <w:sz w:val="15"/>
                <w:szCs w:val="15"/>
              </w:rPr>
            </w:pPr>
            <w:r>
              <w:rPr>
                <w:rFonts w:ascii="宋体" w:hAnsi="宋体" w:cs="宋体" w:eastAsia="宋体" w:hint="default"/>
                <w:sz w:val="15"/>
                <w:szCs w:val="15"/>
              </w:rPr>
              <w:t>其他权益工</w:t>
            </w:r>
            <w:r>
              <w:rPr>
                <w:rFonts w:ascii="宋体" w:hAnsi="宋体" w:cs="宋体" w:eastAsia="宋体" w:hint="default"/>
                <w:w w:val="99"/>
                <w:sz w:val="15"/>
                <w:szCs w:val="15"/>
              </w:rPr>
              <w:t> </w:t>
            </w:r>
            <w:r>
              <w:rPr>
                <w:rFonts w:ascii="宋体" w:hAnsi="宋体" w:cs="宋体" w:eastAsia="宋体" w:hint="default"/>
                <w:sz w:val="15"/>
                <w:szCs w:val="15"/>
              </w:rPr>
              <w:t>具</w:t>
            </w:r>
          </w:p>
        </w:tc>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36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39"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274" w:type="dxa"/>
            <w:vMerge w:val="restart"/>
            <w:tcBorders>
              <w:top w:val="single" w:sz="4" w:space="0" w:color="000000"/>
              <w:left w:val="single" w:sz="4" w:space="0" w:color="000000"/>
              <w:right w:val="single" w:sz="4" w:space="0" w:color="000000"/>
            </w:tcBorders>
            <w:shd w:val="clear" w:color="auto" w:fill="D2D2D2"/>
          </w:tcPr>
          <w:p>
            <w:pPr>
              <w:pStyle w:val="TableParagraph"/>
              <w:spacing w:line="381" w:lineRule="auto" w:before="84"/>
              <w:ind w:left="100" w:right="12"/>
              <w:jc w:val="both"/>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99"/>
                <w:sz w:val="15"/>
                <w:szCs w:val="15"/>
              </w:rPr>
              <w:t> </w:t>
            </w:r>
            <w:r>
              <w:rPr>
                <w:rFonts w:ascii="宋体" w:hAnsi="宋体" w:cs="宋体" w:eastAsia="宋体" w:hint="default"/>
                <w:sz w:val="15"/>
                <w:szCs w:val="15"/>
              </w:rPr>
              <w:t>他</w:t>
            </w:r>
            <w:r>
              <w:rPr>
                <w:rFonts w:ascii="宋体" w:hAnsi="宋体" w:cs="宋体" w:eastAsia="宋体" w:hint="default"/>
                <w:w w:val="99"/>
                <w:sz w:val="15"/>
                <w:szCs w:val="15"/>
              </w:rPr>
              <w:t> </w:t>
            </w:r>
            <w:r>
              <w:rPr>
                <w:rFonts w:ascii="宋体" w:hAnsi="宋体" w:cs="宋体" w:eastAsia="宋体" w:hint="default"/>
                <w:sz w:val="15"/>
                <w:szCs w:val="15"/>
              </w:rPr>
              <w:t>综</w:t>
            </w:r>
            <w:r>
              <w:rPr>
                <w:rFonts w:ascii="宋体" w:hAnsi="宋体" w:cs="宋体" w:eastAsia="宋体" w:hint="default"/>
                <w:w w:val="99"/>
                <w:sz w:val="15"/>
                <w:szCs w:val="15"/>
              </w:rPr>
              <w:t> </w:t>
            </w:r>
            <w:r>
              <w:rPr>
                <w:rFonts w:ascii="宋体" w:hAnsi="宋体" w:cs="宋体" w:eastAsia="宋体" w:hint="default"/>
                <w:sz w:val="15"/>
                <w:szCs w:val="15"/>
              </w:rPr>
              <w:t>合</w:t>
            </w:r>
            <w:r>
              <w:rPr>
                <w:rFonts w:ascii="宋体" w:hAnsi="宋体" w:cs="宋体" w:eastAsia="宋体" w:hint="default"/>
                <w:w w:val="99"/>
                <w:sz w:val="15"/>
                <w:szCs w:val="15"/>
              </w:rPr>
              <w:t> </w:t>
            </w:r>
            <w:r>
              <w:rPr>
                <w:rFonts w:ascii="宋体" w:hAnsi="宋体" w:cs="宋体" w:eastAsia="宋体" w:hint="default"/>
                <w:sz w:val="15"/>
                <w:szCs w:val="15"/>
              </w:rPr>
              <w:t>收</w:t>
            </w:r>
            <w:r>
              <w:rPr>
                <w:rFonts w:ascii="宋体" w:hAnsi="宋体" w:cs="宋体" w:eastAsia="宋体" w:hint="default"/>
                <w:w w:val="99"/>
                <w:sz w:val="15"/>
                <w:szCs w:val="15"/>
              </w:rPr>
              <w:t> </w:t>
            </w:r>
            <w:r>
              <w:rPr>
                <w:rFonts w:ascii="宋体" w:hAnsi="宋体" w:cs="宋体" w:eastAsia="宋体" w:hint="default"/>
                <w:sz w:val="15"/>
                <w:szCs w:val="15"/>
              </w:rPr>
              <w:t>益</w:t>
            </w:r>
          </w:p>
        </w:tc>
        <w:tc>
          <w:tcPr>
            <w:tcW w:w="2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381" w:lineRule="auto"/>
              <w:ind w:left="105" w:right="23"/>
              <w:jc w:val="both"/>
              <w:rPr>
                <w:rFonts w:ascii="宋体" w:hAnsi="宋体" w:cs="宋体" w:eastAsia="宋体" w:hint="default"/>
                <w:sz w:val="15"/>
                <w:szCs w:val="15"/>
              </w:rPr>
            </w:pPr>
            <w:r>
              <w:rPr>
                <w:rFonts w:ascii="宋体" w:hAnsi="宋体" w:cs="宋体" w:eastAsia="宋体" w:hint="default"/>
                <w:sz w:val="15"/>
                <w:szCs w:val="15"/>
              </w:rPr>
              <w:t>专</w:t>
            </w:r>
            <w:r>
              <w:rPr>
                <w:rFonts w:ascii="宋体" w:hAnsi="宋体" w:cs="宋体" w:eastAsia="宋体" w:hint="default"/>
                <w:w w:val="99"/>
                <w:sz w:val="15"/>
                <w:szCs w:val="15"/>
              </w:rPr>
              <w:t> </w:t>
            </w:r>
            <w:r>
              <w:rPr>
                <w:rFonts w:ascii="宋体" w:hAnsi="宋体" w:cs="宋体" w:eastAsia="宋体" w:hint="default"/>
                <w:sz w:val="15"/>
                <w:szCs w:val="15"/>
              </w:rPr>
              <w:t>项</w:t>
            </w:r>
            <w:r>
              <w:rPr>
                <w:rFonts w:ascii="宋体" w:hAnsi="宋体" w:cs="宋体" w:eastAsia="宋体" w:hint="default"/>
                <w:w w:val="99"/>
                <w:sz w:val="15"/>
                <w:szCs w:val="15"/>
              </w:rPr>
              <w:t> </w:t>
            </w:r>
            <w:r>
              <w:rPr>
                <w:rFonts w:ascii="宋体" w:hAnsi="宋体" w:cs="宋体" w:eastAsia="宋体" w:hint="default"/>
                <w:sz w:val="15"/>
                <w:szCs w:val="15"/>
              </w:rPr>
              <w:t>储</w:t>
            </w:r>
            <w:r>
              <w:rPr>
                <w:rFonts w:ascii="宋体" w:hAnsi="宋体" w:cs="宋体" w:eastAsia="宋体" w:hint="default"/>
                <w:w w:val="99"/>
                <w:sz w:val="15"/>
                <w:szCs w:val="15"/>
              </w:rPr>
              <w:t> </w:t>
            </w:r>
            <w:r>
              <w:rPr>
                <w:rFonts w:ascii="宋体" w:hAnsi="宋体" w:cs="宋体" w:eastAsia="宋体" w:hint="default"/>
                <w:sz w:val="15"/>
                <w:szCs w:val="15"/>
              </w:rPr>
              <w:t>备</w:t>
            </w: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97"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311"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3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381" w:lineRule="auto"/>
              <w:ind w:left="100" w:right="50"/>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99"/>
                <w:sz w:val="15"/>
                <w:szCs w:val="15"/>
              </w:rPr>
              <w:t> </w:t>
            </w:r>
            <w:r>
              <w:rPr>
                <w:rFonts w:ascii="宋体" w:hAnsi="宋体" w:cs="宋体" w:eastAsia="宋体" w:hint="default"/>
                <w:sz w:val="15"/>
                <w:szCs w:val="15"/>
              </w:rPr>
              <w:t>他</w:t>
            </w:r>
          </w:p>
        </w:tc>
        <w:tc>
          <w:tcPr>
            <w:tcW w:w="1417"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7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248" w:hRule="exact"/>
        </w:trPr>
        <w:tc>
          <w:tcPr>
            <w:tcW w:w="1883" w:type="dxa"/>
            <w:vMerge/>
            <w:tcBorders>
              <w:left w:val="single" w:sz="12"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c>
          <w:tcPr>
            <w:tcW w:w="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381" w:lineRule="auto"/>
              <w:ind w:left="105" w:right="71"/>
              <w:jc w:val="both"/>
              <w:rPr>
                <w:rFonts w:ascii="宋体" w:hAnsi="宋体" w:cs="宋体" w:eastAsia="宋体" w:hint="default"/>
                <w:sz w:val="15"/>
                <w:szCs w:val="15"/>
              </w:rPr>
            </w:pPr>
            <w:r>
              <w:rPr>
                <w:rFonts w:ascii="宋体" w:hAnsi="宋体" w:cs="宋体" w:eastAsia="宋体" w:hint="default"/>
                <w:sz w:val="15"/>
                <w:szCs w:val="15"/>
              </w:rPr>
              <w:t>优</w:t>
            </w:r>
            <w:r>
              <w:rPr>
                <w:rFonts w:ascii="宋体" w:hAnsi="宋体" w:cs="宋体" w:eastAsia="宋体" w:hint="default"/>
                <w:w w:val="99"/>
                <w:sz w:val="15"/>
                <w:szCs w:val="15"/>
              </w:rPr>
              <w:t> </w:t>
            </w:r>
            <w:r>
              <w:rPr>
                <w:rFonts w:ascii="宋体" w:hAnsi="宋体" w:cs="宋体" w:eastAsia="宋体" w:hint="default"/>
                <w:sz w:val="15"/>
                <w:szCs w:val="15"/>
              </w:rPr>
              <w:t>先</w:t>
            </w:r>
            <w:r>
              <w:rPr>
                <w:rFonts w:ascii="宋体" w:hAnsi="宋体" w:cs="宋体" w:eastAsia="宋体" w:hint="default"/>
                <w:w w:val="99"/>
                <w:sz w:val="15"/>
                <w:szCs w:val="15"/>
              </w:rPr>
              <w:t> </w:t>
            </w:r>
            <w:r>
              <w:rPr>
                <w:rFonts w:ascii="宋体" w:hAnsi="宋体" w:cs="宋体" w:eastAsia="宋体" w:hint="default"/>
                <w:sz w:val="15"/>
                <w:szCs w:val="15"/>
              </w:rPr>
              <w:t>股</w:t>
            </w: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381" w:lineRule="auto"/>
              <w:ind w:left="105" w:right="23"/>
              <w:jc w:val="both"/>
              <w:rPr>
                <w:rFonts w:ascii="宋体" w:hAnsi="宋体" w:cs="宋体" w:eastAsia="宋体" w:hint="default"/>
                <w:sz w:val="15"/>
                <w:szCs w:val="15"/>
              </w:rPr>
            </w:pPr>
            <w:r>
              <w:rPr>
                <w:rFonts w:ascii="宋体" w:hAnsi="宋体" w:cs="宋体" w:eastAsia="宋体" w:hint="default"/>
                <w:sz w:val="15"/>
                <w:szCs w:val="15"/>
              </w:rPr>
              <w:t>永</w:t>
            </w:r>
            <w:r>
              <w:rPr>
                <w:rFonts w:ascii="宋体" w:hAnsi="宋体" w:cs="宋体" w:eastAsia="宋体" w:hint="default"/>
                <w:w w:val="99"/>
                <w:sz w:val="15"/>
                <w:szCs w:val="15"/>
              </w:rPr>
              <w:t> </w:t>
            </w:r>
            <w:r>
              <w:rPr>
                <w:rFonts w:ascii="宋体" w:hAnsi="宋体" w:cs="宋体" w:eastAsia="宋体" w:hint="default"/>
                <w:sz w:val="15"/>
                <w:szCs w:val="15"/>
              </w:rPr>
              <w:t>续</w:t>
            </w:r>
            <w:r>
              <w:rPr>
                <w:rFonts w:ascii="宋体" w:hAnsi="宋体" w:cs="宋体" w:eastAsia="宋体" w:hint="default"/>
                <w:w w:val="99"/>
                <w:sz w:val="15"/>
                <w:szCs w:val="15"/>
              </w:rPr>
              <w:t> </w:t>
            </w:r>
            <w:r>
              <w:rPr>
                <w:rFonts w:ascii="宋体" w:hAnsi="宋体" w:cs="宋体" w:eastAsia="宋体" w:hint="default"/>
                <w:sz w:val="15"/>
                <w:szCs w:val="15"/>
              </w:rPr>
              <w:t>债</w:t>
            </w:r>
          </w:p>
        </w:tc>
        <w:tc>
          <w:tcPr>
            <w:tcW w:w="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2"/>
                <w:szCs w:val="12"/>
              </w:rPr>
            </w:pPr>
          </w:p>
          <w:p>
            <w:pPr>
              <w:pStyle w:val="TableParagraph"/>
              <w:spacing w:line="386" w:lineRule="auto"/>
              <w:ind w:left="105" w:right="84"/>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99"/>
                <w:sz w:val="15"/>
                <w:szCs w:val="15"/>
              </w:rPr>
              <w:t> </w:t>
            </w:r>
            <w:r>
              <w:rPr>
                <w:rFonts w:ascii="宋体" w:hAnsi="宋体" w:cs="宋体" w:eastAsia="宋体" w:hint="default"/>
                <w:sz w:val="15"/>
                <w:szCs w:val="15"/>
              </w:rPr>
              <w:t>他</w:t>
            </w:r>
          </w:p>
        </w:tc>
        <w:tc>
          <w:tcPr>
            <w:tcW w:w="1345"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274" w:type="dxa"/>
            <w:vMerge/>
            <w:tcBorders>
              <w:left w:val="single" w:sz="4" w:space="0" w:color="000000"/>
              <w:bottom w:val="single" w:sz="4" w:space="0" w:color="000000"/>
              <w:right w:val="single" w:sz="4" w:space="0" w:color="000000"/>
            </w:tcBorders>
            <w:shd w:val="clear" w:color="auto" w:fill="D2D2D2"/>
          </w:tcPr>
          <w:p>
            <w:pPr/>
          </w:p>
        </w:tc>
        <w:tc>
          <w:tcPr>
            <w:tcW w:w="288"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383" w:type="dxa"/>
            <w:vMerge/>
            <w:tcBorders>
              <w:left w:val="single" w:sz="4" w:space="0" w:color="000000"/>
              <w:bottom w:val="single" w:sz="4" w:space="0" w:color="000000"/>
              <w:right w:val="single" w:sz="4" w:space="0" w:color="000000"/>
            </w:tcBorders>
            <w:shd w:val="clear" w:color="auto" w:fill="D2D2D2"/>
          </w:tcPr>
          <w:p>
            <w:pPr/>
          </w:p>
        </w:tc>
        <w:tc>
          <w:tcPr>
            <w:tcW w:w="312"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12" w:space="0" w:color="000000"/>
            </w:tcBorders>
            <w:shd w:val="clear" w:color="auto" w:fill="D2D2D2"/>
          </w:tcPr>
          <w:p>
            <w:pPr/>
          </w:p>
        </w:tc>
      </w:tr>
      <w:tr>
        <w:trPr>
          <w:trHeight w:val="403"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宋体" w:hAnsi="宋体" w:cs="宋体" w:eastAsia="宋体" w:hint="default"/>
                <w:sz w:val="15"/>
                <w:szCs w:val="15"/>
              </w:rPr>
            </w:pPr>
            <w:r>
              <w:rPr>
                <w:rFonts w:ascii="宋体"/>
                <w:w w:val="95"/>
                <w:sz w:val="15"/>
              </w:rPr>
              <w:t>411,118,370.00</w:t>
            </w:r>
            <w:r>
              <w:rPr>
                <w:rFonts w:ascii="宋体"/>
                <w:sz w:val="15"/>
              </w:rPr>
            </w: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宋体" w:hAnsi="宋体" w:cs="宋体" w:eastAsia="宋体" w:hint="default"/>
                <w:sz w:val="15"/>
                <w:szCs w:val="15"/>
              </w:rPr>
            </w:pPr>
            <w:r>
              <w:rPr>
                <w:rFonts w:ascii="宋体"/>
                <w:w w:val="95"/>
                <w:sz w:val="15"/>
              </w:rPr>
              <w:t>759,666,154.68</w:t>
            </w:r>
            <w:r>
              <w:rPr>
                <w:rFonts w:ascii="宋体"/>
                <w:sz w:val="15"/>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w w:val="95"/>
                <w:sz w:val="15"/>
              </w:rPr>
              <w:t>25,041,540.00</w:t>
            </w:r>
            <w:r>
              <w:rPr>
                <w:rFonts w:ascii="宋体"/>
                <w:sz w:val="15"/>
              </w:rPr>
            </w: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4" w:right="0"/>
              <w:jc w:val="center"/>
              <w:rPr>
                <w:rFonts w:ascii="宋体" w:hAnsi="宋体" w:cs="宋体" w:eastAsia="宋体" w:hint="default"/>
                <w:sz w:val="15"/>
                <w:szCs w:val="15"/>
              </w:rPr>
            </w:pPr>
            <w:r>
              <w:rPr>
                <w:rFonts w:ascii="宋体"/>
                <w:sz w:val="15"/>
              </w:rPr>
              <w:t>21,281,039.35</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w w:val="95"/>
                <w:sz w:val="15"/>
              </w:rPr>
              <w:t>-172,607,606.14</w:t>
            </w:r>
            <w:r>
              <w:rPr>
                <w:rFonts w:ascii="宋体"/>
                <w:sz w:val="15"/>
              </w:rPr>
            </w: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9"/>
              <w:ind w:right="93"/>
              <w:jc w:val="right"/>
              <w:rPr>
                <w:rFonts w:ascii="宋体" w:hAnsi="宋体" w:cs="宋体" w:eastAsia="宋体" w:hint="default"/>
                <w:sz w:val="15"/>
                <w:szCs w:val="15"/>
              </w:rPr>
            </w:pPr>
            <w:r>
              <w:rPr>
                <w:rFonts w:ascii="宋体"/>
                <w:w w:val="95"/>
                <w:sz w:val="15"/>
              </w:rPr>
              <w:t>994,416,417.89</w:t>
            </w:r>
            <w:r>
              <w:rPr>
                <w:rFonts w:ascii="宋体"/>
                <w:sz w:val="15"/>
              </w:rPr>
            </w:r>
          </w:p>
        </w:tc>
      </w:tr>
      <w:tr>
        <w:trPr>
          <w:trHeight w:val="399"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388"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686"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1" w:right="191"/>
              <w:jc w:val="center"/>
              <w:rPr>
                <w:rFonts w:ascii="宋体" w:hAnsi="宋体" w:cs="宋体" w:eastAsia="宋体" w:hint="default"/>
                <w:sz w:val="15"/>
                <w:szCs w:val="15"/>
              </w:rPr>
            </w:pPr>
            <w:r>
              <w:rPr>
                <w:rFonts w:ascii="宋体" w:hAnsi="宋体" w:cs="宋体" w:eastAsia="宋体" w:hint="default"/>
                <w:sz w:val="15"/>
                <w:szCs w:val="15"/>
              </w:rPr>
              <w:t>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宋体" w:hAnsi="宋体" w:cs="宋体" w:eastAsia="宋体" w:hint="default"/>
                <w:sz w:val="15"/>
                <w:szCs w:val="15"/>
              </w:rPr>
            </w:pPr>
            <w:r>
              <w:rPr>
                <w:rFonts w:ascii="宋体"/>
                <w:w w:val="95"/>
                <w:sz w:val="15"/>
              </w:rPr>
              <w:t>411,118,370.00</w:t>
            </w:r>
            <w:r>
              <w:rPr>
                <w:rFonts w:ascii="宋体"/>
                <w:sz w:val="15"/>
              </w:rPr>
            </w: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3"/>
              <w:jc w:val="right"/>
              <w:rPr>
                <w:rFonts w:ascii="宋体" w:hAnsi="宋体" w:cs="宋体" w:eastAsia="宋体" w:hint="default"/>
                <w:sz w:val="15"/>
                <w:szCs w:val="15"/>
              </w:rPr>
            </w:pPr>
            <w:r>
              <w:rPr>
                <w:rFonts w:ascii="宋体"/>
                <w:w w:val="95"/>
                <w:sz w:val="15"/>
              </w:rPr>
              <w:t>759,666,154.68</w:t>
            </w:r>
            <w:r>
              <w:rPr>
                <w:rFonts w:ascii="宋体"/>
                <w:sz w:val="15"/>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w w:val="95"/>
                <w:sz w:val="15"/>
              </w:rPr>
              <w:t>25,041,540.00</w:t>
            </w:r>
            <w:r>
              <w:rPr>
                <w:rFonts w:ascii="宋体"/>
                <w:sz w:val="15"/>
              </w:rPr>
            </w: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4" w:right="0"/>
              <w:jc w:val="center"/>
              <w:rPr>
                <w:rFonts w:ascii="宋体" w:hAnsi="宋体" w:cs="宋体" w:eastAsia="宋体" w:hint="default"/>
                <w:sz w:val="15"/>
                <w:szCs w:val="15"/>
              </w:rPr>
            </w:pPr>
            <w:r>
              <w:rPr>
                <w:rFonts w:ascii="宋体"/>
                <w:sz w:val="15"/>
              </w:rPr>
              <w:t>21,281,039.35</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w w:val="95"/>
                <w:sz w:val="15"/>
              </w:rPr>
              <w:t>-172,607,606.14</w:t>
            </w:r>
            <w:r>
              <w:rPr>
                <w:rFonts w:ascii="宋体"/>
                <w:sz w:val="15"/>
              </w:rPr>
            </w: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9"/>
              <w:ind w:right="93"/>
              <w:jc w:val="right"/>
              <w:rPr>
                <w:rFonts w:ascii="宋体" w:hAnsi="宋体" w:cs="宋体" w:eastAsia="宋体" w:hint="default"/>
                <w:sz w:val="15"/>
                <w:szCs w:val="15"/>
              </w:rPr>
            </w:pPr>
            <w:r>
              <w:rPr>
                <w:rFonts w:ascii="宋体"/>
                <w:w w:val="95"/>
                <w:sz w:val="15"/>
              </w:rPr>
              <w:t>994,416,417.89</w:t>
            </w:r>
            <w:r>
              <w:rPr>
                <w:rFonts w:ascii="宋体"/>
                <w:sz w:val="15"/>
              </w:rPr>
            </w:r>
          </w:p>
        </w:tc>
      </w:tr>
      <w:tr>
        <w:trPr>
          <w:trHeight w:val="711"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09"/>
              <w:jc w:val="left"/>
              <w:rPr>
                <w:rFonts w:ascii="宋体" w:hAnsi="宋体" w:cs="宋体" w:eastAsia="宋体" w:hint="default"/>
                <w:sz w:val="15"/>
                <w:szCs w:val="15"/>
              </w:rPr>
            </w:pPr>
            <w:r>
              <w:rPr>
                <w:rFonts w:ascii="宋体" w:hAnsi="宋体" w:cs="宋体" w:eastAsia="宋体" w:hint="default"/>
                <w:spacing w:val="-11"/>
                <w:w w:val="99"/>
                <w:sz w:val="15"/>
                <w:szCs w:val="15"/>
              </w:rPr>
              <w:t>三、本期增减变动金额（减</w:t>
            </w:r>
            <w:r>
              <w:rPr>
                <w:rFonts w:ascii="宋体" w:hAnsi="宋体" w:cs="宋体" w:eastAsia="宋体" w:hint="default"/>
                <w:spacing w:val="-71"/>
                <w:w w:val="99"/>
                <w:sz w:val="15"/>
                <w:szCs w:val="15"/>
              </w:rPr>
              <w:t> </w:t>
            </w:r>
            <w:r>
              <w:rPr>
                <w:rFonts w:ascii="宋体" w:hAnsi="宋体" w:cs="宋体" w:eastAsia="宋体" w:hint="default"/>
                <w:spacing w:val="-71"/>
                <w:w w:val="99"/>
                <w:sz w:val="15"/>
                <w:szCs w:val="15"/>
              </w:rPr>
            </w:r>
            <w:r>
              <w:rPr>
                <w:rFonts w:ascii="宋体" w:hAnsi="宋体" w:cs="宋体" w:eastAsia="宋体" w:hint="default"/>
                <w:sz w:val="15"/>
                <w:szCs w:val="15"/>
              </w:rPr>
              <w:t>少以“－”号填列）</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5"/>
                <w:szCs w:val="15"/>
              </w:rPr>
            </w:pPr>
            <w:r>
              <w:rPr>
                <w:rFonts w:ascii="宋体"/>
                <w:w w:val="95"/>
                <w:sz w:val="15"/>
              </w:rPr>
              <w:t>176,464.79</w:t>
            </w:r>
            <w:r>
              <w:rPr>
                <w:rFonts w:ascii="宋体"/>
                <w:sz w:val="15"/>
              </w:rPr>
            </w: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5"/>
                <w:szCs w:val="15"/>
              </w:rPr>
            </w:pPr>
            <w:r>
              <w:rPr>
                <w:rFonts w:ascii="宋体"/>
                <w:w w:val="95"/>
                <w:sz w:val="15"/>
              </w:rPr>
              <w:t>27,251,045.49</w:t>
            </w:r>
            <w:r>
              <w:rPr>
                <w:rFonts w:ascii="宋体"/>
                <w:sz w:val="15"/>
              </w:rPr>
            </w: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2"/>
              <w:jc w:val="right"/>
              <w:rPr>
                <w:rFonts w:ascii="宋体" w:hAnsi="宋体" w:cs="宋体" w:eastAsia="宋体" w:hint="default"/>
                <w:sz w:val="15"/>
                <w:szCs w:val="15"/>
              </w:rPr>
            </w:pPr>
            <w:r>
              <w:rPr>
                <w:rFonts w:ascii="宋体"/>
                <w:w w:val="95"/>
                <w:sz w:val="15"/>
              </w:rPr>
              <w:t>27,427,510.28</w:t>
            </w:r>
            <w:r>
              <w:rPr>
                <w:rFonts w:ascii="宋体"/>
                <w:sz w:val="15"/>
              </w:rPr>
            </w:r>
          </w:p>
        </w:tc>
      </w:tr>
      <w:tr>
        <w:trPr>
          <w:trHeight w:val="403"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w w:val="95"/>
                <w:sz w:val="15"/>
              </w:rPr>
              <w:t>27,251,045.49</w:t>
            </w:r>
            <w:r>
              <w:rPr>
                <w:rFonts w:ascii="宋体"/>
                <w:sz w:val="15"/>
              </w:rPr>
            </w: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9"/>
              <w:ind w:right="92"/>
              <w:jc w:val="right"/>
              <w:rPr>
                <w:rFonts w:ascii="宋体" w:hAnsi="宋体" w:cs="宋体" w:eastAsia="宋体" w:hint="default"/>
                <w:sz w:val="15"/>
                <w:szCs w:val="15"/>
              </w:rPr>
            </w:pPr>
            <w:r>
              <w:rPr>
                <w:rFonts w:ascii="宋体"/>
                <w:w w:val="95"/>
                <w:sz w:val="15"/>
              </w:rPr>
              <w:t>27,251,045.49</w:t>
            </w:r>
            <w:r>
              <w:rPr>
                <w:rFonts w:ascii="宋体"/>
                <w:sz w:val="15"/>
              </w:rPr>
            </w:r>
          </w:p>
        </w:tc>
      </w:tr>
      <w:tr>
        <w:trPr>
          <w:trHeight w:val="715"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24"/>
              <w:jc w:val="left"/>
              <w:rPr>
                <w:rFonts w:ascii="宋体" w:hAnsi="宋体" w:cs="宋体" w:eastAsia="宋体" w:hint="default"/>
                <w:sz w:val="15"/>
                <w:szCs w:val="15"/>
              </w:rPr>
            </w:pPr>
            <w:r>
              <w:rPr>
                <w:rFonts w:ascii="宋体" w:hAnsi="宋体" w:cs="宋体" w:eastAsia="宋体" w:hint="default"/>
                <w:sz w:val="15"/>
                <w:szCs w:val="15"/>
              </w:rPr>
              <w:t>（二）所有者投入和减少</w:t>
            </w:r>
            <w:r>
              <w:rPr>
                <w:rFonts w:ascii="宋体" w:hAnsi="宋体" w:cs="宋体" w:eastAsia="宋体" w:hint="default"/>
                <w:w w:val="99"/>
                <w:sz w:val="15"/>
                <w:szCs w:val="15"/>
              </w:rPr>
              <w:t> </w:t>
            </w:r>
            <w:r>
              <w:rPr>
                <w:rFonts w:ascii="宋体" w:hAnsi="宋体" w:cs="宋体" w:eastAsia="宋体" w:hint="default"/>
                <w:sz w:val="15"/>
                <w:szCs w:val="15"/>
              </w:rPr>
              <w:t>资本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宋体" w:hAnsi="宋体" w:cs="宋体" w:eastAsia="宋体" w:hint="default"/>
                <w:sz w:val="15"/>
                <w:szCs w:val="15"/>
              </w:rPr>
            </w:pPr>
            <w:r>
              <w:rPr>
                <w:rFonts w:ascii="宋体"/>
                <w:w w:val="95"/>
                <w:sz w:val="15"/>
              </w:rPr>
              <w:t>176,464.79</w:t>
            </w:r>
            <w:r>
              <w:rPr>
                <w:rFonts w:ascii="宋体"/>
                <w:sz w:val="15"/>
              </w:rPr>
            </w: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2"/>
              <w:jc w:val="right"/>
              <w:rPr>
                <w:rFonts w:ascii="宋体" w:hAnsi="宋体" w:cs="宋体" w:eastAsia="宋体" w:hint="default"/>
                <w:sz w:val="15"/>
                <w:szCs w:val="15"/>
              </w:rPr>
            </w:pPr>
            <w:r>
              <w:rPr>
                <w:rFonts w:ascii="宋体"/>
                <w:w w:val="95"/>
                <w:sz w:val="15"/>
              </w:rPr>
              <w:t>176,464.79</w:t>
            </w:r>
            <w:r>
              <w:rPr>
                <w:rFonts w:ascii="宋体"/>
                <w:sz w:val="15"/>
              </w:rPr>
            </w:r>
          </w:p>
        </w:tc>
      </w:tr>
      <w:tr>
        <w:trPr>
          <w:trHeight w:val="404"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．所有者投入的普通股</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09"/>
              <w:jc w:val="left"/>
              <w:rPr>
                <w:rFonts w:ascii="宋体" w:hAnsi="宋体" w:cs="宋体" w:eastAsia="宋体" w:hint="default"/>
                <w:sz w:val="15"/>
                <w:szCs w:val="15"/>
              </w:rPr>
            </w:pPr>
            <w:r>
              <w:rPr>
                <w:rFonts w:ascii="宋体" w:hAnsi="宋体" w:cs="宋体" w:eastAsia="宋体" w:hint="default"/>
                <w:spacing w:val="-5"/>
                <w:w w:val="99"/>
                <w:sz w:val="15"/>
                <w:szCs w:val="15"/>
              </w:rPr>
              <w:t>2</w:t>
            </w:r>
            <w:r>
              <w:rPr>
                <w:rFonts w:ascii="宋体" w:hAnsi="宋体" w:cs="宋体" w:eastAsia="宋体" w:hint="default"/>
                <w:spacing w:val="-5"/>
                <w:w w:val="99"/>
                <w:sz w:val="15"/>
                <w:szCs w:val="15"/>
              </w:rPr>
              <w:t>．其他权益工具持有者投</w:t>
            </w:r>
            <w:r>
              <w:rPr>
                <w:rFonts w:ascii="宋体" w:hAnsi="宋体" w:cs="宋体" w:eastAsia="宋体" w:hint="default"/>
                <w:spacing w:val="-67"/>
                <w:w w:val="99"/>
                <w:sz w:val="15"/>
                <w:szCs w:val="15"/>
              </w:rPr>
              <w:t> </w:t>
            </w:r>
            <w:r>
              <w:rPr>
                <w:rFonts w:ascii="宋体" w:hAnsi="宋体" w:cs="宋体" w:eastAsia="宋体" w:hint="default"/>
                <w:spacing w:val="-67"/>
                <w:w w:val="99"/>
                <w:sz w:val="15"/>
                <w:szCs w:val="15"/>
              </w:rPr>
            </w:r>
            <w:r>
              <w:rPr>
                <w:rFonts w:ascii="宋体" w:hAnsi="宋体" w:cs="宋体" w:eastAsia="宋体" w:hint="default"/>
                <w:sz w:val="15"/>
                <w:szCs w:val="15"/>
              </w:rPr>
              <w:t>入资本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6" w:lineRule="auto" w:before="79"/>
              <w:ind w:left="91" w:right="109"/>
              <w:jc w:val="left"/>
              <w:rPr>
                <w:rFonts w:ascii="宋体" w:hAnsi="宋体" w:cs="宋体" w:eastAsia="宋体" w:hint="default"/>
                <w:sz w:val="15"/>
                <w:szCs w:val="15"/>
              </w:rPr>
            </w:pPr>
            <w:r>
              <w:rPr>
                <w:rFonts w:ascii="宋体" w:hAnsi="宋体" w:cs="宋体" w:eastAsia="宋体" w:hint="default"/>
                <w:spacing w:val="-5"/>
                <w:w w:val="99"/>
                <w:sz w:val="15"/>
                <w:szCs w:val="15"/>
              </w:rPr>
              <w:t>3</w:t>
            </w:r>
            <w:r>
              <w:rPr>
                <w:rFonts w:ascii="宋体" w:hAnsi="宋体" w:cs="宋体" w:eastAsia="宋体" w:hint="default"/>
                <w:spacing w:val="-5"/>
                <w:w w:val="99"/>
                <w:sz w:val="15"/>
                <w:szCs w:val="15"/>
              </w:rPr>
              <w:t>．股份支付计入所有者权</w:t>
            </w:r>
            <w:r>
              <w:rPr>
                <w:rFonts w:ascii="宋体" w:hAnsi="宋体" w:cs="宋体" w:eastAsia="宋体" w:hint="default"/>
                <w:spacing w:val="-67"/>
                <w:w w:val="99"/>
                <w:sz w:val="15"/>
                <w:szCs w:val="15"/>
              </w:rPr>
              <w:t> </w:t>
            </w:r>
            <w:r>
              <w:rPr>
                <w:rFonts w:ascii="宋体" w:hAnsi="宋体" w:cs="宋体" w:eastAsia="宋体" w:hint="default"/>
                <w:spacing w:val="-67"/>
                <w:w w:val="99"/>
                <w:sz w:val="15"/>
                <w:szCs w:val="15"/>
              </w:rPr>
            </w:r>
            <w:r>
              <w:rPr>
                <w:rFonts w:ascii="宋体" w:hAnsi="宋体" w:cs="宋体" w:eastAsia="宋体" w:hint="default"/>
                <w:sz w:val="15"/>
                <w:szCs w:val="15"/>
              </w:rPr>
              <w:t>益的金额</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91"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5"/>
                <w:szCs w:val="15"/>
              </w:rPr>
            </w:pPr>
            <w:r>
              <w:rPr>
                <w:rFonts w:ascii="宋体"/>
                <w:w w:val="95"/>
                <w:sz w:val="15"/>
              </w:rPr>
              <w:t>176,464.79</w:t>
            </w:r>
            <w:r>
              <w:rPr>
                <w:rFonts w:ascii="宋体"/>
                <w:sz w:val="15"/>
              </w:rPr>
            </w: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right="92"/>
              <w:jc w:val="right"/>
              <w:rPr>
                <w:rFonts w:ascii="宋体" w:hAnsi="宋体" w:cs="宋体" w:eastAsia="宋体" w:hint="default"/>
                <w:sz w:val="15"/>
                <w:szCs w:val="15"/>
              </w:rPr>
            </w:pPr>
            <w:r>
              <w:rPr>
                <w:rFonts w:ascii="宋体"/>
                <w:w w:val="95"/>
                <w:sz w:val="15"/>
              </w:rPr>
              <w:t>176,464.79</w:t>
            </w:r>
            <w:r>
              <w:rPr>
                <w:rFonts w:ascii="宋体"/>
                <w:sz w:val="15"/>
              </w:rPr>
            </w:r>
          </w:p>
        </w:tc>
      </w:tr>
      <w:tr>
        <w:trPr>
          <w:trHeight w:val="403"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bl>
    <w:p>
      <w:pPr>
        <w:spacing w:after="0"/>
        <w:sectPr>
          <w:pgSz w:w="11910" w:h="16840"/>
          <w:pgMar w:header="871" w:footer="1037" w:top="1100" w:bottom="1220" w:left="0" w:right="0"/>
        </w:sectPr>
      </w:pPr>
    </w:p>
    <w:p>
      <w:pPr>
        <w:spacing w:line="240" w:lineRule="auto" w:before="8"/>
        <w:rPr>
          <w:rFonts w:ascii="宋体" w:hAnsi="宋体" w:cs="宋体" w:eastAsia="宋体" w:hint="default"/>
          <w:sz w:val="24"/>
          <w:szCs w:val="24"/>
        </w:rPr>
      </w:pPr>
    </w:p>
    <w:tbl>
      <w:tblPr>
        <w:tblW w:w="0" w:type="auto"/>
        <w:jc w:val="left"/>
        <w:tblInd w:w="52" w:type="dxa"/>
        <w:tblLayout w:type="fixed"/>
        <w:tblCellMar>
          <w:top w:w="0" w:type="dxa"/>
          <w:left w:w="0" w:type="dxa"/>
          <w:bottom w:w="0" w:type="dxa"/>
          <w:right w:w="0" w:type="dxa"/>
        </w:tblCellMar>
        <w:tblLook w:val="01E0"/>
      </w:tblPr>
      <w:tblGrid>
        <w:gridCol w:w="1883"/>
        <w:gridCol w:w="1440"/>
        <w:gridCol w:w="336"/>
        <w:gridCol w:w="288"/>
        <w:gridCol w:w="350"/>
        <w:gridCol w:w="1345"/>
        <w:gridCol w:w="1248"/>
        <w:gridCol w:w="274"/>
        <w:gridCol w:w="288"/>
        <w:gridCol w:w="1201"/>
        <w:gridCol w:w="1383"/>
        <w:gridCol w:w="312"/>
        <w:gridCol w:w="1417"/>
      </w:tblGrid>
      <w:tr>
        <w:trPr>
          <w:trHeight w:val="715"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09"/>
              <w:jc w:val="left"/>
              <w:rPr>
                <w:rFonts w:ascii="宋体" w:hAnsi="宋体" w:cs="宋体" w:eastAsia="宋体" w:hint="default"/>
                <w:sz w:val="15"/>
                <w:szCs w:val="15"/>
              </w:rPr>
            </w:pPr>
            <w:r>
              <w:rPr>
                <w:rFonts w:ascii="宋体" w:hAnsi="宋体" w:cs="宋体" w:eastAsia="宋体" w:hint="default"/>
                <w:spacing w:val="-5"/>
                <w:sz w:val="15"/>
                <w:szCs w:val="15"/>
              </w:rPr>
              <w:t>2</w:t>
            </w:r>
            <w:r>
              <w:rPr>
                <w:rFonts w:ascii="宋体" w:hAnsi="宋体" w:cs="宋体" w:eastAsia="宋体" w:hint="default"/>
                <w:spacing w:val="-5"/>
                <w:sz w:val="15"/>
                <w:szCs w:val="15"/>
              </w:rPr>
              <w:t>．对所有者（或股东）的</w:t>
            </w:r>
            <w:r>
              <w:rPr>
                <w:rFonts w:ascii="宋体" w:hAnsi="宋体" w:cs="宋体" w:eastAsia="宋体" w:hint="default"/>
                <w:w w:val="99"/>
                <w:sz w:val="15"/>
                <w:szCs w:val="15"/>
              </w:rPr>
              <w:t> </w:t>
            </w:r>
            <w:r>
              <w:rPr>
                <w:rFonts w:ascii="宋体" w:hAnsi="宋体" w:cs="宋体" w:eastAsia="宋体" w:hint="default"/>
                <w:sz w:val="15"/>
                <w:szCs w:val="15"/>
              </w:rPr>
              <w:t>分配</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84"/>
              <w:ind w:left="91" w:right="124"/>
              <w:jc w:val="left"/>
              <w:rPr>
                <w:rFonts w:ascii="宋体" w:hAnsi="宋体" w:cs="宋体" w:eastAsia="宋体" w:hint="default"/>
                <w:sz w:val="15"/>
                <w:szCs w:val="15"/>
              </w:rPr>
            </w:pPr>
            <w:r>
              <w:rPr>
                <w:rFonts w:ascii="宋体" w:hAnsi="宋体" w:cs="宋体" w:eastAsia="宋体" w:hint="default"/>
                <w:sz w:val="15"/>
                <w:szCs w:val="15"/>
              </w:rPr>
              <w:t>（四）所有者权益内部结</w:t>
            </w:r>
            <w:r>
              <w:rPr>
                <w:rFonts w:ascii="宋体" w:hAnsi="宋体" w:cs="宋体" w:eastAsia="宋体" w:hint="default"/>
                <w:w w:val="99"/>
                <w:sz w:val="15"/>
                <w:szCs w:val="15"/>
              </w:rPr>
              <w:t> </w:t>
            </w:r>
            <w:r>
              <w:rPr>
                <w:rFonts w:ascii="宋体" w:hAnsi="宋体" w:cs="宋体" w:eastAsia="宋体" w:hint="default"/>
                <w:sz w:val="15"/>
                <w:szCs w:val="15"/>
              </w:rPr>
              <w:t>转</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6" w:lineRule="auto" w:before="79"/>
              <w:ind w:left="91" w:right="109"/>
              <w:jc w:val="left"/>
              <w:rPr>
                <w:rFonts w:ascii="宋体" w:hAnsi="宋体" w:cs="宋体" w:eastAsia="宋体" w:hint="default"/>
                <w:sz w:val="15"/>
                <w:szCs w:val="15"/>
              </w:rPr>
            </w:pPr>
            <w:r>
              <w:rPr>
                <w:rFonts w:ascii="宋体" w:hAnsi="宋体" w:cs="宋体" w:eastAsia="宋体" w:hint="default"/>
                <w:spacing w:val="-5"/>
                <w:sz w:val="15"/>
                <w:szCs w:val="15"/>
              </w:rPr>
              <w:t>1</w:t>
            </w:r>
            <w:r>
              <w:rPr>
                <w:rFonts w:ascii="宋体" w:hAnsi="宋体" w:cs="宋体" w:eastAsia="宋体" w:hint="default"/>
                <w:spacing w:val="-5"/>
                <w:sz w:val="15"/>
                <w:szCs w:val="15"/>
              </w:rPr>
              <w:t>．资本公积转增资本（或</w:t>
            </w:r>
            <w:r>
              <w:rPr>
                <w:rFonts w:ascii="宋体" w:hAnsi="宋体" w:cs="宋体" w:eastAsia="宋体" w:hint="default"/>
                <w:w w:val="99"/>
                <w:sz w:val="15"/>
                <w:szCs w:val="15"/>
              </w:rPr>
              <w:t> </w:t>
            </w:r>
            <w:r>
              <w:rPr>
                <w:rFonts w:ascii="宋体" w:hAnsi="宋体" w:cs="宋体" w:eastAsia="宋体" w:hint="default"/>
                <w:sz w:val="15"/>
                <w:szCs w:val="15"/>
              </w:rPr>
              <w:t>股本）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09"/>
              <w:jc w:val="left"/>
              <w:rPr>
                <w:rFonts w:ascii="宋体" w:hAnsi="宋体" w:cs="宋体" w:eastAsia="宋体" w:hint="default"/>
                <w:sz w:val="15"/>
                <w:szCs w:val="15"/>
              </w:rPr>
            </w:pPr>
            <w:r>
              <w:rPr>
                <w:rFonts w:ascii="宋体" w:hAnsi="宋体" w:cs="宋体" w:eastAsia="宋体" w:hint="default"/>
                <w:spacing w:val="-5"/>
                <w:sz w:val="15"/>
                <w:szCs w:val="15"/>
              </w:rPr>
              <w:t>2</w:t>
            </w:r>
            <w:r>
              <w:rPr>
                <w:rFonts w:ascii="宋体" w:hAnsi="宋体" w:cs="宋体" w:eastAsia="宋体" w:hint="default"/>
                <w:spacing w:val="-5"/>
                <w:sz w:val="15"/>
                <w:szCs w:val="15"/>
              </w:rPr>
              <w:t>．盈余公积转增资本（或</w:t>
            </w:r>
            <w:r>
              <w:rPr>
                <w:rFonts w:ascii="宋体" w:hAnsi="宋体" w:cs="宋体" w:eastAsia="宋体" w:hint="default"/>
                <w:w w:val="99"/>
                <w:sz w:val="15"/>
                <w:szCs w:val="15"/>
              </w:rPr>
              <w:t> </w:t>
            </w:r>
            <w:r>
              <w:rPr>
                <w:rFonts w:ascii="宋体" w:hAnsi="宋体" w:cs="宋体" w:eastAsia="宋体" w:hint="default"/>
                <w:sz w:val="15"/>
                <w:szCs w:val="15"/>
              </w:rPr>
              <w:t>股本）</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84"/>
              <w:ind w:left="91" w:right="109"/>
              <w:jc w:val="left"/>
              <w:rPr>
                <w:rFonts w:ascii="宋体" w:hAnsi="宋体" w:cs="宋体" w:eastAsia="宋体" w:hint="default"/>
                <w:sz w:val="15"/>
                <w:szCs w:val="15"/>
              </w:rPr>
            </w:pPr>
            <w:r>
              <w:rPr>
                <w:rFonts w:ascii="宋体" w:hAnsi="宋体" w:cs="宋体" w:eastAsia="宋体" w:hint="default"/>
                <w:spacing w:val="-5"/>
                <w:w w:val="99"/>
                <w:sz w:val="15"/>
                <w:szCs w:val="15"/>
              </w:rPr>
              <w:t>4</w:t>
            </w:r>
            <w:r>
              <w:rPr>
                <w:rFonts w:ascii="宋体" w:hAnsi="宋体" w:cs="宋体" w:eastAsia="宋体" w:hint="default"/>
                <w:spacing w:val="-5"/>
                <w:w w:val="99"/>
                <w:sz w:val="15"/>
                <w:szCs w:val="15"/>
              </w:rPr>
              <w:t>．设定受益计划变动额结</w:t>
            </w:r>
            <w:r>
              <w:rPr>
                <w:rFonts w:ascii="宋体" w:hAnsi="宋体" w:cs="宋体" w:eastAsia="宋体" w:hint="default"/>
                <w:spacing w:val="-67"/>
                <w:w w:val="99"/>
                <w:sz w:val="15"/>
                <w:szCs w:val="15"/>
              </w:rPr>
              <w:t> </w:t>
            </w:r>
            <w:r>
              <w:rPr>
                <w:rFonts w:ascii="宋体" w:hAnsi="宋体" w:cs="宋体" w:eastAsia="宋体" w:hint="default"/>
                <w:spacing w:val="-67"/>
                <w:w w:val="99"/>
                <w:sz w:val="15"/>
                <w:szCs w:val="15"/>
              </w:rPr>
            </w:r>
            <w:r>
              <w:rPr>
                <w:rFonts w:ascii="宋体" w:hAnsi="宋体" w:cs="宋体" w:eastAsia="宋体" w:hint="default"/>
                <w:sz w:val="15"/>
                <w:szCs w:val="15"/>
              </w:rPr>
              <w:t>转留存收益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6" w:lineRule="auto" w:before="80"/>
              <w:ind w:left="91" w:right="109"/>
              <w:jc w:val="left"/>
              <w:rPr>
                <w:rFonts w:ascii="宋体" w:hAnsi="宋体" w:cs="宋体" w:eastAsia="宋体" w:hint="default"/>
                <w:sz w:val="15"/>
                <w:szCs w:val="15"/>
              </w:rPr>
            </w:pPr>
            <w:r>
              <w:rPr>
                <w:rFonts w:ascii="宋体" w:hAnsi="宋体" w:cs="宋体" w:eastAsia="宋体" w:hint="default"/>
                <w:spacing w:val="-5"/>
                <w:w w:val="99"/>
                <w:sz w:val="15"/>
                <w:szCs w:val="15"/>
              </w:rPr>
              <w:t>5</w:t>
            </w:r>
            <w:r>
              <w:rPr>
                <w:rFonts w:ascii="宋体" w:hAnsi="宋体" w:cs="宋体" w:eastAsia="宋体" w:hint="default"/>
                <w:spacing w:val="-5"/>
                <w:w w:val="99"/>
                <w:sz w:val="15"/>
                <w:szCs w:val="15"/>
              </w:rPr>
              <w:t>．其他综合收益结转留存</w:t>
            </w:r>
            <w:r>
              <w:rPr>
                <w:rFonts w:ascii="宋体" w:hAnsi="宋体" w:cs="宋体" w:eastAsia="宋体" w:hint="default"/>
                <w:spacing w:val="-67"/>
                <w:w w:val="99"/>
                <w:sz w:val="15"/>
                <w:szCs w:val="15"/>
              </w:rPr>
              <w:t> </w:t>
            </w:r>
            <w:r>
              <w:rPr>
                <w:rFonts w:ascii="宋体" w:hAnsi="宋体" w:cs="宋体" w:eastAsia="宋体" w:hint="default"/>
                <w:spacing w:val="-67"/>
                <w:w w:val="99"/>
                <w:sz w:val="15"/>
                <w:szCs w:val="15"/>
              </w:rPr>
            </w:r>
            <w:r>
              <w:rPr>
                <w:rFonts w:ascii="宋体" w:hAnsi="宋体" w:cs="宋体" w:eastAsia="宋体" w:hint="default"/>
                <w:sz w:val="15"/>
                <w:szCs w:val="15"/>
              </w:rPr>
              <w:t>收益</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4"/>
              <w:ind w:left="91"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8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33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27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188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278" w:right="0"/>
              <w:jc w:val="left"/>
              <w:rPr>
                <w:rFonts w:ascii="宋体" w:hAnsi="宋体" w:cs="宋体" w:eastAsia="宋体" w:hint="default"/>
                <w:sz w:val="15"/>
                <w:szCs w:val="15"/>
              </w:rPr>
            </w:pPr>
            <w:r>
              <w:rPr>
                <w:rFonts w:ascii="宋体"/>
                <w:sz w:val="15"/>
              </w:rPr>
              <w:t>411,118,370.00</w:t>
            </w:r>
          </w:p>
        </w:tc>
        <w:tc>
          <w:tcPr>
            <w:tcW w:w="336" w:type="dxa"/>
            <w:tcBorders>
              <w:top w:val="single" w:sz="4" w:space="0" w:color="000000"/>
              <w:left w:val="single" w:sz="4" w:space="0" w:color="000000"/>
              <w:bottom w:val="single" w:sz="12" w:space="0" w:color="000000"/>
              <w:right w:val="single" w:sz="4" w:space="0" w:color="000000"/>
            </w:tcBorders>
          </w:tcPr>
          <w:p>
            <w:pPr/>
          </w:p>
        </w:tc>
        <w:tc>
          <w:tcPr>
            <w:tcW w:w="288" w:type="dxa"/>
            <w:tcBorders>
              <w:top w:val="single" w:sz="4" w:space="0" w:color="000000"/>
              <w:left w:val="single" w:sz="4" w:space="0" w:color="000000"/>
              <w:bottom w:val="single" w:sz="12" w:space="0" w:color="000000"/>
              <w:right w:val="single" w:sz="4" w:space="0" w:color="000000"/>
            </w:tcBorders>
          </w:tcPr>
          <w:p>
            <w:pPr/>
          </w:p>
        </w:tc>
        <w:tc>
          <w:tcPr>
            <w:tcW w:w="350" w:type="dxa"/>
            <w:tcBorders>
              <w:top w:val="single" w:sz="4" w:space="0" w:color="000000"/>
              <w:left w:val="single" w:sz="4" w:space="0" w:color="000000"/>
              <w:bottom w:val="single" w:sz="12" w:space="0" w:color="000000"/>
              <w:right w:val="single" w:sz="4" w:space="0" w:color="000000"/>
            </w:tcBorders>
          </w:tcPr>
          <w:p>
            <w:pPr/>
          </w:p>
        </w:tc>
        <w:tc>
          <w:tcPr>
            <w:tcW w:w="13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178" w:right="0"/>
              <w:jc w:val="left"/>
              <w:rPr>
                <w:rFonts w:ascii="宋体" w:hAnsi="宋体" w:cs="宋体" w:eastAsia="宋体" w:hint="default"/>
                <w:sz w:val="15"/>
                <w:szCs w:val="15"/>
              </w:rPr>
            </w:pPr>
            <w:r>
              <w:rPr>
                <w:rFonts w:ascii="宋体"/>
                <w:sz w:val="15"/>
              </w:rPr>
              <w:t>759,842,619.47</w:t>
            </w:r>
          </w:p>
        </w:tc>
        <w:tc>
          <w:tcPr>
            <w:tcW w:w="12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158" w:right="0"/>
              <w:jc w:val="left"/>
              <w:rPr>
                <w:rFonts w:ascii="宋体" w:hAnsi="宋体" w:cs="宋体" w:eastAsia="宋体" w:hint="default"/>
                <w:sz w:val="15"/>
                <w:szCs w:val="15"/>
              </w:rPr>
            </w:pPr>
            <w:r>
              <w:rPr>
                <w:rFonts w:ascii="宋体"/>
                <w:sz w:val="15"/>
              </w:rPr>
              <w:t>25,041,540.00</w:t>
            </w:r>
          </w:p>
        </w:tc>
        <w:tc>
          <w:tcPr>
            <w:tcW w:w="274" w:type="dxa"/>
            <w:tcBorders>
              <w:top w:val="single" w:sz="4" w:space="0" w:color="000000"/>
              <w:left w:val="single" w:sz="4" w:space="0" w:color="000000"/>
              <w:bottom w:val="single" w:sz="12" w:space="0" w:color="000000"/>
              <w:right w:val="single" w:sz="4" w:space="0" w:color="000000"/>
            </w:tcBorders>
          </w:tcPr>
          <w:p>
            <w:pPr/>
          </w:p>
        </w:tc>
        <w:tc>
          <w:tcPr>
            <w:tcW w:w="288" w:type="dxa"/>
            <w:tcBorders>
              <w:top w:val="single" w:sz="4" w:space="0" w:color="000000"/>
              <w:left w:val="single" w:sz="4" w:space="0" w:color="000000"/>
              <w:bottom w:val="single" w:sz="12" w:space="0" w:color="000000"/>
              <w:right w:val="single" w:sz="4" w:space="0" w:color="000000"/>
            </w:tcBorders>
          </w:tcPr>
          <w:p>
            <w:pPr/>
          </w:p>
        </w:tc>
        <w:tc>
          <w:tcPr>
            <w:tcW w:w="12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115" w:right="0"/>
              <w:jc w:val="left"/>
              <w:rPr>
                <w:rFonts w:ascii="宋体" w:hAnsi="宋体" w:cs="宋体" w:eastAsia="宋体" w:hint="default"/>
                <w:sz w:val="15"/>
                <w:szCs w:val="15"/>
              </w:rPr>
            </w:pPr>
            <w:r>
              <w:rPr>
                <w:rFonts w:ascii="宋体"/>
                <w:sz w:val="15"/>
              </w:rPr>
              <w:t>21,281,039.35</w:t>
            </w:r>
          </w:p>
        </w:tc>
        <w:tc>
          <w:tcPr>
            <w:tcW w:w="13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143" w:right="0"/>
              <w:jc w:val="left"/>
              <w:rPr>
                <w:rFonts w:ascii="宋体" w:hAnsi="宋体" w:cs="宋体" w:eastAsia="宋体" w:hint="default"/>
                <w:sz w:val="15"/>
                <w:szCs w:val="15"/>
              </w:rPr>
            </w:pPr>
            <w:r>
              <w:rPr>
                <w:rFonts w:ascii="宋体"/>
                <w:sz w:val="15"/>
              </w:rPr>
              <w:t>-145,356,560.65</w:t>
            </w:r>
          </w:p>
        </w:tc>
        <w:tc>
          <w:tcPr>
            <w:tcW w:w="312" w:type="dxa"/>
            <w:tcBorders>
              <w:top w:val="single" w:sz="4" w:space="0" w:color="000000"/>
              <w:left w:val="single" w:sz="4" w:space="0" w:color="000000"/>
              <w:bottom w:val="single" w:sz="12" w:space="0" w:color="000000"/>
              <w:right w:val="single" w:sz="4" w:space="0" w:color="000000"/>
            </w:tcBorders>
          </w:tcPr>
          <w:p>
            <w:pPr/>
          </w:p>
        </w:tc>
        <w:tc>
          <w:tcPr>
            <w:tcW w:w="141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9"/>
              <w:ind w:left="100" w:right="0"/>
              <w:jc w:val="left"/>
              <w:rPr>
                <w:rFonts w:ascii="宋体" w:hAnsi="宋体" w:cs="宋体" w:eastAsia="宋体" w:hint="default"/>
                <w:sz w:val="15"/>
                <w:szCs w:val="15"/>
              </w:rPr>
            </w:pPr>
            <w:r>
              <w:rPr>
                <w:rFonts w:ascii="宋体"/>
                <w:sz w:val="15"/>
              </w:rPr>
              <w:t>1,021,843,928.17</w:t>
            </w:r>
          </w:p>
        </w:tc>
      </w:tr>
    </w:tbl>
    <w:p>
      <w:pPr>
        <w:spacing w:line="240" w:lineRule="auto" w:before="3"/>
        <w:rPr>
          <w:rFonts w:ascii="宋体" w:hAnsi="宋体" w:cs="宋体" w:eastAsia="宋体" w:hint="default"/>
          <w:sz w:val="19"/>
          <w:szCs w:val="19"/>
        </w:rPr>
      </w:pPr>
    </w:p>
    <w:p>
      <w:pPr>
        <w:pStyle w:val="BodyText"/>
        <w:spacing w:line="240" w:lineRule="auto" w:before="36"/>
        <w:ind w:left="1133" w:right="8326"/>
        <w:jc w:val="left"/>
      </w:pPr>
      <w:bookmarkStart w:name="上期金额" w:id="218"/>
      <w:bookmarkEnd w:id="218"/>
      <w:r>
        <w:rPr/>
      </w:r>
      <w:r>
        <w:rPr/>
        <w:t>上期金额</w:t>
      </w:r>
    </w:p>
    <w:p>
      <w:pPr>
        <w:spacing w:line="240" w:lineRule="auto" w:before="4"/>
        <w:rPr>
          <w:rFonts w:ascii="宋体" w:hAnsi="宋体" w:cs="宋体" w:eastAsia="宋体" w:hint="default"/>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52" w:type="dxa"/>
        <w:tblLayout w:type="fixed"/>
        <w:tblCellMar>
          <w:top w:w="0" w:type="dxa"/>
          <w:left w:w="0" w:type="dxa"/>
          <w:bottom w:w="0" w:type="dxa"/>
          <w:right w:w="0" w:type="dxa"/>
        </w:tblCellMar>
        <w:tblLook w:val="01E0"/>
      </w:tblPr>
      <w:tblGrid>
        <w:gridCol w:w="1224"/>
        <w:gridCol w:w="1306"/>
        <w:gridCol w:w="288"/>
        <w:gridCol w:w="303"/>
        <w:gridCol w:w="288"/>
        <w:gridCol w:w="1273"/>
        <w:gridCol w:w="1296"/>
        <w:gridCol w:w="122"/>
        <w:gridCol w:w="118"/>
        <w:gridCol w:w="264"/>
        <w:gridCol w:w="1258"/>
        <w:gridCol w:w="1345"/>
        <w:gridCol w:w="1215"/>
        <w:gridCol w:w="1465"/>
      </w:tblGrid>
      <w:tr>
        <w:trPr>
          <w:trHeight w:val="406" w:hRule="exact"/>
        </w:trPr>
        <w:tc>
          <w:tcPr>
            <w:tcW w:w="1224"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 w:right="12"/>
              <w:jc w:val="center"/>
              <w:rPr>
                <w:rFonts w:ascii="宋体" w:hAnsi="宋体" w:cs="宋体" w:eastAsia="宋体" w:hint="default"/>
                <w:sz w:val="15"/>
                <w:szCs w:val="15"/>
              </w:rPr>
            </w:pPr>
            <w:r>
              <w:rPr>
                <w:rFonts w:ascii="宋体" w:hAnsi="宋体" w:cs="宋体" w:eastAsia="宋体" w:hint="default"/>
                <w:sz w:val="15"/>
                <w:szCs w:val="15"/>
              </w:rPr>
              <w:t>项目</w:t>
            </w:r>
          </w:p>
        </w:tc>
        <w:tc>
          <w:tcPr>
            <w:tcW w:w="10540" w:type="dxa"/>
            <w:gridSpan w:val="13"/>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81"/>
              <w:ind w:left="4" w:right="0"/>
              <w:jc w:val="center"/>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9"/>
                <w:sz w:val="15"/>
                <w:szCs w:val="15"/>
              </w:rPr>
              <w:t> </w:t>
            </w:r>
            <w:r>
              <w:rPr>
                <w:rFonts w:ascii="宋体" w:hAnsi="宋体" w:cs="宋体" w:eastAsia="宋体" w:hint="default"/>
                <w:sz w:val="15"/>
                <w:szCs w:val="15"/>
              </w:rPr>
              <w:t>年年度</w:t>
            </w:r>
          </w:p>
        </w:tc>
      </w:tr>
      <w:tr>
        <w:trPr>
          <w:trHeight w:val="721" w:hRule="exact"/>
        </w:trPr>
        <w:tc>
          <w:tcPr>
            <w:tcW w:w="1224" w:type="dxa"/>
            <w:vMerge/>
            <w:tcBorders>
              <w:left w:val="single" w:sz="12" w:space="0" w:color="000000"/>
              <w:right w:val="single" w:sz="4" w:space="0" w:color="000000"/>
            </w:tcBorders>
            <w:shd w:val="clear" w:color="auto" w:fill="D2D2D2"/>
          </w:tcPr>
          <w:p>
            <w:pPr/>
          </w:p>
        </w:tc>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8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8" w:lineRule="auto" w:before="84"/>
              <w:ind w:left="287" w:right="137" w:hanging="154"/>
              <w:jc w:val="left"/>
              <w:rPr>
                <w:rFonts w:ascii="宋体" w:hAnsi="宋体" w:cs="宋体" w:eastAsia="宋体" w:hint="default"/>
                <w:sz w:val="15"/>
                <w:szCs w:val="15"/>
              </w:rPr>
            </w:pPr>
            <w:r>
              <w:rPr>
                <w:rFonts w:ascii="宋体" w:hAnsi="宋体" w:cs="宋体" w:eastAsia="宋体" w:hint="default"/>
                <w:sz w:val="15"/>
                <w:szCs w:val="15"/>
              </w:rPr>
              <w:t>其他权益</w:t>
            </w:r>
            <w:r>
              <w:rPr>
                <w:rFonts w:ascii="宋体" w:hAnsi="宋体" w:cs="宋体" w:eastAsia="宋体" w:hint="default"/>
                <w:w w:val="99"/>
                <w:sz w:val="15"/>
                <w:szCs w:val="15"/>
              </w:rPr>
              <w:t> </w:t>
            </w:r>
            <w:r>
              <w:rPr>
                <w:rFonts w:ascii="宋体" w:hAnsi="宋体" w:cs="宋体" w:eastAsia="宋体" w:hint="default"/>
                <w:sz w:val="15"/>
                <w:szCs w:val="15"/>
              </w:rPr>
              <w:t>工具</w:t>
            </w:r>
          </w:p>
        </w:tc>
        <w:tc>
          <w:tcPr>
            <w:tcW w:w="12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326"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2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22" w:type="dxa"/>
            <w:vMerge w:val="restart"/>
            <w:tcBorders>
              <w:top w:val="single" w:sz="4" w:space="0" w:color="000000"/>
              <w:left w:val="single" w:sz="4" w:space="0" w:color="000000"/>
              <w:right w:val="nil" w:sz="6" w:space="0" w:color="auto"/>
            </w:tcBorders>
            <w:shd w:val="clear" w:color="auto" w:fill="D2D2D2"/>
          </w:tcPr>
          <w:p>
            <w:pPr/>
          </w:p>
        </w:tc>
        <w:tc>
          <w:tcPr>
            <w:tcW w:w="118" w:type="dxa"/>
            <w:vMerge w:val="restart"/>
            <w:tcBorders>
              <w:top w:val="single" w:sz="4" w:space="0" w:color="000000"/>
              <w:left w:val="nil" w:sz="6" w:space="0" w:color="auto"/>
              <w:right w:val="single" w:sz="4" w:space="0" w:color="000000"/>
            </w:tcBorders>
            <w:shd w:val="clear" w:color="auto" w:fill="D2D2D2"/>
          </w:tcPr>
          <w:p>
            <w:pPr>
              <w:pStyle w:val="TableParagraph"/>
              <w:spacing w:line="381" w:lineRule="auto" w:before="84"/>
              <w:ind w:left="-12" w:right="-25"/>
              <w:jc w:val="both"/>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99"/>
                <w:sz w:val="15"/>
                <w:szCs w:val="15"/>
              </w:rPr>
              <w:t> </w:t>
            </w:r>
            <w:r>
              <w:rPr>
                <w:rFonts w:ascii="宋体" w:hAnsi="宋体" w:cs="宋体" w:eastAsia="宋体" w:hint="default"/>
                <w:sz w:val="15"/>
                <w:szCs w:val="15"/>
              </w:rPr>
              <w:t>他</w:t>
            </w:r>
            <w:r>
              <w:rPr>
                <w:rFonts w:ascii="宋体" w:hAnsi="宋体" w:cs="宋体" w:eastAsia="宋体" w:hint="default"/>
                <w:w w:val="99"/>
                <w:sz w:val="15"/>
                <w:szCs w:val="15"/>
              </w:rPr>
              <w:t> </w:t>
            </w:r>
            <w:r>
              <w:rPr>
                <w:rFonts w:ascii="宋体" w:hAnsi="宋体" w:cs="宋体" w:eastAsia="宋体" w:hint="default"/>
                <w:sz w:val="15"/>
                <w:szCs w:val="15"/>
              </w:rPr>
              <w:t>综</w:t>
            </w:r>
            <w:r>
              <w:rPr>
                <w:rFonts w:ascii="宋体" w:hAnsi="宋体" w:cs="宋体" w:eastAsia="宋体" w:hint="default"/>
                <w:w w:val="99"/>
                <w:sz w:val="15"/>
                <w:szCs w:val="15"/>
              </w:rPr>
              <w:t> </w:t>
            </w:r>
            <w:r>
              <w:rPr>
                <w:rFonts w:ascii="宋体" w:hAnsi="宋体" w:cs="宋体" w:eastAsia="宋体" w:hint="default"/>
                <w:sz w:val="15"/>
                <w:szCs w:val="15"/>
              </w:rPr>
              <w:t>合</w:t>
            </w:r>
            <w:r>
              <w:rPr>
                <w:rFonts w:ascii="宋体" w:hAnsi="宋体" w:cs="宋体" w:eastAsia="宋体" w:hint="default"/>
                <w:w w:val="99"/>
                <w:sz w:val="15"/>
                <w:szCs w:val="15"/>
              </w:rPr>
              <w:t> </w:t>
            </w:r>
            <w:r>
              <w:rPr>
                <w:rFonts w:ascii="宋体" w:hAnsi="宋体" w:cs="宋体" w:eastAsia="宋体" w:hint="default"/>
                <w:sz w:val="15"/>
                <w:szCs w:val="15"/>
              </w:rPr>
              <w:t>收</w:t>
            </w:r>
            <w:r>
              <w:rPr>
                <w:rFonts w:ascii="宋体" w:hAnsi="宋体" w:cs="宋体" w:eastAsia="宋体" w:hint="default"/>
                <w:w w:val="99"/>
                <w:sz w:val="15"/>
                <w:szCs w:val="15"/>
              </w:rPr>
              <w:t> </w:t>
            </w:r>
            <w:r>
              <w:rPr>
                <w:rFonts w:ascii="宋体" w:hAnsi="宋体" w:cs="宋体" w:eastAsia="宋体" w:hint="default"/>
                <w:sz w:val="15"/>
                <w:szCs w:val="15"/>
              </w:rPr>
              <w:t>益</w:t>
            </w:r>
          </w:p>
        </w:tc>
        <w:tc>
          <w:tcPr>
            <w:tcW w:w="2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384" w:lineRule="auto"/>
              <w:ind w:left="105" w:right="-1"/>
              <w:jc w:val="both"/>
              <w:rPr>
                <w:rFonts w:ascii="宋体" w:hAnsi="宋体" w:cs="宋体" w:eastAsia="宋体" w:hint="default"/>
                <w:sz w:val="15"/>
                <w:szCs w:val="15"/>
              </w:rPr>
            </w:pPr>
            <w:r>
              <w:rPr>
                <w:rFonts w:ascii="宋体" w:hAnsi="宋体" w:cs="宋体" w:eastAsia="宋体" w:hint="default"/>
                <w:sz w:val="15"/>
                <w:szCs w:val="15"/>
              </w:rPr>
              <w:t>专</w:t>
            </w:r>
            <w:r>
              <w:rPr>
                <w:rFonts w:ascii="宋体" w:hAnsi="宋体" w:cs="宋体" w:eastAsia="宋体" w:hint="default"/>
                <w:w w:val="99"/>
                <w:sz w:val="15"/>
                <w:szCs w:val="15"/>
              </w:rPr>
              <w:t> </w:t>
            </w:r>
            <w:r>
              <w:rPr>
                <w:rFonts w:ascii="宋体" w:hAnsi="宋体" w:cs="宋体" w:eastAsia="宋体" w:hint="default"/>
                <w:sz w:val="15"/>
                <w:szCs w:val="15"/>
              </w:rPr>
              <w:t>项</w:t>
            </w:r>
            <w:r>
              <w:rPr>
                <w:rFonts w:ascii="宋体" w:hAnsi="宋体" w:cs="宋体" w:eastAsia="宋体" w:hint="default"/>
                <w:w w:val="99"/>
                <w:sz w:val="15"/>
                <w:szCs w:val="15"/>
              </w:rPr>
              <w:t> </w:t>
            </w:r>
            <w:r>
              <w:rPr>
                <w:rFonts w:ascii="宋体" w:hAnsi="宋体" w:cs="宋体" w:eastAsia="宋体" w:hint="default"/>
                <w:sz w:val="15"/>
                <w:szCs w:val="15"/>
              </w:rPr>
              <w:t>储</w:t>
            </w:r>
            <w:r>
              <w:rPr>
                <w:rFonts w:ascii="宋体" w:hAnsi="宋体" w:cs="宋体" w:eastAsia="宋体" w:hint="default"/>
                <w:w w:val="99"/>
                <w:sz w:val="15"/>
                <w:szCs w:val="15"/>
              </w:rPr>
              <w:t> </w:t>
            </w:r>
            <w:r>
              <w:rPr>
                <w:rFonts w:ascii="宋体" w:hAnsi="宋体" w:cs="宋体" w:eastAsia="宋体" w:hint="default"/>
                <w:sz w:val="15"/>
                <w:szCs w:val="15"/>
              </w:rPr>
              <w:t>备</w:t>
            </w:r>
          </w:p>
        </w:tc>
        <w:tc>
          <w:tcPr>
            <w:tcW w:w="12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32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29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5"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465"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9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248" w:hRule="exact"/>
        </w:trPr>
        <w:tc>
          <w:tcPr>
            <w:tcW w:w="1224" w:type="dxa"/>
            <w:vMerge/>
            <w:tcBorders>
              <w:left w:val="single" w:sz="12" w:space="0" w:color="000000"/>
              <w:bottom w:val="single" w:sz="4" w:space="0" w:color="000000"/>
              <w:right w:val="single" w:sz="4" w:space="0" w:color="000000"/>
            </w:tcBorders>
            <w:shd w:val="clear" w:color="auto" w:fill="D2D2D2"/>
          </w:tcPr>
          <w:p>
            <w:pPr/>
          </w:p>
        </w:tc>
        <w:tc>
          <w:tcPr>
            <w:tcW w:w="1306" w:type="dxa"/>
            <w:vMerge/>
            <w:tcBorders>
              <w:left w:val="single" w:sz="4" w:space="0" w:color="000000"/>
              <w:bottom w:val="single" w:sz="4" w:space="0" w:color="000000"/>
              <w:right w:val="single" w:sz="4" w:space="0" w:color="000000"/>
            </w:tcBorders>
            <w:shd w:val="clear" w:color="auto" w:fill="D2D2D2"/>
          </w:tcPr>
          <w:p>
            <w:pP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4" w:lineRule="auto"/>
              <w:ind w:left="105" w:right="23"/>
              <w:jc w:val="both"/>
              <w:rPr>
                <w:rFonts w:ascii="宋体" w:hAnsi="宋体" w:cs="宋体" w:eastAsia="宋体" w:hint="default"/>
                <w:sz w:val="15"/>
                <w:szCs w:val="15"/>
              </w:rPr>
            </w:pPr>
            <w:r>
              <w:rPr>
                <w:rFonts w:ascii="宋体" w:hAnsi="宋体" w:cs="宋体" w:eastAsia="宋体" w:hint="default"/>
                <w:sz w:val="15"/>
                <w:szCs w:val="15"/>
              </w:rPr>
              <w:t>优</w:t>
            </w:r>
            <w:r>
              <w:rPr>
                <w:rFonts w:ascii="宋体" w:hAnsi="宋体" w:cs="宋体" w:eastAsia="宋体" w:hint="default"/>
                <w:w w:val="99"/>
                <w:sz w:val="15"/>
                <w:szCs w:val="15"/>
              </w:rPr>
              <w:t> </w:t>
            </w:r>
            <w:r>
              <w:rPr>
                <w:rFonts w:ascii="宋体" w:hAnsi="宋体" w:cs="宋体" w:eastAsia="宋体" w:hint="default"/>
                <w:sz w:val="15"/>
                <w:szCs w:val="15"/>
              </w:rPr>
              <w:t>先</w:t>
            </w:r>
            <w:r>
              <w:rPr>
                <w:rFonts w:ascii="宋体" w:hAnsi="宋体" w:cs="宋体" w:eastAsia="宋体" w:hint="default"/>
                <w:w w:val="99"/>
                <w:sz w:val="15"/>
                <w:szCs w:val="15"/>
              </w:rPr>
              <w:t> </w:t>
            </w:r>
            <w:r>
              <w:rPr>
                <w:rFonts w:ascii="宋体" w:hAnsi="宋体" w:cs="宋体" w:eastAsia="宋体" w:hint="default"/>
                <w:sz w:val="15"/>
                <w:szCs w:val="15"/>
              </w:rPr>
              <w:t>股</w:t>
            </w:r>
          </w:p>
        </w:tc>
        <w:tc>
          <w:tcPr>
            <w:tcW w:w="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4"/>
                <w:szCs w:val="14"/>
              </w:rPr>
            </w:pPr>
          </w:p>
          <w:p>
            <w:pPr>
              <w:pStyle w:val="TableParagraph"/>
              <w:spacing w:line="384" w:lineRule="auto"/>
              <w:ind w:left="105" w:right="36"/>
              <w:jc w:val="both"/>
              <w:rPr>
                <w:rFonts w:ascii="宋体" w:hAnsi="宋体" w:cs="宋体" w:eastAsia="宋体" w:hint="default"/>
                <w:sz w:val="15"/>
                <w:szCs w:val="15"/>
              </w:rPr>
            </w:pPr>
            <w:r>
              <w:rPr>
                <w:rFonts w:ascii="宋体" w:hAnsi="宋体" w:cs="宋体" w:eastAsia="宋体" w:hint="default"/>
                <w:sz w:val="15"/>
                <w:szCs w:val="15"/>
              </w:rPr>
              <w:t>永</w:t>
            </w:r>
            <w:r>
              <w:rPr>
                <w:rFonts w:ascii="宋体" w:hAnsi="宋体" w:cs="宋体" w:eastAsia="宋体" w:hint="default"/>
                <w:w w:val="99"/>
                <w:sz w:val="15"/>
                <w:szCs w:val="15"/>
              </w:rPr>
              <w:t> </w:t>
            </w:r>
            <w:r>
              <w:rPr>
                <w:rFonts w:ascii="宋体" w:hAnsi="宋体" w:cs="宋体" w:eastAsia="宋体" w:hint="default"/>
                <w:sz w:val="15"/>
                <w:szCs w:val="15"/>
              </w:rPr>
              <w:t>续</w:t>
            </w:r>
            <w:r>
              <w:rPr>
                <w:rFonts w:ascii="宋体" w:hAnsi="宋体" w:cs="宋体" w:eastAsia="宋体" w:hint="default"/>
                <w:w w:val="99"/>
                <w:sz w:val="15"/>
                <w:szCs w:val="15"/>
              </w:rPr>
              <w:t> </w:t>
            </w:r>
            <w:r>
              <w:rPr>
                <w:rFonts w:ascii="宋体" w:hAnsi="宋体" w:cs="宋体" w:eastAsia="宋体" w:hint="default"/>
                <w:sz w:val="15"/>
                <w:szCs w:val="15"/>
              </w:rPr>
              <w:t>债</w:t>
            </w:r>
          </w:p>
        </w:tc>
        <w:tc>
          <w:tcPr>
            <w:tcW w:w="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81" w:lineRule="auto"/>
              <w:ind w:left="100" w:right="26"/>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99"/>
                <w:sz w:val="15"/>
                <w:szCs w:val="15"/>
              </w:rPr>
              <w:t> </w:t>
            </w:r>
            <w:r>
              <w:rPr>
                <w:rFonts w:ascii="宋体" w:hAnsi="宋体" w:cs="宋体" w:eastAsia="宋体" w:hint="default"/>
                <w:sz w:val="15"/>
                <w:szCs w:val="15"/>
              </w:rPr>
              <w:t>他</w:t>
            </w:r>
          </w:p>
        </w:tc>
        <w:tc>
          <w:tcPr>
            <w:tcW w:w="1273" w:type="dxa"/>
            <w:vMerge/>
            <w:tcBorders>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122" w:type="dxa"/>
            <w:vMerge/>
            <w:tcBorders>
              <w:left w:val="single" w:sz="4" w:space="0" w:color="000000"/>
              <w:bottom w:val="single" w:sz="4" w:space="0" w:color="000000"/>
              <w:right w:val="nil" w:sz="6" w:space="0" w:color="auto"/>
            </w:tcBorders>
            <w:shd w:val="clear" w:color="auto" w:fill="D2D2D2"/>
          </w:tcPr>
          <w:p>
            <w:pPr/>
          </w:p>
        </w:tc>
        <w:tc>
          <w:tcPr>
            <w:tcW w:w="118" w:type="dxa"/>
            <w:vMerge/>
            <w:tcBorders>
              <w:left w:val="nil" w:sz="6" w:space="0" w:color="auto"/>
              <w:bottom w:val="single" w:sz="4" w:space="0" w:color="000000"/>
              <w:right w:val="single" w:sz="4" w:space="0" w:color="000000"/>
            </w:tcBorders>
            <w:shd w:val="clear" w:color="auto" w:fill="D2D2D2"/>
          </w:tcPr>
          <w:p>
            <w:pPr/>
          </w:p>
        </w:tc>
        <w:tc>
          <w:tcPr>
            <w:tcW w:w="264" w:type="dxa"/>
            <w:vMerge/>
            <w:tcBorders>
              <w:left w:val="single" w:sz="4" w:space="0" w:color="000000"/>
              <w:bottom w:val="single" w:sz="4" w:space="0" w:color="000000"/>
              <w:right w:val="single" w:sz="4" w:space="0" w:color="000000"/>
            </w:tcBorders>
            <w:shd w:val="clear" w:color="auto" w:fill="D2D2D2"/>
          </w:tcPr>
          <w:p>
            <w:pPr/>
          </w:p>
        </w:tc>
        <w:tc>
          <w:tcPr>
            <w:tcW w:w="1258" w:type="dxa"/>
            <w:vMerge/>
            <w:tcBorders>
              <w:left w:val="single" w:sz="4" w:space="0" w:color="000000"/>
              <w:bottom w:val="single" w:sz="4" w:space="0" w:color="000000"/>
              <w:right w:val="single" w:sz="4" w:space="0" w:color="000000"/>
            </w:tcBorders>
            <w:shd w:val="clear" w:color="auto" w:fill="D2D2D2"/>
          </w:tcPr>
          <w:p>
            <w:pPr/>
          </w:p>
        </w:tc>
        <w:tc>
          <w:tcPr>
            <w:tcW w:w="134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c>
          <w:tcPr>
            <w:tcW w:w="1465" w:type="dxa"/>
            <w:vMerge/>
            <w:tcBorders>
              <w:left w:val="single" w:sz="4" w:space="0" w:color="000000"/>
              <w:bottom w:val="single" w:sz="4" w:space="0" w:color="000000"/>
              <w:right w:val="single" w:sz="12" w:space="0" w:color="000000"/>
            </w:tcBorders>
            <w:shd w:val="clear" w:color="auto" w:fill="D2D2D2"/>
          </w:tcPr>
          <w:p>
            <w:pPr/>
          </w:p>
        </w:tc>
      </w:tr>
      <w:tr>
        <w:trPr>
          <w:trHeight w:val="715"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09"/>
              <w:jc w:val="left"/>
              <w:rPr>
                <w:rFonts w:ascii="宋体" w:hAnsi="宋体" w:cs="宋体" w:eastAsia="宋体" w:hint="default"/>
                <w:sz w:val="15"/>
                <w:szCs w:val="15"/>
              </w:rPr>
            </w:pPr>
            <w:r>
              <w:rPr>
                <w:rFonts w:ascii="宋体" w:hAnsi="宋体" w:cs="宋体" w:eastAsia="宋体" w:hint="default"/>
                <w:spacing w:val="-6"/>
                <w:sz w:val="15"/>
                <w:szCs w:val="15"/>
              </w:rPr>
              <w:t>一、上年期末余</w:t>
            </w:r>
            <w:r>
              <w:rPr>
                <w:rFonts w:ascii="宋体" w:hAnsi="宋体" w:cs="宋体" w:eastAsia="宋体" w:hint="default"/>
                <w:w w:val="99"/>
                <w:sz w:val="15"/>
                <w:szCs w:val="15"/>
              </w:rPr>
              <w:t> </w:t>
            </w:r>
            <w:r>
              <w:rPr>
                <w:rFonts w:ascii="宋体" w:hAnsi="宋体" w:cs="宋体" w:eastAsia="宋体" w:hint="default"/>
                <w:sz w:val="15"/>
                <w:szCs w:val="15"/>
              </w:rPr>
              <w:t>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3" w:right="0"/>
              <w:jc w:val="left"/>
              <w:rPr>
                <w:rFonts w:ascii="宋体" w:hAnsi="宋体" w:cs="宋体" w:eastAsia="宋体" w:hint="default"/>
                <w:sz w:val="15"/>
                <w:szCs w:val="15"/>
              </w:rPr>
            </w:pPr>
            <w:r>
              <w:rPr>
                <w:rFonts w:ascii="宋体"/>
                <w:sz w:val="15"/>
              </w:rPr>
              <w:t>414,849,620.00</w:t>
            </w: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5"/>
                <w:szCs w:val="15"/>
              </w:rPr>
            </w:pPr>
            <w:r>
              <w:rPr>
                <w:rFonts w:ascii="宋体"/>
                <w:sz w:val="15"/>
              </w:rPr>
              <w:t>789,626,643.62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15"/>
                <w:szCs w:val="15"/>
              </w:rPr>
            </w:pPr>
            <w:r>
              <w:rPr>
                <w:rFonts w:ascii="宋体"/>
                <w:sz w:val="15"/>
              </w:rPr>
              <w:t>54,115,440.00</w:t>
            </w: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15"/>
                <w:szCs w:val="15"/>
              </w:rPr>
            </w:pPr>
            <w:r>
              <w:rPr>
                <w:rFonts w:ascii="宋体"/>
                <w:sz w:val="15"/>
              </w:rPr>
              <w:t>21,281,039.35</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15"/>
                <w:szCs w:val="15"/>
              </w:rPr>
            </w:pPr>
            <w:r>
              <w:rPr>
                <w:rFonts w:ascii="宋体"/>
                <w:sz w:val="15"/>
              </w:rPr>
              <w:t>165,863,503.08</w:t>
            </w: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15"/>
                <w:szCs w:val="15"/>
              </w:rPr>
            </w:pPr>
            <w:r>
              <w:rPr>
                <w:rFonts w:ascii="宋体"/>
                <w:sz w:val="15"/>
              </w:rPr>
              <w:t>1,005,778,359.89</w:t>
            </w:r>
          </w:p>
        </w:tc>
      </w:tr>
      <w:tr>
        <w:trPr>
          <w:trHeight w:val="715"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09" w:firstLine="297"/>
              <w:jc w:val="left"/>
              <w:rPr>
                <w:rFonts w:ascii="宋体" w:hAnsi="宋体" w:cs="宋体" w:eastAsia="宋体" w:hint="default"/>
                <w:sz w:val="15"/>
                <w:szCs w:val="15"/>
              </w:rPr>
            </w:pPr>
            <w:r>
              <w:rPr>
                <w:rFonts w:ascii="宋体" w:hAnsi="宋体" w:cs="宋体" w:eastAsia="宋体" w:hint="default"/>
                <w:spacing w:val="-9"/>
                <w:sz w:val="15"/>
                <w:szCs w:val="15"/>
              </w:rPr>
              <w:t>加：会计政</w:t>
            </w:r>
            <w:r>
              <w:rPr>
                <w:rFonts w:ascii="宋体" w:hAnsi="宋体" w:cs="宋体" w:eastAsia="宋体" w:hint="default"/>
                <w:w w:val="99"/>
                <w:sz w:val="15"/>
                <w:szCs w:val="15"/>
              </w:rPr>
              <w:t> </w:t>
            </w:r>
            <w:r>
              <w:rPr>
                <w:rFonts w:ascii="宋体" w:hAnsi="宋体" w:cs="宋体" w:eastAsia="宋体" w:hint="default"/>
                <w:sz w:val="15"/>
                <w:szCs w:val="15"/>
              </w:rPr>
              <w:t>策变更</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r>
        <w:trPr>
          <w:trHeight w:val="711"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0"/>
              <w:ind w:left="686" w:right="0"/>
              <w:jc w:val="left"/>
              <w:rPr>
                <w:rFonts w:ascii="宋体" w:hAnsi="宋体" w:cs="宋体" w:eastAsia="宋体" w:hint="default"/>
                <w:sz w:val="15"/>
                <w:szCs w:val="15"/>
              </w:rPr>
            </w:pPr>
            <w:r>
              <w:rPr>
                <w:rFonts w:ascii="宋体" w:hAnsi="宋体" w:cs="宋体" w:eastAsia="宋体" w:hint="default"/>
                <w:sz w:val="15"/>
                <w:szCs w:val="15"/>
              </w:rPr>
              <w:t>前期</w:t>
            </w:r>
          </w:p>
          <w:p>
            <w:pPr>
              <w:pStyle w:val="TableParagraph"/>
              <w:spacing w:line="240" w:lineRule="auto" w:before="115"/>
              <w:ind w:left="91" w:right="0"/>
              <w:jc w:val="left"/>
              <w:rPr>
                <w:rFonts w:ascii="宋体" w:hAnsi="宋体" w:cs="宋体" w:eastAsia="宋体" w:hint="default"/>
                <w:sz w:val="15"/>
                <w:szCs w:val="15"/>
              </w:rPr>
            </w:pPr>
            <w:r>
              <w:rPr>
                <w:rFonts w:ascii="宋体" w:hAnsi="宋体" w:cs="宋体" w:eastAsia="宋体" w:hint="default"/>
                <w:sz w:val="15"/>
                <w:szCs w:val="15"/>
              </w:rPr>
              <w:t>差错更正</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68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gridSpan w:val="2"/>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bl>
    <w:p>
      <w:pPr>
        <w:spacing w:after="0"/>
        <w:sectPr>
          <w:pgSz w:w="11910" w:h="16840"/>
          <w:pgMar w:header="871" w:footer="1037" w:top="1100" w:bottom="1220" w:left="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52" w:type="dxa"/>
        <w:tblLayout w:type="fixed"/>
        <w:tblCellMar>
          <w:top w:w="0" w:type="dxa"/>
          <w:left w:w="0" w:type="dxa"/>
          <w:bottom w:w="0" w:type="dxa"/>
          <w:right w:w="0" w:type="dxa"/>
        </w:tblCellMar>
        <w:tblLook w:val="01E0"/>
      </w:tblPr>
      <w:tblGrid>
        <w:gridCol w:w="1224"/>
        <w:gridCol w:w="1306"/>
        <w:gridCol w:w="288"/>
        <w:gridCol w:w="303"/>
        <w:gridCol w:w="288"/>
        <w:gridCol w:w="1273"/>
        <w:gridCol w:w="1296"/>
        <w:gridCol w:w="240"/>
        <w:gridCol w:w="264"/>
        <w:gridCol w:w="1258"/>
        <w:gridCol w:w="1345"/>
        <w:gridCol w:w="1215"/>
        <w:gridCol w:w="1465"/>
      </w:tblGrid>
      <w:tr>
        <w:trPr>
          <w:trHeight w:val="715"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09"/>
              <w:jc w:val="left"/>
              <w:rPr>
                <w:rFonts w:ascii="宋体" w:hAnsi="宋体" w:cs="宋体" w:eastAsia="宋体" w:hint="default"/>
                <w:sz w:val="15"/>
                <w:szCs w:val="15"/>
              </w:rPr>
            </w:pPr>
            <w:r>
              <w:rPr>
                <w:rFonts w:ascii="宋体" w:hAnsi="宋体" w:cs="宋体" w:eastAsia="宋体" w:hint="default"/>
                <w:spacing w:val="-6"/>
                <w:sz w:val="15"/>
                <w:szCs w:val="15"/>
              </w:rPr>
              <w:t>二、本年期初余</w:t>
            </w:r>
            <w:r>
              <w:rPr>
                <w:rFonts w:ascii="宋体" w:hAnsi="宋体" w:cs="宋体" w:eastAsia="宋体" w:hint="default"/>
                <w:w w:val="99"/>
                <w:sz w:val="15"/>
                <w:szCs w:val="15"/>
              </w:rPr>
              <w:t> </w:t>
            </w:r>
            <w:r>
              <w:rPr>
                <w:rFonts w:ascii="宋体" w:hAnsi="宋体" w:cs="宋体" w:eastAsia="宋体" w:hint="default"/>
                <w:sz w:val="15"/>
                <w:szCs w:val="15"/>
              </w:rPr>
              <w:t>额</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15"/>
                <w:szCs w:val="15"/>
              </w:rPr>
            </w:pPr>
            <w:r>
              <w:rPr>
                <w:rFonts w:ascii="宋体"/>
                <w:w w:val="95"/>
                <w:sz w:val="15"/>
              </w:rPr>
              <w:t>411,118,370.00</w:t>
            </w:r>
            <w:r>
              <w:rPr>
                <w:rFonts w:ascii="宋体"/>
                <w:sz w:val="15"/>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15"/>
                <w:szCs w:val="15"/>
              </w:rPr>
            </w:pPr>
            <w:r>
              <w:rPr>
                <w:rFonts w:ascii="宋体"/>
                <w:w w:val="95"/>
                <w:sz w:val="15"/>
              </w:rPr>
              <w:t>789,626,643.62</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11" w:right="0"/>
              <w:jc w:val="center"/>
              <w:rPr>
                <w:rFonts w:ascii="宋体" w:hAnsi="宋体" w:cs="宋体" w:eastAsia="宋体" w:hint="default"/>
                <w:sz w:val="15"/>
                <w:szCs w:val="15"/>
              </w:rPr>
            </w:pPr>
            <w:r>
              <w:rPr>
                <w:rFonts w:ascii="宋体"/>
                <w:sz w:val="15"/>
              </w:rPr>
              <w:t>54,115,440.00</w:t>
            </w: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7" w:right="0"/>
              <w:jc w:val="left"/>
              <w:rPr>
                <w:rFonts w:ascii="宋体" w:hAnsi="宋体" w:cs="宋体" w:eastAsia="宋体" w:hint="default"/>
                <w:sz w:val="15"/>
                <w:szCs w:val="15"/>
              </w:rPr>
            </w:pPr>
            <w:r>
              <w:rPr>
                <w:rFonts w:ascii="宋体"/>
                <w:sz w:val="15"/>
              </w:rPr>
              <w:t>21,281,039.35</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 w:right="0"/>
              <w:jc w:val="center"/>
              <w:rPr>
                <w:rFonts w:ascii="宋体" w:hAnsi="宋体" w:cs="宋体" w:eastAsia="宋体" w:hint="default"/>
                <w:sz w:val="15"/>
                <w:szCs w:val="15"/>
              </w:rPr>
            </w:pPr>
            <w:r>
              <w:rPr>
                <w:rFonts w:ascii="宋体"/>
                <w:sz w:val="15"/>
              </w:rPr>
              <w:t>-165,863,503.08</w:t>
            </w: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3"/>
              <w:jc w:val="right"/>
              <w:rPr>
                <w:rFonts w:ascii="宋体" w:hAnsi="宋体" w:cs="宋体" w:eastAsia="宋体" w:hint="default"/>
                <w:sz w:val="15"/>
                <w:szCs w:val="15"/>
              </w:rPr>
            </w:pPr>
            <w:r>
              <w:rPr>
                <w:rFonts w:ascii="宋体"/>
                <w:w w:val="95"/>
                <w:sz w:val="15"/>
              </w:rPr>
              <w:t>1,005,778,359.89</w:t>
            </w:r>
            <w:r>
              <w:rPr>
                <w:rFonts w:ascii="宋体"/>
                <w:sz w:val="15"/>
              </w:rPr>
            </w:r>
          </w:p>
        </w:tc>
      </w:tr>
      <w:tr>
        <w:trPr>
          <w:trHeight w:val="1023"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65"/>
              <w:jc w:val="both"/>
              <w:rPr>
                <w:rFonts w:ascii="宋体" w:hAnsi="宋体" w:cs="宋体" w:eastAsia="宋体" w:hint="default"/>
                <w:sz w:val="15"/>
                <w:szCs w:val="15"/>
              </w:rPr>
            </w:pPr>
            <w:r>
              <w:rPr>
                <w:rFonts w:ascii="宋体" w:hAnsi="宋体" w:cs="宋体" w:eastAsia="宋体" w:hint="default"/>
                <w:spacing w:val="-6"/>
                <w:sz w:val="15"/>
                <w:szCs w:val="15"/>
              </w:rPr>
              <w:t>三、本期增减变</w:t>
            </w:r>
            <w:r>
              <w:rPr>
                <w:rFonts w:ascii="宋体" w:hAnsi="宋体" w:cs="宋体" w:eastAsia="宋体" w:hint="default"/>
                <w:w w:val="99"/>
                <w:sz w:val="15"/>
                <w:szCs w:val="15"/>
              </w:rPr>
              <w:t> </w:t>
            </w:r>
            <w:r>
              <w:rPr>
                <w:rFonts w:ascii="宋体" w:hAnsi="宋体" w:cs="宋体" w:eastAsia="宋体" w:hint="default"/>
                <w:spacing w:val="-6"/>
                <w:sz w:val="15"/>
                <w:szCs w:val="15"/>
              </w:rPr>
              <w:t>动金额（减少以</w:t>
            </w:r>
            <w:r>
              <w:rPr>
                <w:rFonts w:ascii="宋体" w:hAnsi="宋体" w:cs="宋体" w:eastAsia="宋体" w:hint="default"/>
                <w:w w:val="99"/>
                <w:sz w:val="15"/>
                <w:szCs w:val="15"/>
              </w:rPr>
              <w:t> </w:t>
            </w:r>
            <w:r>
              <w:rPr>
                <w:rFonts w:ascii="宋体" w:hAnsi="宋体" w:cs="宋体" w:eastAsia="宋体" w:hint="default"/>
                <w:sz w:val="15"/>
                <w:szCs w:val="15"/>
              </w:rPr>
              <w:t>“－”号填列）</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15"/>
                <w:szCs w:val="15"/>
              </w:rPr>
            </w:pPr>
            <w:r>
              <w:rPr>
                <w:rFonts w:ascii="宋体"/>
                <w:w w:val="95"/>
                <w:sz w:val="15"/>
              </w:rPr>
              <w:t>-3,731,250.00</w:t>
            </w:r>
            <w:r>
              <w:rPr>
                <w:rFonts w:ascii="宋体"/>
                <w:sz w:val="15"/>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15"/>
                <w:szCs w:val="15"/>
              </w:rPr>
            </w:pPr>
            <w:r>
              <w:rPr>
                <w:rFonts w:ascii="宋体"/>
                <w:w w:val="95"/>
                <w:sz w:val="15"/>
              </w:rPr>
              <w:t>-29,960,488.94</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4" w:right="0"/>
              <w:jc w:val="center"/>
              <w:rPr>
                <w:rFonts w:ascii="宋体" w:hAnsi="宋体" w:cs="宋体" w:eastAsia="宋体" w:hint="default"/>
                <w:sz w:val="15"/>
                <w:szCs w:val="15"/>
              </w:rPr>
            </w:pPr>
            <w:r>
              <w:rPr>
                <w:rFonts w:ascii="宋体"/>
                <w:sz w:val="15"/>
              </w:rPr>
              <w:t>-29,073,900.00</w:t>
            </w: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59" w:right="0"/>
              <w:jc w:val="center"/>
              <w:rPr>
                <w:rFonts w:ascii="宋体" w:hAnsi="宋体" w:cs="宋体" w:eastAsia="宋体" w:hint="default"/>
                <w:sz w:val="15"/>
                <w:szCs w:val="15"/>
              </w:rPr>
            </w:pPr>
            <w:r>
              <w:rPr>
                <w:rFonts w:ascii="宋体"/>
                <w:sz w:val="15"/>
              </w:rPr>
              <w:t>-6,744,103.06</w:t>
            </w: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2"/>
              <w:jc w:val="right"/>
              <w:rPr>
                <w:rFonts w:ascii="宋体" w:hAnsi="宋体" w:cs="宋体" w:eastAsia="宋体" w:hint="default"/>
                <w:sz w:val="15"/>
                <w:szCs w:val="15"/>
              </w:rPr>
            </w:pPr>
            <w:r>
              <w:rPr>
                <w:rFonts w:ascii="宋体"/>
                <w:w w:val="95"/>
                <w:sz w:val="15"/>
              </w:rPr>
              <w:t>-11,361,942.00</w:t>
            </w:r>
            <w:r>
              <w:rPr>
                <w:rFonts w:ascii="宋体"/>
                <w:sz w:val="15"/>
              </w:rPr>
            </w:r>
          </w:p>
        </w:tc>
      </w:tr>
      <w:tr>
        <w:trPr>
          <w:trHeight w:val="715"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84"/>
              <w:ind w:left="91" w:right="109"/>
              <w:jc w:val="left"/>
              <w:rPr>
                <w:rFonts w:ascii="宋体" w:hAnsi="宋体" w:cs="宋体" w:eastAsia="宋体" w:hint="default"/>
                <w:sz w:val="15"/>
                <w:szCs w:val="15"/>
              </w:rPr>
            </w:pPr>
            <w:r>
              <w:rPr>
                <w:rFonts w:ascii="宋体" w:hAnsi="宋体" w:cs="宋体" w:eastAsia="宋体" w:hint="default"/>
                <w:spacing w:val="-6"/>
                <w:sz w:val="15"/>
                <w:szCs w:val="15"/>
              </w:rPr>
              <w:t>（一）综合收益</w:t>
            </w:r>
            <w:r>
              <w:rPr>
                <w:rFonts w:ascii="宋体" w:hAnsi="宋体" w:cs="宋体" w:eastAsia="宋体" w:hint="default"/>
                <w:w w:val="99"/>
                <w:sz w:val="15"/>
                <w:szCs w:val="15"/>
              </w:rPr>
              <w:t> </w:t>
            </w:r>
            <w:r>
              <w:rPr>
                <w:rFonts w:ascii="宋体" w:hAnsi="宋体" w:cs="宋体" w:eastAsia="宋体" w:hint="default"/>
                <w:sz w:val="15"/>
                <w:szCs w:val="15"/>
              </w:rPr>
              <w:t>总额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58" w:right="0"/>
              <w:jc w:val="center"/>
              <w:rPr>
                <w:rFonts w:ascii="宋体" w:hAnsi="宋体" w:cs="宋体" w:eastAsia="宋体" w:hint="default"/>
                <w:sz w:val="15"/>
                <w:szCs w:val="15"/>
              </w:rPr>
            </w:pPr>
            <w:r>
              <w:rPr>
                <w:rFonts w:ascii="宋体"/>
                <w:sz w:val="15"/>
              </w:rPr>
              <w:t>27,251,045.49</w:t>
            </w: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2"/>
              <w:jc w:val="right"/>
              <w:rPr>
                <w:rFonts w:ascii="宋体" w:hAnsi="宋体" w:cs="宋体" w:eastAsia="宋体" w:hint="default"/>
                <w:sz w:val="15"/>
                <w:szCs w:val="15"/>
              </w:rPr>
            </w:pPr>
            <w:r>
              <w:rPr>
                <w:rFonts w:ascii="宋体"/>
                <w:w w:val="95"/>
                <w:sz w:val="15"/>
              </w:rPr>
              <w:t>27,251,045.49</w:t>
            </w:r>
            <w:r>
              <w:rPr>
                <w:rFonts w:ascii="宋体"/>
                <w:sz w:val="15"/>
              </w:rPr>
            </w:r>
          </w:p>
        </w:tc>
      </w:tr>
      <w:tr>
        <w:trPr>
          <w:trHeight w:val="716"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8" w:lineRule="auto" w:before="79"/>
              <w:ind w:left="91" w:right="109"/>
              <w:jc w:val="left"/>
              <w:rPr>
                <w:rFonts w:ascii="宋体" w:hAnsi="宋体" w:cs="宋体" w:eastAsia="宋体" w:hint="default"/>
                <w:sz w:val="15"/>
                <w:szCs w:val="15"/>
              </w:rPr>
            </w:pPr>
            <w:r>
              <w:rPr>
                <w:rFonts w:ascii="宋体" w:hAnsi="宋体" w:cs="宋体" w:eastAsia="宋体" w:hint="default"/>
                <w:spacing w:val="-6"/>
                <w:sz w:val="15"/>
                <w:szCs w:val="15"/>
              </w:rPr>
              <w:t>（二）所有者投</w:t>
            </w:r>
            <w:r>
              <w:rPr>
                <w:rFonts w:ascii="宋体" w:hAnsi="宋体" w:cs="宋体" w:eastAsia="宋体" w:hint="default"/>
                <w:w w:val="99"/>
                <w:sz w:val="15"/>
                <w:szCs w:val="15"/>
              </w:rPr>
              <w:t> </w:t>
            </w:r>
            <w:r>
              <w:rPr>
                <w:rFonts w:ascii="宋体" w:hAnsi="宋体" w:cs="宋体" w:eastAsia="宋体" w:hint="default"/>
                <w:sz w:val="15"/>
                <w:szCs w:val="15"/>
              </w:rPr>
              <w:t>入和减少资本</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15"/>
                <w:szCs w:val="15"/>
              </w:rPr>
            </w:pPr>
            <w:r>
              <w:rPr>
                <w:rFonts w:ascii="宋体"/>
                <w:w w:val="95"/>
                <w:sz w:val="15"/>
              </w:rPr>
              <w:t>-3,731,250.00</w:t>
            </w:r>
            <w:r>
              <w:rPr>
                <w:rFonts w:ascii="宋体"/>
                <w:sz w:val="15"/>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15"/>
                <w:szCs w:val="15"/>
              </w:rPr>
            </w:pPr>
            <w:r>
              <w:rPr>
                <w:rFonts w:ascii="宋体"/>
                <w:w w:val="95"/>
                <w:sz w:val="15"/>
              </w:rPr>
              <w:t>-29,960,488.94</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4" w:right="0"/>
              <w:jc w:val="center"/>
              <w:rPr>
                <w:rFonts w:ascii="宋体" w:hAnsi="宋体" w:cs="宋体" w:eastAsia="宋体" w:hint="default"/>
                <w:sz w:val="15"/>
                <w:szCs w:val="15"/>
              </w:rPr>
            </w:pPr>
            <w:r>
              <w:rPr>
                <w:rFonts w:ascii="宋体"/>
                <w:sz w:val="15"/>
              </w:rPr>
              <w:t>-29,073,900.00</w:t>
            </w: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2"/>
              <w:jc w:val="right"/>
              <w:rPr>
                <w:rFonts w:ascii="宋体" w:hAnsi="宋体" w:cs="宋体" w:eastAsia="宋体" w:hint="default"/>
                <w:sz w:val="15"/>
                <w:szCs w:val="15"/>
              </w:rPr>
            </w:pPr>
            <w:r>
              <w:rPr>
                <w:rFonts w:ascii="宋体"/>
                <w:w w:val="95"/>
                <w:sz w:val="15"/>
              </w:rPr>
              <w:t>-4,617,838.94</w:t>
            </w:r>
            <w:r>
              <w:rPr>
                <w:rFonts w:ascii="宋体"/>
                <w:sz w:val="15"/>
              </w:rPr>
            </w:r>
          </w:p>
        </w:tc>
      </w:tr>
      <w:tr>
        <w:trPr>
          <w:trHeight w:val="715"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42"/>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w:t>
            </w:r>
            <w:r>
              <w:rPr>
                <w:rFonts w:ascii="宋体" w:hAnsi="宋体" w:cs="宋体" w:eastAsia="宋体" w:hint="default"/>
                <w:w w:val="99"/>
                <w:sz w:val="15"/>
                <w:szCs w:val="15"/>
              </w:rPr>
              <w:t> </w:t>
            </w:r>
            <w:r>
              <w:rPr>
                <w:rFonts w:ascii="宋体" w:hAnsi="宋体" w:cs="宋体" w:eastAsia="宋体" w:hint="default"/>
                <w:sz w:val="15"/>
                <w:szCs w:val="15"/>
              </w:rPr>
              <w:t>的普通股</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宋体" w:hAnsi="宋体" w:cs="宋体" w:eastAsia="宋体" w:hint="default"/>
                <w:sz w:val="15"/>
                <w:szCs w:val="15"/>
              </w:rPr>
            </w:pPr>
            <w:r>
              <w:rPr>
                <w:rFonts w:ascii="宋体"/>
                <w:w w:val="95"/>
                <w:sz w:val="15"/>
              </w:rPr>
              <w:t>-3,731,250.00</w:t>
            </w:r>
            <w:r>
              <w:rPr>
                <w:rFonts w:ascii="宋体"/>
                <w:sz w:val="15"/>
              </w:rPr>
            </w: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3"/>
              <w:jc w:val="right"/>
              <w:rPr>
                <w:rFonts w:ascii="宋体" w:hAnsi="宋体" w:cs="宋体" w:eastAsia="宋体" w:hint="default"/>
                <w:sz w:val="15"/>
                <w:szCs w:val="15"/>
              </w:rPr>
            </w:pPr>
            <w:r>
              <w:rPr>
                <w:rFonts w:ascii="宋体"/>
                <w:w w:val="95"/>
                <w:sz w:val="15"/>
              </w:rPr>
              <w:t>-25,342,650.00</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4" w:right="0"/>
              <w:jc w:val="center"/>
              <w:rPr>
                <w:rFonts w:ascii="宋体" w:hAnsi="宋体" w:cs="宋体" w:eastAsia="宋体" w:hint="default"/>
                <w:sz w:val="15"/>
                <w:szCs w:val="15"/>
              </w:rPr>
            </w:pPr>
            <w:r>
              <w:rPr>
                <w:rFonts w:ascii="宋体"/>
                <w:sz w:val="15"/>
              </w:rPr>
              <w:t>-29,073,900.00</w:t>
            </w: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r>
        <w:trPr>
          <w:trHeight w:val="1023"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42"/>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w:t>
            </w:r>
            <w:r>
              <w:rPr>
                <w:rFonts w:ascii="宋体" w:hAnsi="宋体" w:cs="宋体" w:eastAsia="宋体" w:hint="default"/>
                <w:w w:val="99"/>
                <w:sz w:val="15"/>
                <w:szCs w:val="15"/>
              </w:rPr>
              <w:t> </w:t>
            </w:r>
            <w:r>
              <w:rPr>
                <w:rFonts w:ascii="宋体" w:hAnsi="宋体" w:cs="宋体" w:eastAsia="宋体" w:hint="default"/>
                <w:sz w:val="15"/>
                <w:szCs w:val="15"/>
              </w:rPr>
              <w:t>具持有者投入</w:t>
            </w:r>
            <w:r>
              <w:rPr>
                <w:rFonts w:ascii="宋体" w:hAnsi="宋体" w:cs="宋体" w:eastAsia="宋体" w:hint="default"/>
                <w:w w:val="99"/>
                <w:sz w:val="15"/>
                <w:szCs w:val="15"/>
              </w:rPr>
              <w:t> </w:t>
            </w:r>
            <w:r>
              <w:rPr>
                <w:rFonts w:ascii="宋体" w:hAnsi="宋体" w:cs="宋体" w:eastAsia="宋体" w:hint="default"/>
                <w:sz w:val="15"/>
                <w:szCs w:val="15"/>
              </w:rPr>
              <w:t>资本</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84"/>
              <w:ind w:left="91" w:right="142"/>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w:t>
            </w:r>
            <w:r>
              <w:rPr>
                <w:rFonts w:ascii="宋体" w:hAnsi="宋体" w:cs="宋体" w:eastAsia="宋体" w:hint="default"/>
                <w:w w:val="99"/>
                <w:sz w:val="15"/>
                <w:szCs w:val="15"/>
              </w:rPr>
              <w:t> </w:t>
            </w:r>
            <w:r>
              <w:rPr>
                <w:rFonts w:ascii="宋体" w:hAnsi="宋体" w:cs="宋体" w:eastAsia="宋体" w:hint="default"/>
                <w:sz w:val="15"/>
                <w:szCs w:val="15"/>
              </w:rPr>
              <w:t>入所有者权益</w:t>
            </w:r>
            <w:r>
              <w:rPr>
                <w:rFonts w:ascii="宋体" w:hAnsi="宋体" w:cs="宋体" w:eastAsia="宋体" w:hint="default"/>
                <w:w w:val="99"/>
                <w:sz w:val="15"/>
                <w:szCs w:val="15"/>
              </w:rPr>
              <w:t> </w:t>
            </w:r>
            <w:r>
              <w:rPr>
                <w:rFonts w:ascii="宋体" w:hAnsi="宋体" w:cs="宋体" w:eastAsia="宋体" w:hint="default"/>
                <w:sz w:val="15"/>
                <w:szCs w:val="15"/>
              </w:rPr>
              <w:t>的金额</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15"/>
                <w:szCs w:val="15"/>
              </w:rPr>
            </w:pPr>
            <w:r>
              <w:rPr>
                <w:rFonts w:ascii="宋体"/>
                <w:w w:val="95"/>
                <w:sz w:val="15"/>
              </w:rPr>
              <w:t>-3,562,808.70</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2"/>
              <w:jc w:val="right"/>
              <w:rPr>
                <w:rFonts w:ascii="宋体" w:hAnsi="宋体" w:cs="宋体" w:eastAsia="宋体" w:hint="default"/>
                <w:sz w:val="15"/>
                <w:szCs w:val="15"/>
              </w:rPr>
            </w:pPr>
            <w:r>
              <w:rPr>
                <w:rFonts w:ascii="宋体"/>
                <w:w w:val="95"/>
                <w:sz w:val="15"/>
              </w:rPr>
              <w:t>-3,609,933.81</w:t>
            </w:r>
            <w:r>
              <w:rPr>
                <w:rFonts w:ascii="宋体"/>
                <w:sz w:val="15"/>
              </w:rPr>
            </w:r>
          </w:p>
        </w:tc>
      </w:tr>
      <w:tr>
        <w:trPr>
          <w:trHeight w:val="404"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w w:val="95"/>
                <w:sz w:val="15"/>
              </w:rPr>
              <w:t>-1,007,905.13</w:t>
            </w:r>
            <w:r>
              <w:rPr>
                <w:rFonts w:ascii="宋体"/>
                <w:sz w:val="15"/>
              </w:rPr>
            </w: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9"/>
              <w:ind w:right="92"/>
              <w:jc w:val="right"/>
              <w:rPr>
                <w:rFonts w:ascii="宋体" w:hAnsi="宋体" w:cs="宋体" w:eastAsia="宋体" w:hint="default"/>
                <w:sz w:val="15"/>
                <w:szCs w:val="15"/>
              </w:rPr>
            </w:pPr>
            <w:r>
              <w:rPr>
                <w:rFonts w:ascii="宋体"/>
                <w:w w:val="95"/>
                <w:sz w:val="15"/>
              </w:rPr>
              <w:t>-1,007,905.13</w:t>
            </w:r>
            <w:r>
              <w:rPr>
                <w:rFonts w:ascii="宋体"/>
                <w:sz w:val="15"/>
              </w:rPr>
            </w:r>
          </w:p>
        </w:tc>
      </w:tr>
      <w:tr>
        <w:trPr>
          <w:trHeight w:val="403"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pacing w:val="-6"/>
                <w:sz w:val="15"/>
                <w:szCs w:val="15"/>
              </w:rPr>
              <w:t>（三）利润分配</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42"/>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w:t>
            </w:r>
            <w:r>
              <w:rPr>
                <w:rFonts w:ascii="宋体" w:hAnsi="宋体" w:cs="宋体" w:eastAsia="宋体" w:hint="default"/>
                <w:w w:val="99"/>
                <w:sz w:val="15"/>
                <w:szCs w:val="15"/>
              </w:rPr>
              <w:t> </w:t>
            </w:r>
            <w:r>
              <w:rPr>
                <w:rFonts w:ascii="宋体" w:hAnsi="宋体" w:cs="宋体" w:eastAsia="宋体" w:hint="default"/>
                <w:sz w:val="15"/>
                <w:szCs w:val="15"/>
              </w:rPr>
              <w:t>积</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84"/>
              <w:ind w:left="91" w:right="108"/>
              <w:jc w:val="left"/>
              <w:rPr>
                <w:rFonts w:ascii="宋体" w:hAnsi="宋体" w:cs="宋体" w:eastAsia="宋体" w:hint="default"/>
                <w:sz w:val="15"/>
                <w:szCs w:val="15"/>
              </w:rPr>
            </w:pPr>
            <w:r>
              <w:rPr>
                <w:rFonts w:ascii="宋体" w:hAnsi="宋体" w:cs="宋体" w:eastAsia="宋体" w:hint="default"/>
                <w:spacing w:val="-15"/>
                <w:w w:val="99"/>
                <w:sz w:val="15"/>
                <w:szCs w:val="15"/>
              </w:rPr>
              <w:t>2</w:t>
            </w:r>
            <w:r>
              <w:rPr>
                <w:rFonts w:ascii="宋体" w:hAnsi="宋体" w:cs="宋体" w:eastAsia="宋体" w:hint="default"/>
                <w:spacing w:val="-15"/>
                <w:w w:val="99"/>
                <w:sz w:val="15"/>
                <w:szCs w:val="15"/>
              </w:rPr>
              <w:t>．对所有者（或</w:t>
            </w:r>
            <w:r>
              <w:rPr>
                <w:rFonts w:ascii="宋体" w:hAnsi="宋体" w:cs="宋体" w:eastAsia="宋体" w:hint="default"/>
                <w:spacing w:val="-69"/>
                <w:w w:val="99"/>
                <w:sz w:val="15"/>
                <w:szCs w:val="15"/>
              </w:rPr>
              <w:t> </w:t>
            </w:r>
            <w:r>
              <w:rPr>
                <w:rFonts w:ascii="宋体" w:hAnsi="宋体" w:cs="宋体" w:eastAsia="宋体" w:hint="default"/>
                <w:spacing w:val="-69"/>
                <w:w w:val="99"/>
                <w:sz w:val="15"/>
                <w:szCs w:val="15"/>
              </w:rPr>
            </w:r>
            <w:r>
              <w:rPr>
                <w:rFonts w:ascii="宋体" w:hAnsi="宋体" w:cs="宋体" w:eastAsia="宋体" w:hint="default"/>
                <w:sz w:val="15"/>
                <w:szCs w:val="15"/>
              </w:rPr>
              <w:t>股东）的分配</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09"/>
              <w:jc w:val="left"/>
              <w:rPr>
                <w:rFonts w:ascii="宋体" w:hAnsi="宋体" w:cs="宋体" w:eastAsia="宋体" w:hint="default"/>
                <w:sz w:val="15"/>
                <w:szCs w:val="15"/>
              </w:rPr>
            </w:pPr>
            <w:r>
              <w:rPr>
                <w:rFonts w:ascii="宋体" w:hAnsi="宋体" w:cs="宋体" w:eastAsia="宋体" w:hint="default"/>
                <w:spacing w:val="-6"/>
                <w:sz w:val="15"/>
                <w:szCs w:val="15"/>
              </w:rPr>
              <w:t>（四）所有者权</w:t>
            </w:r>
            <w:r>
              <w:rPr>
                <w:rFonts w:ascii="宋体" w:hAnsi="宋体" w:cs="宋体" w:eastAsia="宋体" w:hint="default"/>
                <w:w w:val="99"/>
                <w:sz w:val="15"/>
                <w:szCs w:val="15"/>
              </w:rPr>
              <w:t> </w:t>
            </w:r>
            <w:r>
              <w:rPr>
                <w:rFonts w:ascii="宋体" w:hAnsi="宋体" w:cs="宋体" w:eastAsia="宋体" w:hint="default"/>
                <w:sz w:val="15"/>
                <w:szCs w:val="15"/>
              </w:rPr>
              <w:t>益内部结转</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r>
        <w:trPr>
          <w:trHeight w:val="1023"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80"/>
              <w:ind w:left="91" w:right="142"/>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w:t>
            </w:r>
            <w:r>
              <w:rPr>
                <w:rFonts w:ascii="宋体" w:hAnsi="宋体" w:cs="宋体" w:eastAsia="宋体" w:hint="default"/>
                <w:w w:val="99"/>
                <w:sz w:val="15"/>
                <w:szCs w:val="15"/>
              </w:rPr>
              <w:t> </w:t>
            </w:r>
            <w:r>
              <w:rPr>
                <w:rFonts w:ascii="宋体" w:hAnsi="宋体" w:cs="宋体" w:eastAsia="宋体" w:hint="default"/>
                <w:sz w:val="15"/>
                <w:szCs w:val="15"/>
              </w:rPr>
              <w:t>增资本（或股</w:t>
            </w:r>
            <w:r>
              <w:rPr>
                <w:rFonts w:ascii="宋体" w:hAnsi="宋体" w:cs="宋体" w:eastAsia="宋体" w:hint="default"/>
                <w:w w:val="99"/>
                <w:sz w:val="15"/>
                <w:szCs w:val="15"/>
              </w:rPr>
              <w:t> </w:t>
            </w:r>
            <w:r>
              <w:rPr>
                <w:rFonts w:ascii="宋体" w:hAnsi="宋体" w:cs="宋体" w:eastAsia="宋体" w:hint="default"/>
                <w:sz w:val="15"/>
                <w:szCs w:val="15"/>
              </w:rPr>
              <w:t>本）</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r>
        <w:trPr>
          <w:trHeight w:val="1028"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84"/>
              <w:ind w:left="91" w:right="142"/>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w:t>
            </w:r>
            <w:r>
              <w:rPr>
                <w:rFonts w:ascii="宋体" w:hAnsi="宋体" w:cs="宋体" w:eastAsia="宋体" w:hint="default"/>
                <w:w w:val="99"/>
                <w:sz w:val="15"/>
                <w:szCs w:val="15"/>
              </w:rPr>
              <w:t> </w:t>
            </w:r>
            <w:r>
              <w:rPr>
                <w:rFonts w:ascii="宋体" w:hAnsi="宋体" w:cs="宋体" w:eastAsia="宋体" w:hint="default"/>
                <w:sz w:val="15"/>
                <w:szCs w:val="15"/>
              </w:rPr>
              <w:t>增资本（或股</w:t>
            </w:r>
            <w:r>
              <w:rPr>
                <w:rFonts w:ascii="宋体" w:hAnsi="宋体" w:cs="宋体" w:eastAsia="宋体" w:hint="default"/>
                <w:w w:val="99"/>
                <w:sz w:val="15"/>
                <w:szCs w:val="15"/>
              </w:rPr>
              <w:t> </w:t>
            </w:r>
            <w:r>
              <w:rPr>
                <w:rFonts w:ascii="宋体" w:hAnsi="宋体" w:cs="宋体" w:eastAsia="宋体" w:hint="default"/>
                <w:sz w:val="15"/>
                <w:szCs w:val="15"/>
              </w:rPr>
              <w:t>本）</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6" w:lineRule="auto" w:before="79"/>
              <w:ind w:left="91" w:right="142"/>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w:t>
            </w:r>
            <w:r>
              <w:rPr>
                <w:rFonts w:ascii="宋体" w:hAnsi="宋体" w:cs="宋体" w:eastAsia="宋体" w:hint="default"/>
                <w:w w:val="99"/>
                <w:sz w:val="15"/>
                <w:szCs w:val="15"/>
              </w:rPr>
              <w:t> </w:t>
            </w:r>
            <w:r>
              <w:rPr>
                <w:rFonts w:ascii="宋体" w:hAnsi="宋体" w:cs="宋体" w:eastAsia="宋体" w:hint="default"/>
                <w:sz w:val="15"/>
                <w:szCs w:val="15"/>
              </w:rPr>
              <w:t>补亏损</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r>
        <w:trPr>
          <w:trHeight w:val="1028"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42"/>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．设定受益计</w:t>
            </w:r>
            <w:r>
              <w:rPr>
                <w:rFonts w:ascii="宋体" w:hAnsi="宋体" w:cs="宋体" w:eastAsia="宋体" w:hint="default"/>
                <w:w w:val="99"/>
                <w:sz w:val="15"/>
                <w:szCs w:val="15"/>
              </w:rPr>
              <w:t> </w:t>
            </w:r>
            <w:r>
              <w:rPr>
                <w:rFonts w:ascii="宋体" w:hAnsi="宋体" w:cs="宋体" w:eastAsia="宋体" w:hint="default"/>
                <w:sz w:val="15"/>
                <w:szCs w:val="15"/>
              </w:rPr>
              <w:t>划变动额结转</w:t>
            </w:r>
            <w:r>
              <w:rPr>
                <w:rFonts w:ascii="宋体" w:hAnsi="宋体" w:cs="宋体" w:eastAsia="宋体" w:hint="default"/>
                <w:w w:val="99"/>
                <w:sz w:val="15"/>
                <w:szCs w:val="15"/>
              </w:rPr>
              <w:t> </w:t>
            </w:r>
            <w:r>
              <w:rPr>
                <w:rFonts w:ascii="宋体" w:hAnsi="宋体" w:cs="宋体" w:eastAsia="宋体" w:hint="default"/>
                <w:sz w:val="15"/>
                <w:szCs w:val="15"/>
              </w:rPr>
              <w:t>留存收益</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r>
        <w:trPr>
          <w:trHeight w:val="672"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74" w:lineRule="auto" w:before="79"/>
              <w:ind w:left="91" w:right="142"/>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．其他综合收</w:t>
            </w:r>
            <w:r>
              <w:rPr>
                <w:rFonts w:ascii="宋体" w:hAnsi="宋体" w:cs="宋体" w:eastAsia="宋体" w:hint="default"/>
                <w:w w:val="99"/>
                <w:sz w:val="15"/>
                <w:szCs w:val="15"/>
              </w:rPr>
              <w:t> </w:t>
            </w:r>
            <w:r>
              <w:rPr>
                <w:rFonts w:ascii="宋体" w:hAnsi="宋体" w:cs="宋体" w:eastAsia="宋体" w:hint="default"/>
                <w:sz w:val="15"/>
                <w:szCs w:val="15"/>
              </w:rPr>
              <w:t>益结转留存收</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bl>
    <w:p>
      <w:pPr>
        <w:spacing w:after="0"/>
        <w:sectPr>
          <w:pgSz w:w="11910" w:h="16840"/>
          <w:pgMar w:header="871" w:footer="1037" w:top="1100" w:bottom="1220" w:left="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52" w:type="dxa"/>
        <w:tblLayout w:type="fixed"/>
        <w:tblCellMar>
          <w:top w:w="0" w:type="dxa"/>
          <w:left w:w="0" w:type="dxa"/>
          <w:bottom w:w="0" w:type="dxa"/>
          <w:right w:w="0" w:type="dxa"/>
        </w:tblCellMar>
        <w:tblLook w:val="01E0"/>
      </w:tblPr>
      <w:tblGrid>
        <w:gridCol w:w="1224"/>
        <w:gridCol w:w="1306"/>
        <w:gridCol w:w="288"/>
        <w:gridCol w:w="303"/>
        <w:gridCol w:w="288"/>
        <w:gridCol w:w="1273"/>
        <w:gridCol w:w="1296"/>
        <w:gridCol w:w="240"/>
        <w:gridCol w:w="264"/>
        <w:gridCol w:w="1258"/>
        <w:gridCol w:w="1345"/>
        <w:gridCol w:w="1215"/>
        <w:gridCol w:w="1465"/>
      </w:tblGrid>
      <w:tr>
        <w:trPr>
          <w:trHeight w:val="360"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1"/>
              <w:ind w:left="91" w:right="0"/>
              <w:jc w:val="left"/>
              <w:rPr>
                <w:rFonts w:ascii="宋体" w:hAnsi="宋体" w:cs="宋体" w:eastAsia="宋体" w:hint="default"/>
                <w:sz w:val="15"/>
                <w:szCs w:val="15"/>
              </w:rPr>
            </w:pPr>
            <w:r>
              <w:rPr>
                <w:rFonts w:ascii="宋体" w:hAnsi="宋体" w:cs="宋体" w:eastAsia="宋体" w:hint="default"/>
                <w:w w:val="99"/>
                <w:sz w:val="15"/>
                <w:szCs w:val="15"/>
              </w:rPr>
              <w:t>益</w:t>
            </w:r>
            <w:r>
              <w:rPr>
                <w:rFonts w:ascii="宋体" w:hAnsi="宋体" w:cs="宋体" w:eastAsia="宋体" w:hint="default"/>
                <w:sz w:val="15"/>
                <w:szCs w:val="15"/>
              </w:rPr>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．其他</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pacing w:val="-6"/>
                <w:sz w:val="15"/>
                <w:szCs w:val="15"/>
              </w:rPr>
              <w:t>（五）专项储备</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2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306"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3"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240"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465" w:type="dxa"/>
            <w:tcBorders>
              <w:top w:val="single" w:sz="4" w:space="0" w:color="000000"/>
              <w:left w:val="single" w:sz="4" w:space="0" w:color="000000"/>
              <w:bottom w:val="single" w:sz="4" w:space="0" w:color="000000"/>
              <w:right w:val="single" w:sz="12" w:space="0" w:color="000000"/>
            </w:tcBorders>
          </w:tcPr>
          <w:p>
            <w:pPr/>
          </w:p>
        </w:tc>
      </w:tr>
      <w:tr>
        <w:trPr>
          <w:trHeight w:val="725" w:hRule="exact"/>
        </w:trPr>
        <w:tc>
          <w:tcPr>
            <w:tcW w:w="122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88" w:lineRule="auto" w:before="79"/>
              <w:ind w:left="91" w:right="109"/>
              <w:jc w:val="left"/>
              <w:rPr>
                <w:rFonts w:ascii="宋体" w:hAnsi="宋体" w:cs="宋体" w:eastAsia="宋体" w:hint="default"/>
                <w:sz w:val="15"/>
                <w:szCs w:val="15"/>
              </w:rPr>
            </w:pPr>
            <w:r>
              <w:rPr>
                <w:rFonts w:ascii="宋体" w:hAnsi="宋体" w:cs="宋体" w:eastAsia="宋体" w:hint="default"/>
                <w:spacing w:val="-6"/>
                <w:sz w:val="15"/>
                <w:szCs w:val="15"/>
              </w:rPr>
              <w:t>四、本期期末余</w:t>
            </w:r>
            <w:r>
              <w:rPr>
                <w:rFonts w:ascii="宋体" w:hAnsi="宋体" w:cs="宋体" w:eastAsia="宋体" w:hint="default"/>
                <w:w w:val="99"/>
                <w:sz w:val="15"/>
                <w:szCs w:val="15"/>
              </w:rPr>
              <w:t> </w:t>
            </w:r>
            <w:r>
              <w:rPr>
                <w:rFonts w:ascii="宋体" w:hAnsi="宋体" w:cs="宋体" w:eastAsia="宋体" w:hint="default"/>
                <w:sz w:val="15"/>
                <w:szCs w:val="15"/>
              </w:rPr>
              <w:t>额</w:t>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43" w:right="0"/>
              <w:jc w:val="left"/>
              <w:rPr>
                <w:rFonts w:ascii="宋体" w:hAnsi="宋体" w:cs="宋体" w:eastAsia="宋体" w:hint="default"/>
                <w:sz w:val="15"/>
                <w:szCs w:val="15"/>
              </w:rPr>
            </w:pPr>
            <w:r>
              <w:rPr>
                <w:rFonts w:ascii="宋体"/>
                <w:sz w:val="15"/>
              </w:rPr>
              <w:t>411,118,370.00</w:t>
            </w:r>
          </w:p>
        </w:tc>
        <w:tc>
          <w:tcPr>
            <w:tcW w:w="288" w:type="dxa"/>
            <w:tcBorders>
              <w:top w:val="single" w:sz="4" w:space="0" w:color="000000"/>
              <w:left w:val="single" w:sz="4" w:space="0" w:color="000000"/>
              <w:bottom w:val="single" w:sz="12" w:space="0" w:color="000000"/>
              <w:right w:val="single" w:sz="4" w:space="0" w:color="000000"/>
            </w:tcBorders>
          </w:tcPr>
          <w:p>
            <w:pPr/>
          </w:p>
        </w:tc>
        <w:tc>
          <w:tcPr>
            <w:tcW w:w="303" w:type="dxa"/>
            <w:tcBorders>
              <w:top w:val="single" w:sz="4" w:space="0" w:color="000000"/>
              <w:left w:val="single" w:sz="4" w:space="0" w:color="000000"/>
              <w:bottom w:val="single" w:sz="12" w:space="0" w:color="000000"/>
              <w:right w:val="single" w:sz="4" w:space="0" w:color="000000"/>
            </w:tcBorders>
          </w:tcPr>
          <w:p>
            <w:pPr/>
          </w:p>
        </w:tc>
        <w:tc>
          <w:tcPr>
            <w:tcW w:w="288" w:type="dxa"/>
            <w:tcBorders>
              <w:top w:val="single" w:sz="4" w:space="0" w:color="000000"/>
              <w:left w:val="single" w:sz="4" w:space="0" w:color="000000"/>
              <w:bottom w:val="single" w:sz="12" w:space="0" w:color="000000"/>
              <w:right w:val="single" w:sz="4" w:space="0" w:color="000000"/>
            </w:tcBorders>
          </w:tcPr>
          <w:p>
            <w:pPr/>
          </w:p>
        </w:tc>
        <w:tc>
          <w:tcPr>
            <w:tcW w:w="12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5"/>
                <w:szCs w:val="15"/>
              </w:rPr>
            </w:pPr>
            <w:r>
              <w:rPr>
                <w:rFonts w:ascii="宋体"/>
                <w:sz w:val="15"/>
              </w:rPr>
              <w:t>759,666,154.68</w:t>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11" w:right="0"/>
              <w:jc w:val="left"/>
              <w:rPr>
                <w:rFonts w:ascii="宋体" w:hAnsi="宋体" w:cs="宋体" w:eastAsia="宋体" w:hint="default"/>
                <w:sz w:val="15"/>
                <w:szCs w:val="15"/>
              </w:rPr>
            </w:pPr>
            <w:r>
              <w:rPr>
                <w:rFonts w:ascii="宋体"/>
                <w:sz w:val="15"/>
              </w:rPr>
              <w:t>25,041,540.00</w:t>
            </w:r>
          </w:p>
        </w:tc>
        <w:tc>
          <w:tcPr>
            <w:tcW w:w="240" w:type="dxa"/>
            <w:tcBorders>
              <w:top w:val="single" w:sz="4" w:space="0" w:color="000000"/>
              <w:left w:val="single" w:sz="4" w:space="0" w:color="000000"/>
              <w:bottom w:val="single" w:sz="12" w:space="0" w:color="000000"/>
              <w:right w:val="single" w:sz="4" w:space="0" w:color="000000"/>
            </w:tcBorders>
          </w:tcPr>
          <w:p>
            <w:pPr/>
          </w:p>
        </w:tc>
        <w:tc>
          <w:tcPr>
            <w:tcW w:w="264" w:type="dxa"/>
            <w:tcBorders>
              <w:top w:val="single" w:sz="4" w:space="0" w:color="000000"/>
              <w:left w:val="single" w:sz="4" w:space="0" w:color="000000"/>
              <w:bottom w:val="single" w:sz="12" w:space="0" w:color="000000"/>
              <w:right w:val="single" w:sz="4" w:space="0" w:color="000000"/>
            </w:tcBorders>
          </w:tcPr>
          <w:p>
            <w:pPr/>
          </w:p>
        </w:tc>
        <w:tc>
          <w:tcPr>
            <w:tcW w:w="12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67" w:right="0"/>
              <w:jc w:val="left"/>
              <w:rPr>
                <w:rFonts w:ascii="宋体" w:hAnsi="宋体" w:cs="宋体" w:eastAsia="宋体" w:hint="default"/>
                <w:sz w:val="15"/>
                <w:szCs w:val="15"/>
              </w:rPr>
            </w:pPr>
            <w:r>
              <w:rPr>
                <w:rFonts w:ascii="宋体"/>
                <w:sz w:val="15"/>
              </w:rPr>
              <w:t>21,281,039.35</w:t>
            </w:r>
          </w:p>
        </w:tc>
        <w:tc>
          <w:tcPr>
            <w:tcW w:w="13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宋体" w:hAnsi="宋体" w:cs="宋体" w:eastAsia="宋体" w:hint="default"/>
                <w:sz w:val="15"/>
                <w:szCs w:val="15"/>
              </w:rPr>
            </w:pPr>
            <w:r>
              <w:rPr>
                <w:rFonts w:ascii="宋体"/>
                <w:sz w:val="15"/>
              </w:rPr>
              <w:t>-172,607,606.14</w:t>
            </w:r>
          </w:p>
        </w:tc>
        <w:tc>
          <w:tcPr>
            <w:tcW w:w="1215" w:type="dxa"/>
            <w:tcBorders>
              <w:top w:val="single" w:sz="4" w:space="0" w:color="000000"/>
              <w:left w:val="single" w:sz="4" w:space="0" w:color="000000"/>
              <w:bottom w:val="single" w:sz="12" w:space="0" w:color="000000"/>
              <w:right w:val="single" w:sz="4" w:space="0" w:color="000000"/>
            </w:tcBorders>
          </w:tcPr>
          <w:p>
            <w:pPr/>
          </w:p>
        </w:tc>
        <w:tc>
          <w:tcPr>
            <w:tcW w:w="146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97" w:right="0"/>
              <w:jc w:val="left"/>
              <w:rPr>
                <w:rFonts w:ascii="宋体" w:hAnsi="宋体" w:cs="宋体" w:eastAsia="宋体" w:hint="default"/>
                <w:sz w:val="15"/>
                <w:szCs w:val="15"/>
              </w:rPr>
            </w:pPr>
            <w:r>
              <w:rPr>
                <w:rFonts w:ascii="宋体"/>
                <w:sz w:val="15"/>
              </w:rPr>
              <w:t>994,416,417.89</w:t>
            </w:r>
          </w:p>
        </w:tc>
      </w:tr>
    </w:tbl>
    <w:p>
      <w:pPr>
        <w:pStyle w:val="Heading2"/>
        <w:spacing w:line="240" w:lineRule="auto" w:before="41"/>
        <w:ind w:left="1133" w:right="8326"/>
        <w:jc w:val="left"/>
        <w:rPr>
          <w:b w:val="0"/>
          <w:bCs w:val="0"/>
        </w:rPr>
      </w:pPr>
      <w:bookmarkStart w:name="三、公司基本情况" w:id="219"/>
      <w:bookmarkEnd w:id="219"/>
      <w:r>
        <w:rPr>
          <w:b w:val="0"/>
          <w:bCs w:val="0"/>
        </w:rPr>
      </w:r>
      <w:r>
        <w:rPr/>
        <w:t>三、公司基本情况</w:t>
      </w:r>
      <w:r>
        <w:rPr>
          <w:b w:val="0"/>
          <w:bCs w:val="0"/>
        </w:rPr>
      </w:r>
    </w:p>
    <w:p>
      <w:pPr>
        <w:pStyle w:val="BodyText"/>
        <w:spacing w:line="408" w:lineRule="auto" w:before="181"/>
        <w:ind w:left="1133" w:right="1122" w:firstLine="422"/>
        <w:jc w:val="both"/>
      </w:pPr>
      <w:r>
        <w:rPr/>
        <w:t>光一科技股份有限公司</w:t>
      </w:r>
      <w:r>
        <w:rPr>
          <w:rFonts w:ascii="宋体" w:hAnsi="宋体" w:cs="宋体" w:eastAsia="宋体" w:hint="default"/>
        </w:rPr>
        <w:t>(</w:t>
      </w:r>
      <w:r>
        <w:rPr/>
        <w:t>以下简称“本公司”或“公司”</w:t>
      </w:r>
      <w:r>
        <w:rPr>
          <w:rFonts w:ascii="宋体" w:hAnsi="宋体" w:cs="宋体" w:eastAsia="宋体" w:hint="default"/>
        </w:rPr>
        <w:t>)</w:t>
      </w:r>
      <w:r>
        <w:rPr/>
        <w:t>为境内公开发行</w:t>
      </w:r>
      <w:r>
        <w:rPr>
          <w:rFonts w:ascii="宋体" w:hAnsi="宋体" w:cs="宋体" w:eastAsia="宋体" w:hint="default"/>
        </w:rPr>
        <w:t>A</w:t>
      </w:r>
      <w:r>
        <w:rPr/>
        <w:t>股股票并在深圳证券交易</w:t>
      </w:r>
      <w:r>
        <w:rPr>
          <w:w w:val="100"/>
        </w:rPr>
        <w:t> </w:t>
      </w:r>
      <w:r>
        <w:rPr>
          <w:spacing w:val="-2"/>
        </w:rPr>
        <w:t>所上市的股份有限公司。本公司于</w:t>
      </w:r>
      <w:r>
        <w:rPr>
          <w:rFonts w:ascii="宋体" w:hAnsi="宋体" w:cs="宋体" w:eastAsia="宋体" w:hint="default"/>
          <w:spacing w:val="-2"/>
        </w:rPr>
        <w:t>2009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11</w:t>
      </w:r>
      <w:r>
        <w:rPr>
          <w:spacing w:val="-2"/>
        </w:rPr>
        <w:t>日经批准由江苏光一科技有限责任公司改制成为股份有限</w:t>
      </w:r>
      <w:r>
        <w:rPr>
          <w:spacing w:val="-24"/>
        </w:rPr>
        <w:t> </w:t>
      </w:r>
      <w:r>
        <w:rPr>
          <w:spacing w:val="-24"/>
        </w:rPr>
      </w:r>
      <w:r>
        <w:rPr>
          <w:spacing w:val="-2"/>
        </w:rPr>
        <w:t>公司，持有江苏省南京市工商行政管理局换发的统一社会信用代码为</w:t>
      </w:r>
      <w:r>
        <w:rPr>
          <w:rFonts w:ascii="宋体" w:hAnsi="宋体" w:cs="宋体" w:eastAsia="宋体" w:hint="default"/>
          <w:spacing w:val="-2"/>
        </w:rPr>
        <w:t>913201007217504263</w:t>
      </w:r>
      <w:r>
        <w:rPr>
          <w:spacing w:val="-2"/>
        </w:rPr>
        <w:t>的《企业法人营</w:t>
      </w:r>
      <w:r>
        <w:rPr>
          <w:spacing w:val="-13"/>
        </w:rPr>
        <w:t> </w:t>
      </w:r>
      <w:r>
        <w:rPr>
          <w:spacing w:val="-13"/>
        </w:rPr>
      </w:r>
      <w:r>
        <w:rPr>
          <w:spacing w:val="-4"/>
          <w:w w:val="100"/>
        </w:rPr>
        <w:t>业执照》，注册资本为人民币</w:t>
      </w:r>
      <w:r>
        <w:rPr>
          <w:rFonts w:ascii="宋体" w:hAnsi="宋体" w:cs="宋体" w:eastAsia="宋体" w:hint="default"/>
          <w:spacing w:val="-4"/>
          <w:w w:val="100"/>
        </w:rPr>
        <w:t>411,118,370.00</w:t>
      </w:r>
      <w:r>
        <w:rPr>
          <w:spacing w:val="-4"/>
          <w:w w:val="100"/>
        </w:rPr>
        <w:t>元，注册地址为南京市江宁区将军大道</w:t>
      </w:r>
      <w:r>
        <w:rPr>
          <w:rFonts w:ascii="宋体" w:hAnsi="宋体" w:cs="宋体" w:eastAsia="宋体" w:hint="default"/>
          <w:spacing w:val="-4"/>
          <w:w w:val="100"/>
        </w:rPr>
        <w:t>128</w:t>
      </w:r>
      <w:r>
        <w:rPr>
          <w:spacing w:val="-4"/>
          <w:w w:val="100"/>
        </w:rPr>
        <w:t>号。本公司经营范</w:t>
      </w:r>
      <w:r>
        <w:rPr>
          <w:spacing w:val="-71"/>
          <w:w w:val="100"/>
        </w:rPr>
        <w:t> </w:t>
      </w:r>
      <w:r>
        <w:rPr>
          <w:spacing w:val="-71"/>
          <w:w w:val="100"/>
        </w:rPr>
      </w:r>
      <w:r>
        <w:rPr>
          <w:spacing w:val="-7"/>
        </w:rPr>
        <w:t>围为电力设备、仪器仪表、计算机软硬件的开发、设计、制造、销售及服务；信息系统设计、销售、施工、 </w:t>
      </w:r>
      <w:r>
        <w:rPr>
          <w:spacing w:val="-7"/>
        </w:rPr>
      </w:r>
      <w:r>
        <w:rPr>
          <w:spacing w:val="-2"/>
        </w:rPr>
        <w:t>服务及技术咨询；电子设备与器件、通信产品（不含地面卫星接收设备）的销售、服务及技术咨询；实业</w:t>
      </w:r>
      <w:r>
        <w:rPr>
          <w:spacing w:val="-33"/>
        </w:rPr>
        <w:t> </w:t>
      </w:r>
      <w:r>
        <w:rPr>
          <w:spacing w:val="-33"/>
        </w:rPr>
      </w:r>
      <w:r>
        <w:rPr>
          <w:spacing w:val="-2"/>
        </w:rPr>
        <w:t>投资；电力工程、建筑工程承包；输变电工程、电气工程、机电设备安装的施工及承包；承装、承修、承</w:t>
      </w:r>
      <w:r>
        <w:rPr>
          <w:spacing w:val="-31"/>
        </w:rPr>
        <w:t> </w:t>
      </w:r>
      <w:r>
        <w:rPr>
          <w:spacing w:val="-31"/>
        </w:rPr>
      </w:r>
      <w:r>
        <w:rPr>
          <w:spacing w:val="-2"/>
        </w:rPr>
        <w:t>试电力设施；太阳能光伏发电；房屋租赁、物业管理；配电自动化终端设备和检测装置设备租赁；用电技</w:t>
      </w:r>
      <w:r>
        <w:rPr>
          <w:spacing w:val="-38"/>
        </w:rPr>
        <w:t> </w:t>
      </w:r>
      <w:r>
        <w:rPr>
          <w:spacing w:val="-38"/>
        </w:rPr>
      </w:r>
      <w:r>
        <w:rPr/>
        <w:t>术服务。</w:t>
      </w:r>
    </w:p>
    <w:p>
      <w:pPr>
        <w:pStyle w:val="BodyText"/>
        <w:spacing w:line="410" w:lineRule="auto" w:before="44"/>
        <w:ind w:left="1133" w:right="1025" w:firstLine="422"/>
        <w:jc w:val="both"/>
      </w:pPr>
      <w:r>
        <w:rPr>
          <w:w w:val="100"/>
        </w:rPr>
        <w:t>本年度合并财务报表</w:t>
      </w:r>
      <w:r>
        <w:rPr>
          <w:spacing w:val="4"/>
          <w:w w:val="100"/>
        </w:rPr>
        <w:t>范</w:t>
      </w:r>
      <w:r>
        <w:rPr>
          <w:w w:val="100"/>
        </w:rPr>
        <w:t>围为本公司及子</w:t>
      </w:r>
      <w:r>
        <w:rPr>
          <w:spacing w:val="4"/>
          <w:w w:val="100"/>
        </w:rPr>
        <w:t>公</w:t>
      </w:r>
      <w:r>
        <w:rPr>
          <w:w w:val="100"/>
        </w:rPr>
        <w:t>司，具体</w:t>
      </w:r>
      <w:r>
        <w:rPr>
          <w:spacing w:val="4"/>
          <w:w w:val="100"/>
        </w:rPr>
        <w:t>详</w:t>
      </w:r>
      <w:r>
        <w:rPr>
          <w:w w:val="100"/>
        </w:rPr>
        <w:t>见“本附注八、合并范</w:t>
      </w:r>
      <w:r>
        <w:rPr>
          <w:spacing w:val="4"/>
          <w:w w:val="100"/>
        </w:rPr>
        <w:t>围</w:t>
      </w:r>
      <w:r>
        <w:rPr>
          <w:w w:val="100"/>
        </w:rPr>
        <w:t>的变更</w:t>
      </w:r>
      <w:r>
        <w:rPr>
          <w:spacing w:val="-101"/>
          <w:w w:val="100"/>
        </w:rPr>
        <w:t>”、</w:t>
      </w:r>
      <w:r>
        <w:rPr>
          <w:w w:val="100"/>
        </w:rPr>
        <w:t>“本附注九、</w:t>
      </w:r>
      <w:r>
        <w:rPr>
          <w:w w:val="100"/>
        </w:rPr>
        <w:t> 在其他主</w:t>
      </w:r>
      <w:r>
        <w:rPr>
          <w:spacing w:val="-5"/>
          <w:w w:val="100"/>
        </w:rPr>
        <w:t>体</w:t>
      </w:r>
      <w:r>
        <w:rPr>
          <w:w w:val="100"/>
        </w:rPr>
        <w:t>中的权益</w:t>
      </w:r>
      <w:r>
        <w:rPr>
          <w:spacing w:val="-111"/>
          <w:w w:val="100"/>
        </w:rPr>
        <w:t>”</w:t>
      </w:r>
      <w:r>
        <w:rPr>
          <w:w w:val="100"/>
        </w:rPr>
        <w:t>。</w:t>
      </w:r>
    </w:p>
    <w:p>
      <w:pPr>
        <w:spacing w:line="240" w:lineRule="auto" w:before="10"/>
        <w:rPr>
          <w:rFonts w:ascii="宋体" w:hAnsi="宋体" w:cs="宋体" w:eastAsia="宋体" w:hint="default"/>
          <w:sz w:val="17"/>
          <w:szCs w:val="17"/>
        </w:rPr>
      </w:pPr>
    </w:p>
    <w:p>
      <w:pPr>
        <w:pStyle w:val="Heading2"/>
        <w:spacing w:line="240" w:lineRule="auto"/>
        <w:ind w:left="1133" w:right="479"/>
        <w:jc w:val="left"/>
        <w:rPr>
          <w:b w:val="0"/>
          <w:bCs w:val="0"/>
        </w:rPr>
      </w:pPr>
      <w:bookmarkStart w:name="四、财务报表的编制基础" w:id="220"/>
      <w:bookmarkEnd w:id="220"/>
      <w:r>
        <w:rPr>
          <w:b w:val="0"/>
          <w:bCs w:val="0"/>
        </w:rPr>
      </w:r>
      <w:r>
        <w:rPr/>
        <w:t>四、财务报表的编制基础</w:t>
      </w:r>
      <w:r>
        <w:rPr>
          <w:b w:val="0"/>
          <w:bCs w:val="0"/>
        </w:rPr>
      </w:r>
    </w:p>
    <w:p>
      <w:pPr>
        <w:spacing w:line="240" w:lineRule="auto" w:before="2"/>
        <w:rPr>
          <w:rFonts w:ascii="宋体" w:hAnsi="宋体" w:cs="宋体" w:eastAsia="宋体" w:hint="default"/>
          <w:b/>
          <w:bCs/>
          <w:sz w:val="31"/>
          <w:szCs w:val="31"/>
        </w:rPr>
      </w:pPr>
    </w:p>
    <w:p>
      <w:pPr>
        <w:pStyle w:val="BodyText"/>
        <w:spacing w:line="410" w:lineRule="auto"/>
        <w:ind w:left="1450" w:right="479" w:hanging="317"/>
        <w:jc w:val="left"/>
      </w:pPr>
      <w:bookmarkStart w:name="1、编制基础" w:id="221"/>
      <w:bookmarkEnd w:id="221"/>
      <w:r>
        <w:rPr/>
      </w:r>
      <w:r>
        <w:rPr>
          <w:rFonts w:ascii="宋体" w:hAnsi="宋体" w:cs="宋体" w:eastAsia="宋体" w:hint="default"/>
          <w:b/>
          <w:bCs/>
        </w:rPr>
        <w:t>1</w:t>
      </w:r>
      <w:r>
        <w:rPr>
          <w:rFonts w:ascii="宋体" w:hAnsi="宋体" w:cs="宋体" w:eastAsia="宋体" w:hint="default"/>
          <w:b/>
          <w:bCs/>
        </w:rPr>
        <w:t>、编制基础</w:t>
      </w:r>
      <w:r>
        <w:rPr>
          <w:rFonts w:ascii="宋体" w:hAnsi="宋体" w:cs="宋体" w:eastAsia="宋体" w:hint="default"/>
          <w:b/>
          <w:bCs/>
          <w:w w:val="100"/>
        </w:rPr>
        <w:t> </w:t>
      </w:r>
      <w:r>
        <w:rPr>
          <w:spacing w:val="-2"/>
        </w:rPr>
        <w:t>本公司以持续经营为基础，根据实际发生的交易和事项，按照《企业会计准则</w:t>
      </w:r>
      <w:r>
        <w:rPr>
          <w:rFonts w:ascii="Times New Roman" w:hAnsi="Times New Roman" w:cs="Times New Roman" w:eastAsia="Times New Roman" w:hint="default"/>
          <w:spacing w:val="-2"/>
        </w:rPr>
        <w:t>—</w:t>
      </w:r>
      <w:r>
        <w:rPr>
          <w:spacing w:val="-2"/>
        </w:rPr>
        <w:t>基本准则》和其他各</w:t>
      </w:r>
    </w:p>
    <w:p>
      <w:pPr>
        <w:pStyle w:val="BodyText"/>
        <w:spacing w:line="240" w:lineRule="auto" w:before="9"/>
        <w:ind w:left="1133" w:right="479"/>
        <w:jc w:val="left"/>
      </w:pPr>
      <w:r>
        <w:rPr/>
        <w:t>项会计准则的规定进行确认和计量，在此基础上编制财务报表。</w:t>
      </w:r>
    </w:p>
    <w:p>
      <w:pPr>
        <w:spacing w:after="0" w:line="240" w:lineRule="auto"/>
        <w:jc w:val="left"/>
        <w:sectPr>
          <w:pgSz w:w="11910" w:h="16840"/>
          <w:pgMar w:header="871" w:footer="1037" w:top="1100" w:bottom="1220" w:left="0" w:right="0"/>
        </w:sectPr>
      </w:pPr>
    </w:p>
    <w:p>
      <w:pPr>
        <w:spacing w:line="240" w:lineRule="auto" w:before="12"/>
        <w:rPr>
          <w:rFonts w:ascii="宋体" w:hAnsi="宋体" w:cs="宋体" w:eastAsia="宋体" w:hint="default"/>
          <w:sz w:val="26"/>
          <w:szCs w:val="26"/>
        </w:rPr>
      </w:pPr>
    </w:p>
    <w:p>
      <w:pPr>
        <w:pStyle w:val="Heading4"/>
        <w:spacing w:line="240" w:lineRule="auto"/>
        <w:ind w:right="1024"/>
        <w:jc w:val="left"/>
        <w:rPr>
          <w:b w:val="0"/>
          <w:bCs w:val="0"/>
        </w:rPr>
      </w:pPr>
      <w:bookmarkStart w:name="2、持续经营" w:id="222"/>
      <w:bookmarkEnd w:id="222"/>
      <w:r>
        <w:rPr>
          <w:b w:val="0"/>
          <w:bCs w:val="0"/>
        </w:rPr>
      </w:r>
      <w:r>
        <w:rPr>
          <w:rFonts w:ascii="宋体" w:hAnsi="宋体" w:cs="宋体" w:eastAsia="宋体" w:hint="default"/>
        </w:rPr>
        <w:t>2</w:t>
      </w:r>
      <w:r>
        <w:rPr/>
        <w:t>、持续经营</w:t>
      </w:r>
      <w:r>
        <w:rPr>
          <w:b w:val="0"/>
          <w:bCs w:val="0"/>
        </w:rPr>
      </w:r>
    </w:p>
    <w:p>
      <w:pPr>
        <w:spacing w:line="240" w:lineRule="auto" w:before="8"/>
        <w:rPr>
          <w:rFonts w:ascii="宋体" w:hAnsi="宋体" w:cs="宋体" w:eastAsia="宋体" w:hint="default"/>
          <w:b/>
          <w:bCs/>
          <w:sz w:val="14"/>
          <w:szCs w:val="14"/>
        </w:rPr>
      </w:pPr>
    </w:p>
    <w:p>
      <w:pPr>
        <w:pStyle w:val="BodyText"/>
        <w:spacing w:line="410" w:lineRule="auto"/>
        <w:ind w:right="1110" w:firstLine="316"/>
        <w:jc w:val="left"/>
      </w:pPr>
      <w:bookmarkStart w:name="经本公司评估，自本报告期末起的12个月内，本公司持续经营能力良好，不存在导致对本" w:id="223"/>
      <w:bookmarkEnd w:id="223"/>
      <w:r>
        <w:rPr/>
      </w:r>
      <w:r>
        <w:rPr/>
        <w:t>经本公司评估，自本报告期末起的</w:t>
      </w:r>
      <w:r>
        <w:rPr>
          <w:spacing w:val="-62"/>
        </w:rPr>
        <w:t> </w:t>
      </w:r>
      <w:r>
        <w:rPr>
          <w:rFonts w:ascii="宋体" w:hAnsi="宋体" w:cs="宋体" w:eastAsia="宋体" w:hint="default"/>
        </w:rPr>
        <w:t>12</w:t>
      </w:r>
      <w:r>
        <w:rPr>
          <w:rFonts w:ascii="宋体" w:hAnsi="宋体" w:cs="宋体" w:eastAsia="宋体" w:hint="default"/>
          <w:spacing w:val="-63"/>
        </w:rPr>
        <w:t> </w:t>
      </w:r>
      <w:r>
        <w:rPr/>
        <w:t>个月内，本公司持续经营能力良好，不存在导致对本公司持续经</w:t>
      </w:r>
      <w:r>
        <w:rPr>
          <w:w w:val="100"/>
        </w:rPr>
        <w:t> </w:t>
      </w:r>
      <w:r>
        <w:rPr/>
        <w:t>营能力产生重大怀疑的因素。</w:t>
      </w:r>
    </w:p>
    <w:p>
      <w:pPr>
        <w:spacing w:line="393" w:lineRule="auto" w:before="16"/>
        <w:ind w:left="153" w:right="5885" w:firstLine="0"/>
        <w:jc w:val="left"/>
        <w:rPr>
          <w:rFonts w:ascii="宋体" w:hAnsi="宋体" w:cs="宋体" w:eastAsia="宋体" w:hint="default"/>
          <w:sz w:val="21"/>
          <w:szCs w:val="21"/>
        </w:rPr>
      </w:pPr>
      <w:bookmarkStart w:name="五、重要会计政策及会计估计" w:id="224"/>
      <w:bookmarkEnd w:id="224"/>
      <w:r>
        <w:rPr/>
      </w:r>
      <w:r>
        <w:rPr>
          <w:rFonts w:ascii="宋体" w:hAnsi="宋体" w:cs="宋体" w:eastAsia="宋体" w:hint="default"/>
          <w:b/>
          <w:bCs/>
          <w:sz w:val="24"/>
          <w:szCs w:val="24"/>
        </w:rPr>
        <w:t>五、重要会计政策及会计估计</w:t>
      </w:r>
      <w:r>
        <w:rPr>
          <w:rFonts w:ascii="宋体" w:hAnsi="宋体" w:cs="宋体" w:eastAsia="宋体" w:hint="default"/>
          <w:b/>
          <w:bCs/>
          <w:w w:val="99"/>
          <w:sz w:val="24"/>
          <w:szCs w:val="24"/>
        </w:rPr>
        <w:t> </w:t>
      </w:r>
      <w:bookmarkStart w:name="公司是否需要遵守特殊行业的披露要求:否" w:id="225"/>
      <w:bookmarkEnd w:id="225"/>
      <w:r>
        <w:rPr>
          <w:rFonts w:ascii="宋体" w:hAnsi="宋体" w:cs="宋体" w:eastAsia="宋体" w:hint="default"/>
          <w:b/>
          <w:bCs/>
          <w:w w:val="99"/>
          <w:sz w:val="24"/>
          <w:szCs w:val="24"/>
        </w:rPr>
      </w:r>
      <w:r>
        <w:rPr>
          <w:rFonts w:ascii="宋体" w:hAnsi="宋体" w:cs="宋体" w:eastAsia="宋体" w:hint="default"/>
          <w:spacing w:val="-1"/>
          <w:sz w:val="21"/>
          <w:szCs w:val="21"/>
        </w:rPr>
        <w:t>公司是否需要遵守特殊行业的披露要求</w:t>
      </w:r>
      <w:r>
        <w:rPr>
          <w:rFonts w:ascii="宋体" w:hAnsi="宋体" w:cs="宋体" w:eastAsia="宋体" w:hint="default"/>
          <w:spacing w:val="-1"/>
          <w:sz w:val="21"/>
          <w:szCs w:val="21"/>
        </w:rPr>
        <w:t>:</w:t>
      </w:r>
      <w:r>
        <w:rPr>
          <w:rFonts w:ascii="宋体" w:hAnsi="宋体" w:cs="宋体" w:eastAsia="宋体" w:hint="default"/>
          <w:spacing w:val="-1"/>
          <w:sz w:val="21"/>
          <w:szCs w:val="21"/>
        </w:rPr>
        <w:t>否</w:t>
      </w:r>
      <w:r>
        <w:rPr>
          <w:rFonts w:ascii="宋体" w:hAnsi="宋体" w:cs="宋体" w:eastAsia="宋体" w:hint="default"/>
          <w:spacing w:val="-83"/>
          <w:sz w:val="21"/>
          <w:szCs w:val="21"/>
        </w:rPr>
        <w:t> </w:t>
      </w:r>
      <w:bookmarkStart w:name="具体会计政策和会计估计提示：" w:id="226"/>
      <w:bookmarkEnd w:id="226"/>
      <w:r>
        <w:rPr>
          <w:rFonts w:ascii="宋体" w:hAnsi="宋体" w:cs="宋体" w:eastAsia="宋体" w:hint="default"/>
          <w:sz w:val="21"/>
          <w:szCs w:val="21"/>
        </w:rPr>
        <w:t>具体会计</w:t>
      </w:r>
      <w:r>
        <w:rPr>
          <w:rFonts w:ascii="宋体" w:hAnsi="宋体" w:cs="宋体" w:eastAsia="宋体" w:hint="default"/>
          <w:sz w:val="21"/>
          <w:szCs w:val="21"/>
        </w:rPr>
        <w:t>政策和会计估计提示：</w:t>
      </w:r>
    </w:p>
    <w:p>
      <w:pPr>
        <w:pStyle w:val="BodyText"/>
        <w:spacing w:line="405" w:lineRule="auto" w:before="61"/>
        <w:ind w:right="1129" w:firstLine="422"/>
        <w:jc w:val="both"/>
      </w:pPr>
      <w:bookmarkStart w:name="以下披露内容已涵盖了本公司根据实际生产经营特点制订的具体会计政策和会计估计。详见" w:id="227"/>
      <w:bookmarkEnd w:id="227"/>
      <w:r>
        <w:rPr/>
      </w:r>
      <w:r>
        <w:rPr>
          <w:spacing w:val="2"/>
        </w:rPr>
        <w:t>以下披露内容已涵盖了本公司根据实际生产经营特点制订的具体会计政策和会计估计。详见本附注</w:t>
      </w:r>
      <w:r>
        <w:rPr>
          <w:w w:val="100"/>
        </w:rPr>
        <w:t> </w:t>
      </w:r>
      <w:r>
        <w:rPr/>
        <w:t>“</w:t>
      </w:r>
      <w:r>
        <w:rPr>
          <w:rFonts w:ascii="宋体" w:hAnsi="宋体" w:cs="宋体" w:eastAsia="宋体" w:hint="default"/>
        </w:rPr>
        <w:t>3.12</w:t>
      </w:r>
      <w:r>
        <w:rPr>
          <w:rFonts w:ascii="宋体" w:hAnsi="宋体" w:cs="宋体" w:eastAsia="宋体" w:hint="default"/>
          <w:spacing w:val="-50"/>
        </w:rPr>
        <w:t> </w:t>
      </w:r>
      <w:r>
        <w:rPr/>
        <w:t>应收账款”、“</w:t>
      </w:r>
      <w:r>
        <w:rPr>
          <w:rFonts w:ascii="宋体" w:hAnsi="宋体" w:cs="宋体" w:eastAsia="宋体" w:hint="default"/>
        </w:rPr>
        <w:t>3.15</w:t>
      </w:r>
      <w:r>
        <w:rPr>
          <w:rFonts w:ascii="宋体" w:hAnsi="宋体" w:cs="宋体" w:eastAsia="宋体" w:hint="default"/>
          <w:spacing w:val="-50"/>
        </w:rPr>
        <w:t> </w:t>
      </w:r>
      <w:r>
        <w:rPr/>
        <w:t>存货”、“</w:t>
      </w:r>
      <w:r>
        <w:rPr>
          <w:rFonts w:ascii="宋体" w:hAnsi="宋体" w:cs="宋体" w:eastAsia="宋体" w:hint="default"/>
        </w:rPr>
        <w:t>3.28</w:t>
      </w:r>
      <w:r>
        <w:rPr>
          <w:rFonts w:ascii="宋体" w:hAnsi="宋体" w:cs="宋体" w:eastAsia="宋体" w:hint="default"/>
          <w:spacing w:val="-50"/>
        </w:rPr>
        <w:t> </w:t>
      </w:r>
      <w:r>
        <w:rPr>
          <w:spacing w:val="-3"/>
        </w:rPr>
        <w:t>收入”。</w:t>
      </w:r>
    </w:p>
    <w:p>
      <w:pPr>
        <w:spacing w:line="408" w:lineRule="auto" w:before="50"/>
        <w:ind w:left="575" w:right="1024" w:hanging="423"/>
        <w:jc w:val="left"/>
        <w:rPr>
          <w:rFonts w:ascii="宋体" w:hAnsi="宋体" w:cs="宋体" w:eastAsia="宋体" w:hint="default"/>
          <w:sz w:val="21"/>
          <w:szCs w:val="21"/>
        </w:rPr>
      </w:pPr>
      <w:bookmarkStart w:name="1、遵循企业会计准则的声明" w:id="228"/>
      <w:bookmarkEnd w:id="228"/>
      <w:r>
        <w:rPr/>
      </w:r>
      <w:r>
        <w:rPr>
          <w:rFonts w:ascii="宋体" w:hAnsi="宋体" w:cs="宋体" w:eastAsia="宋体"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spacing w:val="-102"/>
          <w:sz w:val="21"/>
          <w:szCs w:val="21"/>
        </w:rPr>
        <w:t> </w:t>
      </w:r>
      <w:r>
        <w:rPr>
          <w:rFonts w:ascii="宋体" w:hAnsi="宋体" w:cs="宋体" w:eastAsia="宋体" w:hint="default"/>
          <w:spacing w:val="-2"/>
          <w:sz w:val="21"/>
          <w:szCs w:val="21"/>
        </w:rPr>
        <w:t>本公司所编制的财务报表符合企业会计准则的要求，真实、完整地反映了本公司的财务状况、经营成</w:t>
      </w:r>
    </w:p>
    <w:p>
      <w:pPr>
        <w:spacing w:line="408" w:lineRule="auto" w:before="48"/>
        <w:ind w:left="153" w:right="5885" w:firstLine="0"/>
        <w:jc w:val="left"/>
        <w:rPr>
          <w:rFonts w:ascii="宋体" w:hAnsi="宋体" w:cs="宋体" w:eastAsia="宋体" w:hint="default"/>
          <w:sz w:val="21"/>
          <w:szCs w:val="21"/>
        </w:rPr>
      </w:pPr>
      <w:r>
        <w:rPr>
          <w:rFonts w:ascii="宋体" w:hAnsi="宋体" w:cs="宋体" w:eastAsia="宋体" w:hint="default"/>
          <w:spacing w:val="-1"/>
          <w:sz w:val="21"/>
          <w:szCs w:val="21"/>
        </w:rPr>
        <w:t>果、所有者权益变动和现金流量等有关信息。</w:t>
      </w:r>
      <w:r>
        <w:rPr>
          <w:rFonts w:ascii="宋体" w:hAnsi="宋体" w:cs="宋体" w:eastAsia="宋体" w:hint="default"/>
          <w:spacing w:val="-81"/>
          <w:sz w:val="21"/>
          <w:szCs w:val="21"/>
        </w:rPr>
        <w:t> </w:t>
      </w:r>
      <w:r>
        <w:rPr>
          <w:rFonts w:ascii="宋体" w:hAnsi="宋体" w:cs="宋体" w:eastAsia="宋体" w:hint="default"/>
          <w:spacing w:val="-81"/>
          <w:sz w:val="21"/>
          <w:szCs w:val="21"/>
        </w:rPr>
      </w:r>
      <w:bookmarkStart w:name="2、会计期间" w:id="229"/>
      <w:bookmarkEnd w:id="229"/>
      <w:r>
        <w:rPr>
          <w:rFonts w:ascii="宋体" w:hAnsi="宋体" w:cs="宋体" w:eastAsia="宋体" w:hint="default"/>
          <w:spacing w:val="-81"/>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100"/>
          <w:sz w:val="21"/>
          <w:szCs w:val="21"/>
        </w:rPr>
        <w:t> </w:t>
      </w:r>
      <w:r>
        <w:rPr>
          <w:rFonts w:ascii="宋体" w:hAnsi="宋体" w:cs="宋体" w:eastAsia="宋体" w:hint="default"/>
          <w:sz w:val="21"/>
          <w:szCs w:val="21"/>
        </w:rPr>
        <w:t>会计期间自公历</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日起至</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w:t>
      </w:r>
      <w:r>
        <w:rPr>
          <w:rFonts w:ascii="宋体" w:hAnsi="宋体" w:cs="宋体" w:eastAsia="宋体" w:hint="default"/>
          <w:w w:val="100"/>
          <w:sz w:val="21"/>
          <w:szCs w:val="21"/>
        </w:rPr>
        <w:t> </w:t>
      </w:r>
      <w:bookmarkStart w:name="3、营业周期" w:id="230"/>
      <w:bookmarkEnd w:id="230"/>
      <w:r>
        <w:rPr>
          <w:rFonts w:ascii="宋体" w:hAnsi="宋体" w:cs="宋体" w:eastAsia="宋体" w:hint="default"/>
          <w:w w:val="100"/>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384" w:lineRule="auto" w:before="48"/>
        <w:ind w:right="1122" w:firstLine="422"/>
        <w:jc w:val="both"/>
      </w:pPr>
      <w:r>
        <w:rPr/>
        <w:t>营业周期是指本公司从购买用于加工的资产起至实现现金或现金等价物的期间。本公司以 </w:t>
      </w:r>
      <w:r>
        <w:rPr>
          <w:rFonts w:ascii="Times New Roman" w:hAnsi="Times New Roman" w:cs="Times New Roman" w:eastAsia="Times New Roman" w:hint="default"/>
        </w:rPr>
        <w:t>12</w:t>
      </w:r>
      <w:r>
        <w:rPr>
          <w:rFonts w:ascii="Times New Roman" w:hAnsi="Times New Roman" w:cs="Times New Roman" w:eastAsia="Times New Roman" w:hint="default"/>
          <w:spacing w:val="34"/>
        </w:rPr>
        <w:t> </w:t>
      </w:r>
      <w:r>
        <w:rPr/>
        <w:t>个月作</w:t>
      </w:r>
      <w:r>
        <w:rPr>
          <w:w w:val="100"/>
        </w:rPr>
        <w:t> </w:t>
      </w:r>
      <w:r>
        <w:rPr/>
        <w:t>为一个营业周期，并以其作为资产和负债的流动性划分标准。</w:t>
      </w:r>
    </w:p>
    <w:p>
      <w:pPr>
        <w:spacing w:line="408" w:lineRule="auto" w:before="69"/>
        <w:ind w:left="153" w:right="8661" w:firstLine="0"/>
        <w:jc w:val="left"/>
        <w:rPr>
          <w:rFonts w:ascii="宋体" w:hAnsi="宋体" w:cs="宋体" w:eastAsia="宋体" w:hint="default"/>
          <w:sz w:val="21"/>
          <w:szCs w:val="21"/>
        </w:rPr>
      </w:pPr>
      <w:bookmarkStart w:name="4、记账本位币" w:id="231"/>
      <w:bookmarkEnd w:id="231"/>
      <w:r>
        <w:rPr/>
      </w:r>
      <w:r>
        <w:rPr>
          <w:rFonts w:ascii="宋体" w:hAnsi="宋体" w:cs="宋体" w:eastAsia="宋体"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4"/>
          <w:sz w:val="21"/>
          <w:szCs w:val="21"/>
        </w:rPr>
        <w:t> </w:t>
      </w:r>
      <w:r>
        <w:rPr>
          <w:rFonts w:ascii="宋体" w:hAnsi="宋体" w:cs="宋体" w:eastAsia="宋体" w:hint="default"/>
          <w:spacing w:val="-1"/>
          <w:sz w:val="21"/>
          <w:szCs w:val="21"/>
        </w:rPr>
        <w:t>记账本位币为人民币。</w:t>
      </w:r>
    </w:p>
    <w:p>
      <w:pPr>
        <w:pStyle w:val="Heading4"/>
        <w:spacing w:line="240" w:lineRule="auto" w:before="48"/>
        <w:ind w:right="1024"/>
        <w:jc w:val="left"/>
        <w:rPr>
          <w:b w:val="0"/>
          <w:bCs w:val="0"/>
        </w:rPr>
      </w:pPr>
      <w:bookmarkStart w:name="5、同一控制下和非同一控制下企业合并的会计处理方法" w:id="232"/>
      <w:bookmarkEnd w:id="232"/>
      <w:r>
        <w:rPr>
          <w:b w:val="0"/>
          <w:bCs w:val="0"/>
        </w:rPr>
      </w:r>
      <w:r>
        <w:rPr>
          <w:rFonts w:ascii="宋体" w:hAnsi="宋体" w:cs="宋体" w:eastAsia="宋体"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14"/>
          <w:szCs w:val="14"/>
        </w:rPr>
      </w:pPr>
    </w:p>
    <w:p>
      <w:pPr>
        <w:pStyle w:val="BodyText"/>
        <w:spacing w:line="410" w:lineRule="auto"/>
        <w:ind w:left="575" w:right="1024" w:hanging="423"/>
        <w:jc w:val="left"/>
      </w:pPr>
      <w:r>
        <w:rPr>
          <w:rFonts w:ascii="宋体" w:hAnsi="宋体" w:cs="宋体" w:eastAsia="宋体" w:hint="default"/>
        </w:rPr>
        <w:t>5.1 </w:t>
      </w:r>
      <w:r>
        <w:rPr/>
        <w:t>同一控制下的企业合并</w:t>
      </w:r>
      <w:r>
        <w:rPr>
          <w:spacing w:val="-102"/>
        </w:rPr>
        <w:t> </w:t>
      </w:r>
      <w:r>
        <w:rPr>
          <w:spacing w:val="-102"/>
        </w:rPr>
      </w:r>
      <w:r>
        <w:rPr>
          <w:spacing w:val="-2"/>
        </w:rPr>
        <w:t>参与合并的企业在合并前后均受同一方或相同的多方最终控制且该控制并非暂时性的，认定为同一控</w:t>
      </w:r>
    </w:p>
    <w:p>
      <w:pPr>
        <w:pStyle w:val="BodyText"/>
        <w:spacing w:line="410" w:lineRule="auto" w:before="41"/>
        <w:ind w:left="575" w:right="1024" w:hanging="423"/>
        <w:jc w:val="left"/>
      </w:pPr>
      <w:r>
        <w:rPr/>
        <w:t>制下的企业合并。</w:t>
      </w:r>
      <w:r>
        <w:rPr>
          <w:spacing w:val="-101"/>
        </w:rPr>
        <w:t> </w:t>
      </w:r>
      <w:r>
        <w:rPr>
          <w:spacing w:val="-101"/>
        </w:rPr>
      </w:r>
      <w:r>
        <w:rPr>
          <w:spacing w:val="-2"/>
        </w:rPr>
        <w:t>合并方以支付现金、转让非现金资产或承担债务方式作为合并对价的，在合并日按照被合并方所有者</w:t>
      </w:r>
    </w:p>
    <w:p>
      <w:pPr>
        <w:pStyle w:val="BodyText"/>
        <w:spacing w:line="408" w:lineRule="auto" w:before="41"/>
        <w:ind w:right="1125"/>
        <w:jc w:val="both"/>
      </w:pPr>
      <w:r>
        <w:rPr>
          <w:spacing w:val="-2"/>
        </w:rPr>
        <w:t>权益在最终控制方合并财务报表中的账面价值的份额作为长期股权投资的初始投资成本。长期股权投资初</w:t>
      </w:r>
      <w:r>
        <w:rPr>
          <w:spacing w:val="-33"/>
        </w:rPr>
        <w:t> </w:t>
      </w:r>
      <w:r>
        <w:rPr>
          <w:spacing w:val="-33"/>
        </w:rPr>
      </w:r>
      <w:r>
        <w:rPr>
          <w:spacing w:val="-2"/>
        </w:rPr>
        <w:t>始投资成本与支付的现金、转让的非现金资产以及所承担债务账面价值之间的差额，调整资本公积；资本</w:t>
      </w:r>
      <w:r>
        <w:rPr>
          <w:spacing w:val="-33"/>
        </w:rPr>
        <w:t> </w:t>
      </w:r>
      <w:r>
        <w:rPr>
          <w:spacing w:val="-33"/>
        </w:rPr>
      </w:r>
      <w:r>
        <w:rPr/>
        <w:t>公积不足冲减的，调整留存收益。</w:t>
      </w:r>
    </w:p>
    <w:p>
      <w:pPr>
        <w:pStyle w:val="BodyText"/>
        <w:spacing w:line="408" w:lineRule="auto" w:before="48"/>
        <w:ind w:right="1122" w:firstLine="422"/>
        <w:jc w:val="both"/>
      </w:pPr>
      <w:r>
        <w:rPr>
          <w:spacing w:val="-2"/>
        </w:rPr>
        <w:t>合并方以发行权益性证券作为合并对价的，在合并日按照被合并方所有者权益在最终控制方合并财务</w:t>
      </w:r>
      <w:r>
        <w:rPr>
          <w:w w:val="100"/>
        </w:rPr>
        <w:t> </w:t>
      </w:r>
      <w:r>
        <w:rPr>
          <w:spacing w:val="-2"/>
        </w:rPr>
        <w:t>报表中的账面价值的份额作为长期股权投资的初始投资成本。按照发行股份的面值总额作为股本，长期股</w:t>
      </w:r>
      <w:r>
        <w:rPr>
          <w:spacing w:val="-33"/>
        </w:rPr>
        <w:t> </w:t>
      </w:r>
      <w:r>
        <w:rPr>
          <w:spacing w:val="-33"/>
        </w:rPr>
      </w:r>
      <w:r>
        <w:rPr>
          <w:spacing w:val="-2"/>
        </w:rPr>
        <w:t>权投资初始投资成本与所发行股份面值总额之间的差额，调整资本公积；资本公积不足冲减的，调整留存</w:t>
      </w:r>
      <w:r>
        <w:rPr>
          <w:spacing w:val="-29"/>
        </w:rPr>
        <w:t> </w:t>
      </w:r>
      <w:r>
        <w:rPr>
          <w:spacing w:val="-29"/>
        </w:rPr>
      </w:r>
      <w:r>
        <w:rPr/>
        <w:t>收益。</w:t>
      </w:r>
    </w:p>
    <w:p>
      <w:pPr>
        <w:spacing w:after="0" w:line="408" w:lineRule="auto"/>
        <w:jc w:val="both"/>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5" w:lineRule="auto" w:before="36"/>
        <w:ind w:right="1024" w:firstLine="422"/>
        <w:jc w:val="left"/>
      </w:pPr>
      <w:r>
        <w:rPr>
          <w:spacing w:val="-2"/>
        </w:rPr>
        <w:t>合并方为企业合并发生的审计、法律服务、评估咨询等中介费用以及其他相关管理费用，于发生时计</w:t>
      </w:r>
      <w:r>
        <w:rPr>
          <w:w w:val="100"/>
        </w:rPr>
        <w:t> </w:t>
      </w:r>
      <w:r>
        <w:rPr/>
        <w:t>入当期损益。</w:t>
      </w:r>
    </w:p>
    <w:p>
      <w:pPr>
        <w:pStyle w:val="BodyText"/>
        <w:spacing w:line="408" w:lineRule="auto" w:before="51"/>
        <w:ind w:left="575" w:right="1024" w:hanging="423"/>
        <w:jc w:val="left"/>
      </w:pPr>
      <w:r>
        <w:rPr>
          <w:rFonts w:ascii="宋体" w:hAnsi="宋体" w:cs="宋体" w:eastAsia="宋体" w:hint="default"/>
        </w:rPr>
        <w:t>5.2 </w:t>
      </w:r>
      <w:r>
        <w:rPr/>
        <w:t>非同一控制下的企业合并</w:t>
      </w:r>
      <w:r>
        <w:rPr>
          <w:spacing w:val="-100"/>
        </w:rPr>
        <w:t> </w:t>
      </w:r>
      <w:r>
        <w:rPr>
          <w:spacing w:val="-100"/>
        </w:rPr>
      </w:r>
      <w:r>
        <w:rPr/>
        <w:t>参与合并的各方在合并前后不受同一方或相同的多方最终控制的，认定为非同一控制下的企业合并。</w:t>
      </w:r>
      <w:r>
        <w:rPr>
          <w:w w:val="100"/>
        </w:rPr>
        <w:t> </w:t>
      </w:r>
      <w:r>
        <w:rPr>
          <w:spacing w:val="-2"/>
        </w:rPr>
        <w:t>购买方通过一次交换交易实现的企业合并，合并成本为购买方在购买日为取得对被购买方的控制权而</w:t>
      </w:r>
    </w:p>
    <w:p>
      <w:pPr>
        <w:pStyle w:val="BodyText"/>
        <w:spacing w:line="408" w:lineRule="auto" w:before="43"/>
        <w:ind w:right="1125"/>
        <w:jc w:val="both"/>
      </w:pPr>
      <w:r>
        <w:rPr>
          <w:spacing w:val="-2"/>
        </w:rPr>
        <w:t>付出的资产、发生或承担的负债以及发行的权益性证券的公允价值。购买方为企业合并发生的审计、法律</w:t>
      </w:r>
      <w:r>
        <w:rPr>
          <w:spacing w:val="-33"/>
        </w:rPr>
        <w:t> </w:t>
      </w:r>
      <w:r>
        <w:rPr>
          <w:spacing w:val="-33"/>
        </w:rPr>
      </w:r>
      <w:r>
        <w:rPr>
          <w:spacing w:val="-2"/>
        </w:rPr>
        <w:t>服务、评估咨询等中介费用以及其他相关管理费用，于发生时计入当期损益；购买方作为合并对价发行的</w:t>
      </w:r>
      <w:r>
        <w:rPr>
          <w:spacing w:val="-33"/>
        </w:rPr>
        <w:t> </w:t>
      </w:r>
      <w:r>
        <w:rPr>
          <w:spacing w:val="-33"/>
        </w:rPr>
      </w:r>
      <w:r>
        <w:rPr/>
        <w:t>权益性证券或债务性证券的交易费用，计入权益性证券或债务性证券的初始确认金额。</w:t>
      </w:r>
    </w:p>
    <w:p>
      <w:pPr>
        <w:pStyle w:val="BodyText"/>
        <w:spacing w:line="408" w:lineRule="auto" w:before="48"/>
        <w:ind w:right="1123" w:firstLine="422"/>
        <w:jc w:val="both"/>
      </w:pPr>
      <w:r>
        <w:rPr>
          <w:spacing w:val="-2"/>
        </w:rPr>
        <w:t>购买方的合并成本和购买方在合并中取得的可辨认净资产按购买日的公允价值计量。合并成本大于合</w:t>
      </w:r>
      <w:r>
        <w:rPr>
          <w:w w:val="100"/>
        </w:rPr>
        <w:t> </w:t>
      </w:r>
      <w:r>
        <w:rPr>
          <w:spacing w:val="-2"/>
        </w:rPr>
        <w:t>并中取得的被购买方于购买日可辨认净资产公允价值份额的差额，确认为商誉；合并成本小于合并中取得</w:t>
      </w:r>
      <w:r>
        <w:rPr>
          <w:spacing w:val="-31"/>
        </w:rPr>
        <w:t> </w:t>
      </w:r>
      <w:r>
        <w:rPr>
          <w:spacing w:val="-31"/>
        </w:rPr>
      </w:r>
      <w:r>
        <w:rPr/>
        <w:t>的被购买方可辨认净资产公允价值份额的差额，计入当期损益。</w:t>
      </w:r>
    </w:p>
    <w:p>
      <w:pPr>
        <w:pStyle w:val="BodyText"/>
        <w:spacing w:line="410" w:lineRule="auto" w:before="43"/>
        <w:ind w:left="575" w:right="1024" w:hanging="423"/>
        <w:jc w:val="left"/>
      </w:pPr>
      <w:r>
        <w:rPr>
          <w:rFonts w:ascii="宋体" w:hAnsi="宋体" w:cs="宋体" w:eastAsia="宋体" w:hint="default"/>
        </w:rPr>
        <w:t>5.3 </w:t>
      </w:r>
      <w:r>
        <w:rPr/>
        <w:t>因追加投资等原因能够对非同一控制下的被投资单位实施控制的</w:t>
      </w:r>
      <w:r>
        <w:rPr>
          <w:w w:val="100"/>
        </w:rPr>
        <w:t> </w:t>
      </w:r>
      <w:r>
        <w:rPr>
          <w:spacing w:val="-2"/>
        </w:rPr>
        <w:t>在编制个别财务报表时，按照原持有的股权投资账面价值加上新增投资成本之和，作为改按成本法核</w:t>
      </w:r>
    </w:p>
    <w:p>
      <w:pPr>
        <w:pStyle w:val="BodyText"/>
        <w:spacing w:line="410" w:lineRule="auto" w:before="42"/>
        <w:ind w:right="1122"/>
        <w:jc w:val="both"/>
      </w:pPr>
      <w:r>
        <w:rPr>
          <w:spacing w:val="-2"/>
        </w:rPr>
        <w:t>算的初始投资成本。购买日之前持有的股权投资因采用权益法核算而确认的其他综合收益，在处置该项投</w:t>
      </w:r>
      <w:r>
        <w:rPr>
          <w:spacing w:val="-33"/>
        </w:rPr>
        <w:t> </w:t>
      </w:r>
      <w:r>
        <w:rPr>
          <w:spacing w:val="-33"/>
        </w:rPr>
      </w:r>
      <w:r>
        <w:rPr>
          <w:spacing w:val="-2"/>
        </w:rPr>
        <w:t>资时采用与被投资单位直接处置相关资产或负债相同的基础进行会计处理。购买日之前持有的股权投资按</w:t>
      </w:r>
      <w:r>
        <w:rPr>
          <w:spacing w:val="-33"/>
        </w:rPr>
        <w:t> </w:t>
      </w:r>
      <w:r>
        <w:rPr>
          <w:spacing w:val="-33"/>
        </w:rPr>
      </w:r>
      <w:r>
        <w:rPr>
          <w:spacing w:val="-2"/>
        </w:rPr>
        <w:t>照《企业会计准则第</w:t>
      </w:r>
      <w:r>
        <w:rPr>
          <w:rFonts w:ascii="宋体" w:hAnsi="宋体" w:cs="宋体" w:eastAsia="宋体" w:hint="default"/>
          <w:spacing w:val="-2"/>
        </w:rPr>
        <w:t>22</w:t>
      </w:r>
      <w:r>
        <w:rPr>
          <w:spacing w:val="-2"/>
        </w:rPr>
        <w:t>号——金融工具确认和计量》的有关规定进行会计处理的，原计入其他综合收益的</w:t>
      </w:r>
      <w:r>
        <w:rPr>
          <w:spacing w:val="-29"/>
        </w:rPr>
        <w:t> </w:t>
      </w:r>
      <w:r>
        <w:rPr>
          <w:spacing w:val="-29"/>
        </w:rPr>
      </w:r>
      <w:r>
        <w:rPr/>
        <w:t>累计公允价值变动在改按成本法核算时转入当期损益。</w:t>
      </w:r>
    </w:p>
    <w:p>
      <w:pPr>
        <w:pStyle w:val="BodyText"/>
        <w:spacing w:line="410" w:lineRule="auto" w:before="42"/>
        <w:ind w:right="1024" w:firstLine="422"/>
        <w:jc w:val="left"/>
        <w:rPr>
          <w:rFonts w:ascii="宋体" w:hAnsi="宋体" w:cs="宋体" w:eastAsia="宋体" w:hint="default"/>
        </w:rPr>
      </w:pPr>
      <w:r>
        <w:rPr>
          <w:spacing w:val="-2"/>
        </w:rPr>
        <w:t>在合并财务报表中，对于购买日之前持有的被购买方的股权，按照该股权在购买日的公允价值进行重</w:t>
      </w:r>
      <w:r>
        <w:rPr>
          <w:w w:val="100"/>
        </w:rPr>
        <w:t> </w:t>
      </w:r>
      <w:r>
        <w:rPr>
          <w:spacing w:val="-2"/>
        </w:rPr>
        <w:t>新计量，公允价值与其账面价值的差额计入当期投资收益；购买日之前持有的被购买方的股权涉及权益法</w:t>
      </w:r>
      <w:r>
        <w:rPr>
          <w:spacing w:val="-33"/>
        </w:rPr>
        <w:t> </w:t>
      </w:r>
      <w:r>
        <w:rPr>
          <w:spacing w:val="-33"/>
        </w:rPr>
      </w:r>
      <w:r>
        <w:rPr/>
        <w:t>核算下的其他综合收益等的，与其相关的其他综合收益等应当转为购买日所属当期收益。</w:t>
      </w:r>
      <w:r>
        <w:rPr>
          <w:w w:val="100"/>
        </w:rPr>
        <w:t> </w:t>
      </w:r>
      <w:bookmarkStart w:name="6、合并财务报表的编制方法" w:id="233"/>
      <w:bookmarkEnd w:id="233"/>
      <w:r>
        <w:rPr>
          <w:w w:val="100"/>
        </w:rPr>
      </w:r>
      <w:r>
        <w:rPr>
          <w:rFonts w:ascii="宋体" w:hAnsi="宋体" w:cs="宋体" w:eastAsia="宋体" w:hint="default"/>
          <w:b/>
          <w:bCs/>
        </w:rPr>
        <w:t>6</w:t>
      </w:r>
      <w:r>
        <w:rPr>
          <w:rFonts w:ascii="宋体" w:hAnsi="宋体" w:cs="宋体" w:eastAsia="宋体" w:hint="default"/>
          <w:b/>
          <w:bCs/>
        </w:rPr>
        <w:t>、合并财务报表的编制方法</w:t>
      </w:r>
      <w:r>
        <w:rPr>
          <w:rFonts w:ascii="宋体" w:hAnsi="宋体" w:cs="宋体" w:eastAsia="宋体" w:hint="default"/>
        </w:rPr>
      </w:r>
    </w:p>
    <w:p>
      <w:pPr>
        <w:pStyle w:val="BodyText"/>
        <w:spacing w:line="410" w:lineRule="auto" w:before="41"/>
        <w:ind w:left="470" w:right="1024" w:hanging="317"/>
        <w:jc w:val="left"/>
      </w:pPr>
      <w:r>
        <w:rPr>
          <w:rFonts w:ascii="宋体" w:hAnsi="宋体" w:cs="宋体" w:eastAsia="宋体" w:hint="default"/>
        </w:rPr>
        <w:t>6.1 </w:t>
      </w:r>
      <w:r>
        <w:rPr/>
        <w:t>合并范围</w:t>
      </w:r>
      <w:r>
        <w:rPr>
          <w:w w:val="100"/>
        </w:rPr>
        <w:t> </w:t>
      </w:r>
      <w:r>
        <w:rPr>
          <w:spacing w:val="-2"/>
        </w:rPr>
        <w:t>合并财务报表的合并范围包括本公司及子公司。合并财务报表的合并范围以控制为基础予以确定。</w:t>
      </w:r>
    </w:p>
    <w:p>
      <w:pPr>
        <w:pStyle w:val="BodyText"/>
        <w:spacing w:line="410" w:lineRule="auto" w:before="41"/>
        <w:ind w:left="575" w:right="1024" w:hanging="423"/>
        <w:jc w:val="left"/>
      </w:pPr>
      <w:r>
        <w:rPr>
          <w:rFonts w:ascii="宋体" w:hAnsi="宋体" w:cs="宋体" w:eastAsia="宋体" w:hint="default"/>
        </w:rPr>
        <w:t>6.2 </w:t>
      </w:r>
      <w:r>
        <w:rPr/>
        <w:t>控制的依据</w:t>
      </w:r>
      <w:r>
        <w:rPr>
          <w:spacing w:val="-103"/>
        </w:rPr>
        <w:t> </w:t>
      </w:r>
      <w:r>
        <w:rPr>
          <w:spacing w:val="-103"/>
        </w:rPr>
      </w:r>
      <w:r>
        <w:rPr>
          <w:spacing w:val="-2"/>
        </w:rPr>
        <w:t>投资方拥有对被投资方的权力，通过参与被投资方的相关活动而享有可变回报，并且有能力运用对被</w:t>
      </w:r>
    </w:p>
    <w:p>
      <w:pPr>
        <w:pStyle w:val="BodyText"/>
        <w:spacing w:line="410" w:lineRule="auto" w:before="41"/>
        <w:ind w:right="1125"/>
        <w:jc w:val="both"/>
      </w:pPr>
      <w:r>
        <w:rPr>
          <w:spacing w:val="-2"/>
        </w:rPr>
        <w:t>投资方的权力影响其回报金额，视为投资方控制被投资方。相关活动，系为对被投资方的回报产生重大影</w:t>
      </w:r>
      <w:r>
        <w:rPr>
          <w:spacing w:val="-33"/>
        </w:rPr>
        <w:t> </w:t>
      </w:r>
      <w:r>
        <w:rPr>
          <w:spacing w:val="-33"/>
        </w:rPr>
      </w:r>
      <w:r>
        <w:rPr/>
        <w:t>响的活动。</w:t>
      </w:r>
    </w:p>
    <w:p>
      <w:pPr>
        <w:pStyle w:val="BodyText"/>
        <w:spacing w:line="410" w:lineRule="auto" w:before="42"/>
        <w:ind w:left="575" w:right="1024" w:hanging="423"/>
        <w:jc w:val="left"/>
      </w:pPr>
      <w:r>
        <w:rPr>
          <w:rFonts w:ascii="宋体" w:hAnsi="宋体" w:cs="宋体" w:eastAsia="宋体" w:hint="default"/>
        </w:rPr>
        <w:t>6.3 </w:t>
      </w:r>
      <w:r>
        <w:rPr/>
        <w:t>决策者和代理人</w:t>
      </w:r>
      <w:r>
        <w:rPr>
          <w:spacing w:val="-100"/>
        </w:rPr>
        <w:t> </w:t>
      </w:r>
      <w:r>
        <w:rPr>
          <w:spacing w:val="-100"/>
        </w:rPr>
      </w:r>
      <w:r>
        <w:rPr>
          <w:spacing w:val="-2"/>
        </w:rPr>
        <w:t>代理人仅代表主要责任人行使决策权，不控制被投资方。投资方将被投资方相关活动的决策权委托给</w:t>
      </w:r>
    </w:p>
    <w:p>
      <w:pPr>
        <w:pStyle w:val="BodyText"/>
        <w:spacing w:line="240" w:lineRule="auto" w:before="41"/>
        <w:ind w:right="1024"/>
        <w:jc w:val="left"/>
      </w:pPr>
      <w:r>
        <w:rPr/>
        <w:t>代理人的，将该决策权视为自身直接持有。</w:t>
      </w:r>
    </w:p>
    <w:p>
      <w:pPr>
        <w:spacing w:after="0" w:line="240" w:lineRule="auto"/>
        <w:jc w:val="left"/>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5" w:lineRule="auto" w:before="36"/>
        <w:ind w:left="575" w:right="1024"/>
        <w:jc w:val="left"/>
      </w:pPr>
      <w:r>
        <w:rPr>
          <w:spacing w:val="-2"/>
        </w:rPr>
        <w:t>在确定决策者是否为代理人时，公司综合考虑该决策者与被投资方以及其他投资方之间的关系。</w:t>
      </w:r>
      <w:r>
        <w:rPr>
          <w:spacing w:val="-21"/>
        </w:rPr>
        <w:t> </w:t>
      </w:r>
      <w:r>
        <w:rPr>
          <w:spacing w:val="-21"/>
        </w:rPr>
      </w:r>
      <w:r>
        <w:rPr>
          <w:rFonts w:ascii="宋体" w:hAnsi="宋体" w:cs="宋体" w:eastAsia="宋体" w:hint="default"/>
        </w:rPr>
        <w:t>1</w:t>
      </w:r>
      <w:r>
        <w:rPr/>
        <w:t>）存在单独一方拥有实质性权利可以无条件罢免决策者的，该决策者为代理人。</w:t>
      </w:r>
    </w:p>
    <w:p>
      <w:pPr>
        <w:pStyle w:val="BodyText"/>
        <w:spacing w:line="405" w:lineRule="auto" w:before="51"/>
        <w:ind w:right="1024" w:firstLine="422"/>
        <w:jc w:val="left"/>
      </w:pPr>
      <w:r>
        <w:rPr>
          <w:rFonts w:ascii="宋体" w:hAnsi="宋体" w:cs="宋体" w:eastAsia="宋体" w:hint="default"/>
          <w:spacing w:val="-2"/>
        </w:rPr>
        <w:t>2</w:t>
      </w:r>
      <w:r>
        <w:rPr>
          <w:spacing w:val="-2"/>
        </w:rPr>
        <w:t>）除</w:t>
      </w:r>
      <w:r>
        <w:rPr>
          <w:rFonts w:ascii="宋体" w:hAnsi="宋体" w:cs="宋体" w:eastAsia="宋体" w:hint="default"/>
          <w:spacing w:val="-2"/>
        </w:rPr>
        <w:t>1</w:t>
      </w:r>
      <w:r>
        <w:rPr>
          <w:spacing w:val="-2"/>
        </w:rPr>
        <w:t>）以外的情况下，综合考虑决策者对被投资方的决策权范围、其他方享有的实质性权利、决策</w:t>
      </w:r>
      <w:r>
        <w:rPr>
          <w:w w:val="100"/>
        </w:rPr>
        <w:t> </w:t>
      </w:r>
      <w:r>
        <w:rPr/>
        <w:t>者的薪酬水平、决策者因持有被投资方中的其他权益所承担可变回报的风险等相关因素进行判断。</w:t>
      </w:r>
    </w:p>
    <w:p>
      <w:pPr>
        <w:pStyle w:val="BodyText"/>
        <w:spacing w:line="405" w:lineRule="auto" w:before="50"/>
        <w:ind w:left="575" w:right="5885" w:hanging="423"/>
        <w:jc w:val="left"/>
      </w:pPr>
      <w:r>
        <w:rPr>
          <w:rFonts w:ascii="宋体" w:hAnsi="宋体" w:cs="宋体" w:eastAsia="宋体" w:hint="default"/>
        </w:rPr>
        <w:t>6.4 </w:t>
      </w:r>
      <w:r>
        <w:rPr/>
        <w:t>投资性主体</w:t>
      </w:r>
      <w:r>
        <w:rPr>
          <w:spacing w:val="-103"/>
        </w:rPr>
        <w:t> </w:t>
      </w:r>
      <w:r>
        <w:rPr>
          <w:spacing w:val="-103"/>
        </w:rPr>
      </w:r>
      <w:r>
        <w:rPr>
          <w:spacing w:val="-2"/>
        </w:rPr>
        <w:t>当同时满足下列条件时，视为投资性主体：</w:t>
      </w:r>
    </w:p>
    <w:p>
      <w:pPr>
        <w:pStyle w:val="BodyText"/>
        <w:spacing w:line="240" w:lineRule="auto" w:before="51"/>
        <w:ind w:left="470" w:right="1024"/>
        <w:jc w:val="left"/>
      </w:pPr>
      <w:r>
        <w:rPr>
          <w:rFonts w:ascii="宋体" w:hAnsi="宋体" w:cs="宋体" w:eastAsia="宋体" w:hint="default"/>
        </w:rPr>
        <w:t>1</w:t>
      </w:r>
      <w:r>
        <w:rPr/>
        <w:t>）该公司是以向投资者提供投资管理服务为目的，从一个或多个投资者处获取资金；</w:t>
      </w:r>
    </w:p>
    <w:p>
      <w:pPr>
        <w:spacing w:line="240" w:lineRule="auto" w:before="8"/>
        <w:rPr>
          <w:rFonts w:ascii="宋体" w:hAnsi="宋体" w:cs="宋体" w:eastAsia="宋体" w:hint="default"/>
          <w:sz w:val="14"/>
          <w:szCs w:val="14"/>
        </w:rPr>
      </w:pPr>
    </w:p>
    <w:p>
      <w:pPr>
        <w:pStyle w:val="BodyText"/>
        <w:spacing w:line="240" w:lineRule="auto"/>
        <w:ind w:left="470" w:right="1024"/>
        <w:jc w:val="left"/>
      </w:pPr>
      <w:r>
        <w:rPr>
          <w:rFonts w:ascii="宋体" w:hAnsi="宋体" w:cs="宋体" w:eastAsia="宋体" w:hint="default"/>
        </w:rPr>
        <w:t>2</w:t>
      </w:r>
      <w:r>
        <w:rPr/>
        <w:t>）该公司的唯一经营目的，是通过资本增值、投资收益或两者兼有而让投资者获得回报；</w:t>
      </w:r>
    </w:p>
    <w:p>
      <w:pPr>
        <w:spacing w:line="240" w:lineRule="auto" w:before="12"/>
        <w:rPr>
          <w:rFonts w:ascii="宋体" w:hAnsi="宋体" w:cs="宋体" w:eastAsia="宋体" w:hint="default"/>
          <w:sz w:val="14"/>
          <w:szCs w:val="14"/>
        </w:rPr>
      </w:pPr>
    </w:p>
    <w:p>
      <w:pPr>
        <w:pStyle w:val="BodyText"/>
        <w:spacing w:line="408" w:lineRule="auto"/>
        <w:ind w:left="407" w:right="4245" w:firstLine="62"/>
        <w:jc w:val="left"/>
      </w:pPr>
      <w:r>
        <w:rPr>
          <w:rFonts w:ascii="宋体" w:hAnsi="宋体" w:cs="宋体" w:eastAsia="宋体" w:hint="default"/>
          <w:spacing w:val="-2"/>
        </w:rPr>
        <w:t>3</w:t>
      </w:r>
      <w:r>
        <w:rPr>
          <w:spacing w:val="-2"/>
        </w:rPr>
        <w:t>）该公司按照公允价值对几乎所有投资的业绩进行考量和评价。</w:t>
      </w:r>
      <w:r>
        <w:rPr>
          <w:w w:val="100"/>
        </w:rPr>
        <w:t> </w:t>
      </w:r>
      <w:r>
        <w:rPr/>
        <w:t>属于投资性主体的，通常情况下符合下列所有特征：</w:t>
      </w:r>
      <w:r>
        <w:rPr>
          <w:w w:val="100"/>
        </w:rPr>
        <w:t> </w:t>
      </w:r>
      <w:r>
        <w:rPr>
          <w:rFonts w:ascii="宋体" w:hAnsi="宋体" w:cs="宋体" w:eastAsia="宋体" w:hint="default"/>
        </w:rPr>
        <w:t>1</w:t>
      </w:r>
      <w:r>
        <w:rPr/>
        <w:t>）拥有一个以上投资；</w:t>
      </w:r>
    </w:p>
    <w:p>
      <w:pPr>
        <w:pStyle w:val="BodyText"/>
        <w:spacing w:line="240" w:lineRule="auto" w:before="43"/>
        <w:ind w:left="470" w:right="1024"/>
        <w:jc w:val="left"/>
      </w:pPr>
      <w:r>
        <w:rPr>
          <w:rFonts w:ascii="宋体" w:hAnsi="宋体" w:cs="宋体" w:eastAsia="宋体" w:hint="default"/>
        </w:rPr>
        <w:t>2</w:t>
      </w:r>
      <w:r>
        <w:rPr/>
        <w:t>）拥有一个以上投资者；</w:t>
      </w:r>
    </w:p>
    <w:p>
      <w:pPr>
        <w:spacing w:line="240" w:lineRule="auto" w:before="12"/>
        <w:rPr>
          <w:rFonts w:ascii="宋体" w:hAnsi="宋体" w:cs="宋体" w:eastAsia="宋体" w:hint="default"/>
          <w:sz w:val="14"/>
          <w:szCs w:val="14"/>
        </w:rPr>
      </w:pPr>
    </w:p>
    <w:p>
      <w:pPr>
        <w:pStyle w:val="BodyText"/>
        <w:spacing w:line="240" w:lineRule="auto"/>
        <w:ind w:left="470" w:right="1024"/>
        <w:jc w:val="left"/>
      </w:pPr>
      <w:r>
        <w:rPr>
          <w:rFonts w:ascii="宋体" w:hAnsi="宋体" w:cs="宋体" w:eastAsia="宋体" w:hint="default"/>
        </w:rPr>
        <w:t>3</w:t>
      </w:r>
      <w:r>
        <w:rPr/>
        <w:t>）投资者不是该主体的关联方；</w:t>
      </w:r>
    </w:p>
    <w:p>
      <w:pPr>
        <w:spacing w:line="240" w:lineRule="auto" w:before="8"/>
        <w:rPr>
          <w:rFonts w:ascii="宋体" w:hAnsi="宋体" w:cs="宋体" w:eastAsia="宋体" w:hint="default"/>
          <w:sz w:val="14"/>
          <w:szCs w:val="14"/>
        </w:rPr>
      </w:pPr>
    </w:p>
    <w:p>
      <w:pPr>
        <w:pStyle w:val="BodyText"/>
        <w:spacing w:line="410" w:lineRule="auto"/>
        <w:ind w:left="575" w:right="1024" w:hanging="106"/>
        <w:jc w:val="left"/>
      </w:pPr>
      <w:r>
        <w:rPr>
          <w:rFonts w:ascii="宋体" w:hAnsi="宋体" w:cs="宋体" w:eastAsia="宋体" w:hint="default"/>
        </w:rPr>
        <w:t>4</w:t>
      </w:r>
      <w:r>
        <w:rPr/>
        <w:t>）其所有者权益以股权或类似权益方式存在。</w:t>
      </w:r>
      <w:r>
        <w:rPr>
          <w:w w:val="100"/>
        </w:rPr>
        <w:t> </w:t>
      </w:r>
      <w:r>
        <w:rPr/>
        <w:t>如果母公司是投资性主体，则母公司仅将为其投资活动提供相关服务的子公司</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t>纳入合并范围并</w:t>
      </w:r>
    </w:p>
    <w:p>
      <w:pPr>
        <w:pStyle w:val="BodyText"/>
        <w:spacing w:line="410" w:lineRule="auto" w:before="9"/>
        <w:ind w:right="1024"/>
        <w:jc w:val="left"/>
      </w:pPr>
      <w:r>
        <w:rPr>
          <w:spacing w:val="-2"/>
        </w:rPr>
        <w:t>编制合并财务报表；其他子公司不予以合并，母公司对其他子公司的投资按照公允价值计量且其变动计入</w:t>
      </w:r>
      <w:r>
        <w:rPr>
          <w:spacing w:val="-33"/>
        </w:rPr>
        <w:t> </w:t>
      </w:r>
      <w:r>
        <w:rPr>
          <w:spacing w:val="-33"/>
        </w:rPr>
      </w:r>
      <w:r>
        <w:rPr/>
        <w:t>当期损益。</w:t>
      </w:r>
    </w:p>
    <w:p>
      <w:pPr>
        <w:pStyle w:val="BodyText"/>
        <w:spacing w:line="410" w:lineRule="auto" w:before="42"/>
        <w:ind w:right="1024" w:firstLine="422"/>
        <w:jc w:val="left"/>
      </w:pPr>
      <w:r>
        <w:rPr>
          <w:spacing w:val="-2"/>
        </w:rPr>
        <w:t>投资性主体的母公司本身不是投资性主体，则将其控制的全部主体，包括那些通过投资性主体所间接</w:t>
      </w:r>
      <w:r>
        <w:rPr>
          <w:w w:val="100"/>
        </w:rPr>
        <w:t> </w:t>
      </w:r>
      <w:r>
        <w:rPr/>
        <w:t>控制的主体，纳入合并财务报表范围。</w:t>
      </w:r>
    </w:p>
    <w:p>
      <w:pPr>
        <w:pStyle w:val="BodyText"/>
        <w:spacing w:line="240" w:lineRule="auto" w:before="41"/>
        <w:ind w:right="1024"/>
        <w:jc w:val="left"/>
      </w:pPr>
      <w:r>
        <w:rPr>
          <w:rFonts w:ascii="宋体" w:hAnsi="宋体" w:cs="宋体" w:eastAsia="宋体" w:hint="default"/>
        </w:rPr>
        <w:t>6.5</w:t>
      </w:r>
      <w:r>
        <w:rPr>
          <w:rFonts w:ascii="宋体" w:hAnsi="宋体" w:cs="宋体" w:eastAsia="宋体" w:hint="default"/>
          <w:spacing w:val="1"/>
        </w:rPr>
        <w:t> </w:t>
      </w:r>
      <w:r>
        <w:rPr/>
        <w:t>合并程序</w:t>
      </w:r>
    </w:p>
    <w:p>
      <w:pPr>
        <w:spacing w:line="240" w:lineRule="auto" w:before="13"/>
        <w:rPr>
          <w:rFonts w:ascii="宋体" w:hAnsi="宋体" w:cs="宋体" w:eastAsia="宋体" w:hint="default"/>
          <w:sz w:val="14"/>
          <w:szCs w:val="14"/>
        </w:rPr>
      </w:pPr>
    </w:p>
    <w:p>
      <w:pPr>
        <w:pStyle w:val="BodyText"/>
        <w:spacing w:line="405" w:lineRule="auto"/>
        <w:ind w:right="1024" w:firstLine="422"/>
        <w:jc w:val="left"/>
      </w:pPr>
      <w:r>
        <w:rPr>
          <w:spacing w:val="-2"/>
        </w:rPr>
        <w:t>子公司所采用的会计政策或会计期间与本公司不一致的，按照本公司的会计政策或会计期间对子公司</w:t>
      </w:r>
      <w:r>
        <w:rPr>
          <w:w w:val="100"/>
        </w:rPr>
        <w:t> </w:t>
      </w:r>
      <w:r>
        <w:rPr/>
        <w:t>财务报表进行必要的调整；或者要求子公司按照本公司的会计政策或会计期间另行编报财务报表。</w:t>
      </w:r>
    </w:p>
    <w:p>
      <w:pPr>
        <w:pStyle w:val="BodyText"/>
        <w:spacing w:line="408" w:lineRule="auto" w:before="50"/>
        <w:ind w:right="1024" w:firstLine="422"/>
        <w:jc w:val="left"/>
      </w:pPr>
      <w:r>
        <w:rPr>
          <w:spacing w:val="-2"/>
        </w:rPr>
        <w:t>合并资产负债表、合并利润表、合并现金流量表及合并所有者（股东）权益变动表分别以本公司和子</w:t>
      </w:r>
      <w:r>
        <w:rPr>
          <w:w w:val="100"/>
        </w:rPr>
        <w:t> </w:t>
      </w:r>
      <w:r>
        <w:rPr/>
        <w:t>公司的资产负债表、利润表、现金流量表及所有者（股东）权益变动表为基础，在抵销本公司与子公司、</w:t>
      </w:r>
      <w:r>
        <w:rPr>
          <w:spacing w:val="-26"/>
        </w:rPr>
        <w:t> </w:t>
      </w:r>
      <w:r>
        <w:rPr>
          <w:spacing w:val="-26"/>
        </w:rPr>
      </w:r>
      <w:r>
        <w:rPr/>
        <w:t>子公司相互之间发生的内部交易对合并资产负债表、合并利润表、合并现金流量表及合并所有者（股东）</w:t>
      </w:r>
      <w:r>
        <w:rPr>
          <w:spacing w:val="-30"/>
        </w:rPr>
        <w:t> </w:t>
      </w:r>
      <w:r>
        <w:rPr>
          <w:spacing w:val="-30"/>
        </w:rPr>
      </w:r>
      <w:r>
        <w:rPr/>
        <w:t>权益变动表的影响后，由本公司合并编制。</w:t>
      </w:r>
    </w:p>
    <w:p>
      <w:pPr>
        <w:pStyle w:val="BodyText"/>
        <w:spacing w:line="408" w:lineRule="auto" w:before="48"/>
        <w:ind w:right="1125" w:firstLine="422"/>
        <w:jc w:val="both"/>
      </w:pPr>
      <w:r>
        <w:rPr>
          <w:spacing w:val="-7"/>
          <w:w w:val="100"/>
        </w:rPr>
        <w:t>本公司向子公司出售资产所发生的未实现内部交易损益，全额抵销“归属于母公司所有者的净利润”。</w:t>
      </w:r>
      <w:r>
        <w:rPr>
          <w:w w:val="100"/>
        </w:rPr>
        <w:t> </w:t>
      </w:r>
      <w:r>
        <w:rPr>
          <w:spacing w:val="-2"/>
        </w:rPr>
        <w:t>子公司向本公司出售资产所发生的未实现内部交易损益，按照本公司对该子公司的分配比例在“归属于母</w:t>
      </w:r>
      <w:r>
        <w:rPr>
          <w:spacing w:val="-33"/>
        </w:rPr>
        <w:t> </w:t>
      </w:r>
      <w:r>
        <w:rPr>
          <w:spacing w:val="-33"/>
        </w:rPr>
      </w:r>
      <w:r>
        <w:rPr>
          <w:spacing w:val="-2"/>
        </w:rPr>
        <w:t>公司所有者的净利润”和“少数股东损益”之间分配抵销。子公司之间出售资产所发生的未实现内部交易</w:t>
      </w:r>
      <w:r>
        <w:rPr>
          <w:spacing w:val="-33"/>
        </w:rPr>
        <w:t> </w:t>
      </w:r>
      <w:r>
        <w:rPr>
          <w:spacing w:val="-33"/>
        </w:rPr>
      </w:r>
      <w:r>
        <w:rPr>
          <w:spacing w:val="-7"/>
        </w:rPr>
        <w:t>损益，应当按照本公司对出售方子公司的分配比例在“归属于母公司所有者的净利润”和“少数股东损益”</w:t>
      </w:r>
    </w:p>
    <w:p>
      <w:pPr>
        <w:spacing w:after="0" w:line="408" w:lineRule="auto"/>
        <w:jc w:val="both"/>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5" w:lineRule="auto" w:before="36"/>
        <w:ind w:left="575" w:right="1024" w:hanging="423"/>
        <w:jc w:val="left"/>
      </w:pPr>
      <w:r>
        <w:rPr/>
        <w:t>之间分配抵销。</w:t>
      </w:r>
      <w:r>
        <w:rPr>
          <w:spacing w:val="-102"/>
        </w:rPr>
        <w:t> </w:t>
      </w:r>
      <w:r>
        <w:rPr>
          <w:spacing w:val="-102"/>
        </w:rPr>
      </w:r>
      <w:r>
        <w:rPr>
          <w:spacing w:val="-2"/>
        </w:rPr>
        <w:t>子公司所有者权益中不属于本公司的份额，作为少数股东权益，在合并资产负债表中所有者权益项目</w:t>
      </w:r>
    </w:p>
    <w:p>
      <w:pPr>
        <w:pStyle w:val="BodyText"/>
        <w:spacing w:line="408" w:lineRule="auto" w:before="51"/>
        <w:ind w:right="1124"/>
        <w:jc w:val="both"/>
      </w:pPr>
      <w:r>
        <w:rPr>
          <w:spacing w:val="-2"/>
        </w:rPr>
        <w:t>下以“少数股东权益”项目列示。子公司当期净损益中属于少数股东权益的份额，在合并利润表中净利润</w:t>
      </w:r>
      <w:r>
        <w:rPr>
          <w:spacing w:val="-32"/>
        </w:rPr>
        <w:t> </w:t>
      </w:r>
      <w:r>
        <w:rPr>
          <w:spacing w:val="-32"/>
        </w:rPr>
      </w:r>
      <w:r>
        <w:rPr>
          <w:spacing w:val="-2"/>
        </w:rPr>
        <w:t>项目下以“少数股东损益”项目列示。子公司当期综合收益中属于少数股东权益的份额，在合并利润表中</w:t>
      </w:r>
      <w:r>
        <w:rPr>
          <w:spacing w:val="-33"/>
        </w:rPr>
        <w:t> </w:t>
      </w:r>
      <w:r>
        <w:rPr>
          <w:spacing w:val="-33"/>
        </w:rPr>
      </w:r>
      <w:r>
        <w:rPr>
          <w:spacing w:val="-2"/>
        </w:rPr>
        <w:t>综合收益总额项目下以“归属于少数股东的综合收益总额”项目列示。有少数股东的，在合并所有者权益</w:t>
      </w:r>
      <w:r>
        <w:rPr>
          <w:spacing w:val="-33"/>
        </w:rPr>
        <w:t> </w:t>
      </w:r>
      <w:r>
        <w:rPr>
          <w:spacing w:val="-33"/>
        </w:rPr>
      </w:r>
      <w:r>
        <w:rPr>
          <w:spacing w:val="-2"/>
        </w:rPr>
        <w:t>变动表中增加“少数股东权益”栏目，反映少数股东权益变动的情况。子公司少数股东分担的当期亏损超</w:t>
      </w:r>
      <w:r>
        <w:rPr>
          <w:spacing w:val="-33"/>
        </w:rPr>
        <w:t> </w:t>
      </w:r>
      <w:r>
        <w:rPr>
          <w:spacing w:val="-33"/>
        </w:rPr>
      </w:r>
      <w:r>
        <w:rPr/>
        <w:t>过了少数股东在该子公司期初所有者权益中所享有的份额的，其余额仍应当冲减少数股东权益。</w:t>
      </w:r>
    </w:p>
    <w:p>
      <w:pPr>
        <w:pStyle w:val="BodyText"/>
        <w:spacing w:line="408" w:lineRule="auto" w:before="43"/>
        <w:ind w:right="1024" w:firstLine="422"/>
        <w:jc w:val="left"/>
      </w:pPr>
      <w:r>
        <w:rPr>
          <w:spacing w:val="-2"/>
        </w:rPr>
        <w:t>本公司在报告期内因同一控制下企业合并增加的子公司以及业务，编制合并资产负债表时，调整合并</w:t>
      </w:r>
      <w:r>
        <w:rPr>
          <w:w w:val="100"/>
        </w:rPr>
        <w:t> </w:t>
      </w:r>
      <w:r>
        <w:rPr/>
        <w:t>资产负债表的期初数；编制合并利润表时，将该子公司以及业务合并当期期初至报告期末的收入、费用、</w:t>
      </w:r>
      <w:r>
        <w:rPr>
          <w:spacing w:val="-30"/>
        </w:rPr>
        <w:t> </w:t>
      </w:r>
      <w:r>
        <w:rPr>
          <w:spacing w:val="-30"/>
        </w:rPr>
      </w:r>
      <w:r>
        <w:rPr>
          <w:spacing w:val="-2"/>
        </w:rPr>
        <w:t>利润纳入合并利润表；编制现金流量表时，将该子公司以及业务合并当期期初至报告期末的现金流量纳入</w:t>
      </w:r>
      <w:r>
        <w:rPr>
          <w:spacing w:val="-33"/>
        </w:rPr>
        <w:t> </w:t>
      </w:r>
      <w:r>
        <w:rPr>
          <w:spacing w:val="-33"/>
        </w:rPr>
      </w:r>
      <w:r>
        <w:rPr>
          <w:spacing w:val="-2"/>
        </w:rPr>
        <w:t>合并现金流量表；同时对比较报表的相关项目进行调整，视同合并后的报告主体自最终控制方开始控制时</w:t>
      </w:r>
      <w:r>
        <w:rPr>
          <w:spacing w:val="-33"/>
        </w:rPr>
        <w:t> </w:t>
      </w:r>
      <w:r>
        <w:rPr>
          <w:spacing w:val="-33"/>
        </w:rPr>
      </w:r>
      <w:r>
        <w:rPr/>
        <w:t>点起一直存在。</w:t>
      </w:r>
    </w:p>
    <w:p>
      <w:pPr>
        <w:pStyle w:val="BodyText"/>
        <w:spacing w:line="408" w:lineRule="auto" w:before="48"/>
        <w:ind w:right="1125" w:firstLine="422"/>
        <w:jc w:val="both"/>
      </w:pPr>
      <w:r>
        <w:rPr>
          <w:spacing w:val="-2"/>
        </w:rPr>
        <w:t>因非同一控制下企业合并或其他方式增加的子公司以及业务，编制合并资产负债表时，不调整合并资</w:t>
      </w:r>
      <w:r>
        <w:rPr>
          <w:w w:val="100"/>
        </w:rPr>
        <w:t> </w:t>
      </w:r>
      <w:r>
        <w:rPr>
          <w:spacing w:val="-2"/>
        </w:rPr>
        <w:t>产负债表的期初数；编制合并利润表时，将该子公司以及业务购买日至报告期末的收入、费用、利润纳入</w:t>
      </w:r>
      <w:r>
        <w:rPr>
          <w:spacing w:val="-33"/>
        </w:rPr>
        <w:t> </w:t>
      </w:r>
      <w:r>
        <w:rPr>
          <w:spacing w:val="-33"/>
        </w:rPr>
      </w:r>
      <w:r>
        <w:rPr/>
        <w:t>合并利润表；编制合并现金流量表时，将该子公司购买日至报告期末的现金流量纳入合并现金流量表。</w:t>
      </w:r>
    </w:p>
    <w:p>
      <w:pPr>
        <w:pStyle w:val="BodyText"/>
        <w:spacing w:line="408" w:lineRule="auto" w:before="43"/>
        <w:ind w:right="1024" w:firstLine="422"/>
        <w:jc w:val="left"/>
      </w:pPr>
      <w:r>
        <w:rPr/>
        <w:t>本公司在报告期内处置子公司以及业务，编制合并资产负债表时，不调整合并资产负债表的期初数；</w:t>
      </w:r>
      <w:r>
        <w:rPr>
          <w:w w:val="100"/>
        </w:rPr>
        <w:t> </w:t>
      </w:r>
      <w:r>
        <w:rPr>
          <w:spacing w:val="-2"/>
        </w:rPr>
        <w:t>编制合并利润表时，将该子公司以及业务期初至处置日的收入、费用、利润纳入合并利润表；编制合并现</w:t>
      </w:r>
      <w:r>
        <w:rPr>
          <w:spacing w:val="-33"/>
        </w:rPr>
        <w:t> </w:t>
      </w:r>
      <w:r>
        <w:rPr>
          <w:spacing w:val="-33"/>
        </w:rPr>
      </w:r>
      <w:r>
        <w:rPr/>
        <w:t>金流量表时，将该子公司以及业务期初至处置日的现金流量纳入合并现金流量表。</w:t>
      </w:r>
    </w:p>
    <w:p>
      <w:pPr>
        <w:pStyle w:val="BodyText"/>
        <w:spacing w:line="240" w:lineRule="auto" w:before="48"/>
        <w:ind w:right="1024"/>
        <w:jc w:val="left"/>
      </w:pPr>
      <w:r>
        <w:rPr>
          <w:rFonts w:ascii="宋体" w:hAnsi="宋体" w:cs="宋体" w:eastAsia="宋体" w:hint="default"/>
        </w:rPr>
        <w:t>6.6</w:t>
      </w:r>
      <w:r>
        <w:rPr>
          <w:rFonts w:ascii="宋体" w:hAnsi="宋体" w:cs="宋体" w:eastAsia="宋体" w:hint="default"/>
          <w:spacing w:val="1"/>
        </w:rPr>
        <w:t> </w:t>
      </w:r>
      <w:r>
        <w:rPr/>
        <w:t>特殊交易会计处理</w:t>
      </w:r>
    </w:p>
    <w:p>
      <w:pPr>
        <w:spacing w:line="240" w:lineRule="auto" w:before="8"/>
        <w:rPr>
          <w:rFonts w:ascii="宋体" w:hAnsi="宋体" w:cs="宋体" w:eastAsia="宋体" w:hint="default"/>
          <w:sz w:val="14"/>
          <w:szCs w:val="14"/>
        </w:rPr>
      </w:pPr>
    </w:p>
    <w:p>
      <w:pPr>
        <w:pStyle w:val="BodyText"/>
        <w:spacing w:line="410" w:lineRule="auto"/>
        <w:ind w:left="575" w:right="1024" w:hanging="423"/>
        <w:jc w:val="left"/>
      </w:pPr>
      <w:r>
        <w:rPr>
          <w:rFonts w:ascii="宋体" w:hAnsi="宋体" w:cs="宋体" w:eastAsia="宋体" w:hint="default"/>
        </w:rPr>
        <w:t>6.6.1 </w:t>
      </w:r>
      <w:r>
        <w:rPr/>
        <w:t>购买子公司少数股东拥有的子公司股权</w:t>
      </w:r>
      <w:r>
        <w:rPr>
          <w:spacing w:val="-102"/>
        </w:rPr>
        <w:t> </w:t>
      </w:r>
      <w:r>
        <w:rPr>
          <w:spacing w:val="-102"/>
        </w:rPr>
      </w:r>
      <w:r>
        <w:rPr>
          <w:spacing w:val="-2"/>
        </w:rPr>
        <w:t>在合并财务报表中，因购买少数股权新取得的长期股权投资与按照新增持股比例计算应享有子公司自</w:t>
      </w:r>
    </w:p>
    <w:p>
      <w:pPr>
        <w:pStyle w:val="BodyText"/>
        <w:spacing w:line="410" w:lineRule="auto" w:before="41"/>
        <w:ind w:right="1024"/>
        <w:jc w:val="left"/>
      </w:pPr>
      <w:r>
        <w:rPr>
          <w:spacing w:val="-2"/>
        </w:rPr>
        <w:t>购买日或合并日开始持续计算的净资产份额之间的差额，调整资本公积</w:t>
      </w:r>
      <w:r>
        <w:rPr>
          <w:rFonts w:ascii="宋体" w:hAnsi="宋体" w:cs="宋体" w:eastAsia="宋体" w:hint="default"/>
          <w:spacing w:val="-2"/>
        </w:rPr>
        <w:t>(</w:t>
      </w:r>
      <w:r>
        <w:rPr>
          <w:spacing w:val="-2"/>
        </w:rPr>
        <w:t>资本溢价或股本溢价</w:t>
      </w:r>
      <w:r>
        <w:rPr>
          <w:rFonts w:ascii="宋体" w:hAnsi="宋体" w:cs="宋体" w:eastAsia="宋体" w:hint="default"/>
          <w:spacing w:val="-2"/>
        </w:rPr>
        <w:t>)</w:t>
      </w:r>
      <w:r>
        <w:rPr>
          <w:spacing w:val="-2"/>
        </w:rPr>
        <w:t>，资本公积</w:t>
      </w:r>
      <w:r>
        <w:rPr>
          <w:spacing w:val="-28"/>
        </w:rPr>
        <w:t> </w:t>
      </w:r>
      <w:r>
        <w:rPr>
          <w:spacing w:val="-28"/>
        </w:rPr>
      </w:r>
      <w:r>
        <w:rPr/>
        <w:t>不足冲减的，调整留存收益。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405" w:lineRule="auto"/>
        <w:ind w:left="575" w:right="1024" w:hanging="423"/>
        <w:jc w:val="left"/>
      </w:pPr>
      <w:r>
        <w:rPr>
          <w:rFonts w:ascii="宋体" w:hAnsi="宋体" w:cs="宋体" w:eastAsia="宋体" w:hint="default"/>
        </w:rPr>
        <w:t>6.6.2 </w:t>
      </w:r>
      <w:r>
        <w:rPr/>
        <w:t>不丧失控制权的情况下处置对子公司长期股权投资</w:t>
      </w:r>
      <w:r>
        <w:rPr>
          <w:w w:val="100"/>
        </w:rPr>
        <w:t> </w:t>
      </w:r>
      <w:r>
        <w:rPr>
          <w:spacing w:val="-2"/>
        </w:rPr>
        <w:t>在不丧失控制权的情况下部分处置对子公司的长期股权投资，在合并财务报表中，处置价款与处置长</w:t>
      </w:r>
    </w:p>
    <w:p>
      <w:pPr>
        <w:pStyle w:val="BodyText"/>
        <w:spacing w:line="408" w:lineRule="auto" w:before="50"/>
        <w:ind w:right="1024"/>
        <w:jc w:val="left"/>
      </w:pPr>
      <w:r>
        <w:rPr>
          <w:spacing w:val="-2"/>
        </w:rPr>
        <w:t>期股权投资相对应享有子公司自购买日或合并日开始持续计算的净资产份额之间的差额，应当调整资本公</w:t>
      </w:r>
      <w:r>
        <w:rPr>
          <w:spacing w:val="-33"/>
        </w:rPr>
        <w:t> </w:t>
      </w:r>
      <w:r>
        <w:rPr>
          <w:spacing w:val="-33"/>
        </w:rPr>
      </w:r>
      <w:r>
        <w:rPr/>
        <w:t>积</w:t>
      </w:r>
      <w:r>
        <w:rPr>
          <w:rFonts w:ascii="宋体" w:hAnsi="宋体" w:cs="宋体" w:eastAsia="宋体" w:hint="default"/>
        </w:rPr>
        <w:t>(</w:t>
      </w:r>
      <w:r>
        <w:rPr/>
        <w:t>资本溢价或股本溢价</w:t>
      </w:r>
      <w:r>
        <w:rPr>
          <w:rFonts w:ascii="宋体" w:hAnsi="宋体" w:cs="宋体" w:eastAsia="宋体" w:hint="default"/>
        </w:rPr>
        <w:t>)</w:t>
      </w:r>
      <w:r>
        <w:rPr/>
        <w:t>，资本公积不足冲减的，调整留存收益。</w:t>
      </w:r>
      <w:r>
        <w:rPr>
          <w:w w:val="100"/>
        </w:rPr>
        <w:t> </w:t>
      </w:r>
      <w:r>
        <w:rPr>
          <w:rFonts w:ascii="宋体" w:hAnsi="宋体" w:cs="宋体" w:eastAsia="宋体" w:hint="default"/>
        </w:rPr>
        <w:t>6.6.3</w:t>
      </w:r>
      <w:r>
        <w:rPr/>
        <w:t>处置部分股权投资等原因丧失了对被投资方的控制权时，对于剩余股权的处理</w:t>
      </w:r>
    </w:p>
    <w:p>
      <w:pPr>
        <w:pStyle w:val="BodyText"/>
        <w:spacing w:line="240" w:lineRule="auto" w:before="43"/>
        <w:ind w:left="575" w:right="1024"/>
        <w:jc w:val="left"/>
      </w:pPr>
      <w:r>
        <w:rPr/>
        <w:t>在编制合并财务报表时，对于剩余股权，按照其在丧失控制权日的公允价值进行重新计量。处置股权</w:t>
      </w:r>
    </w:p>
    <w:p>
      <w:pPr>
        <w:spacing w:after="0" w:line="240" w:lineRule="auto"/>
        <w:jc w:val="left"/>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1109"/>
        <w:jc w:val="left"/>
      </w:pPr>
      <w:r>
        <w:rPr>
          <w:spacing w:val="-2"/>
        </w:rPr>
        <w:t>取得的对价与剩余股权公允价值之和，减去按原持股比例计算应享有原有子公司自购买日或合并日开始持</w:t>
      </w:r>
      <w:r>
        <w:rPr>
          <w:spacing w:val="-33"/>
        </w:rPr>
        <w:t> </w:t>
      </w:r>
      <w:r>
        <w:rPr>
          <w:spacing w:val="-33"/>
        </w:rPr>
      </w:r>
      <w:r>
        <w:rPr>
          <w:spacing w:val="-2"/>
        </w:rPr>
        <w:t>续计算的净资产的份额之间的差额，计入丧失控制权当期的投资收益，同时冲减商誉。与原有子公司股权</w:t>
      </w:r>
      <w:r>
        <w:rPr>
          <w:spacing w:val="-33"/>
        </w:rPr>
        <w:t> </w:t>
      </w:r>
      <w:r>
        <w:rPr>
          <w:spacing w:val="-33"/>
        </w:rPr>
      </w:r>
      <w:r>
        <w:rPr/>
        <w:t>投资相关的其他综合收益等，在丧失控制权时转为当期投资收益。</w:t>
      </w:r>
      <w:r>
        <w:rPr>
          <w:w w:val="100"/>
        </w:rPr>
        <w:t> </w:t>
      </w:r>
      <w:r>
        <w:rPr>
          <w:rFonts w:ascii="宋体" w:hAnsi="宋体" w:cs="宋体" w:eastAsia="宋体" w:hint="default"/>
        </w:rPr>
        <w:t>6.6.4</w:t>
      </w:r>
      <w:r>
        <w:rPr/>
        <w:t>企业通过多次交易分步处置对子公司股权投资直至丧失控制权，且该多次交易属于一揽子交易的处</w:t>
      </w:r>
      <w:r>
        <w:rPr>
          <w:spacing w:val="-31"/>
        </w:rPr>
        <w:t> </w:t>
      </w:r>
      <w:r>
        <w:rPr>
          <w:spacing w:val="-31"/>
        </w:rPr>
      </w:r>
      <w:r>
        <w:rPr/>
        <w:t>理</w:t>
      </w:r>
    </w:p>
    <w:p>
      <w:pPr>
        <w:pStyle w:val="BodyText"/>
        <w:spacing w:line="410" w:lineRule="auto" w:before="43"/>
        <w:ind w:right="1122" w:firstLine="422"/>
        <w:jc w:val="both"/>
      </w:pPr>
      <w:r>
        <w:rPr>
          <w:spacing w:val="-2"/>
        </w:rPr>
        <w:t>处置对子公司股权投资直至丧失控制权的各项交易属于一揽子交易的，应当将各项交易作为一项处置</w:t>
      </w:r>
      <w:r>
        <w:rPr>
          <w:w w:val="100"/>
        </w:rPr>
        <w:t> </w:t>
      </w:r>
      <w:r>
        <w:rPr>
          <w:spacing w:val="-2"/>
        </w:rPr>
        <w:t>子公司并丧失控制权的交易进行会计处理；但是，在丧失控制权之前每一次处置价款与处置投资对应的享</w:t>
      </w:r>
      <w:r>
        <w:rPr>
          <w:spacing w:val="-33"/>
        </w:rPr>
        <w:t> </w:t>
      </w:r>
      <w:r>
        <w:rPr>
          <w:spacing w:val="-33"/>
        </w:rPr>
      </w:r>
      <w:r>
        <w:rPr>
          <w:spacing w:val="-2"/>
        </w:rPr>
        <w:t>有该子公司净资产份额的差额，在合并财务报表中确认为其他综合收益，在丧失控制权时一并转入丧失控</w:t>
      </w:r>
      <w:r>
        <w:rPr>
          <w:spacing w:val="-33"/>
        </w:rPr>
        <w:t> </w:t>
      </w:r>
      <w:r>
        <w:rPr>
          <w:spacing w:val="-33"/>
        </w:rPr>
      </w:r>
      <w:r>
        <w:rPr/>
        <w:t>制权当期的损益。</w:t>
      </w:r>
    </w:p>
    <w:p>
      <w:pPr>
        <w:pStyle w:val="BodyText"/>
        <w:spacing w:line="410" w:lineRule="auto" w:before="42"/>
        <w:ind w:left="575" w:right="1024"/>
        <w:jc w:val="left"/>
      </w:pPr>
      <w:r>
        <w:rPr/>
        <w:t>判断分步处置股权至丧失控制权过程的各项交易是否属于一揽子交易的原则如下：</w:t>
      </w:r>
      <w:r>
        <w:rPr>
          <w:w w:val="100"/>
        </w:rPr>
        <w:t> </w:t>
      </w:r>
      <w:r>
        <w:rPr>
          <w:spacing w:val="-2"/>
        </w:rPr>
        <w:t>处置对子公司股权投资的各项交易的条款、条件以及经济影响符合以下一种或多种情况，通常表明多</w:t>
      </w:r>
    </w:p>
    <w:p>
      <w:pPr>
        <w:pStyle w:val="BodyText"/>
        <w:spacing w:line="410" w:lineRule="auto" w:before="41"/>
        <w:ind w:left="575" w:right="4644" w:hanging="423"/>
        <w:jc w:val="left"/>
      </w:pPr>
      <w:r>
        <w:rPr/>
        <w:t>次交易事项属于一揽子交易：</w:t>
      </w:r>
      <w:r>
        <w:rPr>
          <w:spacing w:val="-100"/>
        </w:rPr>
        <w:t> </w:t>
      </w:r>
      <w:r>
        <w:rPr>
          <w:spacing w:val="-100"/>
        </w:rPr>
      </w:r>
      <w:r>
        <w:rPr>
          <w:rFonts w:ascii="宋体" w:hAnsi="宋体" w:cs="宋体" w:eastAsia="宋体" w:hint="default"/>
          <w:spacing w:val="-2"/>
        </w:rPr>
        <w:t>1</w:t>
      </w:r>
      <w:r>
        <w:rPr>
          <w:spacing w:val="-2"/>
        </w:rPr>
        <w:t>）这些交易是同时或者在考虑了彼此影响的情况下订立的；</w:t>
      </w:r>
    </w:p>
    <w:p>
      <w:pPr>
        <w:pStyle w:val="BodyText"/>
        <w:spacing w:line="240" w:lineRule="auto" w:before="42"/>
        <w:ind w:left="575" w:right="1024"/>
        <w:jc w:val="left"/>
      </w:pPr>
      <w:r>
        <w:rPr>
          <w:rFonts w:ascii="宋体" w:hAnsi="宋体" w:cs="宋体" w:eastAsia="宋体" w:hint="default"/>
        </w:rPr>
        <w:t>2</w:t>
      </w:r>
      <w:r>
        <w:rPr/>
        <w:t>）这些交易整体才能达成一项完整的商业结果；</w:t>
      </w:r>
    </w:p>
    <w:p>
      <w:pPr>
        <w:spacing w:line="240" w:lineRule="auto" w:before="12"/>
        <w:rPr>
          <w:rFonts w:ascii="宋体" w:hAnsi="宋体" w:cs="宋体" w:eastAsia="宋体" w:hint="default"/>
          <w:sz w:val="14"/>
          <w:szCs w:val="14"/>
        </w:rPr>
      </w:pPr>
    </w:p>
    <w:p>
      <w:pPr>
        <w:pStyle w:val="BodyText"/>
        <w:spacing w:line="240" w:lineRule="auto"/>
        <w:ind w:left="575" w:right="1024"/>
        <w:jc w:val="left"/>
      </w:pPr>
      <w:r>
        <w:rPr>
          <w:rFonts w:ascii="宋体" w:hAnsi="宋体" w:cs="宋体" w:eastAsia="宋体" w:hint="default"/>
        </w:rPr>
        <w:t>3</w:t>
      </w:r>
      <w:r>
        <w:rPr/>
        <w:t>）一项交易的发生取决于其他至少一项交易的发生；</w:t>
      </w:r>
    </w:p>
    <w:p>
      <w:pPr>
        <w:spacing w:line="240" w:lineRule="auto" w:before="8"/>
        <w:rPr>
          <w:rFonts w:ascii="宋体" w:hAnsi="宋体" w:cs="宋体" w:eastAsia="宋体" w:hint="default"/>
          <w:sz w:val="14"/>
          <w:szCs w:val="14"/>
        </w:rPr>
      </w:pPr>
    </w:p>
    <w:p>
      <w:pPr>
        <w:pStyle w:val="BodyText"/>
        <w:spacing w:line="240" w:lineRule="auto"/>
        <w:ind w:left="575" w:right="1024"/>
        <w:jc w:val="left"/>
      </w:pPr>
      <w:r>
        <w:rPr>
          <w:rFonts w:ascii="宋体" w:hAnsi="宋体" w:cs="宋体" w:eastAsia="宋体" w:hint="default"/>
        </w:rPr>
        <w:t>4</w:t>
      </w:r>
      <w:r>
        <w:rPr/>
        <w:t>）一项交易单独看是不经济的，但是和其他交易一并考虑时是经济的。</w:t>
      </w:r>
    </w:p>
    <w:p>
      <w:pPr>
        <w:spacing w:line="240" w:lineRule="auto" w:before="12"/>
        <w:rPr>
          <w:rFonts w:ascii="宋体" w:hAnsi="宋体" w:cs="宋体" w:eastAsia="宋体" w:hint="default"/>
          <w:sz w:val="14"/>
          <w:szCs w:val="14"/>
        </w:rPr>
      </w:pPr>
    </w:p>
    <w:p>
      <w:pPr>
        <w:pStyle w:val="BodyText"/>
        <w:spacing w:line="240" w:lineRule="auto"/>
        <w:ind w:right="1024"/>
        <w:jc w:val="left"/>
      </w:pPr>
      <w:r>
        <w:rPr>
          <w:rFonts w:ascii="宋体" w:hAnsi="宋体" w:cs="宋体" w:eastAsia="宋体" w:hint="default"/>
        </w:rPr>
        <w:t>7</w:t>
      </w:r>
      <w:r>
        <w:rPr/>
        <w:t>、合营安排分类及共同经营会计处理方法</w:t>
      </w:r>
    </w:p>
    <w:p>
      <w:pPr>
        <w:spacing w:line="240" w:lineRule="auto" w:before="8"/>
        <w:rPr>
          <w:rFonts w:ascii="宋体" w:hAnsi="宋体" w:cs="宋体" w:eastAsia="宋体" w:hint="default"/>
          <w:sz w:val="14"/>
          <w:szCs w:val="14"/>
        </w:rPr>
      </w:pPr>
    </w:p>
    <w:p>
      <w:pPr>
        <w:pStyle w:val="BodyText"/>
        <w:spacing w:line="408" w:lineRule="auto"/>
        <w:ind w:right="5885"/>
        <w:jc w:val="left"/>
      </w:pPr>
      <w:r>
        <w:rPr>
          <w:rFonts w:ascii="宋体" w:hAnsi="宋体" w:cs="宋体" w:eastAsia="宋体" w:hint="default"/>
        </w:rPr>
        <w:t>7.1 </w:t>
      </w:r>
      <w:r>
        <w:rPr/>
        <w:t>合营安排的分类</w:t>
      </w:r>
      <w:r>
        <w:rPr>
          <w:spacing w:val="-100"/>
        </w:rPr>
        <w:t> </w:t>
      </w:r>
      <w:r>
        <w:rPr>
          <w:spacing w:val="-100"/>
        </w:rPr>
      </w:r>
      <w:r>
        <w:rPr>
          <w:spacing w:val="-1"/>
        </w:rPr>
        <w:t>合营安排分为共同经营和合营企业。</w:t>
      </w:r>
      <w:r>
        <w:rPr>
          <w:spacing w:val="-85"/>
        </w:rPr>
        <w:t> </w:t>
      </w:r>
      <w:r>
        <w:rPr>
          <w:spacing w:val="-85"/>
        </w:rPr>
      </w:r>
      <w:r>
        <w:rPr>
          <w:rFonts w:ascii="宋体" w:hAnsi="宋体" w:cs="宋体" w:eastAsia="宋体" w:hint="default"/>
        </w:rPr>
        <w:t>7.2</w:t>
      </w:r>
      <w:r>
        <w:rPr/>
        <w:t>共同经营参与方的会计处理</w:t>
      </w:r>
    </w:p>
    <w:p>
      <w:pPr>
        <w:pStyle w:val="BodyText"/>
        <w:spacing w:line="405" w:lineRule="auto" w:before="49"/>
        <w:ind w:left="575" w:right="1024" w:hanging="423"/>
        <w:jc w:val="left"/>
      </w:pPr>
      <w:r>
        <w:rPr>
          <w:spacing w:val="-2"/>
        </w:rPr>
        <w:t>合营方确认其与共同经营中利益份额相关的下列项目，并按照相关企业会计准则的规定进行会计处理：</w:t>
      </w:r>
      <w:r>
        <w:rPr>
          <w:spacing w:val="-16"/>
        </w:rPr>
        <w:t> </w:t>
      </w:r>
      <w:r>
        <w:rPr>
          <w:spacing w:val="-16"/>
        </w:rPr>
      </w:r>
      <w:r>
        <w:rPr>
          <w:rFonts w:ascii="宋体" w:hAnsi="宋体" w:cs="宋体" w:eastAsia="宋体" w:hint="default"/>
        </w:rPr>
        <w:t>1</w:t>
      </w:r>
      <w:r>
        <w:rPr/>
        <w:t>）确认单独所持有的资产，以及按其份额确认共同持有的资产；</w:t>
      </w:r>
    </w:p>
    <w:p>
      <w:pPr>
        <w:pStyle w:val="BodyText"/>
        <w:spacing w:line="240" w:lineRule="auto" w:before="50"/>
        <w:ind w:left="575" w:right="1024"/>
        <w:jc w:val="left"/>
      </w:pPr>
      <w:r>
        <w:rPr>
          <w:rFonts w:ascii="宋体" w:hAnsi="宋体" w:cs="宋体" w:eastAsia="宋体" w:hint="default"/>
        </w:rPr>
        <w:t>2</w:t>
      </w:r>
      <w:r>
        <w:rPr/>
        <w:t>）确认单独所承担的负债，以及按其份额确认共同承担的负债；</w:t>
      </w:r>
    </w:p>
    <w:p>
      <w:pPr>
        <w:spacing w:line="240" w:lineRule="auto" w:before="8"/>
        <w:rPr>
          <w:rFonts w:ascii="宋体" w:hAnsi="宋体" w:cs="宋体" w:eastAsia="宋体" w:hint="default"/>
          <w:sz w:val="14"/>
          <w:szCs w:val="14"/>
        </w:rPr>
      </w:pPr>
    </w:p>
    <w:p>
      <w:pPr>
        <w:pStyle w:val="BodyText"/>
        <w:spacing w:line="240" w:lineRule="auto"/>
        <w:ind w:left="575" w:right="1024"/>
        <w:jc w:val="left"/>
      </w:pPr>
      <w:r>
        <w:rPr>
          <w:rFonts w:ascii="宋体" w:hAnsi="宋体" w:cs="宋体" w:eastAsia="宋体" w:hint="default"/>
        </w:rPr>
        <w:t>3</w:t>
      </w:r>
      <w:r>
        <w:rPr/>
        <w:t>）确认出售其享有的共同经营产出份额所产生的收入；</w:t>
      </w:r>
    </w:p>
    <w:p>
      <w:pPr>
        <w:spacing w:line="240" w:lineRule="auto" w:before="13"/>
        <w:rPr>
          <w:rFonts w:ascii="宋体" w:hAnsi="宋体" w:cs="宋体" w:eastAsia="宋体" w:hint="default"/>
          <w:sz w:val="14"/>
          <w:szCs w:val="14"/>
        </w:rPr>
      </w:pPr>
    </w:p>
    <w:p>
      <w:pPr>
        <w:pStyle w:val="BodyText"/>
        <w:spacing w:line="240" w:lineRule="auto"/>
        <w:ind w:left="575" w:right="1024"/>
        <w:jc w:val="left"/>
      </w:pPr>
      <w:r>
        <w:rPr>
          <w:rFonts w:ascii="宋体" w:hAnsi="宋体" w:cs="宋体" w:eastAsia="宋体" w:hint="default"/>
        </w:rPr>
        <w:t>4</w:t>
      </w:r>
      <w:r>
        <w:rPr/>
        <w:t>）按其份额确认共同经营因出售产出所产生的收入；</w:t>
      </w:r>
    </w:p>
    <w:p>
      <w:pPr>
        <w:spacing w:line="240" w:lineRule="auto" w:before="8"/>
        <w:rPr>
          <w:rFonts w:ascii="宋体" w:hAnsi="宋体" w:cs="宋体" w:eastAsia="宋体" w:hint="default"/>
          <w:sz w:val="14"/>
          <w:szCs w:val="14"/>
        </w:rPr>
      </w:pPr>
    </w:p>
    <w:p>
      <w:pPr>
        <w:pStyle w:val="BodyText"/>
        <w:spacing w:line="410" w:lineRule="auto"/>
        <w:ind w:left="575" w:right="1024"/>
        <w:jc w:val="left"/>
      </w:pPr>
      <w:r>
        <w:rPr>
          <w:rFonts w:ascii="宋体" w:hAnsi="宋体" w:cs="宋体" w:eastAsia="宋体" w:hint="default"/>
        </w:rPr>
        <w:t>5</w:t>
      </w:r>
      <w:r>
        <w:rPr/>
        <w:t>）确认单独所发生的费用，以及按其份额确认共同经营发生的费用。</w:t>
      </w:r>
      <w:r>
        <w:rPr>
          <w:w w:val="100"/>
        </w:rPr>
        <w:t> </w:t>
      </w:r>
      <w:r>
        <w:rPr>
          <w:spacing w:val="-2"/>
        </w:rPr>
        <w:t>合营方向共同经营投出或出售资产等</w:t>
      </w:r>
      <w:r>
        <w:rPr>
          <w:rFonts w:ascii="宋体" w:hAnsi="宋体" w:cs="宋体" w:eastAsia="宋体" w:hint="default"/>
          <w:spacing w:val="-2"/>
        </w:rPr>
        <w:t>(</w:t>
      </w:r>
      <w:r>
        <w:rPr>
          <w:spacing w:val="-2"/>
        </w:rPr>
        <w:t>该资产构成业务的除外</w:t>
      </w:r>
      <w:r>
        <w:rPr>
          <w:rFonts w:ascii="宋体" w:hAnsi="宋体" w:cs="宋体" w:eastAsia="宋体" w:hint="default"/>
          <w:spacing w:val="-2"/>
        </w:rPr>
        <w:t>)</w:t>
      </w:r>
      <w:r>
        <w:rPr>
          <w:spacing w:val="-2"/>
        </w:rPr>
        <w:t>，在该资产等由共同经营出售给第三方</w:t>
      </w:r>
    </w:p>
    <w:p>
      <w:pPr>
        <w:pStyle w:val="BodyText"/>
        <w:spacing w:line="410" w:lineRule="auto" w:before="42"/>
        <w:ind w:right="1024"/>
        <w:jc w:val="left"/>
      </w:pPr>
      <w:r>
        <w:rPr>
          <w:spacing w:val="-2"/>
        </w:rPr>
        <w:t>之前，仅确认因该交易产生的损益中归属于共同经营其他参与方的部分。投出或出售的资产发生符合《企</w:t>
      </w:r>
      <w:r>
        <w:rPr>
          <w:spacing w:val="-33"/>
        </w:rPr>
        <w:t> </w:t>
      </w:r>
      <w:r>
        <w:rPr>
          <w:spacing w:val="-33"/>
        </w:rPr>
      </w:r>
      <w:r>
        <w:rPr/>
        <w:t>业会计准则第</w:t>
      </w:r>
      <w:r>
        <w:rPr>
          <w:rFonts w:ascii="宋体" w:hAnsi="宋体" w:cs="宋体" w:eastAsia="宋体" w:hint="default"/>
        </w:rPr>
        <w:t>8</w:t>
      </w:r>
      <w:r>
        <w:rPr/>
        <w:t>号——资产减值》等规定的资产减值损失的，合营方全额确认该损失。</w:t>
      </w:r>
    </w:p>
    <w:p>
      <w:pPr>
        <w:pStyle w:val="BodyText"/>
        <w:spacing w:line="240" w:lineRule="auto" w:before="41"/>
        <w:ind w:left="575" w:right="1024"/>
        <w:jc w:val="left"/>
      </w:pPr>
      <w:r>
        <w:rPr/>
        <w:t>合营方自共同经营购买资产等</w:t>
      </w:r>
      <w:r>
        <w:rPr>
          <w:rFonts w:ascii="宋体" w:hAnsi="宋体" w:cs="宋体" w:eastAsia="宋体" w:hint="default"/>
        </w:rPr>
        <w:t>(</w:t>
      </w:r>
      <w:r>
        <w:rPr/>
        <w:t>该资产构成业务的除外</w:t>
      </w:r>
      <w:r>
        <w:rPr>
          <w:rFonts w:ascii="宋体" w:hAnsi="宋体" w:cs="宋体" w:eastAsia="宋体" w:hint="default"/>
        </w:rPr>
        <w:t>)</w:t>
      </w:r>
      <w:r>
        <w:rPr/>
        <w:t>，在将该资产等出售给第三方之前，仅确认因</w:t>
      </w:r>
    </w:p>
    <w:p>
      <w:pPr>
        <w:spacing w:after="0" w:line="240" w:lineRule="auto"/>
        <w:jc w:val="left"/>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5" w:lineRule="auto" w:before="36"/>
        <w:ind w:right="1024"/>
        <w:jc w:val="left"/>
      </w:pPr>
      <w:r>
        <w:rPr>
          <w:spacing w:val="-2"/>
        </w:rPr>
        <w:t>该交易产生的损益中归属于共同经营其他参与方的部分。购入的资产发生符合《企业会计准则第</w:t>
      </w:r>
      <w:r>
        <w:rPr>
          <w:rFonts w:ascii="宋体" w:hAnsi="宋体" w:cs="宋体" w:eastAsia="宋体" w:hint="default"/>
          <w:spacing w:val="-2"/>
        </w:rPr>
        <w:t>8</w:t>
      </w:r>
      <w:r>
        <w:rPr>
          <w:spacing w:val="-2"/>
        </w:rPr>
        <w:t>号——</w:t>
      </w:r>
      <w:r>
        <w:rPr>
          <w:spacing w:val="-11"/>
        </w:rPr>
        <w:t> </w:t>
      </w:r>
      <w:r>
        <w:rPr>
          <w:spacing w:val="-11"/>
        </w:rPr>
      </w:r>
      <w:r>
        <w:rPr/>
        <w:t>资产减值》等规定的资产减值损失的，合营方按其承担的份额确认该部分损失。</w:t>
      </w:r>
    </w:p>
    <w:p>
      <w:pPr>
        <w:pStyle w:val="BodyText"/>
        <w:spacing w:line="408" w:lineRule="auto" w:before="51"/>
        <w:ind w:right="1024" w:firstLine="422"/>
        <w:jc w:val="left"/>
        <w:rPr>
          <w:rFonts w:ascii="宋体" w:hAnsi="宋体" w:cs="宋体" w:eastAsia="宋体" w:hint="default"/>
        </w:rPr>
      </w:pPr>
      <w:r>
        <w:rPr/>
        <w:t>对共同经营不享有共同控制的参与方，如果享有该共同经营相关资产且承担该共同经营相关负债的，</w:t>
      </w:r>
      <w:r>
        <w:rPr>
          <w:w w:val="100"/>
        </w:rPr>
        <w:t> </w:t>
      </w:r>
      <w:r>
        <w:rPr/>
        <w:t>按照上述方法进行会计处理；否则，按照相关企业会计准则的规定进行会计处理。</w:t>
      </w:r>
      <w:r>
        <w:rPr>
          <w:spacing w:val="-102"/>
        </w:rPr>
        <w:t> </w:t>
      </w:r>
      <w:r>
        <w:rPr>
          <w:spacing w:val="-102"/>
        </w:rPr>
      </w:r>
      <w:bookmarkStart w:name="8、现金及现金等价物的确定标准" w:id="234"/>
      <w:bookmarkEnd w:id="234"/>
      <w:r>
        <w:rPr>
          <w:spacing w:val="-102"/>
        </w:rPr>
      </w:r>
      <w:r>
        <w:rPr>
          <w:rFonts w:ascii="宋体" w:hAnsi="宋体" w:cs="宋体" w:eastAsia="宋体" w:hint="default"/>
          <w:b/>
          <w:bCs/>
        </w:rPr>
        <w:t>8</w:t>
      </w:r>
      <w:r>
        <w:rPr>
          <w:rFonts w:ascii="宋体" w:hAnsi="宋体" w:cs="宋体" w:eastAsia="宋体" w:hint="default"/>
          <w:b/>
          <w:bCs/>
        </w:rPr>
        <w:t>、现金及现金等价物的确定标准</w:t>
      </w:r>
      <w:r>
        <w:rPr>
          <w:rFonts w:ascii="宋体" w:hAnsi="宋体" w:cs="宋体" w:eastAsia="宋体" w:hint="default"/>
        </w:rPr>
      </w:r>
    </w:p>
    <w:p>
      <w:pPr>
        <w:pStyle w:val="BodyText"/>
        <w:spacing w:line="240" w:lineRule="auto" w:before="43"/>
        <w:ind w:left="575" w:right="1024"/>
        <w:jc w:val="left"/>
      </w:pPr>
      <w:r>
        <w:rPr/>
        <w:t>列示于现金流量表中的现金是指库存现金及可随时用于支付的存款，现金等价物是指持有的期限短</w:t>
      </w:r>
    </w:p>
    <w:p>
      <w:pPr>
        <w:spacing w:line="240" w:lineRule="auto" w:before="13"/>
        <w:rPr>
          <w:rFonts w:ascii="宋体" w:hAnsi="宋体" w:cs="宋体" w:eastAsia="宋体" w:hint="default"/>
          <w:sz w:val="14"/>
          <w:szCs w:val="14"/>
        </w:rPr>
      </w:pPr>
    </w:p>
    <w:p>
      <w:pPr>
        <w:spacing w:line="405" w:lineRule="auto" w:before="0"/>
        <w:ind w:left="153" w:right="1024" w:firstLine="0"/>
        <w:jc w:val="left"/>
        <w:rPr>
          <w:rFonts w:ascii="宋体" w:hAnsi="宋体" w:cs="宋体" w:eastAsia="宋体" w:hint="default"/>
          <w:sz w:val="21"/>
          <w:szCs w:val="21"/>
        </w:rPr>
      </w:pPr>
      <w:r>
        <w:rPr>
          <w:rFonts w:ascii="宋体" w:hAnsi="宋体" w:cs="宋体" w:eastAsia="宋体" w:hint="default"/>
          <w:spacing w:val="-4"/>
          <w:w w:val="100"/>
          <w:sz w:val="21"/>
          <w:szCs w:val="21"/>
        </w:rPr>
        <w:t>（一般指从购买日起三个月内到期）、流动性强、易于转换为已知金额现金及价值变动风险很小的投资。</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bookmarkStart w:name="9、外币业务和外币报表折算" w:id="235"/>
      <w:bookmarkEnd w:id="235"/>
      <w:r>
        <w:rPr>
          <w:rFonts w:ascii="宋体" w:hAnsi="宋体" w:cs="宋体" w:eastAsia="宋体" w:hint="default"/>
          <w:spacing w:val="-83"/>
          <w:w w:val="100"/>
          <w:sz w:val="21"/>
          <w:szCs w:val="21"/>
        </w:rPr>
      </w:r>
      <w:r>
        <w:rPr>
          <w:rFonts w:ascii="宋体" w:hAnsi="宋体" w:cs="宋体" w:eastAsia="宋体"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pStyle w:val="BodyText"/>
        <w:spacing w:line="408" w:lineRule="auto" w:before="50"/>
        <w:ind w:right="4644"/>
        <w:jc w:val="left"/>
      </w:pPr>
      <w:r>
        <w:rPr>
          <w:rFonts w:ascii="宋体" w:hAnsi="宋体" w:cs="宋体" w:eastAsia="宋体" w:hint="default"/>
        </w:rPr>
        <w:t>9.1 </w:t>
      </w:r>
      <w:r>
        <w:rPr/>
        <w:t>外币业务</w:t>
      </w:r>
      <w:r>
        <w:rPr>
          <w:w w:val="100"/>
        </w:rPr>
        <w:t> </w:t>
      </w:r>
      <w:r>
        <w:rPr>
          <w:spacing w:val="-2"/>
        </w:rPr>
        <w:t>外币业务按业务发生日的即期汇率将外币金额折算为人民币入账。</w:t>
      </w:r>
    </w:p>
    <w:p>
      <w:pPr>
        <w:pStyle w:val="BodyText"/>
        <w:spacing w:line="408" w:lineRule="auto" w:before="48"/>
        <w:ind w:right="1109" w:firstLine="422"/>
        <w:jc w:val="left"/>
      </w:pPr>
      <w:r>
        <w:rPr>
          <w:spacing w:val="-2"/>
        </w:rPr>
        <w:t>于资产负债表日，外币货币性项目采用资产负债表日的即期汇率折算为人民币，所产生的折算差额除</w:t>
      </w:r>
      <w:r>
        <w:rPr>
          <w:w w:val="100"/>
        </w:rPr>
        <w:t> </w:t>
      </w:r>
      <w:r>
        <w:rPr>
          <w:spacing w:val="-2"/>
        </w:rPr>
        <w:t>了为购建或生产符合资本化条件的资产而借入的外币借款产生的汇兑差额按资本化的原则处理外，直接计</w:t>
      </w:r>
      <w:r>
        <w:rPr>
          <w:spacing w:val="-33"/>
        </w:rPr>
        <w:t> </w:t>
      </w:r>
      <w:r>
        <w:rPr>
          <w:spacing w:val="-33"/>
        </w:rPr>
      </w:r>
      <w:r>
        <w:rPr/>
        <w:t>入当期损益。以历史成本计量的外币非货币性项目，于资产负债表日采用交易发生日的即期汇率折算。</w:t>
      </w:r>
      <w:r>
        <w:rPr>
          <w:w w:val="100"/>
        </w:rPr>
        <w:t> </w:t>
      </w:r>
      <w:r>
        <w:rPr>
          <w:rFonts w:ascii="宋体" w:hAnsi="宋体" w:cs="宋体" w:eastAsia="宋体" w:hint="default"/>
        </w:rPr>
        <w:t>9.2</w:t>
      </w:r>
      <w:r>
        <w:rPr>
          <w:rFonts w:ascii="宋体" w:hAnsi="宋体" w:cs="宋体" w:eastAsia="宋体" w:hint="default"/>
          <w:spacing w:val="2"/>
        </w:rPr>
        <w:t> </w:t>
      </w:r>
      <w:r>
        <w:rPr/>
        <w:t>外币财务报表的折算</w:t>
      </w:r>
    </w:p>
    <w:p>
      <w:pPr>
        <w:pStyle w:val="BodyText"/>
        <w:spacing w:line="408" w:lineRule="auto" w:before="48"/>
        <w:ind w:right="1130" w:firstLine="422"/>
        <w:jc w:val="left"/>
        <w:rPr>
          <w:rFonts w:ascii="宋体" w:hAnsi="宋体" w:cs="宋体" w:eastAsia="宋体" w:hint="default"/>
        </w:rPr>
      </w:pPr>
      <w:r>
        <w:rPr>
          <w:spacing w:val="-2"/>
        </w:rPr>
        <w:t>以非记账本位币编制的资产负债表中的资产和负债项目，采用资产负债表日的即期汇率折算成记账本</w:t>
      </w:r>
      <w:r>
        <w:rPr>
          <w:w w:val="100"/>
        </w:rPr>
        <w:t> </w:t>
      </w:r>
      <w:r>
        <w:rPr>
          <w:spacing w:val="-2"/>
        </w:rPr>
        <w:t>位币，所有者权益中除未分配利润项目外，其他项目采用发生时的即期汇率折算。以非记账本位币编制的</w:t>
      </w:r>
      <w:r>
        <w:rPr>
          <w:spacing w:val="-33"/>
        </w:rPr>
        <w:t> </w:t>
      </w:r>
      <w:r>
        <w:rPr>
          <w:spacing w:val="-33"/>
        </w:rPr>
      </w:r>
      <w:r>
        <w:rPr>
          <w:spacing w:val="-2"/>
        </w:rPr>
        <w:t>利润表中的收入与费用项目，采用交易发生日的即期汇率折算成记账本位币。上述折算产生的外币报表折</w:t>
      </w:r>
      <w:r>
        <w:rPr>
          <w:spacing w:val="-33"/>
        </w:rPr>
        <w:t> </w:t>
      </w:r>
      <w:r>
        <w:rPr>
          <w:spacing w:val="-33"/>
        </w:rPr>
      </w:r>
      <w:r>
        <w:rPr>
          <w:spacing w:val="-2"/>
        </w:rPr>
        <w:t>算差额，在其他综合收益中核算。以非记账本位币编制的现金流量表中各项目的现金流量采用现金流量发</w:t>
      </w:r>
      <w:r>
        <w:rPr>
          <w:spacing w:val="-33"/>
        </w:rPr>
        <w:t> </w:t>
      </w:r>
      <w:r>
        <w:rPr>
          <w:spacing w:val="-33"/>
        </w:rPr>
      </w:r>
      <w:r>
        <w:rPr/>
        <w:t>生日的即期汇率折算成记账本位币。汇率变动对现金的影响额，在现金流量表中单独列示。</w:t>
      </w:r>
      <w:r>
        <w:rPr>
          <w:spacing w:val="-102"/>
        </w:rPr>
        <w:t> </w:t>
      </w:r>
      <w:r>
        <w:rPr>
          <w:spacing w:val="-102"/>
        </w:rPr>
      </w:r>
      <w:bookmarkStart w:name="10、金融工具" w:id="236"/>
      <w:bookmarkEnd w:id="236"/>
      <w:r>
        <w:rPr>
          <w:spacing w:val="-102"/>
        </w:rPr>
      </w:r>
      <w:r>
        <w:rPr>
          <w:rFonts w:ascii="宋体" w:hAnsi="宋体" w:cs="宋体" w:eastAsia="宋体" w:hint="default"/>
          <w:b/>
          <w:bCs/>
        </w:rPr>
        <w:t>10</w:t>
      </w:r>
      <w:r>
        <w:rPr>
          <w:rFonts w:ascii="宋体" w:hAnsi="宋体" w:cs="宋体" w:eastAsia="宋体" w:hint="default"/>
          <w:b/>
          <w:bCs/>
        </w:rPr>
        <w:t>、金融工具</w:t>
      </w:r>
      <w:r>
        <w:rPr>
          <w:rFonts w:ascii="宋体" w:hAnsi="宋体" w:cs="宋体" w:eastAsia="宋体" w:hint="default"/>
        </w:rPr>
      </w:r>
    </w:p>
    <w:p>
      <w:pPr>
        <w:pStyle w:val="BodyText"/>
        <w:spacing w:line="405" w:lineRule="auto" w:before="49"/>
        <w:ind w:right="2353"/>
        <w:jc w:val="left"/>
      </w:pPr>
      <w:r>
        <w:rPr>
          <w:rFonts w:ascii="宋体" w:hAnsi="宋体" w:cs="宋体" w:eastAsia="宋体" w:hint="default"/>
        </w:rPr>
        <w:t>10.1 </w:t>
      </w:r>
      <w:r>
        <w:rPr/>
        <w:t>金融工具的确认和终止确认</w:t>
      </w:r>
      <w:r>
        <w:rPr>
          <w:w w:val="100"/>
        </w:rPr>
        <w:t> </w:t>
      </w:r>
      <w:r>
        <w:rPr>
          <w:spacing w:val="-2"/>
        </w:rPr>
        <w:t>本公司成为金融工具合同的一方时，确认一项金融资产或金融负债。</w:t>
      </w:r>
    </w:p>
    <w:p>
      <w:pPr>
        <w:pStyle w:val="BodyText"/>
        <w:spacing w:line="408" w:lineRule="auto" w:before="50"/>
        <w:ind w:right="1024" w:firstLine="422"/>
        <w:jc w:val="left"/>
      </w:pPr>
      <w:r>
        <w:rPr>
          <w:spacing w:val="-2"/>
        </w:rPr>
        <w:t>对于以常规方式购买或出售金融资产的，本公司在交易日确认将收到的资产和为此将承担的负债，或</w:t>
      </w:r>
      <w:r>
        <w:rPr>
          <w:w w:val="100"/>
        </w:rPr>
        <w:t> </w:t>
      </w:r>
      <w:r>
        <w:rPr/>
        <w:t>者在交易日终止确认已出售的资产，同时确认处置利得或损失以及应向买方收取的应收款项。</w:t>
      </w:r>
      <w:r>
        <w:rPr>
          <w:w w:val="100"/>
        </w:rPr>
        <w:t> </w:t>
      </w:r>
      <w:r>
        <w:rPr/>
        <w:t>金融资产满足下列条件之一的，终止确认：</w:t>
      </w:r>
    </w:p>
    <w:p>
      <w:pPr>
        <w:pStyle w:val="BodyText"/>
        <w:spacing w:line="240" w:lineRule="auto" w:before="43"/>
        <w:ind w:right="1024"/>
        <w:jc w:val="left"/>
      </w:pPr>
      <w:r>
        <w:rPr>
          <w:rFonts w:ascii="宋体" w:hAnsi="宋体" w:cs="宋体" w:eastAsia="宋体" w:hint="default"/>
        </w:rPr>
        <w:t>1</w:t>
      </w:r>
      <w:r>
        <w:rPr/>
        <w:t>）收取该金融资产现金流量的合同权利终止；</w:t>
      </w:r>
    </w:p>
    <w:p>
      <w:pPr>
        <w:spacing w:line="240" w:lineRule="auto" w:before="12"/>
        <w:rPr>
          <w:rFonts w:ascii="宋体" w:hAnsi="宋体" w:cs="宋体" w:eastAsia="宋体" w:hint="default"/>
          <w:sz w:val="14"/>
          <w:szCs w:val="14"/>
        </w:rPr>
      </w:pPr>
    </w:p>
    <w:p>
      <w:pPr>
        <w:pStyle w:val="BodyText"/>
        <w:spacing w:line="240" w:lineRule="auto"/>
        <w:ind w:right="1024"/>
        <w:jc w:val="left"/>
      </w:pPr>
      <w:r>
        <w:rPr>
          <w:rFonts w:ascii="宋体" w:hAnsi="宋体" w:cs="宋体" w:eastAsia="宋体" w:hint="default"/>
        </w:rPr>
        <w:t>2</w:t>
      </w:r>
      <w:r>
        <w:rPr/>
        <w:t>）该金融资产已转移，且本公司转移了该金融资产所有权上几乎所有的风险和报酬；</w:t>
      </w:r>
    </w:p>
    <w:p>
      <w:pPr>
        <w:spacing w:line="240" w:lineRule="auto" w:before="8"/>
        <w:rPr>
          <w:rFonts w:ascii="宋体" w:hAnsi="宋体" w:cs="宋体" w:eastAsia="宋体" w:hint="default"/>
          <w:sz w:val="14"/>
          <w:szCs w:val="14"/>
        </w:rPr>
      </w:pPr>
    </w:p>
    <w:p>
      <w:pPr>
        <w:pStyle w:val="BodyText"/>
        <w:spacing w:line="408" w:lineRule="auto"/>
        <w:ind w:right="1024"/>
        <w:jc w:val="left"/>
      </w:pPr>
      <w:r>
        <w:rPr>
          <w:rFonts w:ascii="宋体" w:hAnsi="宋体" w:cs="宋体" w:eastAsia="宋体" w:hint="default"/>
          <w:spacing w:val="-4"/>
        </w:rPr>
        <w:t>3</w:t>
      </w:r>
      <w:r>
        <w:rPr>
          <w:spacing w:val="-4"/>
        </w:rPr>
        <w:t>）该金融资产已转移，且本公司既没有转移也没有保留金融资产所有权上几乎所有的风险和报酬，但是，</w:t>
      </w:r>
      <w:r>
        <w:rPr>
          <w:spacing w:val="-48"/>
        </w:rPr>
        <w:t> </w:t>
      </w:r>
      <w:r>
        <w:rPr>
          <w:spacing w:val="-48"/>
        </w:rPr>
      </w:r>
      <w:r>
        <w:rPr/>
        <w:t>本公司未保留对该金融资产的控制。</w:t>
      </w:r>
      <w:r>
        <w:rPr>
          <w:spacing w:val="-101"/>
        </w:rPr>
        <w:t> </w:t>
      </w:r>
      <w:r>
        <w:rPr>
          <w:spacing w:val="-101"/>
        </w:rPr>
      </w:r>
      <w:r>
        <w:rPr>
          <w:spacing w:val="-4"/>
          <w:w w:val="100"/>
        </w:rPr>
        <w:t>金融负债（或其一部分）的现时义务已经解除的，本公司终止确认该金融负债（或该部分金融负债）。</w:t>
      </w:r>
    </w:p>
    <w:p>
      <w:pPr>
        <w:spacing w:after="0" w:line="408" w:lineRule="auto"/>
        <w:jc w:val="left"/>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1024"/>
        <w:jc w:val="left"/>
      </w:pPr>
      <w:r>
        <w:rPr>
          <w:rFonts w:ascii="宋体" w:hAnsi="宋体" w:cs="宋体" w:eastAsia="宋体" w:hint="default"/>
        </w:rPr>
        <w:t>10.2</w:t>
      </w:r>
      <w:r>
        <w:rPr/>
        <w:t>金融资产的分类</w:t>
      </w:r>
      <w:r>
        <w:rPr>
          <w:spacing w:val="-100"/>
        </w:rPr>
        <w:t> </w:t>
      </w:r>
      <w:r>
        <w:rPr>
          <w:spacing w:val="-100"/>
        </w:rPr>
      </w:r>
      <w:r>
        <w:rPr>
          <w:spacing w:val="-2"/>
        </w:rPr>
        <w:t>根据管理金融资产的业务模式和金融资产的合同现金流量特征，将金融资产划分为以下三类：</w:t>
      </w:r>
      <w:r>
        <w:rPr>
          <w:spacing w:val="-24"/>
        </w:rPr>
        <w:t> </w:t>
      </w:r>
      <w:r>
        <w:rPr>
          <w:spacing w:val="-24"/>
        </w:rPr>
      </w:r>
      <w:r>
        <w:rPr>
          <w:rFonts w:ascii="宋体" w:hAnsi="宋体" w:cs="宋体" w:eastAsia="宋体" w:hint="default"/>
        </w:rPr>
        <w:t>1</w:t>
      </w:r>
      <w:r>
        <w:rPr/>
        <w:t>）以摊余成本计量的金融资产</w:t>
      </w:r>
    </w:p>
    <w:p>
      <w:pPr>
        <w:pStyle w:val="BodyText"/>
        <w:spacing w:line="240" w:lineRule="auto" w:before="43"/>
        <w:ind w:left="364" w:right="1024"/>
        <w:jc w:val="left"/>
      </w:pPr>
      <w:r>
        <w:rPr/>
        <w:t>金融资产同时符合下列条件的，本公司将其分类为以摊余成本计量的金融资产：</w:t>
      </w:r>
    </w:p>
    <w:p>
      <w:pPr>
        <w:spacing w:line="240" w:lineRule="auto" w:before="12"/>
        <w:rPr>
          <w:rFonts w:ascii="宋体" w:hAnsi="宋体" w:cs="宋体" w:eastAsia="宋体" w:hint="default"/>
          <w:sz w:val="14"/>
          <w:szCs w:val="14"/>
        </w:rPr>
      </w:pPr>
    </w:p>
    <w:p>
      <w:pPr>
        <w:pStyle w:val="BodyText"/>
        <w:spacing w:line="240" w:lineRule="auto"/>
        <w:ind w:right="1024"/>
        <w:jc w:val="left"/>
      </w:pPr>
      <w:r>
        <w:rPr/>
        <w:t>（</w:t>
      </w:r>
      <w:r>
        <w:rPr>
          <w:rFonts w:ascii="宋体" w:hAnsi="宋体" w:cs="宋体" w:eastAsia="宋体" w:hint="default"/>
        </w:rPr>
        <w:t>1</w:t>
      </w:r>
      <w:r>
        <w:rPr/>
        <w:t>）本公司管理该金融资产的业务模式是以收取合同现金流量为目标。</w:t>
      </w:r>
    </w:p>
    <w:p>
      <w:pPr>
        <w:spacing w:line="240" w:lineRule="auto" w:before="8"/>
        <w:rPr>
          <w:rFonts w:ascii="宋体" w:hAnsi="宋体" w:cs="宋体" w:eastAsia="宋体" w:hint="default"/>
          <w:sz w:val="14"/>
          <w:szCs w:val="14"/>
        </w:rPr>
      </w:pPr>
    </w:p>
    <w:p>
      <w:pPr>
        <w:pStyle w:val="BodyText"/>
        <w:spacing w:line="410" w:lineRule="auto"/>
        <w:ind w:right="1024"/>
        <w:jc w:val="left"/>
      </w:pPr>
      <w:r>
        <w:rPr>
          <w:spacing w:val="-2"/>
        </w:rPr>
        <w:t>（</w:t>
      </w:r>
      <w:r>
        <w:rPr>
          <w:rFonts w:ascii="宋体" w:hAnsi="宋体" w:cs="宋体" w:eastAsia="宋体" w:hint="default"/>
          <w:spacing w:val="-2"/>
        </w:rPr>
        <w:t>2</w:t>
      </w:r>
      <w:r>
        <w:rPr>
          <w:spacing w:val="-2"/>
        </w:rPr>
        <w:t>）该金融资产的合同条款规定，在特定日期产生的现金流量，仅为对本金和以未偿付本金金额为基础</w:t>
      </w:r>
      <w:r>
        <w:rPr>
          <w:spacing w:val="-14"/>
        </w:rPr>
        <w:t> </w:t>
      </w:r>
      <w:r>
        <w:rPr>
          <w:spacing w:val="-14"/>
        </w:rPr>
      </w:r>
      <w:r>
        <w:rPr/>
        <w:t>的利息的支付。</w:t>
      </w:r>
    </w:p>
    <w:p>
      <w:pPr>
        <w:pStyle w:val="BodyText"/>
        <w:spacing w:line="410" w:lineRule="auto" w:before="41"/>
        <w:ind w:right="0"/>
        <w:jc w:val="left"/>
      </w:pPr>
      <w:r>
        <w:rPr>
          <w:rFonts w:ascii="宋体" w:hAnsi="宋体" w:cs="宋体" w:eastAsia="宋体" w:hint="default"/>
        </w:rPr>
        <w:t>2</w:t>
      </w:r>
      <w:r>
        <w:rPr/>
        <w:t>）以公允价值计量且其变动计入其他综合收益的金融资产（债务工具投资）</w:t>
      </w:r>
      <w:r>
        <w:rPr>
          <w:w w:val="100"/>
        </w:rPr>
        <w:t> </w:t>
      </w:r>
      <w:r>
        <w:rPr>
          <w:spacing w:val="-2"/>
        </w:rPr>
        <w:t>金融资产同时符合下列条件的，本公司将其分类为以公允价值计量且其变动计入其他综合收益的金融资产：</w:t>
      </w:r>
    </w:p>
    <w:p>
      <w:pPr>
        <w:pStyle w:val="BodyText"/>
        <w:spacing w:line="240" w:lineRule="auto" w:before="42"/>
        <w:ind w:right="1024"/>
        <w:jc w:val="left"/>
      </w:pPr>
      <w:r>
        <w:rPr/>
        <w:t>（</w:t>
      </w:r>
      <w:r>
        <w:rPr>
          <w:rFonts w:ascii="宋体" w:hAnsi="宋体" w:cs="宋体" w:eastAsia="宋体" w:hint="default"/>
        </w:rPr>
        <w:t>1</w:t>
      </w:r>
      <w:r>
        <w:rPr/>
        <w:t>）本公司管理该金融资产的业务模式既以收取合同现金流量为目标又以出售该金融资产为目标。</w:t>
      </w:r>
    </w:p>
    <w:p>
      <w:pPr>
        <w:spacing w:line="240" w:lineRule="auto" w:before="12"/>
        <w:rPr>
          <w:rFonts w:ascii="宋体" w:hAnsi="宋体" w:cs="宋体" w:eastAsia="宋体" w:hint="default"/>
          <w:sz w:val="14"/>
          <w:szCs w:val="14"/>
        </w:rPr>
      </w:pPr>
    </w:p>
    <w:p>
      <w:pPr>
        <w:pStyle w:val="BodyText"/>
        <w:spacing w:line="405" w:lineRule="auto"/>
        <w:ind w:right="1024"/>
        <w:jc w:val="left"/>
      </w:pPr>
      <w:r>
        <w:rPr>
          <w:spacing w:val="-2"/>
        </w:rPr>
        <w:t>（</w:t>
      </w:r>
      <w:r>
        <w:rPr>
          <w:rFonts w:ascii="宋体" w:hAnsi="宋体" w:cs="宋体" w:eastAsia="宋体" w:hint="default"/>
          <w:spacing w:val="-2"/>
        </w:rPr>
        <w:t>2</w:t>
      </w:r>
      <w:r>
        <w:rPr>
          <w:spacing w:val="-2"/>
        </w:rPr>
        <w:t>）该金融资产的合同条款规定，在特定日期产生的现金流量，仅为对本金和以未偿付本金金额为基础</w:t>
      </w:r>
      <w:r>
        <w:rPr>
          <w:spacing w:val="-14"/>
        </w:rPr>
        <w:t> </w:t>
      </w:r>
      <w:r>
        <w:rPr>
          <w:spacing w:val="-14"/>
        </w:rPr>
      </w:r>
      <w:r>
        <w:rPr/>
        <w:t>的利息的支付。</w:t>
      </w:r>
    </w:p>
    <w:p>
      <w:pPr>
        <w:pStyle w:val="BodyText"/>
        <w:spacing w:line="408" w:lineRule="auto" w:before="50"/>
        <w:ind w:left="575" w:right="1024" w:hanging="423"/>
        <w:jc w:val="left"/>
      </w:pPr>
      <w:r>
        <w:rPr>
          <w:rFonts w:ascii="宋体" w:hAnsi="宋体" w:cs="宋体" w:eastAsia="宋体" w:hint="default"/>
        </w:rPr>
        <w:t>3</w:t>
      </w:r>
      <w:r>
        <w:rPr/>
        <w:t>）以公允价值计量且其变动计入当期损益的金融资产</w:t>
      </w:r>
      <w:r>
        <w:rPr>
          <w:w w:val="100"/>
        </w:rPr>
        <w:t> </w:t>
      </w:r>
      <w:r>
        <w:rPr>
          <w:spacing w:val="-2"/>
        </w:rPr>
        <w:t>照本条第</w:t>
      </w:r>
      <w:r>
        <w:rPr>
          <w:rFonts w:ascii="宋体" w:hAnsi="宋体" w:cs="宋体" w:eastAsia="宋体" w:hint="default"/>
          <w:spacing w:val="-2"/>
        </w:rPr>
        <w:t>1</w:t>
      </w:r>
      <w:r>
        <w:rPr>
          <w:spacing w:val="-2"/>
        </w:rPr>
        <w:t>）项分类为以摊余成本计量的金融资产和按照本条第</w:t>
      </w:r>
      <w:r>
        <w:rPr>
          <w:rFonts w:ascii="宋体" w:hAnsi="宋体" w:cs="宋体" w:eastAsia="宋体" w:hint="default"/>
          <w:spacing w:val="-2"/>
        </w:rPr>
        <w:t>2</w:t>
      </w:r>
      <w:r>
        <w:rPr>
          <w:spacing w:val="-2"/>
        </w:rPr>
        <w:t>）项分类为以公允价值计量且其变动</w:t>
      </w:r>
    </w:p>
    <w:p>
      <w:pPr>
        <w:pStyle w:val="BodyText"/>
        <w:spacing w:line="405" w:lineRule="auto" w:before="48"/>
        <w:ind w:right="1024"/>
        <w:jc w:val="left"/>
      </w:pPr>
      <w:r>
        <w:rPr>
          <w:spacing w:val="-2"/>
        </w:rPr>
        <w:t>计入其他综合收益的金融资产（债务工具投资）之外的金融资产，本公司将其分类为以公允价值计量且其</w:t>
      </w:r>
      <w:r>
        <w:rPr>
          <w:spacing w:val="-33"/>
        </w:rPr>
        <w:t> </w:t>
      </w:r>
      <w:r>
        <w:rPr>
          <w:spacing w:val="-33"/>
        </w:rPr>
      </w:r>
      <w:r>
        <w:rPr/>
        <w:t>变动计入当期损益的金融资产。</w:t>
      </w:r>
    </w:p>
    <w:p>
      <w:pPr>
        <w:pStyle w:val="BodyText"/>
        <w:spacing w:line="408" w:lineRule="auto" w:before="50"/>
        <w:ind w:right="1126" w:firstLine="422"/>
        <w:jc w:val="both"/>
      </w:pPr>
      <w:r>
        <w:rPr>
          <w:spacing w:val="-2"/>
        </w:rPr>
        <w:t>在初始确认时，本公司可以将非交易性权益工具投资指定为以公允价值计量且其变动计入其他综合收</w:t>
      </w:r>
      <w:r>
        <w:rPr>
          <w:w w:val="100"/>
        </w:rPr>
        <w:t> </w:t>
      </w:r>
      <w:r>
        <w:rPr>
          <w:spacing w:val="-2"/>
          <w:w w:val="100"/>
        </w:rPr>
        <w:t>益的金融资产（非交易性权益工具投资），并按照规定确认股利收入。该指定一经做出，不得撤销。本公</w:t>
      </w:r>
      <w:r>
        <w:rPr>
          <w:spacing w:val="-99"/>
          <w:w w:val="100"/>
        </w:rPr>
        <w:t> </w:t>
      </w:r>
      <w:r>
        <w:rPr>
          <w:spacing w:val="-99"/>
          <w:w w:val="100"/>
        </w:rPr>
      </w:r>
      <w:r>
        <w:rPr>
          <w:spacing w:val="-2"/>
        </w:rPr>
        <w:t>司在非同一控制下的企业合并中确认的或有对价构成金融资产的，该金融资产分类为以公允价值计量且其</w:t>
      </w:r>
      <w:r>
        <w:rPr>
          <w:spacing w:val="-33"/>
        </w:rPr>
        <w:t> </w:t>
      </w:r>
      <w:r>
        <w:rPr>
          <w:spacing w:val="-33"/>
        </w:rPr>
      </w:r>
      <w:r>
        <w:rPr/>
        <w:t>变动计入当期损益的金融资产。</w:t>
      </w:r>
    </w:p>
    <w:p>
      <w:pPr>
        <w:pStyle w:val="BodyText"/>
        <w:spacing w:line="405" w:lineRule="auto" w:before="49"/>
        <w:ind w:left="470" w:right="2353" w:hanging="317"/>
        <w:jc w:val="left"/>
      </w:pPr>
      <w:r>
        <w:rPr>
          <w:rFonts w:ascii="宋体" w:hAnsi="宋体" w:cs="宋体" w:eastAsia="宋体" w:hint="default"/>
        </w:rPr>
        <w:t>10.3 </w:t>
      </w:r>
      <w:r>
        <w:rPr/>
        <w:t>金融负债的分类</w:t>
      </w:r>
      <w:r>
        <w:rPr>
          <w:spacing w:val="-100"/>
        </w:rPr>
        <w:t> </w:t>
      </w:r>
      <w:r>
        <w:rPr>
          <w:spacing w:val="-100"/>
        </w:rPr>
      </w:r>
      <w:r>
        <w:rPr>
          <w:spacing w:val="-2"/>
        </w:rPr>
        <w:t>除下列各项外，本公司将金融负债分类为以摊余成本计量的金融负债：</w:t>
      </w:r>
    </w:p>
    <w:p>
      <w:pPr>
        <w:pStyle w:val="BodyText"/>
        <w:spacing w:line="408" w:lineRule="auto" w:before="50"/>
        <w:ind w:right="1024"/>
        <w:jc w:val="left"/>
      </w:pPr>
      <w:r>
        <w:rPr>
          <w:rFonts w:ascii="宋体" w:hAnsi="宋体" w:cs="宋体" w:eastAsia="宋体" w:hint="default"/>
        </w:rPr>
        <w:t>1</w:t>
      </w:r>
      <w:r>
        <w:rPr/>
        <w:t>）以公允价值计量且其变动计入当期损益的金融负债，包括交易性金融负债（含属于金融负债的衍生工</w:t>
      </w:r>
      <w:r>
        <w:rPr>
          <w:spacing w:val="-31"/>
        </w:rPr>
        <w:t> </w:t>
      </w:r>
      <w:r>
        <w:rPr>
          <w:spacing w:val="-31"/>
        </w:rPr>
      </w:r>
      <w:r>
        <w:rPr/>
        <w:t>具）和指定为以公允价值计量且其变动计入当期损益的金融负债。</w:t>
      </w:r>
      <w:r>
        <w:rPr>
          <w:w w:val="100"/>
        </w:rPr>
        <w:t> </w:t>
      </w:r>
      <w:r>
        <w:rPr>
          <w:rFonts w:ascii="宋体" w:hAnsi="宋体" w:cs="宋体" w:eastAsia="宋体" w:hint="default"/>
        </w:rPr>
        <w:t>2</w:t>
      </w:r>
      <w:r>
        <w:rPr/>
        <w:t>）金融资产转移不符合终止确认条件或继续涉入被转移金融资产所形成的金融负债。</w:t>
      </w:r>
    </w:p>
    <w:p>
      <w:pPr>
        <w:pStyle w:val="BodyText"/>
        <w:spacing w:line="410" w:lineRule="auto" w:before="43"/>
        <w:ind w:right="1024"/>
        <w:jc w:val="left"/>
      </w:pPr>
      <w:r>
        <w:rPr>
          <w:rFonts w:ascii="宋体" w:hAnsi="宋体" w:cs="宋体" w:eastAsia="宋体" w:hint="default"/>
          <w:spacing w:val="-2"/>
        </w:rPr>
        <w:t>3</w:t>
      </w:r>
      <w:r>
        <w:rPr>
          <w:spacing w:val="-2"/>
        </w:rPr>
        <w:t>）不属于本条第</w:t>
      </w:r>
      <w:r>
        <w:rPr>
          <w:rFonts w:ascii="宋体" w:hAnsi="宋体" w:cs="宋体" w:eastAsia="宋体" w:hint="default"/>
          <w:spacing w:val="-2"/>
        </w:rPr>
        <w:t>1</w:t>
      </w:r>
      <w:r>
        <w:rPr>
          <w:spacing w:val="-2"/>
        </w:rPr>
        <w:t>）项或第</w:t>
      </w:r>
      <w:r>
        <w:rPr>
          <w:rFonts w:ascii="宋体" w:hAnsi="宋体" w:cs="宋体" w:eastAsia="宋体" w:hint="default"/>
          <w:spacing w:val="-2"/>
        </w:rPr>
        <w:t>2</w:t>
      </w:r>
      <w:r>
        <w:rPr>
          <w:spacing w:val="-2"/>
        </w:rPr>
        <w:t>）项情形的财务担保合同，以及不属于本条第</w:t>
      </w:r>
      <w:r>
        <w:rPr>
          <w:rFonts w:ascii="宋体" w:hAnsi="宋体" w:cs="宋体" w:eastAsia="宋体" w:hint="default"/>
          <w:spacing w:val="-2"/>
        </w:rPr>
        <w:t>1</w:t>
      </w:r>
      <w:r>
        <w:rPr>
          <w:spacing w:val="-2"/>
        </w:rPr>
        <w:t>）项情形的以低于市场利率贷</w:t>
      </w:r>
      <w:r>
        <w:rPr>
          <w:spacing w:val="-37"/>
        </w:rPr>
        <w:t> </w:t>
      </w:r>
      <w:r>
        <w:rPr>
          <w:spacing w:val="-37"/>
        </w:rPr>
      </w:r>
      <w:r>
        <w:rPr/>
        <w:t>款的贷款承诺。</w:t>
      </w:r>
      <w:r>
        <w:rPr>
          <w:spacing w:val="-102"/>
        </w:rPr>
        <w:t> </w:t>
      </w:r>
      <w:r>
        <w:rPr>
          <w:spacing w:val="-102"/>
        </w:rPr>
      </w:r>
      <w:r>
        <w:rPr>
          <w:spacing w:val="-2"/>
        </w:rPr>
        <w:t>在非同一控制下的企业合并中，本公司作为购买方确认的或有对价形成金融负债的，该金融负债按照以公</w:t>
      </w:r>
      <w:r>
        <w:rPr>
          <w:spacing w:val="-33"/>
        </w:rPr>
        <w:t> </w:t>
      </w:r>
      <w:r>
        <w:rPr>
          <w:spacing w:val="-33"/>
        </w:rPr>
      </w:r>
      <w:r>
        <w:rPr/>
        <w:t>允价值计量且其变动计入当期损益进行会计处理。</w:t>
      </w:r>
    </w:p>
    <w:p>
      <w:pPr>
        <w:pStyle w:val="BodyText"/>
        <w:spacing w:line="240" w:lineRule="auto" w:before="41"/>
        <w:ind w:left="575" w:right="1024"/>
        <w:jc w:val="left"/>
      </w:pPr>
      <w:r>
        <w:rPr/>
        <w:t>在初始确认时，为了提供更相关的会计信息，本公司可以将金融负债指定为以公允价值计量且其变动</w:t>
      </w:r>
    </w:p>
    <w:p>
      <w:pPr>
        <w:spacing w:after="0" w:line="240" w:lineRule="auto"/>
        <w:jc w:val="left"/>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5" w:lineRule="auto" w:before="36"/>
        <w:ind w:right="4644"/>
        <w:jc w:val="left"/>
      </w:pPr>
      <w:r>
        <w:rPr>
          <w:spacing w:val="-2"/>
        </w:rPr>
        <w:t>计入当期损益的金融负债，该指定满足下列条件之一：</w:t>
      </w:r>
      <w:r>
        <w:rPr>
          <w:spacing w:val="-59"/>
        </w:rPr>
        <w:t> </w:t>
      </w:r>
      <w:r>
        <w:rPr>
          <w:spacing w:val="-59"/>
        </w:rPr>
      </w:r>
      <w:r>
        <w:rPr>
          <w:rFonts w:ascii="宋体" w:hAnsi="宋体" w:cs="宋体" w:eastAsia="宋体" w:hint="default"/>
        </w:rPr>
        <w:t>1</w:t>
      </w:r>
      <w:r>
        <w:rPr/>
        <w:t>）能够消除或显著减少会计错配。</w:t>
      </w:r>
    </w:p>
    <w:p>
      <w:pPr>
        <w:pStyle w:val="BodyText"/>
        <w:spacing w:line="408" w:lineRule="auto" w:before="51"/>
        <w:ind w:right="1024"/>
        <w:jc w:val="left"/>
      </w:pPr>
      <w:r>
        <w:rPr>
          <w:rFonts w:ascii="宋体" w:hAnsi="宋体" w:cs="宋体" w:eastAsia="宋体" w:hint="default"/>
        </w:rPr>
        <w:t>2</w:t>
      </w:r>
      <w:r>
        <w:rPr/>
        <w:t>）根据正式书面文件载明的企业风险管理或投资策略，以公允价值为基础对金融负债组合或金融资产和</w:t>
      </w:r>
      <w:r>
        <w:rPr>
          <w:spacing w:val="-31"/>
        </w:rPr>
        <w:t> </w:t>
      </w:r>
      <w:r>
        <w:rPr>
          <w:spacing w:val="-31"/>
        </w:rPr>
      </w:r>
      <w:r>
        <w:rPr/>
        <w:t>金融负债组合进行管理和业绩评价，并在本公司内部以此为基础向关键管理人员报告。</w:t>
      </w:r>
      <w:r>
        <w:rPr>
          <w:w w:val="100"/>
        </w:rPr>
        <w:t> </w:t>
      </w:r>
      <w:r>
        <w:rPr/>
        <w:t>该指定一经做出，不得撤销。</w:t>
      </w:r>
    </w:p>
    <w:p>
      <w:pPr>
        <w:pStyle w:val="BodyText"/>
        <w:spacing w:line="410" w:lineRule="auto" w:before="43"/>
        <w:ind w:right="4245"/>
        <w:jc w:val="left"/>
      </w:pPr>
      <w:r>
        <w:rPr>
          <w:rFonts w:ascii="宋体" w:hAnsi="宋体" w:cs="宋体" w:eastAsia="宋体" w:hint="default"/>
        </w:rPr>
        <w:t>10.4 </w:t>
      </w:r>
      <w:r>
        <w:rPr/>
        <w:t>嵌入衍生工具</w:t>
      </w:r>
      <w:r>
        <w:rPr>
          <w:spacing w:val="-101"/>
        </w:rPr>
        <w:t> </w:t>
      </w:r>
      <w:r>
        <w:rPr>
          <w:spacing w:val="-101"/>
        </w:rPr>
      </w:r>
      <w:r>
        <w:rPr>
          <w:spacing w:val="-2"/>
        </w:rPr>
        <w:t>嵌入衍生工具，是指嵌入到非衍生工具（即主合同）中的衍生工具。</w:t>
      </w:r>
    </w:p>
    <w:p>
      <w:pPr>
        <w:pStyle w:val="BodyText"/>
        <w:spacing w:line="410" w:lineRule="auto" w:before="41"/>
        <w:ind w:right="1024" w:firstLine="422"/>
        <w:jc w:val="left"/>
      </w:pPr>
      <w:r>
        <w:rPr>
          <w:spacing w:val="-2"/>
        </w:rPr>
        <w:t>混合合同包含的主合同属于金融工具确认和计量准则规范的资产的，本公司将该混合合同作为一个整</w:t>
      </w:r>
      <w:r>
        <w:rPr>
          <w:w w:val="100"/>
        </w:rPr>
        <w:t> </w:t>
      </w:r>
      <w:r>
        <w:rPr/>
        <w:t>体适用该准则关于金融资产分类的相关规定。</w:t>
      </w:r>
    </w:p>
    <w:p>
      <w:pPr>
        <w:pStyle w:val="BodyText"/>
        <w:spacing w:line="408" w:lineRule="auto" w:before="42"/>
        <w:ind w:right="1024" w:firstLine="422"/>
        <w:jc w:val="left"/>
      </w:pPr>
      <w:r>
        <w:rPr>
          <w:spacing w:val="-2"/>
        </w:rPr>
        <w:t>混合合同包含的主合同不属于金融工具确认和计量准则规范的资产，且同时符合下列条件的，本公司</w:t>
      </w:r>
      <w:r>
        <w:rPr>
          <w:w w:val="100"/>
        </w:rPr>
        <w:t> </w:t>
      </w:r>
      <w:r>
        <w:rPr/>
        <w:t>从混合合同中分拆嵌入衍生工具，将其作为单独存在的衍生工具处理：</w:t>
      </w:r>
      <w:r>
        <w:rPr>
          <w:spacing w:val="-103"/>
        </w:rPr>
        <w:t> </w:t>
      </w:r>
      <w:r>
        <w:rPr>
          <w:spacing w:val="-103"/>
        </w:rPr>
      </w:r>
      <w:r>
        <w:rPr>
          <w:rFonts w:ascii="宋体" w:hAnsi="宋体" w:cs="宋体" w:eastAsia="宋体" w:hint="default"/>
        </w:rPr>
        <w:t>1</w:t>
      </w:r>
      <w:r>
        <w:rPr/>
        <w:t>）嵌入衍生工具的经济特征和风险与主合同的经济特征和风险不紧密相关。</w:t>
      </w:r>
    </w:p>
    <w:p>
      <w:pPr>
        <w:pStyle w:val="BodyText"/>
        <w:spacing w:line="240" w:lineRule="auto" w:before="48"/>
        <w:ind w:right="1024"/>
        <w:jc w:val="left"/>
      </w:pPr>
      <w:r>
        <w:rPr>
          <w:rFonts w:ascii="宋体" w:hAnsi="宋体" w:cs="宋体" w:eastAsia="宋体" w:hint="default"/>
        </w:rPr>
        <w:t>2</w:t>
      </w:r>
      <w:r>
        <w:rPr/>
        <w:t>）与嵌入衍生工具具有相同条款的单独工具符合衍生工具的定义。</w:t>
      </w:r>
    </w:p>
    <w:p>
      <w:pPr>
        <w:spacing w:line="240" w:lineRule="auto" w:before="8"/>
        <w:rPr>
          <w:rFonts w:ascii="宋体" w:hAnsi="宋体" w:cs="宋体" w:eastAsia="宋体" w:hint="default"/>
          <w:sz w:val="14"/>
          <w:szCs w:val="14"/>
        </w:rPr>
      </w:pPr>
    </w:p>
    <w:p>
      <w:pPr>
        <w:pStyle w:val="BodyText"/>
        <w:spacing w:line="240" w:lineRule="auto"/>
        <w:ind w:right="1024"/>
        <w:jc w:val="left"/>
      </w:pPr>
      <w:r>
        <w:rPr>
          <w:rFonts w:ascii="宋体" w:hAnsi="宋体" w:cs="宋体" w:eastAsia="宋体" w:hint="default"/>
        </w:rPr>
        <w:t>3</w:t>
      </w:r>
      <w:r>
        <w:rPr/>
        <w:t>）该混合合同不是以公允价值计量且其变动计入当期损益进行会计处理。</w:t>
      </w:r>
    </w:p>
    <w:p>
      <w:pPr>
        <w:spacing w:line="240" w:lineRule="auto" w:before="12"/>
        <w:rPr>
          <w:rFonts w:ascii="宋体" w:hAnsi="宋体" w:cs="宋体" w:eastAsia="宋体" w:hint="default"/>
          <w:sz w:val="14"/>
          <w:szCs w:val="14"/>
        </w:rPr>
      </w:pPr>
    </w:p>
    <w:p>
      <w:pPr>
        <w:pStyle w:val="BodyText"/>
        <w:spacing w:line="405" w:lineRule="auto"/>
        <w:ind w:left="575" w:right="1024" w:hanging="423"/>
        <w:jc w:val="left"/>
      </w:pPr>
      <w:r>
        <w:rPr>
          <w:rFonts w:ascii="宋体" w:hAnsi="宋体" w:cs="宋体" w:eastAsia="宋体" w:hint="default"/>
        </w:rPr>
        <w:t>10.5 </w:t>
      </w:r>
      <w:r>
        <w:rPr/>
        <w:t>金融工具的重分类</w:t>
      </w:r>
      <w:r>
        <w:rPr>
          <w:w w:val="100"/>
        </w:rPr>
        <w:t> </w:t>
      </w:r>
      <w:r>
        <w:rPr>
          <w:spacing w:val="-2"/>
        </w:rPr>
        <w:t>本公司改变管理金融资产的业务模式时，对所有受影响的相关金融资产进行重分类。本公司对所有金</w:t>
      </w:r>
    </w:p>
    <w:p>
      <w:pPr>
        <w:pStyle w:val="BodyText"/>
        <w:spacing w:line="408" w:lineRule="auto" w:before="50"/>
        <w:ind w:left="575" w:right="1024" w:hanging="423"/>
        <w:jc w:val="left"/>
      </w:pPr>
      <w:r>
        <w:rPr/>
        <w:t>融负债均不得进行重分类。</w:t>
      </w:r>
      <w:r>
        <w:rPr>
          <w:spacing w:val="-101"/>
        </w:rPr>
        <w:t> </w:t>
      </w:r>
      <w:r>
        <w:rPr>
          <w:spacing w:val="-101"/>
        </w:rPr>
      </w:r>
      <w:r>
        <w:rPr>
          <w:spacing w:val="-2"/>
        </w:rPr>
        <w:t>本公司对金融资产进行重分类，自重分类日起采用未来适用法进行相关会计处理。重分类日，是指导</w:t>
      </w:r>
    </w:p>
    <w:p>
      <w:pPr>
        <w:pStyle w:val="BodyText"/>
        <w:spacing w:line="405" w:lineRule="auto" w:before="48"/>
        <w:ind w:right="2883"/>
        <w:jc w:val="left"/>
      </w:pPr>
      <w:r>
        <w:rPr>
          <w:spacing w:val="-2"/>
        </w:rPr>
        <w:t>致本公司对金融资产进行重分类的业务模式发生变更后的首个报告期间的第一天。</w:t>
      </w:r>
      <w:r>
        <w:rPr>
          <w:spacing w:val="-30"/>
        </w:rPr>
        <w:t> </w:t>
      </w:r>
      <w:r>
        <w:rPr>
          <w:spacing w:val="-30"/>
        </w:rPr>
      </w:r>
      <w:r>
        <w:rPr>
          <w:rFonts w:ascii="宋体" w:hAnsi="宋体" w:cs="宋体" w:eastAsia="宋体" w:hint="default"/>
        </w:rPr>
        <w:t>10.6</w:t>
      </w:r>
      <w:r>
        <w:rPr>
          <w:rFonts w:ascii="宋体" w:hAnsi="宋体" w:cs="宋体" w:eastAsia="宋体" w:hint="default"/>
          <w:spacing w:val="5"/>
        </w:rPr>
        <w:t> </w:t>
      </w:r>
      <w:r>
        <w:rPr/>
        <w:t>金融工具的计量</w:t>
      </w:r>
    </w:p>
    <w:p>
      <w:pPr>
        <w:pStyle w:val="BodyText"/>
        <w:spacing w:line="408" w:lineRule="auto" w:before="51"/>
        <w:ind w:right="1024"/>
        <w:jc w:val="left"/>
      </w:pPr>
      <w:r>
        <w:rPr>
          <w:rFonts w:ascii="宋体" w:hAnsi="宋体" w:cs="宋体" w:eastAsia="宋体" w:hint="default"/>
        </w:rPr>
        <w:t>1</w:t>
      </w:r>
      <w:r>
        <w:rPr/>
        <w:t>）初始计量</w:t>
      </w:r>
      <w:r>
        <w:rPr>
          <w:spacing w:val="-99"/>
        </w:rPr>
        <w:t> </w:t>
      </w:r>
      <w:r>
        <w:rPr>
          <w:spacing w:val="-2"/>
        </w:rPr>
        <w:t>本公司初始确认金融资产或金融负债，按照公允价值计量。对于以公允价值计量且其变动计入当期损益的</w:t>
      </w:r>
      <w:r>
        <w:rPr>
          <w:spacing w:val="-33"/>
        </w:rPr>
        <w:t> </w:t>
      </w:r>
      <w:r>
        <w:rPr>
          <w:spacing w:val="-33"/>
        </w:rPr>
      </w:r>
      <w:r>
        <w:rPr>
          <w:spacing w:val="-2"/>
        </w:rPr>
        <w:t>金融资产和金融负债，相关交易费用直接计入当期损益；对于其他类别的金融资产或金融负债，相关交易</w:t>
      </w:r>
      <w:r>
        <w:rPr>
          <w:spacing w:val="-33"/>
        </w:rPr>
        <w:t> </w:t>
      </w:r>
      <w:r>
        <w:rPr>
          <w:spacing w:val="-33"/>
        </w:rPr>
      </w:r>
      <w:r>
        <w:rPr/>
        <w:t>费用应当计入初始确认金额。</w:t>
      </w:r>
    </w:p>
    <w:p>
      <w:pPr>
        <w:pStyle w:val="BodyText"/>
        <w:spacing w:line="240" w:lineRule="auto" w:before="49"/>
        <w:ind w:right="1024"/>
        <w:jc w:val="left"/>
      </w:pPr>
      <w:r>
        <w:rPr>
          <w:rFonts w:ascii="宋体" w:hAnsi="宋体" w:cs="宋体" w:eastAsia="宋体" w:hint="default"/>
        </w:rPr>
        <w:t>2</w:t>
      </w:r>
      <w:r>
        <w:rPr/>
        <w:t>）后续计量</w:t>
      </w:r>
    </w:p>
    <w:p>
      <w:pPr>
        <w:spacing w:line="240" w:lineRule="auto" w:before="8"/>
        <w:rPr>
          <w:rFonts w:ascii="宋体" w:hAnsi="宋体" w:cs="宋体" w:eastAsia="宋体" w:hint="default"/>
          <w:sz w:val="14"/>
          <w:szCs w:val="14"/>
        </w:rPr>
      </w:pPr>
    </w:p>
    <w:p>
      <w:pPr>
        <w:pStyle w:val="BodyText"/>
        <w:spacing w:line="410" w:lineRule="auto"/>
        <w:ind w:right="1024" w:firstLine="422"/>
        <w:jc w:val="left"/>
      </w:pPr>
      <w:r>
        <w:rPr>
          <w:spacing w:val="-2"/>
        </w:rPr>
        <w:t>初始确认后，本公司对不同类别的金融资产，分别以摊余成本、以公允价值计量且其变动计入其他综</w:t>
      </w:r>
      <w:r>
        <w:rPr>
          <w:w w:val="100"/>
        </w:rPr>
        <w:t> </w:t>
      </w:r>
      <w:r>
        <w:rPr/>
        <w:t>合收益或以公允价值计量且其变动计入当期损益进行后续计量。</w:t>
      </w:r>
    </w:p>
    <w:p>
      <w:pPr>
        <w:pStyle w:val="BodyText"/>
        <w:spacing w:line="408" w:lineRule="auto" w:before="42"/>
        <w:ind w:right="1024" w:firstLine="422"/>
        <w:jc w:val="left"/>
      </w:pPr>
      <w:r>
        <w:rPr>
          <w:spacing w:val="-2"/>
        </w:rPr>
        <w:t>初始确认后，本公司对不同类别的金融负债，分别以摊余成本、以公允价值计量且其变动计入当期损</w:t>
      </w:r>
      <w:r>
        <w:rPr>
          <w:w w:val="100"/>
        </w:rPr>
        <w:t> </w:t>
      </w:r>
      <w:r>
        <w:rPr/>
        <w:t>益或以其他适当方法进行后续计量。</w:t>
      </w:r>
      <w:r>
        <w:rPr>
          <w:spacing w:val="-101"/>
        </w:rPr>
        <w:t> </w:t>
      </w:r>
      <w:r>
        <w:rPr>
          <w:spacing w:val="-101"/>
        </w:rPr>
      </w:r>
      <w:r>
        <w:rPr/>
        <w:t>金融资产或金融负债的摊余成本，以该金融资产或金融负债的初始确认金额经下列调整后的结果确定：</w:t>
      </w:r>
    </w:p>
    <w:p>
      <w:pPr>
        <w:spacing w:after="0" w:line="408" w:lineRule="auto"/>
        <w:jc w:val="left"/>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240" w:lineRule="auto" w:before="36"/>
        <w:ind w:right="1024"/>
        <w:jc w:val="left"/>
      </w:pPr>
      <w:r>
        <w:rPr>
          <w:rFonts w:ascii="宋体" w:hAnsi="宋体" w:cs="宋体" w:eastAsia="宋体" w:hint="default"/>
        </w:rPr>
        <w:t>1</w:t>
      </w:r>
      <w:r>
        <w:rPr/>
        <w:t>）扣除已偿还的本金。</w:t>
      </w:r>
    </w:p>
    <w:p>
      <w:pPr>
        <w:spacing w:line="240" w:lineRule="auto" w:before="8"/>
        <w:rPr>
          <w:rFonts w:ascii="宋体" w:hAnsi="宋体" w:cs="宋体" w:eastAsia="宋体" w:hint="default"/>
          <w:sz w:val="14"/>
          <w:szCs w:val="14"/>
        </w:rPr>
      </w:pPr>
    </w:p>
    <w:p>
      <w:pPr>
        <w:pStyle w:val="BodyText"/>
        <w:spacing w:line="240" w:lineRule="auto"/>
        <w:ind w:right="1024"/>
        <w:jc w:val="left"/>
      </w:pPr>
      <w:r>
        <w:rPr>
          <w:rFonts w:ascii="宋体" w:hAnsi="宋体" w:cs="宋体" w:eastAsia="宋体" w:hint="default"/>
        </w:rPr>
        <w:t>2</w:t>
      </w:r>
      <w:r>
        <w:rPr/>
        <w:t>）加上或减去采用实际利率法将该初始确认金额与到期日金额之间的差额进行摊销形成的累计摊销额。</w:t>
      </w:r>
    </w:p>
    <w:p>
      <w:pPr>
        <w:spacing w:line="240" w:lineRule="auto" w:before="13"/>
        <w:rPr>
          <w:rFonts w:ascii="宋体" w:hAnsi="宋体" w:cs="宋体" w:eastAsia="宋体" w:hint="default"/>
          <w:sz w:val="14"/>
          <w:szCs w:val="14"/>
        </w:rPr>
      </w:pPr>
    </w:p>
    <w:p>
      <w:pPr>
        <w:pStyle w:val="BodyText"/>
        <w:spacing w:line="408" w:lineRule="auto"/>
        <w:ind w:right="1024"/>
        <w:jc w:val="left"/>
      </w:pPr>
      <w:r>
        <w:rPr>
          <w:rFonts w:ascii="宋体" w:hAnsi="宋体" w:cs="宋体" w:eastAsia="宋体" w:hint="default"/>
          <w:spacing w:val="-6"/>
          <w:w w:val="100"/>
        </w:rPr>
        <w:t>3</w:t>
      </w:r>
      <w:r>
        <w:rPr>
          <w:spacing w:val="-6"/>
          <w:w w:val="100"/>
        </w:rPr>
        <w:t>）扣除累计计提的损失准备（仅适用于金融资产）。</w:t>
      </w:r>
      <w:r>
        <w:rPr>
          <w:spacing w:val="-93"/>
          <w:w w:val="100"/>
        </w:rPr>
        <w:t> </w:t>
      </w:r>
      <w:r>
        <w:rPr>
          <w:spacing w:val="-93"/>
          <w:w w:val="100"/>
        </w:rPr>
      </w:r>
      <w:r>
        <w:rPr>
          <w:spacing w:val="-2"/>
        </w:rPr>
        <w:t>本公司按照实际利率法确认利息收入。利息收入根据金融资产账面余额乘以实际利率计算确定，但下列情</w:t>
      </w:r>
      <w:r>
        <w:rPr>
          <w:spacing w:val="-33"/>
        </w:rPr>
        <w:t> </w:t>
      </w:r>
      <w:r>
        <w:rPr>
          <w:spacing w:val="-33"/>
        </w:rPr>
      </w:r>
      <w:r>
        <w:rPr/>
        <w:t>况除外：</w:t>
      </w:r>
      <w:r>
        <w:rPr>
          <w:spacing w:val="-101"/>
        </w:rPr>
        <w:t> </w:t>
      </w:r>
      <w:r>
        <w:rPr>
          <w:rFonts w:ascii="宋体" w:hAnsi="宋体" w:cs="宋体" w:eastAsia="宋体" w:hint="default"/>
        </w:rPr>
        <w:t>1</w:t>
      </w:r>
      <w:r>
        <w:rPr/>
        <w:t>）对于购入或源生的已发生信用减值的金融资产，本公司自初始确认起，按照该金融资产的摊余成本和</w:t>
      </w:r>
      <w:r>
        <w:rPr>
          <w:spacing w:val="-31"/>
        </w:rPr>
        <w:t> </w:t>
      </w:r>
      <w:r>
        <w:rPr>
          <w:spacing w:val="-31"/>
        </w:rPr>
      </w:r>
      <w:r>
        <w:rPr/>
        <w:t>经信用调整的实际利率计算确定其利息收入。</w:t>
      </w:r>
      <w:r>
        <w:rPr>
          <w:spacing w:val="-101"/>
        </w:rPr>
        <w:t> </w:t>
      </w:r>
      <w:r>
        <w:rPr>
          <w:spacing w:val="-101"/>
        </w:rPr>
      </w:r>
      <w:r>
        <w:rPr>
          <w:rFonts w:ascii="宋体" w:hAnsi="宋体" w:cs="宋体" w:eastAsia="宋体" w:hint="default"/>
        </w:rPr>
        <w:t>2</w:t>
      </w:r>
      <w:r>
        <w:rPr/>
        <w:t>）对于购入或源生的未发生信用减值、但在后续期间成为已发生信用减值的金融资产，本公司在后续期</w:t>
      </w:r>
      <w:r>
        <w:rPr>
          <w:w w:val="100"/>
        </w:rPr>
        <w:t> </w:t>
      </w:r>
      <w:r>
        <w:rPr>
          <w:spacing w:val="-2"/>
        </w:rPr>
        <w:t>间，按照该金融资产的摊余成本和实际利率计算确定其利息收入。本公司按照上述政策对金融资产的摊余</w:t>
      </w:r>
      <w:r>
        <w:rPr>
          <w:spacing w:val="-32"/>
        </w:rPr>
        <w:t> </w:t>
      </w:r>
      <w:r>
        <w:rPr>
          <w:spacing w:val="-32"/>
        </w:rPr>
      </w:r>
      <w:r>
        <w:rPr>
          <w:spacing w:val="-2"/>
        </w:rPr>
        <w:t>成本运用实际利率法计算利息收入的，若该金融工具在后续期间因其信用风险有所改善而不再存在信用减</w:t>
      </w:r>
      <w:r>
        <w:rPr>
          <w:spacing w:val="-33"/>
        </w:rPr>
        <w:t> </w:t>
      </w:r>
      <w:r>
        <w:rPr>
          <w:spacing w:val="-33"/>
        </w:rPr>
      </w:r>
      <w:r>
        <w:rPr>
          <w:spacing w:val="-7"/>
          <w:w w:val="100"/>
        </w:rPr>
        <w:t>值，并且这一改善在客观上可与应用上述政策之后发生的某一事件相联系（如债务人的信用评级被上调），</w:t>
      </w:r>
      <w:r>
        <w:rPr>
          <w:spacing w:val="-64"/>
          <w:w w:val="100"/>
        </w:rPr>
        <w:t> </w:t>
      </w:r>
      <w:r>
        <w:rPr>
          <w:spacing w:val="-64"/>
          <w:w w:val="100"/>
        </w:rPr>
      </w:r>
      <w:r>
        <w:rPr/>
        <w:t>本公司转按实际利率乘以该金融资产账面余额来计算确定利息收入。</w:t>
      </w:r>
    </w:p>
    <w:p>
      <w:pPr>
        <w:pStyle w:val="BodyText"/>
        <w:spacing w:line="240" w:lineRule="auto" w:before="48"/>
        <w:ind w:right="1024"/>
        <w:jc w:val="left"/>
      </w:pPr>
      <w:r>
        <w:rPr>
          <w:rFonts w:ascii="宋体" w:hAnsi="宋体" w:cs="宋体" w:eastAsia="宋体" w:hint="default"/>
        </w:rPr>
        <w:t>10.7</w:t>
      </w:r>
      <w:r>
        <w:rPr>
          <w:rFonts w:ascii="宋体" w:hAnsi="宋体" w:cs="宋体" w:eastAsia="宋体" w:hint="default"/>
          <w:spacing w:val="5"/>
        </w:rPr>
        <w:t> </w:t>
      </w:r>
      <w:r>
        <w:rPr/>
        <w:t>金融工具的减值</w:t>
      </w:r>
    </w:p>
    <w:p>
      <w:pPr>
        <w:spacing w:line="240" w:lineRule="auto" w:before="8"/>
        <w:rPr>
          <w:rFonts w:ascii="宋体" w:hAnsi="宋体" w:cs="宋体" w:eastAsia="宋体" w:hint="default"/>
          <w:sz w:val="14"/>
          <w:szCs w:val="14"/>
        </w:rPr>
      </w:pPr>
    </w:p>
    <w:p>
      <w:pPr>
        <w:pStyle w:val="BodyText"/>
        <w:spacing w:line="410" w:lineRule="auto"/>
        <w:ind w:right="2883"/>
        <w:jc w:val="left"/>
      </w:pPr>
      <w:r>
        <w:rPr>
          <w:rFonts w:ascii="宋体" w:hAnsi="宋体" w:cs="宋体" w:eastAsia="宋体" w:hint="default"/>
        </w:rPr>
        <w:t>1</w:t>
      </w:r>
      <w:r>
        <w:rPr/>
        <w:t>）减值项目</w:t>
      </w:r>
      <w:r>
        <w:rPr>
          <w:spacing w:val="-99"/>
        </w:rPr>
        <w:t> </w:t>
      </w:r>
      <w:r>
        <w:rPr>
          <w:spacing w:val="-2"/>
        </w:rPr>
        <w:t>本公司以预期信用损失为基础，对下列项目进行减值会计处理并确认损失准备：</w:t>
      </w:r>
    </w:p>
    <w:p>
      <w:pPr>
        <w:pStyle w:val="BodyText"/>
        <w:spacing w:line="240" w:lineRule="auto" w:before="41"/>
        <w:ind w:right="0"/>
        <w:jc w:val="left"/>
      </w:pPr>
      <w:r>
        <w:rPr/>
        <w:t>（</w:t>
      </w:r>
      <w:r>
        <w:rPr>
          <w:rFonts w:ascii="宋体" w:hAnsi="宋体" w:cs="宋体" w:eastAsia="宋体" w:hint="default"/>
        </w:rPr>
        <w:t>1</w:t>
      </w:r>
      <w:r>
        <w:rPr/>
        <w:t>）分类为以摊余成本计量的金融资产和分类为以公允价值计量且其变动计入其他综合收益的金融资产。</w:t>
      </w:r>
    </w:p>
    <w:p>
      <w:pPr>
        <w:spacing w:line="240" w:lineRule="auto" w:before="12"/>
        <w:rPr>
          <w:rFonts w:ascii="宋体" w:hAnsi="宋体" w:cs="宋体" w:eastAsia="宋体" w:hint="default"/>
          <w:sz w:val="14"/>
          <w:szCs w:val="14"/>
        </w:rPr>
      </w:pPr>
    </w:p>
    <w:p>
      <w:pPr>
        <w:pStyle w:val="BodyText"/>
        <w:spacing w:line="240" w:lineRule="auto"/>
        <w:ind w:right="1024"/>
        <w:jc w:val="left"/>
      </w:pPr>
      <w:r>
        <w:rPr/>
        <w:t>（</w:t>
      </w:r>
      <w:r>
        <w:rPr>
          <w:rFonts w:ascii="宋体" w:hAnsi="宋体" w:cs="宋体" w:eastAsia="宋体" w:hint="default"/>
        </w:rPr>
        <w:t>2</w:t>
      </w:r>
      <w:r>
        <w:rPr/>
        <w:t>）租赁应收款。</w:t>
      </w:r>
    </w:p>
    <w:p>
      <w:pPr>
        <w:spacing w:line="240" w:lineRule="auto" w:before="8"/>
        <w:rPr>
          <w:rFonts w:ascii="宋体" w:hAnsi="宋体" w:cs="宋体" w:eastAsia="宋体" w:hint="default"/>
          <w:sz w:val="14"/>
          <w:szCs w:val="14"/>
        </w:rPr>
      </w:pPr>
    </w:p>
    <w:p>
      <w:pPr>
        <w:pStyle w:val="BodyText"/>
        <w:spacing w:line="410" w:lineRule="auto"/>
        <w:ind w:left="575" w:right="1024" w:hanging="423"/>
        <w:jc w:val="left"/>
      </w:pPr>
      <w:r>
        <w:rPr/>
        <w:t>（</w:t>
      </w:r>
      <w:r>
        <w:rPr>
          <w:rFonts w:ascii="宋体" w:hAnsi="宋体" w:cs="宋体" w:eastAsia="宋体" w:hint="default"/>
        </w:rPr>
        <w:t>3</w:t>
      </w:r>
      <w:r>
        <w:rPr/>
        <w:t>）贷款承诺和财务担保合同。</w:t>
      </w:r>
      <w:r>
        <w:rPr>
          <w:spacing w:val="-103"/>
        </w:rPr>
        <w:t> </w:t>
      </w:r>
      <w:r>
        <w:rPr>
          <w:spacing w:val="-103"/>
        </w:rPr>
      </w:r>
      <w:r>
        <w:rPr>
          <w:spacing w:val="-2"/>
        </w:rPr>
        <w:t>本公司持有的其他以公允价值计量的金融资产不适用预期信用损失模型，包括以公允价值计量且其变</w:t>
      </w:r>
    </w:p>
    <w:p>
      <w:pPr>
        <w:pStyle w:val="BodyText"/>
        <w:spacing w:line="410" w:lineRule="auto" w:before="41"/>
        <w:ind w:right="1024"/>
        <w:jc w:val="left"/>
      </w:pPr>
      <w:r>
        <w:rPr>
          <w:spacing w:val="-2"/>
        </w:rPr>
        <w:t>动计入当期损益的金融资产，指定为以公允价值计量且其变动计入其他综合收益的金融资产（非交易性权</w:t>
      </w:r>
      <w:r>
        <w:rPr>
          <w:spacing w:val="-33"/>
        </w:rPr>
        <w:t> </w:t>
      </w:r>
      <w:r>
        <w:rPr>
          <w:spacing w:val="-33"/>
        </w:rPr>
      </w:r>
      <w:r>
        <w:rPr>
          <w:spacing w:val="-8"/>
          <w:w w:val="100"/>
        </w:rPr>
        <w:t>益工具投资），以及衍生金融资产。</w:t>
      </w:r>
    </w:p>
    <w:p>
      <w:pPr>
        <w:pStyle w:val="BodyText"/>
        <w:spacing w:line="410" w:lineRule="auto" w:before="41"/>
        <w:ind w:left="575" w:right="1024" w:hanging="423"/>
        <w:jc w:val="left"/>
      </w:pPr>
      <w:r>
        <w:rPr>
          <w:rFonts w:ascii="宋体" w:hAnsi="宋体" w:cs="宋体" w:eastAsia="宋体" w:hint="default"/>
        </w:rPr>
        <w:t>2</w:t>
      </w:r>
      <w:r>
        <w:rPr/>
        <w:t>）减值准备的确认和计量</w:t>
      </w:r>
      <w:r>
        <w:rPr>
          <w:spacing w:val="-102"/>
        </w:rPr>
        <w:t> </w:t>
      </w:r>
      <w:r>
        <w:rPr>
          <w:spacing w:val="-102"/>
        </w:rPr>
      </w:r>
      <w:r>
        <w:rPr>
          <w:spacing w:val="2"/>
        </w:rPr>
        <w:t>除了对于购买或源生的已发生信用减值的金融资产以及始终按照相当于整个存续期内预期信用损失</w:t>
      </w:r>
    </w:p>
    <w:p>
      <w:pPr>
        <w:pStyle w:val="BodyText"/>
        <w:spacing w:line="410" w:lineRule="auto" w:before="41"/>
        <w:ind w:right="1024"/>
        <w:jc w:val="left"/>
      </w:pPr>
      <w:r>
        <w:rPr>
          <w:spacing w:val="-2"/>
        </w:rPr>
        <w:t>的金额计量损失准备的金融资产之外，本公司在每个资产负债表日评估相关金融工具的信用风险自初始确</w:t>
      </w:r>
      <w:r>
        <w:rPr>
          <w:spacing w:val="-33"/>
        </w:rPr>
        <w:t> </w:t>
      </w:r>
      <w:r>
        <w:rPr>
          <w:spacing w:val="-33"/>
        </w:rPr>
      </w:r>
      <w:r>
        <w:rPr/>
        <w:t>认后是否已显著增加，并按照下列情形分别计量其损失准备、确认预期信用损失及其变动：</w:t>
      </w:r>
    </w:p>
    <w:p>
      <w:pPr>
        <w:pStyle w:val="BodyText"/>
        <w:spacing w:line="408" w:lineRule="auto" w:before="41"/>
        <w:ind w:right="1125" w:firstLine="422"/>
        <w:jc w:val="both"/>
      </w:pPr>
      <w:r>
        <w:rPr>
          <w:spacing w:val="-2"/>
        </w:rPr>
        <w:t>如果该金融工具的信用风险自初始确认后并未显著增加，处于第一阶段，本公司按照相当于该金融工</w:t>
      </w:r>
      <w:r>
        <w:rPr>
          <w:w w:val="100"/>
        </w:rPr>
        <w:t> </w:t>
      </w:r>
      <w:r>
        <w:rPr>
          <w:spacing w:val="-2"/>
        </w:rPr>
        <w:t>具未来</w:t>
      </w:r>
      <w:r>
        <w:rPr>
          <w:rFonts w:ascii="宋体" w:hAnsi="宋体" w:cs="宋体" w:eastAsia="宋体" w:hint="default"/>
          <w:spacing w:val="-2"/>
        </w:rPr>
        <w:t>12</w:t>
      </w:r>
      <w:r>
        <w:rPr>
          <w:spacing w:val="-2"/>
        </w:rPr>
        <w:t>个月内预期信用损失的金额计量其损失准备，无论本公司评估信用损失的基础是单项金融工具还</w:t>
      </w:r>
      <w:r>
        <w:rPr>
          <w:spacing w:val="-31"/>
        </w:rPr>
        <w:t> </w:t>
      </w:r>
      <w:r>
        <w:rPr>
          <w:spacing w:val="-31"/>
        </w:rPr>
      </w:r>
      <w:r>
        <w:rPr/>
        <w:t>是金融工具组合，由此形成的损失准备的增加或转回金额，作为减值损失或利得计入当期损益。</w:t>
      </w:r>
    </w:p>
    <w:p>
      <w:pPr>
        <w:pStyle w:val="BodyText"/>
        <w:spacing w:line="405" w:lineRule="auto" w:before="48"/>
        <w:ind w:right="1125" w:firstLine="422"/>
        <w:jc w:val="both"/>
      </w:pPr>
      <w:r>
        <w:rPr>
          <w:spacing w:val="-2"/>
        </w:rPr>
        <w:t>如果该金融工具的信用风险自初始确认后已显著增加，处于第二阶段，本公司按照相当于该金融工具</w:t>
      </w:r>
      <w:r>
        <w:rPr>
          <w:w w:val="100"/>
        </w:rPr>
        <w:t> </w:t>
      </w:r>
      <w:r>
        <w:rPr>
          <w:spacing w:val="-2"/>
        </w:rPr>
        <w:t>整个存续期内预期信用损失的金额计量其损失准备。无论本公司评估信用损失的基础是单项金融工具还是</w:t>
      </w:r>
    </w:p>
    <w:p>
      <w:pPr>
        <w:spacing w:after="0" w:line="405" w:lineRule="auto"/>
        <w:jc w:val="both"/>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5" w:lineRule="auto" w:before="36"/>
        <w:ind w:left="575" w:right="1024" w:hanging="423"/>
        <w:jc w:val="left"/>
      </w:pPr>
      <w:r>
        <w:rPr/>
        <w:t>金融工具组合，由此形成的损失准备的增加或转回金额，作为减值损失或利得计入当期损益。</w:t>
      </w:r>
      <w:r>
        <w:rPr>
          <w:w w:val="100"/>
        </w:rPr>
        <w:t> </w:t>
      </w:r>
      <w:r>
        <w:rPr>
          <w:spacing w:val="-2"/>
        </w:rPr>
        <w:t>对于已发生信用减值的金融资产，处于第三阶段，本公司在资产负债表日仅将自初始确认后整个存续</w:t>
      </w:r>
    </w:p>
    <w:p>
      <w:pPr>
        <w:pStyle w:val="BodyText"/>
        <w:spacing w:line="408" w:lineRule="auto" w:before="51"/>
        <w:ind w:right="1125"/>
        <w:jc w:val="both"/>
      </w:pPr>
      <w:r>
        <w:rPr>
          <w:spacing w:val="-2"/>
        </w:rPr>
        <w:t>期内预期信用损失的累计变动确认为损失准备。在每个资产负债表日，本公司将整个存续期内预期信用损</w:t>
      </w:r>
      <w:r>
        <w:rPr>
          <w:spacing w:val="-33"/>
        </w:rPr>
        <w:t> </w:t>
      </w:r>
      <w:r>
        <w:rPr>
          <w:spacing w:val="-33"/>
        </w:rPr>
      </w:r>
      <w:r>
        <w:rPr>
          <w:spacing w:val="-2"/>
        </w:rPr>
        <w:t>失的变动金额作为减值损失或利得计入当期损益。即使该资产负债表日确定的整个存续期内预期信用损失</w:t>
      </w:r>
      <w:r>
        <w:rPr>
          <w:spacing w:val="-33"/>
        </w:rPr>
        <w:t> </w:t>
      </w:r>
      <w:r>
        <w:rPr>
          <w:spacing w:val="-33"/>
        </w:rPr>
      </w:r>
      <w:r>
        <w:rPr>
          <w:spacing w:val="-2"/>
        </w:rPr>
        <w:t>小于初始确认时估计现金流量所反映的预期信用损失的金额，本公司也将预期信用损失的有利变动确认为</w:t>
      </w:r>
      <w:r>
        <w:rPr>
          <w:spacing w:val="-33"/>
        </w:rPr>
        <w:t> </w:t>
      </w:r>
      <w:r>
        <w:rPr>
          <w:spacing w:val="-33"/>
        </w:rPr>
      </w:r>
      <w:r>
        <w:rPr/>
        <w:t>减值利得。</w:t>
      </w:r>
    </w:p>
    <w:p>
      <w:pPr>
        <w:pStyle w:val="BodyText"/>
        <w:spacing w:line="408" w:lineRule="auto" w:before="49"/>
        <w:ind w:right="1125" w:firstLine="422"/>
        <w:jc w:val="both"/>
      </w:pPr>
      <w:r>
        <w:rPr>
          <w:spacing w:val="-2"/>
          <w:w w:val="100"/>
        </w:rPr>
        <w:t>对于分类为以公允价值计量且其变动计入其他综合收益的金融资产（债务工具投资），本公司在其他</w:t>
      </w:r>
      <w:r>
        <w:rPr>
          <w:w w:val="100"/>
        </w:rPr>
        <w:t> </w:t>
      </w:r>
      <w:r>
        <w:rPr>
          <w:spacing w:val="-2"/>
        </w:rPr>
        <w:t>综合收益中确认其损失准备，并将减值损失或利得计入当期损益，且不应减少该金融资产在资产负债表中</w:t>
      </w:r>
      <w:r>
        <w:rPr>
          <w:spacing w:val="-33"/>
        </w:rPr>
        <w:t> </w:t>
      </w:r>
      <w:r>
        <w:rPr>
          <w:spacing w:val="-33"/>
        </w:rPr>
      </w:r>
      <w:r>
        <w:rPr/>
        <w:t>列示的账面价值。</w:t>
      </w:r>
    </w:p>
    <w:p>
      <w:pPr>
        <w:pStyle w:val="BodyText"/>
        <w:spacing w:line="410" w:lineRule="auto" w:before="44"/>
        <w:ind w:right="1024" w:firstLine="422"/>
        <w:jc w:val="left"/>
      </w:pPr>
      <w:r>
        <w:rPr/>
        <w:t>本公司在前一会计期间已经按照相当于金融工具整个存续期内预期信用损失的金额计量了损失准备，</w:t>
      </w:r>
      <w:r>
        <w:rPr>
          <w:w w:val="100"/>
        </w:rPr>
        <w:t> </w:t>
      </w:r>
      <w:r>
        <w:rPr>
          <w:spacing w:val="-2"/>
        </w:rPr>
        <w:t>但在当期资产负债表日，该金融工具已不再属于自初始确认后信用风险显著增加的情形的，本公司在当期</w:t>
      </w:r>
      <w:r>
        <w:rPr>
          <w:spacing w:val="-33"/>
        </w:rPr>
        <w:t> </w:t>
      </w:r>
      <w:r>
        <w:rPr>
          <w:spacing w:val="-33"/>
        </w:rPr>
      </w:r>
      <w:r>
        <w:rPr>
          <w:spacing w:val="-2"/>
        </w:rPr>
        <w:t>资产负债表日按照相当于未来</w:t>
      </w:r>
      <w:r>
        <w:rPr>
          <w:rFonts w:ascii="宋体" w:hAnsi="宋体" w:cs="宋体" w:eastAsia="宋体" w:hint="default"/>
          <w:spacing w:val="-2"/>
        </w:rPr>
        <w:t>12</w:t>
      </w:r>
      <w:r>
        <w:rPr>
          <w:spacing w:val="-2"/>
        </w:rPr>
        <w:t>个月内预期信用损失的金额计量该金融工具的损失准备，由此形成的损失</w:t>
      </w:r>
      <w:r>
        <w:rPr>
          <w:spacing w:val="-30"/>
        </w:rPr>
        <w:t> </w:t>
      </w:r>
      <w:r>
        <w:rPr>
          <w:spacing w:val="-30"/>
        </w:rPr>
      </w:r>
      <w:r>
        <w:rPr/>
        <w:t>准备的转回金额应当作为减值利得计入当期损益。</w:t>
      </w:r>
    </w:p>
    <w:p>
      <w:pPr>
        <w:pStyle w:val="BodyText"/>
        <w:spacing w:line="410" w:lineRule="auto" w:before="42"/>
        <w:ind w:right="1024" w:firstLine="422"/>
        <w:jc w:val="left"/>
      </w:pPr>
      <w:r>
        <w:rPr>
          <w:spacing w:val="-2"/>
        </w:rPr>
        <w:t>本公司在单项工具层面无法以合理成本获得关于信用风险显著增加的充分证据时，本公司在组合基础</w:t>
      </w:r>
      <w:r>
        <w:rPr>
          <w:w w:val="100"/>
        </w:rPr>
        <w:t> </w:t>
      </w:r>
      <w:r>
        <w:rPr/>
        <w:t>上评估信用风险是否显著增加。</w:t>
      </w:r>
    </w:p>
    <w:p>
      <w:pPr>
        <w:pStyle w:val="BodyText"/>
        <w:spacing w:line="240" w:lineRule="auto" w:before="41"/>
        <w:ind w:left="575" w:right="1024"/>
        <w:jc w:val="left"/>
      </w:pPr>
      <w:r>
        <w:rPr/>
        <w:t>对于适用本项政策有关金融工具减值规定的各类金融工具，本公司按照下列方法确定其信用损失：</w:t>
      </w:r>
    </w:p>
    <w:p>
      <w:pPr>
        <w:spacing w:line="240" w:lineRule="auto" w:before="12"/>
        <w:rPr>
          <w:rFonts w:ascii="宋体" w:hAnsi="宋体" w:cs="宋体" w:eastAsia="宋体" w:hint="default"/>
          <w:sz w:val="14"/>
          <w:szCs w:val="14"/>
        </w:rPr>
      </w:pPr>
    </w:p>
    <w:p>
      <w:pPr>
        <w:pStyle w:val="BodyText"/>
        <w:spacing w:line="240" w:lineRule="auto"/>
        <w:ind w:right="0"/>
        <w:jc w:val="both"/>
      </w:pPr>
      <w:r>
        <w:rPr/>
        <w:t>（</w:t>
      </w:r>
      <w:r>
        <w:rPr>
          <w:rFonts w:ascii="宋体" w:hAnsi="宋体" w:cs="宋体" w:eastAsia="宋体" w:hint="default"/>
        </w:rPr>
        <w:t>1</w:t>
      </w:r>
      <w:r>
        <w:rPr/>
        <w:t>）对于金融资产，信用损失为本公司收取的合同现金流量与预期收取的现金流量之间差额的现值。</w:t>
      </w:r>
    </w:p>
    <w:p>
      <w:pPr>
        <w:spacing w:line="240" w:lineRule="auto" w:before="8"/>
        <w:rPr>
          <w:rFonts w:ascii="宋体" w:hAnsi="宋体" w:cs="宋体" w:eastAsia="宋体" w:hint="default"/>
          <w:sz w:val="14"/>
          <w:szCs w:val="14"/>
        </w:rPr>
      </w:pPr>
    </w:p>
    <w:p>
      <w:pPr>
        <w:pStyle w:val="BodyText"/>
        <w:spacing w:line="410" w:lineRule="auto"/>
        <w:ind w:right="1212"/>
        <w:jc w:val="both"/>
      </w:pPr>
      <w:r>
        <w:rPr>
          <w:spacing w:val="-2"/>
        </w:rPr>
        <w:t>（</w:t>
      </w:r>
      <w:r>
        <w:rPr>
          <w:rFonts w:ascii="宋体" w:hAnsi="宋体" w:cs="宋体" w:eastAsia="宋体" w:hint="default"/>
          <w:spacing w:val="-2"/>
        </w:rPr>
        <w:t>2</w:t>
      </w:r>
      <w:r>
        <w:rPr>
          <w:spacing w:val="-2"/>
        </w:rPr>
        <w:t>）对于租赁应收款项，信用损失为本公司应收取的合同现金流量与预期收取的现金流量之间差额的现</w:t>
      </w:r>
      <w:r>
        <w:rPr>
          <w:spacing w:val="-14"/>
        </w:rPr>
        <w:t> </w:t>
      </w:r>
      <w:r>
        <w:rPr>
          <w:spacing w:val="-14"/>
        </w:rPr>
      </w:r>
      <w:r>
        <w:rPr/>
        <w:t>值。</w:t>
      </w:r>
    </w:p>
    <w:p>
      <w:pPr>
        <w:pStyle w:val="BodyText"/>
        <w:spacing w:line="410" w:lineRule="auto" w:before="41"/>
        <w:ind w:right="1212"/>
        <w:jc w:val="both"/>
      </w:pPr>
      <w:r>
        <w:rPr>
          <w:spacing w:val="-2"/>
        </w:rPr>
        <w:t>（</w:t>
      </w:r>
      <w:r>
        <w:rPr>
          <w:rFonts w:ascii="宋体" w:hAnsi="宋体" w:cs="宋体" w:eastAsia="宋体" w:hint="default"/>
          <w:spacing w:val="-2"/>
        </w:rPr>
        <w:t>3</w:t>
      </w:r>
      <w:r>
        <w:rPr>
          <w:spacing w:val="-2"/>
        </w:rPr>
        <w:t>）对于未提用的贷款承诺，信用损失应为在贷款承诺持有人提用相应贷款的情况下，本公司应收取的</w:t>
      </w:r>
      <w:r>
        <w:rPr>
          <w:spacing w:val="-14"/>
        </w:rPr>
        <w:t> </w:t>
      </w:r>
      <w:r>
        <w:rPr>
          <w:spacing w:val="-14"/>
        </w:rPr>
      </w:r>
      <w:r>
        <w:rPr/>
        <w:t>合同现金流量与预期收取的现金流量之间差额的现值。</w:t>
      </w:r>
    </w:p>
    <w:p>
      <w:pPr>
        <w:pStyle w:val="BodyText"/>
        <w:spacing w:line="410" w:lineRule="auto" w:before="41"/>
        <w:ind w:right="1212"/>
        <w:jc w:val="both"/>
      </w:pPr>
      <w:r>
        <w:rPr>
          <w:spacing w:val="-2"/>
        </w:rPr>
        <w:t>（</w:t>
      </w:r>
      <w:r>
        <w:rPr>
          <w:rFonts w:ascii="宋体" w:hAnsi="宋体" w:cs="宋体" w:eastAsia="宋体" w:hint="default"/>
          <w:spacing w:val="-2"/>
        </w:rPr>
        <w:t>4</w:t>
      </w:r>
      <w:r>
        <w:rPr>
          <w:spacing w:val="-2"/>
        </w:rPr>
        <w:t>）对于财务担保合同，信用损失应为本公司就该合同持有人发生的信用损失向其做出赔付的预计付款</w:t>
      </w:r>
      <w:r>
        <w:rPr>
          <w:spacing w:val="-14"/>
        </w:rPr>
        <w:t> </w:t>
      </w:r>
      <w:r>
        <w:rPr>
          <w:spacing w:val="-14"/>
        </w:rPr>
      </w:r>
      <w:r>
        <w:rPr/>
        <w:t>额，减去本公司预期向该合同持有人、债务人或任何其他方收取的金额之间差额的现值。</w:t>
      </w:r>
    </w:p>
    <w:p>
      <w:pPr>
        <w:pStyle w:val="BodyText"/>
        <w:spacing w:line="410" w:lineRule="auto" w:before="41"/>
        <w:ind w:right="1212"/>
        <w:jc w:val="both"/>
      </w:pPr>
      <w:r>
        <w:rPr>
          <w:spacing w:val="-2"/>
        </w:rPr>
        <w:t>（</w:t>
      </w:r>
      <w:r>
        <w:rPr>
          <w:rFonts w:ascii="宋体" w:hAnsi="宋体" w:cs="宋体" w:eastAsia="宋体" w:hint="default"/>
          <w:spacing w:val="-2"/>
        </w:rPr>
        <w:t>5</w:t>
      </w:r>
      <w:r>
        <w:rPr>
          <w:spacing w:val="-2"/>
        </w:rPr>
        <w:t>）对于资产负债表日已发生信用减值但并非购买或源生已发生信用减值的金融资产，信用损失为该金</w:t>
      </w:r>
      <w:r>
        <w:rPr>
          <w:spacing w:val="-14"/>
        </w:rPr>
        <w:t> </w:t>
      </w:r>
      <w:r>
        <w:rPr>
          <w:spacing w:val="-14"/>
        </w:rPr>
      </w:r>
      <w:r>
        <w:rPr/>
        <w:t>融资产账面余额与按原实际利率折现的估计未来现金流量的现值之间的差额。</w:t>
      </w:r>
    </w:p>
    <w:p>
      <w:pPr>
        <w:pStyle w:val="BodyText"/>
        <w:spacing w:line="410" w:lineRule="auto" w:before="41"/>
        <w:ind w:left="575" w:right="1024" w:hanging="423"/>
        <w:jc w:val="left"/>
      </w:pPr>
      <w:r>
        <w:rPr>
          <w:rFonts w:ascii="宋体" w:hAnsi="宋体" w:cs="宋体" w:eastAsia="宋体" w:hint="default"/>
        </w:rPr>
        <w:t>3</w:t>
      </w:r>
      <w:r>
        <w:rPr/>
        <w:t>）信用风险显著增加</w:t>
      </w:r>
      <w:r>
        <w:rPr>
          <w:spacing w:val="-99"/>
        </w:rPr>
        <w:t> </w:t>
      </w:r>
      <w:r>
        <w:rPr>
          <w:spacing w:val="-99"/>
        </w:rPr>
      </w:r>
      <w:r>
        <w:rPr>
          <w:spacing w:val="2"/>
        </w:rPr>
        <w:t>本公司通过比较金融工具在初始确认时所确定的预计存续期内的违约概率和该工具在资产负债表日</w:t>
      </w:r>
    </w:p>
    <w:p>
      <w:pPr>
        <w:pStyle w:val="BodyText"/>
        <w:spacing w:line="408" w:lineRule="auto" w:before="42"/>
        <w:ind w:right="1122"/>
        <w:jc w:val="both"/>
      </w:pPr>
      <w:r>
        <w:rPr>
          <w:spacing w:val="-2"/>
        </w:rPr>
        <w:t>所确定的预计存续期内的违约概率，来判定金融工具信用风险是否显著增加。除特殊情形外，本公司采用</w:t>
      </w:r>
      <w:r>
        <w:rPr>
          <w:spacing w:val="-30"/>
        </w:rPr>
        <w:t> </w:t>
      </w:r>
      <w:r>
        <w:rPr>
          <w:spacing w:val="-30"/>
        </w:rPr>
      </w:r>
      <w:r>
        <w:rPr>
          <w:spacing w:val="-2"/>
        </w:rPr>
        <w:t>未来</w:t>
      </w:r>
      <w:r>
        <w:rPr>
          <w:rFonts w:ascii="宋体" w:hAnsi="宋体" w:cs="宋体" w:eastAsia="宋体" w:hint="default"/>
          <w:spacing w:val="-2"/>
        </w:rPr>
        <w:t>12</w:t>
      </w:r>
      <w:r>
        <w:rPr>
          <w:spacing w:val="-2"/>
        </w:rPr>
        <w:t>个月内发生的违约风险的变化作为整个存续期内发生违约风险变化的合理估计，以确定自初始确认</w:t>
      </w:r>
      <w:r>
        <w:rPr>
          <w:spacing w:val="-31"/>
        </w:rPr>
        <w:t> </w:t>
      </w:r>
      <w:r>
        <w:rPr>
          <w:spacing w:val="-31"/>
        </w:rPr>
      </w:r>
      <w:r>
        <w:rPr/>
        <w:t>后信用风险是否已显著增加。</w:t>
      </w:r>
    </w:p>
    <w:p>
      <w:pPr>
        <w:spacing w:after="0" w:line="408" w:lineRule="auto"/>
        <w:jc w:val="both"/>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1124" w:firstLine="422"/>
        <w:jc w:val="both"/>
      </w:pPr>
      <w:r>
        <w:rPr>
          <w:spacing w:val="-2"/>
        </w:rPr>
        <w:t>本公司确定金融工具在资产负债表日只具有较低的信用风险的，可以假设该金融工具的信用风险自初</w:t>
      </w:r>
      <w:r>
        <w:rPr>
          <w:w w:val="100"/>
        </w:rPr>
        <w:t> </w:t>
      </w:r>
      <w:r>
        <w:rPr>
          <w:spacing w:val="-2"/>
        </w:rPr>
        <w:t>始确认后并未显著增加。通常逾期超过</w:t>
      </w:r>
      <w:r>
        <w:rPr>
          <w:rFonts w:ascii="宋体" w:hAnsi="宋体" w:cs="宋体" w:eastAsia="宋体" w:hint="default"/>
          <w:spacing w:val="-2"/>
        </w:rPr>
        <w:t>30</w:t>
      </w:r>
      <w:r>
        <w:rPr>
          <w:spacing w:val="-2"/>
        </w:rPr>
        <w:t>日，本公司即认为该金融工具的信用风险已显著增加，除非有确</w:t>
      </w:r>
      <w:r>
        <w:rPr>
          <w:spacing w:val="-30"/>
        </w:rPr>
        <w:t> </w:t>
      </w:r>
      <w:r>
        <w:rPr>
          <w:spacing w:val="-30"/>
        </w:rPr>
      </w:r>
      <w:r>
        <w:rPr/>
        <w:t>凿证据证明该金融工具的信用风险自初始确认后并未显著增加。</w:t>
      </w:r>
    </w:p>
    <w:p>
      <w:pPr>
        <w:pStyle w:val="BodyText"/>
        <w:spacing w:line="410" w:lineRule="auto" w:before="43"/>
        <w:ind w:left="575" w:right="1024" w:hanging="423"/>
        <w:jc w:val="left"/>
      </w:pPr>
      <w:r>
        <w:rPr>
          <w:rFonts w:ascii="宋体" w:hAnsi="宋体" w:cs="宋体" w:eastAsia="宋体" w:hint="default"/>
        </w:rPr>
        <w:t>4</w:t>
      </w:r>
      <w:r>
        <w:rPr/>
        <w:t>）应收票据及应收账款减值</w:t>
      </w:r>
      <w:r>
        <w:rPr>
          <w:spacing w:val="-100"/>
        </w:rPr>
        <w:t> </w:t>
      </w:r>
      <w:r>
        <w:rPr>
          <w:spacing w:val="-100"/>
        </w:rPr>
      </w:r>
      <w:r>
        <w:rPr>
          <w:spacing w:val="-2"/>
        </w:rPr>
        <w:t>对于应收票据及应收账款，无论是否存在重大融资成分，本公司均按照整个存续期的预期信用损失计</w:t>
      </w:r>
    </w:p>
    <w:p>
      <w:pPr>
        <w:pStyle w:val="BodyText"/>
        <w:spacing w:line="240" w:lineRule="auto" w:before="41"/>
        <w:ind w:right="1024"/>
        <w:jc w:val="left"/>
      </w:pPr>
      <w:r>
        <w:rPr/>
        <w:t>量损失准备。</w:t>
      </w:r>
    </w:p>
    <w:p>
      <w:pPr>
        <w:spacing w:line="240" w:lineRule="auto" w:before="13"/>
        <w:rPr>
          <w:rFonts w:ascii="宋体" w:hAnsi="宋体" w:cs="宋体" w:eastAsia="宋体" w:hint="default"/>
          <w:sz w:val="14"/>
          <w:szCs w:val="14"/>
        </w:rPr>
      </w:pPr>
    </w:p>
    <w:p>
      <w:pPr>
        <w:pStyle w:val="BodyText"/>
        <w:spacing w:line="408" w:lineRule="auto"/>
        <w:ind w:right="0" w:firstLine="422"/>
        <w:jc w:val="left"/>
      </w:pPr>
      <w:r>
        <w:rPr/>
        <w:pict>
          <v:shape style="position:absolute;margin-left:55.703999pt;margin-top:113.573647pt;width:455.95pt;height:105.1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27"/>
                    <w:gridCol w:w="5248"/>
                  </w:tblGrid>
                  <w:tr>
                    <w:trPr>
                      <w:trHeight w:val="355" w:hRule="exact"/>
                    </w:trPr>
                    <w:tc>
                      <w:tcPr>
                        <w:tcW w:w="9075" w:type="dxa"/>
                        <w:gridSpan w:val="2"/>
                        <w:tcBorders>
                          <w:top w:val="single" w:sz="12" w:space="0" w:color="000000"/>
                          <w:left w:val="single" w:sz="12" w:space="0" w:color="000000"/>
                          <w:bottom w:val="single" w:sz="4" w:space="0" w:color="000000"/>
                          <w:right w:val="single" w:sz="12" w:space="0" w:color="000000"/>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应收票据及应收账款组合：</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确定组合依据</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应收票据组合</w:t>
                        </w:r>
                        <w:r>
                          <w:rPr>
                            <w:rFonts w:ascii="宋体" w:hAnsi="宋体" w:cs="宋体" w:eastAsia="宋体" w:hint="default"/>
                            <w:sz w:val="18"/>
                            <w:szCs w:val="18"/>
                          </w:rPr>
                          <w:t>1</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346"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应收票据组合</w:t>
                        </w:r>
                        <w:r>
                          <w:rPr>
                            <w:rFonts w:ascii="宋体" w:hAnsi="宋体" w:cs="宋体" w:eastAsia="宋体" w:hint="default"/>
                            <w:sz w:val="18"/>
                            <w:szCs w:val="18"/>
                          </w:rPr>
                          <w:t>2</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left="13" w:right="0"/>
                          <w:jc w:val="center"/>
                          <w:rPr>
                            <w:rFonts w:ascii="宋体" w:hAnsi="宋体" w:cs="宋体" w:eastAsia="宋体" w:hint="default"/>
                            <w:sz w:val="18"/>
                            <w:szCs w:val="18"/>
                          </w:rPr>
                        </w:pPr>
                        <w:r>
                          <w:rPr>
                            <w:rFonts w:ascii="宋体" w:hAnsi="宋体" w:cs="宋体" w:eastAsia="宋体" w:hint="default"/>
                            <w:spacing w:val="-3"/>
                            <w:sz w:val="18"/>
                            <w:szCs w:val="18"/>
                          </w:rPr>
                          <w:t>评估为正常的、低风险的商业承兑汇票</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应收账款组合</w:t>
                        </w:r>
                        <w:r>
                          <w:rPr>
                            <w:rFonts w:ascii="宋体" w:hAnsi="宋体" w:cs="宋体" w:eastAsia="宋体" w:hint="default"/>
                            <w:sz w:val="18"/>
                            <w:szCs w:val="18"/>
                          </w:rPr>
                          <w:t>1</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账龄组合</w:t>
                        </w:r>
                      </w:p>
                    </w:tc>
                  </w:tr>
                  <w:tr>
                    <w:trPr>
                      <w:trHeight w:val="350" w:hRule="exact"/>
                    </w:trPr>
                    <w:tc>
                      <w:tcPr>
                        <w:tcW w:w="382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应收账款组合</w:t>
                        </w:r>
                        <w:r>
                          <w:rPr>
                            <w:rFonts w:ascii="宋体" w:hAnsi="宋体" w:cs="宋体" w:eastAsia="宋体" w:hint="default"/>
                            <w:sz w:val="18"/>
                            <w:szCs w:val="18"/>
                          </w:rPr>
                          <w:t>2</w:t>
                        </w:r>
                      </w:p>
                    </w:tc>
                    <w:tc>
                      <w:tcPr>
                        <w:tcW w:w="524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pacing w:val="-3"/>
                            <w:sz w:val="18"/>
                            <w:szCs w:val="18"/>
                          </w:rPr>
                          <w:t>应收关联方款项</w:t>
                        </w:r>
                      </w:p>
                    </w:tc>
                  </w:tr>
                </w:tbl>
                <w:p>
                  <w:pPr/>
                </w:p>
              </w:txbxContent>
            </v:textbox>
            <w10:wrap type="none"/>
          </v:shape>
        </w:pict>
      </w:r>
      <w:r>
        <w:rPr/>
        <w:t>当单项应收票据及应收账款无法以合理成本评估预期信用损失的信息时，本公司依据信用风险特征将</w:t>
      </w:r>
      <w:r>
        <w:rPr>
          <w:w w:val="100"/>
        </w:rPr>
        <w:t> </w:t>
      </w:r>
      <w:r>
        <w:rPr/>
        <w:t>应收票据及应收账款划分为若干组合，在组合基础上计算预期信用损失。如果有客观证据表明某项应收票</w:t>
      </w:r>
      <w:r>
        <w:rPr>
          <w:w w:val="100"/>
        </w:rPr>
        <w:t> </w:t>
      </w:r>
      <w:r>
        <w:rPr>
          <w:spacing w:val="-2"/>
        </w:rPr>
        <w:t>据及应收账款已经发生信用减值，则本公司对该应收票据及应收账款单项计提坏准备并确认预期信用损失。</w:t>
      </w:r>
      <w:r>
        <w:rPr>
          <w:spacing w:val="-35"/>
        </w:rPr>
        <w:t> </w:t>
      </w:r>
      <w:r>
        <w:rPr>
          <w:spacing w:val="-35"/>
        </w:rPr>
      </w:r>
      <w:r>
        <w:rPr/>
        <w:t>对于划分为组合的应收票据及应收账款，本公司参考历史信用损失经验，结合当前状况以及对未来经济状</w:t>
      </w:r>
      <w:r>
        <w:rPr>
          <w:w w:val="100"/>
        </w:rPr>
        <w:t> </w:t>
      </w:r>
      <w:r>
        <w:rPr/>
        <w:t>况的预测，通过违约风险敞口和整个存续期预期信用损失率，计算预期信用损失。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tbl>
      <w:tblPr>
        <w:tblW w:w="0" w:type="auto"/>
        <w:jc w:val="left"/>
        <w:tblInd w:w="134" w:type="dxa"/>
        <w:tblLayout w:type="fixed"/>
        <w:tblCellMar>
          <w:top w:w="0" w:type="dxa"/>
          <w:left w:w="0" w:type="dxa"/>
          <w:bottom w:w="0" w:type="dxa"/>
          <w:right w:w="0" w:type="dxa"/>
        </w:tblCellMar>
        <w:tblLook w:val="01E0"/>
      </w:tblPr>
      <w:tblGrid>
        <w:gridCol w:w="3827"/>
        <w:gridCol w:w="5248"/>
      </w:tblGrid>
      <w:tr>
        <w:trPr>
          <w:trHeight w:val="356" w:hRule="exact"/>
        </w:trPr>
        <w:tc>
          <w:tcPr>
            <w:tcW w:w="9075" w:type="dxa"/>
            <w:gridSpan w:val="2"/>
            <w:tcBorders>
              <w:top w:val="single" w:sz="12" w:space="0" w:color="000000"/>
              <w:left w:val="single" w:sz="12" w:space="0" w:color="000000"/>
              <w:bottom w:val="single" w:sz="4" w:space="0" w:color="000000"/>
              <w:right w:val="single" w:sz="12" w:space="0" w:color="000000"/>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账龄组合</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预期信用损失率（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w w:val="101"/>
                <w:sz w:val="18"/>
              </w:rPr>
              <w:t>3</w:t>
            </w:r>
            <w:r>
              <w:rPr>
                <w:rFonts w:ascii="宋体"/>
                <w:sz w:val="18"/>
              </w:rPr>
            </w:r>
          </w:p>
        </w:tc>
      </w:tr>
      <w:tr>
        <w:trPr>
          <w:trHeight w:val="346"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至</w:t>
            </w:r>
            <w:r>
              <w:rPr>
                <w:rFonts w:ascii="宋体" w:hAnsi="宋体" w:cs="宋体" w:eastAsia="宋体" w:hint="default"/>
                <w:sz w:val="18"/>
                <w:szCs w:val="18"/>
              </w:rPr>
              <w:t>2</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right="-10"/>
              <w:jc w:val="right"/>
              <w:rPr>
                <w:rFonts w:ascii="宋体" w:hAnsi="宋体" w:cs="宋体" w:eastAsia="宋体" w:hint="default"/>
                <w:sz w:val="18"/>
                <w:szCs w:val="18"/>
              </w:rPr>
            </w:pPr>
            <w:r>
              <w:rPr>
                <w:rFonts w:ascii="宋体"/>
                <w:sz w:val="18"/>
              </w:rPr>
              <w:t>10</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至</w:t>
            </w:r>
            <w:r>
              <w:rPr>
                <w:rFonts w:ascii="宋体" w:hAnsi="宋体" w:cs="宋体" w:eastAsia="宋体" w:hint="default"/>
                <w:sz w:val="18"/>
                <w:szCs w:val="18"/>
              </w:rPr>
              <w:t>3</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right="-10"/>
              <w:jc w:val="right"/>
              <w:rPr>
                <w:rFonts w:ascii="宋体" w:hAnsi="宋体" w:cs="宋体" w:eastAsia="宋体" w:hint="default"/>
                <w:sz w:val="18"/>
                <w:szCs w:val="18"/>
              </w:rPr>
            </w:pPr>
            <w:r>
              <w:rPr>
                <w:rFonts w:ascii="宋体"/>
                <w:sz w:val="18"/>
              </w:rPr>
              <w:t>30</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至</w:t>
            </w:r>
            <w:r>
              <w:rPr>
                <w:rFonts w:ascii="宋体" w:hAnsi="宋体" w:cs="宋体" w:eastAsia="宋体" w:hint="default"/>
                <w:sz w:val="18"/>
                <w:szCs w:val="18"/>
              </w:rPr>
              <w:t>4</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right="-10"/>
              <w:jc w:val="right"/>
              <w:rPr>
                <w:rFonts w:ascii="宋体" w:hAnsi="宋体" w:cs="宋体" w:eastAsia="宋体" w:hint="default"/>
                <w:sz w:val="18"/>
                <w:szCs w:val="18"/>
              </w:rPr>
            </w:pPr>
            <w:r>
              <w:rPr>
                <w:rFonts w:ascii="宋体"/>
                <w:sz w:val="18"/>
              </w:rPr>
              <w:t>50</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至</w:t>
            </w:r>
            <w:r>
              <w:rPr>
                <w:rFonts w:ascii="宋体" w:hAnsi="宋体" w:cs="宋体" w:eastAsia="宋体" w:hint="default"/>
                <w:sz w:val="18"/>
                <w:szCs w:val="18"/>
              </w:rPr>
              <w:t>5</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right="-10"/>
              <w:jc w:val="right"/>
              <w:rPr>
                <w:rFonts w:ascii="宋体" w:hAnsi="宋体" w:cs="宋体" w:eastAsia="宋体" w:hint="default"/>
                <w:sz w:val="18"/>
                <w:szCs w:val="18"/>
              </w:rPr>
            </w:pPr>
            <w:r>
              <w:rPr>
                <w:rFonts w:ascii="宋体"/>
                <w:sz w:val="18"/>
              </w:rPr>
              <w:t>70</w:t>
            </w:r>
          </w:p>
        </w:tc>
      </w:tr>
      <w:tr>
        <w:trPr>
          <w:trHeight w:val="355" w:hRule="exact"/>
        </w:trPr>
        <w:tc>
          <w:tcPr>
            <w:tcW w:w="382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524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0"/>
              <w:ind w:right="-10"/>
              <w:jc w:val="right"/>
              <w:rPr>
                <w:rFonts w:ascii="宋体" w:hAnsi="宋体" w:cs="宋体" w:eastAsia="宋体" w:hint="default"/>
                <w:sz w:val="18"/>
                <w:szCs w:val="18"/>
              </w:rPr>
            </w:pPr>
            <w:r>
              <w:rPr>
                <w:rFonts w:ascii="宋体"/>
                <w:sz w:val="18"/>
              </w:rPr>
              <w:t>100</w:t>
            </w:r>
          </w:p>
        </w:tc>
      </w:tr>
    </w:tbl>
    <w:p>
      <w:pPr>
        <w:spacing w:line="240" w:lineRule="auto" w:before="2"/>
        <w:rPr>
          <w:rFonts w:ascii="宋体" w:hAnsi="宋体" w:cs="宋体" w:eastAsia="宋体" w:hint="default"/>
          <w:sz w:val="26"/>
          <w:szCs w:val="26"/>
        </w:rPr>
      </w:pPr>
    </w:p>
    <w:p>
      <w:pPr>
        <w:pStyle w:val="BodyText"/>
        <w:spacing w:line="408" w:lineRule="auto" w:before="36"/>
        <w:ind w:right="1024" w:firstLine="422"/>
        <w:jc w:val="left"/>
      </w:pPr>
      <w:r>
        <w:rPr>
          <w:spacing w:val="-2"/>
        </w:rPr>
        <w:t>应收票据组合</w:t>
      </w:r>
      <w:r>
        <w:rPr>
          <w:rFonts w:ascii="宋体" w:hAnsi="宋体" w:cs="宋体" w:eastAsia="宋体" w:hint="default"/>
          <w:spacing w:val="-2"/>
        </w:rPr>
        <w:t>1</w:t>
      </w:r>
      <w:r>
        <w:rPr>
          <w:spacing w:val="-2"/>
        </w:rPr>
        <w:t>及应收账款组合</w:t>
      </w:r>
      <w:r>
        <w:rPr>
          <w:rFonts w:ascii="宋体" w:hAnsi="宋体" w:cs="宋体" w:eastAsia="宋体" w:hint="default"/>
          <w:spacing w:val="-2"/>
        </w:rPr>
        <w:t>2</w:t>
      </w:r>
      <w:r>
        <w:rPr>
          <w:spacing w:val="-2"/>
        </w:rPr>
        <w:t>：本公司参考历史信用损失经验，结合当前状况以及对未来经济状况</w:t>
      </w:r>
      <w:r>
        <w:rPr>
          <w:w w:val="100"/>
        </w:rPr>
        <w:t> </w:t>
      </w:r>
      <w:r>
        <w:rPr/>
        <w:t>的预测，通过违约风险敞口和整个存续期预期信用损失率，预计不会产生信用减值损失。</w:t>
      </w:r>
      <w:r>
        <w:rPr>
          <w:w w:val="100"/>
        </w:rPr>
        <w:t> </w:t>
      </w:r>
      <w:r>
        <w:rPr/>
        <w:t>应收票据组合</w:t>
      </w:r>
      <w:r>
        <w:rPr>
          <w:rFonts w:ascii="宋体" w:hAnsi="宋体" w:cs="宋体" w:eastAsia="宋体" w:hint="default"/>
        </w:rPr>
        <w:t>2</w:t>
      </w:r>
      <w:r>
        <w:rPr/>
        <w:t>：本公司参考历史信用损失经验，结合当前状况以及对未来经济状况的预测，通过违约风</w:t>
      </w:r>
      <w:r>
        <w:rPr>
          <w:spacing w:val="-31"/>
        </w:rPr>
        <w:t> </w:t>
      </w:r>
      <w:r>
        <w:rPr>
          <w:spacing w:val="-31"/>
        </w:rPr>
      </w:r>
      <w:r>
        <w:rPr/>
        <w:t>险敞口和整个存续期预期信用损失率，预期结果参考账龄组合产生的坏账减值损失。</w:t>
      </w:r>
    </w:p>
    <w:p>
      <w:pPr>
        <w:pStyle w:val="BodyText"/>
        <w:spacing w:line="240" w:lineRule="auto" w:before="48"/>
        <w:ind w:right="1024"/>
        <w:jc w:val="left"/>
      </w:pPr>
      <w:r>
        <w:rPr>
          <w:rFonts w:ascii="宋体" w:hAnsi="宋体" w:cs="宋体" w:eastAsia="宋体" w:hint="default"/>
        </w:rPr>
        <w:t>5</w:t>
      </w:r>
      <w:r>
        <w:rPr/>
        <w:t>）其他应收款减值</w:t>
      </w:r>
    </w:p>
    <w:p>
      <w:pPr>
        <w:spacing w:line="240" w:lineRule="auto" w:before="8"/>
        <w:rPr>
          <w:rFonts w:ascii="宋体" w:hAnsi="宋体" w:cs="宋体" w:eastAsia="宋体" w:hint="default"/>
          <w:sz w:val="14"/>
          <w:szCs w:val="14"/>
        </w:rPr>
      </w:pPr>
    </w:p>
    <w:p>
      <w:pPr>
        <w:pStyle w:val="BodyText"/>
        <w:spacing w:line="410" w:lineRule="auto"/>
        <w:ind w:left="575" w:right="1024" w:hanging="423"/>
        <w:jc w:val="left"/>
      </w:pPr>
      <w:r>
        <w:rPr/>
        <w:t>按照</w:t>
      </w:r>
      <w:r>
        <w:rPr>
          <w:rFonts w:ascii="宋体" w:hAnsi="宋体" w:cs="宋体" w:eastAsia="宋体" w:hint="default"/>
        </w:rPr>
        <w:t>3.10.7</w:t>
      </w:r>
      <w:r>
        <w:rPr>
          <w:rFonts w:ascii="宋体" w:hAnsi="宋体" w:cs="宋体" w:eastAsia="宋体" w:hint="default"/>
          <w:spacing w:val="-5"/>
        </w:rPr>
        <w:t> </w:t>
      </w:r>
      <w:r>
        <w:rPr>
          <w:rFonts w:ascii="宋体" w:hAnsi="宋体" w:cs="宋体" w:eastAsia="宋体" w:hint="default"/>
        </w:rPr>
        <w:t>2</w:t>
      </w:r>
      <w:r>
        <w:rPr/>
        <w:t>）中的描述确认和计量减值。</w:t>
      </w:r>
      <w:r>
        <w:rPr>
          <w:spacing w:val="-98"/>
        </w:rPr>
        <w:t> </w:t>
      </w:r>
      <w:r>
        <w:rPr>
          <w:spacing w:val="-98"/>
        </w:rPr>
      </w:r>
      <w:r>
        <w:rPr>
          <w:spacing w:val="-2"/>
        </w:rPr>
        <w:t>当单项其他应收款无法以合理成本评估预期信用损失的信息时，本公司依据信用风险特征将其他应收</w:t>
      </w:r>
    </w:p>
    <w:p>
      <w:pPr>
        <w:spacing w:after="0" w:line="410" w:lineRule="auto"/>
        <w:jc w:val="left"/>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240" w:lineRule="auto" w:before="36"/>
        <w:ind w:right="1024"/>
        <w:jc w:val="left"/>
      </w:pPr>
      <w:r>
        <w:rPr/>
        <w:t>款划分为若干组合，在组合基础上计算预期信用损失，确定组合的依据如下：</w:t>
      </w:r>
    </w:p>
    <w:p>
      <w:pPr>
        <w:spacing w:line="240" w:lineRule="auto" w:before="6"/>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3827"/>
        <w:gridCol w:w="5248"/>
      </w:tblGrid>
      <w:tr>
        <w:trPr>
          <w:trHeight w:val="355" w:hRule="exact"/>
        </w:trPr>
        <w:tc>
          <w:tcPr>
            <w:tcW w:w="382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24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确定组合依据</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其他应收款组合</w:t>
            </w:r>
            <w:r>
              <w:rPr>
                <w:rFonts w:ascii="宋体" w:hAnsi="宋体" w:cs="宋体" w:eastAsia="宋体" w:hint="default"/>
                <w:sz w:val="18"/>
                <w:szCs w:val="18"/>
              </w:rPr>
              <w:t>1</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账龄组合</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其他应收款组合</w:t>
            </w:r>
            <w:r>
              <w:rPr>
                <w:rFonts w:ascii="宋体" w:hAnsi="宋体" w:cs="宋体" w:eastAsia="宋体" w:hint="default"/>
                <w:sz w:val="18"/>
                <w:szCs w:val="18"/>
              </w:rPr>
              <w:t>2</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合并范围内关联方组合</w:t>
            </w:r>
          </w:p>
        </w:tc>
      </w:tr>
      <w:tr>
        <w:trPr>
          <w:trHeight w:val="355" w:hRule="exact"/>
        </w:trPr>
        <w:tc>
          <w:tcPr>
            <w:tcW w:w="382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其他应收款组合</w:t>
            </w:r>
            <w:r>
              <w:rPr>
                <w:rFonts w:ascii="宋体" w:hAnsi="宋体" w:cs="宋体" w:eastAsia="宋体" w:hint="default"/>
                <w:sz w:val="18"/>
                <w:szCs w:val="18"/>
              </w:rPr>
              <w:t>3</w:t>
            </w:r>
          </w:p>
        </w:tc>
        <w:tc>
          <w:tcPr>
            <w:tcW w:w="524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单项计提组合</w:t>
            </w:r>
          </w:p>
        </w:tc>
      </w:tr>
    </w:tbl>
    <w:p>
      <w:pPr>
        <w:pStyle w:val="BodyText"/>
        <w:spacing w:line="405" w:lineRule="auto" w:before="66"/>
        <w:ind w:right="8661"/>
        <w:jc w:val="left"/>
      </w:pPr>
      <w:r>
        <w:rPr>
          <w:spacing w:val="-1"/>
        </w:rPr>
        <w:t>各组合预期信用损失率</w:t>
      </w:r>
      <w:r>
        <w:rPr>
          <w:spacing w:val="-93"/>
        </w:rPr>
        <w:t> </w:t>
      </w:r>
      <w:r>
        <w:rPr>
          <w:spacing w:val="-93"/>
        </w:rPr>
      </w:r>
      <w:r>
        <w:rPr/>
        <w:t>账龄组合</w:t>
      </w:r>
    </w:p>
    <w:tbl>
      <w:tblPr>
        <w:tblW w:w="0" w:type="auto"/>
        <w:jc w:val="left"/>
        <w:tblInd w:w="134" w:type="dxa"/>
        <w:tblLayout w:type="fixed"/>
        <w:tblCellMar>
          <w:top w:w="0" w:type="dxa"/>
          <w:left w:w="0" w:type="dxa"/>
          <w:bottom w:w="0" w:type="dxa"/>
          <w:right w:w="0" w:type="dxa"/>
        </w:tblCellMar>
        <w:tblLook w:val="01E0"/>
      </w:tblPr>
      <w:tblGrid>
        <w:gridCol w:w="3827"/>
        <w:gridCol w:w="5248"/>
      </w:tblGrid>
      <w:tr>
        <w:trPr>
          <w:trHeight w:val="350" w:hRule="exact"/>
        </w:trPr>
        <w:tc>
          <w:tcPr>
            <w:tcW w:w="382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24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
              <w:ind w:left="19" w:right="0"/>
              <w:jc w:val="center"/>
              <w:rPr>
                <w:rFonts w:ascii="宋体" w:hAnsi="宋体" w:cs="宋体" w:eastAsia="宋体" w:hint="default"/>
                <w:sz w:val="18"/>
                <w:szCs w:val="18"/>
              </w:rPr>
            </w:pPr>
            <w:r>
              <w:rPr>
                <w:rFonts w:ascii="宋体" w:hAnsi="宋体" w:cs="宋体" w:eastAsia="宋体" w:hint="default"/>
                <w:sz w:val="18"/>
                <w:szCs w:val="18"/>
              </w:rPr>
              <w:t>预期信用损失率（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346"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5"/>
              <w:jc w:val="right"/>
              <w:rPr>
                <w:rFonts w:ascii="宋体" w:hAnsi="宋体" w:cs="宋体" w:eastAsia="宋体" w:hint="default"/>
                <w:sz w:val="18"/>
                <w:szCs w:val="18"/>
              </w:rPr>
            </w:pPr>
            <w:r>
              <w:rPr>
                <w:rFonts w:ascii="宋体"/>
                <w:w w:val="101"/>
                <w:sz w:val="18"/>
              </w:rPr>
              <w:t>3</w:t>
            </w:r>
            <w:r>
              <w:rPr>
                <w:rFonts w:ascii="宋体"/>
                <w:sz w:val="18"/>
              </w:rPr>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至</w:t>
            </w:r>
            <w:r>
              <w:rPr>
                <w:rFonts w:ascii="宋体" w:hAnsi="宋体" w:cs="宋体" w:eastAsia="宋体" w:hint="default"/>
                <w:sz w:val="18"/>
                <w:szCs w:val="18"/>
              </w:rPr>
              <w:t>2</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10"/>
              <w:jc w:val="right"/>
              <w:rPr>
                <w:rFonts w:ascii="宋体" w:hAnsi="宋体" w:cs="宋体" w:eastAsia="宋体" w:hint="default"/>
                <w:sz w:val="18"/>
                <w:szCs w:val="18"/>
              </w:rPr>
            </w:pPr>
            <w:r>
              <w:rPr>
                <w:rFonts w:ascii="宋体"/>
                <w:sz w:val="18"/>
              </w:rPr>
              <w:t>10</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至</w:t>
            </w:r>
            <w:r>
              <w:rPr>
                <w:rFonts w:ascii="宋体" w:hAnsi="宋体" w:cs="宋体" w:eastAsia="宋体" w:hint="default"/>
                <w:sz w:val="18"/>
                <w:szCs w:val="18"/>
              </w:rPr>
              <w:t>3</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10"/>
              <w:jc w:val="right"/>
              <w:rPr>
                <w:rFonts w:ascii="宋体" w:hAnsi="宋体" w:cs="宋体" w:eastAsia="宋体" w:hint="default"/>
                <w:sz w:val="18"/>
                <w:szCs w:val="18"/>
              </w:rPr>
            </w:pPr>
            <w:r>
              <w:rPr>
                <w:rFonts w:ascii="宋体"/>
                <w:sz w:val="18"/>
              </w:rPr>
              <w:t>30</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至</w:t>
            </w:r>
            <w:r>
              <w:rPr>
                <w:rFonts w:ascii="宋体" w:hAnsi="宋体" w:cs="宋体" w:eastAsia="宋体" w:hint="default"/>
                <w:sz w:val="18"/>
                <w:szCs w:val="18"/>
              </w:rPr>
              <w:t>4</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10"/>
              <w:jc w:val="right"/>
              <w:rPr>
                <w:rFonts w:ascii="宋体" w:hAnsi="宋体" w:cs="宋体" w:eastAsia="宋体" w:hint="default"/>
                <w:sz w:val="18"/>
                <w:szCs w:val="18"/>
              </w:rPr>
            </w:pPr>
            <w:r>
              <w:rPr>
                <w:rFonts w:ascii="宋体"/>
                <w:sz w:val="18"/>
              </w:rPr>
              <w:t>50</w:t>
            </w:r>
          </w:p>
        </w:tc>
      </w:tr>
      <w:tr>
        <w:trPr>
          <w:trHeight w:val="346"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至</w:t>
            </w:r>
            <w:r>
              <w:rPr>
                <w:rFonts w:ascii="宋体" w:hAnsi="宋体" w:cs="宋体" w:eastAsia="宋体" w:hint="default"/>
                <w:sz w:val="18"/>
                <w:szCs w:val="18"/>
              </w:rPr>
              <w:t>5</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10"/>
              <w:jc w:val="right"/>
              <w:rPr>
                <w:rFonts w:ascii="宋体" w:hAnsi="宋体" w:cs="宋体" w:eastAsia="宋体" w:hint="default"/>
                <w:sz w:val="18"/>
                <w:szCs w:val="18"/>
              </w:rPr>
            </w:pPr>
            <w:r>
              <w:rPr>
                <w:rFonts w:ascii="宋体"/>
                <w:sz w:val="18"/>
              </w:rPr>
              <w:t>70</w:t>
            </w:r>
          </w:p>
        </w:tc>
      </w:tr>
      <w:tr>
        <w:trPr>
          <w:trHeight w:val="350" w:hRule="exact"/>
        </w:trPr>
        <w:tc>
          <w:tcPr>
            <w:tcW w:w="382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
              <w:ind w:left="4"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524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
              <w:ind w:right="-10"/>
              <w:jc w:val="right"/>
              <w:rPr>
                <w:rFonts w:ascii="宋体" w:hAnsi="宋体" w:cs="宋体" w:eastAsia="宋体" w:hint="default"/>
                <w:sz w:val="18"/>
                <w:szCs w:val="18"/>
              </w:rPr>
            </w:pPr>
            <w:r>
              <w:rPr>
                <w:rFonts w:ascii="宋体"/>
                <w:sz w:val="18"/>
              </w:rPr>
              <w:t>100</w:t>
            </w:r>
          </w:p>
        </w:tc>
      </w:tr>
    </w:tbl>
    <w:p>
      <w:pPr>
        <w:pStyle w:val="BodyText"/>
        <w:spacing w:line="410" w:lineRule="auto" w:before="51"/>
        <w:ind w:right="1024"/>
        <w:jc w:val="left"/>
      </w:pPr>
      <w:r>
        <w:rPr/>
        <w:t>其他应收款组合</w:t>
      </w:r>
      <w:r>
        <w:rPr>
          <w:rFonts w:ascii="宋体" w:hAnsi="宋体" w:cs="宋体" w:eastAsia="宋体" w:hint="default"/>
        </w:rPr>
        <w:t>2</w:t>
      </w:r>
      <w:r>
        <w:rPr/>
        <w:t>：本公司参考历史信用损失经验，结合当前状况以及对未来经济状况的预测，通过违约</w:t>
      </w:r>
      <w:r>
        <w:rPr>
          <w:spacing w:val="-31"/>
        </w:rPr>
        <w:t> </w:t>
      </w:r>
      <w:r>
        <w:rPr>
          <w:spacing w:val="-31"/>
        </w:rPr>
      </w:r>
      <w:r>
        <w:rPr/>
        <w:t>风险敞口和整个存续期预期信用损失率，预期不会产生信用减值。</w:t>
      </w:r>
      <w:r>
        <w:rPr>
          <w:w w:val="100"/>
        </w:rPr>
        <w:t> </w:t>
      </w:r>
      <w:r>
        <w:rPr/>
        <w:t>其他应收款组合</w:t>
      </w:r>
      <w:r>
        <w:rPr>
          <w:rFonts w:ascii="宋体" w:hAnsi="宋体" w:cs="宋体" w:eastAsia="宋体" w:hint="default"/>
        </w:rPr>
        <w:t>3</w:t>
      </w:r>
      <w:r>
        <w:rPr/>
        <w:t>：本公司参考历史信用损失经验，结合当前状况以及对未来经济状况的预测，通过违约</w:t>
      </w:r>
      <w:r>
        <w:rPr>
          <w:spacing w:val="-31"/>
        </w:rPr>
        <w:t> </w:t>
      </w:r>
      <w:r>
        <w:rPr>
          <w:spacing w:val="-31"/>
        </w:rPr>
      </w:r>
      <w:r>
        <w:rPr/>
        <w:t>风险敞口和整个存续期预期信用损失率，为每项债权单独计算信用减值损失率。</w:t>
      </w:r>
    </w:p>
    <w:p>
      <w:pPr>
        <w:pStyle w:val="BodyText"/>
        <w:spacing w:line="410" w:lineRule="auto" w:before="41"/>
        <w:ind w:left="575" w:right="1024" w:hanging="423"/>
        <w:jc w:val="left"/>
      </w:pPr>
      <w:r>
        <w:rPr>
          <w:rFonts w:ascii="宋体" w:hAnsi="宋体" w:cs="宋体" w:eastAsia="宋体" w:hint="default"/>
        </w:rPr>
        <w:t>10.8 </w:t>
      </w:r>
      <w:r>
        <w:rPr/>
        <w:t>利得和损失</w:t>
      </w:r>
      <w:r>
        <w:rPr>
          <w:spacing w:val="-102"/>
        </w:rPr>
        <w:t> </w:t>
      </w:r>
      <w:r>
        <w:rPr>
          <w:spacing w:val="-102"/>
        </w:rPr>
      </w:r>
      <w:r>
        <w:rPr>
          <w:spacing w:val="-2"/>
        </w:rPr>
        <w:t>本公司将以公允价值计量的金融资产或金融负债的利得或损失计入当期损益，除非该金融资产或金融</w:t>
      </w:r>
    </w:p>
    <w:p>
      <w:pPr>
        <w:pStyle w:val="BodyText"/>
        <w:spacing w:line="410" w:lineRule="auto" w:before="41"/>
        <w:ind w:left="575" w:right="2353" w:hanging="423"/>
        <w:jc w:val="left"/>
      </w:pPr>
      <w:r>
        <w:rPr/>
        <w:t>负债属于下列情形之一：</w:t>
      </w:r>
      <w:r>
        <w:rPr>
          <w:spacing w:val="-102"/>
        </w:rPr>
        <w:t> </w:t>
      </w:r>
      <w:r>
        <w:rPr>
          <w:spacing w:val="-102"/>
        </w:rPr>
      </w:r>
      <w:r>
        <w:rPr>
          <w:rFonts w:ascii="宋体" w:hAnsi="宋体" w:cs="宋体" w:eastAsia="宋体" w:hint="default"/>
          <w:spacing w:val="-2"/>
        </w:rPr>
        <w:t>1</w:t>
      </w:r>
      <w:r>
        <w:rPr>
          <w:spacing w:val="-2"/>
        </w:rPr>
        <w:t>）属于《企业会计准则第</w:t>
      </w:r>
      <w:r>
        <w:rPr>
          <w:rFonts w:ascii="宋体" w:hAnsi="宋体" w:cs="宋体" w:eastAsia="宋体" w:hint="default"/>
          <w:spacing w:val="-2"/>
        </w:rPr>
        <w:t>24</w:t>
      </w:r>
      <w:r>
        <w:rPr>
          <w:spacing w:val="-2"/>
        </w:rPr>
        <w:t>号——套期会计》规定的套期关系的一部分。</w:t>
      </w:r>
    </w:p>
    <w:p>
      <w:pPr>
        <w:pStyle w:val="BodyText"/>
        <w:spacing w:line="410" w:lineRule="auto" w:before="41"/>
        <w:ind w:right="1024" w:firstLine="422"/>
        <w:jc w:val="left"/>
      </w:pPr>
      <w:r>
        <w:rPr>
          <w:rFonts w:ascii="宋体" w:hAnsi="宋体" w:cs="宋体" w:eastAsia="宋体" w:hint="default"/>
          <w:spacing w:val="-2"/>
        </w:rPr>
        <w:t>2</w:t>
      </w:r>
      <w:r>
        <w:rPr>
          <w:spacing w:val="-2"/>
        </w:rPr>
        <w:t>）是一项对非交易性权益工具的投资，且本公司将其指定为以公允价值计量且其变动计入其他综合</w:t>
      </w:r>
      <w:r>
        <w:rPr>
          <w:w w:val="100"/>
        </w:rPr>
        <w:t> </w:t>
      </w:r>
      <w:r>
        <w:rPr/>
        <w:t>收益的金融资产。</w:t>
      </w:r>
    </w:p>
    <w:p>
      <w:pPr>
        <w:pStyle w:val="BodyText"/>
        <w:spacing w:line="410" w:lineRule="auto" w:before="41"/>
        <w:ind w:right="1024" w:firstLine="422"/>
        <w:jc w:val="left"/>
      </w:pPr>
      <w:r>
        <w:rPr>
          <w:rFonts w:ascii="宋体" w:hAnsi="宋体" w:cs="宋体" w:eastAsia="宋体" w:hint="default"/>
          <w:spacing w:val="-2"/>
        </w:rPr>
        <w:t>3</w:t>
      </w:r>
      <w:r>
        <w:rPr>
          <w:spacing w:val="-2"/>
        </w:rPr>
        <w:t>）是一项被指定为以公允价值计量且其变动计入当期损益的金融负债，该负债由本公司自身信用风</w:t>
      </w:r>
      <w:r>
        <w:rPr>
          <w:w w:val="100"/>
        </w:rPr>
        <w:t> </w:t>
      </w:r>
      <w:r>
        <w:rPr/>
        <w:t>险变动引起的其公允价值变动应当计入其他综合收益。</w:t>
      </w:r>
    </w:p>
    <w:p>
      <w:pPr>
        <w:pStyle w:val="BodyText"/>
        <w:spacing w:line="410" w:lineRule="auto" w:before="42"/>
        <w:ind w:right="1110" w:firstLine="422"/>
        <w:jc w:val="left"/>
      </w:pPr>
      <w:r>
        <w:rPr>
          <w:rFonts w:ascii="宋体" w:hAnsi="宋体" w:cs="宋体" w:eastAsia="宋体" w:hint="default"/>
          <w:spacing w:val="-4"/>
          <w:w w:val="100"/>
        </w:rPr>
        <w:t>4</w:t>
      </w:r>
      <w:r>
        <w:rPr>
          <w:spacing w:val="-4"/>
          <w:w w:val="100"/>
        </w:rPr>
        <w:t>）是一项分类为以公允价值计量且其变动计入其他综合收益的金融资产（债务工具投资），其减值损</w:t>
      </w:r>
      <w:r>
        <w:rPr>
          <w:w w:val="100"/>
        </w:rPr>
        <w:t> </w:t>
      </w:r>
      <w:r>
        <w:rPr/>
        <w:t>失或利得和汇兑损益之外的公允价值变动计入其他综合收益。</w:t>
      </w:r>
    </w:p>
    <w:p>
      <w:pPr>
        <w:pStyle w:val="BodyText"/>
        <w:spacing w:line="410" w:lineRule="auto" w:before="41"/>
        <w:ind w:left="575" w:right="1024"/>
        <w:jc w:val="left"/>
      </w:pPr>
      <w:r>
        <w:rPr>
          <w:spacing w:val="-2"/>
        </w:rPr>
        <w:t>本公司只有在同时符合下列条件时，才能确认股利收入并计入当期损益：</w:t>
      </w:r>
      <w:r>
        <w:rPr>
          <w:spacing w:val="-38"/>
        </w:rPr>
        <w:t> </w:t>
      </w:r>
      <w:r>
        <w:rPr>
          <w:spacing w:val="-38"/>
        </w:rPr>
      </w:r>
      <w:r>
        <w:rPr>
          <w:rFonts w:ascii="宋体" w:hAnsi="宋体" w:cs="宋体" w:eastAsia="宋体" w:hint="default"/>
        </w:rPr>
        <w:t>1</w:t>
      </w:r>
      <w:r>
        <w:rPr/>
        <w:t>）本公司收取股利的权利已经确立；</w:t>
      </w:r>
    </w:p>
    <w:p>
      <w:pPr>
        <w:pStyle w:val="BodyText"/>
        <w:spacing w:line="240" w:lineRule="auto" w:before="42"/>
        <w:ind w:left="575" w:right="1024"/>
        <w:jc w:val="left"/>
      </w:pPr>
      <w:r>
        <w:rPr>
          <w:rFonts w:ascii="宋体" w:hAnsi="宋体" w:cs="宋体" w:eastAsia="宋体" w:hint="default"/>
        </w:rPr>
        <w:t>2</w:t>
      </w:r>
      <w:r>
        <w:rPr/>
        <w:t>）与股利相关的经济利益很可能流入本公司；</w:t>
      </w:r>
    </w:p>
    <w:p>
      <w:pPr>
        <w:spacing w:line="240" w:lineRule="auto" w:before="12"/>
        <w:rPr>
          <w:rFonts w:ascii="宋体" w:hAnsi="宋体" w:cs="宋体" w:eastAsia="宋体" w:hint="default"/>
          <w:sz w:val="14"/>
          <w:szCs w:val="14"/>
        </w:rPr>
      </w:pPr>
    </w:p>
    <w:p>
      <w:pPr>
        <w:pStyle w:val="BodyText"/>
        <w:spacing w:line="240" w:lineRule="auto"/>
        <w:ind w:left="575" w:right="1024"/>
        <w:jc w:val="left"/>
      </w:pPr>
      <w:r>
        <w:rPr>
          <w:rFonts w:ascii="宋体" w:hAnsi="宋体" w:cs="宋体" w:eastAsia="宋体" w:hint="default"/>
        </w:rPr>
        <w:t>3</w:t>
      </w:r>
      <w:r>
        <w:rPr/>
        <w:t>）股利的金额能够可靠计量。</w:t>
      </w:r>
    </w:p>
    <w:p>
      <w:pPr>
        <w:spacing w:after="0" w:line="240" w:lineRule="auto"/>
        <w:jc w:val="left"/>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0" w:firstLine="422"/>
        <w:jc w:val="left"/>
      </w:pPr>
      <w:r>
        <w:rPr/>
        <w:t>以摊余成本计量且不属于任何套期关系的一部分的金融资产所产生的利得或损失，在终止确认、按照</w:t>
      </w:r>
      <w:r>
        <w:rPr>
          <w:w w:val="100"/>
        </w:rPr>
        <w:t> </w:t>
      </w:r>
      <w:r>
        <w:rPr/>
        <w:t>本项重分类、按照实际利率法摊销或确认减值时，计入当期损益。本公司将一项以摊余成本计量的金融资</w:t>
      </w:r>
      <w:r>
        <w:rPr>
          <w:w w:val="100"/>
        </w:rPr>
        <w:t> </w:t>
      </w:r>
      <w:r>
        <w:rPr/>
        <w:t>产重分类为以公允价值计量且其变动计入当期损益的金融资产的，按照该资产在重分类日的公允价值进行</w:t>
      </w:r>
      <w:r>
        <w:rPr>
          <w:w w:val="100"/>
        </w:rPr>
        <w:t> </w:t>
      </w:r>
      <w:r>
        <w:rPr/>
        <w:t>计量。原账面价值与公允价值之间的差额计入当期损益。将一项以摊余成本计量的金融资产重分类为以公</w:t>
      </w:r>
      <w:r>
        <w:rPr>
          <w:w w:val="100"/>
        </w:rPr>
        <w:t> </w:t>
      </w:r>
      <w:r>
        <w:rPr/>
        <w:t>允价值计量且其变动计入其他综合收益的金融资产的，按照该金融资产在重分类日的公允价值进行计量。</w:t>
      </w:r>
      <w:r>
        <w:rPr>
          <w:spacing w:val="-30"/>
        </w:rPr>
        <w:t> </w:t>
      </w:r>
      <w:r>
        <w:rPr>
          <w:spacing w:val="-30"/>
        </w:rPr>
      </w:r>
      <w:r>
        <w:rPr/>
        <w:t>原账面价值与公允价值之间的差额计入其他综合收益。以摊余成本计量且不属于任何套期关系的一部分的</w:t>
      </w:r>
      <w:r>
        <w:rPr>
          <w:w w:val="100"/>
        </w:rPr>
        <w:t> </w:t>
      </w:r>
      <w:r>
        <w:rPr>
          <w:spacing w:val="-2"/>
        </w:rPr>
        <w:t>金融负债所产生的利得或损失，在终止确认时计入当期损益或在按照实际利率法摊销时计入相关期间损益。</w:t>
      </w:r>
    </w:p>
    <w:p>
      <w:pPr>
        <w:pStyle w:val="BodyText"/>
        <w:spacing w:line="410" w:lineRule="auto" w:before="43"/>
        <w:ind w:right="1024" w:firstLine="422"/>
        <w:jc w:val="left"/>
      </w:pPr>
      <w:r>
        <w:rPr>
          <w:spacing w:val="-2"/>
        </w:rPr>
        <w:t>对于本公司将金融负债指定为以公允价值计量且其变动计入当期损益的金融负债，该金融负债所产生</w:t>
      </w:r>
      <w:r>
        <w:rPr>
          <w:w w:val="100"/>
        </w:rPr>
        <w:t> </w:t>
      </w:r>
      <w:r>
        <w:rPr/>
        <w:t>的利得或损失按照下列规定进行处理：</w:t>
      </w:r>
    </w:p>
    <w:p>
      <w:pPr>
        <w:pStyle w:val="BodyText"/>
        <w:spacing w:line="240" w:lineRule="auto" w:before="42"/>
        <w:ind w:left="575" w:right="1024"/>
        <w:jc w:val="left"/>
      </w:pPr>
      <w:r>
        <w:rPr>
          <w:rFonts w:ascii="宋体" w:hAnsi="宋体" w:cs="宋体" w:eastAsia="宋体" w:hint="default"/>
        </w:rPr>
        <w:t>1</w:t>
      </w:r>
      <w:r>
        <w:rPr/>
        <w:t>）由本公司自身信用风险变动引起的该金融负债公允价值的变动金额，计入其他综合收益；</w:t>
      </w:r>
    </w:p>
    <w:p>
      <w:pPr>
        <w:spacing w:line="240" w:lineRule="auto" w:before="12"/>
        <w:rPr>
          <w:rFonts w:ascii="宋体" w:hAnsi="宋体" w:cs="宋体" w:eastAsia="宋体" w:hint="default"/>
          <w:sz w:val="14"/>
          <w:szCs w:val="14"/>
        </w:rPr>
      </w:pPr>
    </w:p>
    <w:p>
      <w:pPr>
        <w:pStyle w:val="BodyText"/>
        <w:spacing w:line="408" w:lineRule="auto"/>
        <w:ind w:right="1012" w:firstLine="422"/>
        <w:jc w:val="left"/>
      </w:pPr>
      <w:r>
        <w:rPr>
          <w:rFonts w:ascii="宋体" w:hAnsi="宋体" w:cs="宋体" w:eastAsia="宋体" w:hint="default"/>
        </w:rPr>
        <w:t>2</w:t>
      </w:r>
      <w:r>
        <w:rPr/>
        <w:t>）该金融负债的其他公允价值变动计入当期损益。</w:t>
      </w:r>
      <w:r>
        <w:rPr>
          <w:w w:val="100"/>
        </w:rPr>
        <w:t> </w:t>
      </w:r>
      <w:r>
        <w:rPr>
          <w:spacing w:val="-2"/>
        </w:rPr>
        <w:t>按照本条第</w:t>
      </w:r>
      <w:r>
        <w:rPr>
          <w:rFonts w:ascii="宋体" w:hAnsi="宋体" w:cs="宋体" w:eastAsia="宋体" w:hint="default"/>
          <w:spacing w:val="-2"/>
        </w:rPr>
        <w:t>1</w:t>
      </w:r>
      <w:r>
        <w:rPr>
          <w:spacing w:val="-2"/>
        </w:rPr>
        <w:t>）规定对该金融负债的自身信用风险变动的影响进行处理会造成或扩大损益中的会计错配的，</w:t>
      </w:r>
      <w:r>
        <w:rPr>
          <w:spacing w:val="-35"/>
        </w:rPr>
        <w:t> </w:t>
      </w:r>
      <w:r>
        <w:rPr>
          <w:spacing w:val="-35"/>
        </w:rPr>
      </w:r>
      <w:r>
        <w:rPr/>
        <w:t>本公司将该金融负债的全部利得或损失（包括本公司自身信用风险变动的影响金额）计入当期损益。该金</w:t>
      </w:r>
      <w:r>
        <w:rPr>
          <w:w w:val="100"/>
        </w:rPr>
        <w:t> </w:t>
      </w:r>
      <w:r>
        <w:rPr>
          <w:spacing w:val="-4"/>
        </w:rPr>
        <w:t>融负债终止确认时，之前计入其他综合收益的累计利得或损失应当从其他综合收益中转出，计入留存收益。</w:t>
      </w:r>
      <w:r>
        <w:rPr>
          <w:spacing w:val="-42"/>
        </w:rPr>
        <w:t> </w:t>
      </w:r>
      <w:r>
        <w:rPr>
          <w:spacing w:val="-42"/>
        </w:rPr>
      </w:r>
      <w:r>
        <w:rPr/>
        <w:t>本公司将非交易性权益工具投资指定为以公允价值计量且其变动计入其他综合收益的金融资产的，当该金</w:t>
      </w:r>
      <w:r>
        <w:rPr>
          <w:w w:val="100"/>
        </w:rPr>
        <w:t> </w:t>
      </w:r>
      <w:r>
        <w:rPr/>
        <w:t>融资产终止确认时，之前计入其他综合收益的累计利得或损失从其他综合收益中转出，计入留存收益。</w:t>
      </w:r>
      <w:r>
        <w:rPr>
          <w:w w:val="100"/>
        </w:rPr>
        <w:t> </w:t>
      </w:r>
      <w:r>
        <w:rPr>
          <w:spacing w:val="-4"/>
          <w:w w:val="100"/>
        </w:rPr>
        <w:t>分类为以公允价值计量且其变动计入其他综合收益的金融资产所产生的所有利得或损失（债务工具投资），</w:t>
      </w:r>
      <w:r>
        <w:rPr>
          <w:spacing w:val="-99"/>
          <w:w w:val="100"/>
        </w:rPr>
        <w:t> </w:t>
      </w:r>
      <w:r>
        <w:rPr>
          <w:spacing w:val="-99"/>
          <w:w w:val="100"/>
        </w:rPr>
      </w:r>
      <w:r>
        <w:rPr/>
        <w:t>除减值损失或利得和汇兑损益之外，均计入其他综合收益，直至该金融资产终止确认或被重分类。但是，</w:t>
      </w:r>
      <w:r>
        <w:rPr>
          <w:spacing w:val="-27"/>
        </w:rPr>
        <w:t> </w:t>
      </w:r>
      <w:r>
        <w:rPr>
          <w:spacing w:val="-27"/>
        </w:rPr>
      </w:r>
      <w:r>
        <w:rPr/>
        <w:t>采用实际利率法计算的该金融资产的利息计入当期损益。该金融资产终止确认时，之前计入其他综合收益</w:t>
      </w:r>
      <w:r>
        <w:rPr>
          <w:w w:val="100"/>
        </w:rPr>
        <w:t> </w:t>
      </w:r>
      <w:r>
        <w:rPr/>
        <w:t>的累计利得或损失应当从其他综合收益中转出，计入当期损益。本公司将该金融资产重分类为其他类别金</w:t>
      </w:r>
      <w:r>
        <w:rPr>
          <w:w w:val="100"/>
        </w:rPr>
        <w:t> </w:t>
      </w:r>
      <w:r>
        <w:rPr/>
        <w:t>融资产的，对之前计入其他综合收益的累计利得或损失转出，调整该金融资产在重分类日的公允价值，并</w:t>
      </w:r>
      <w:r>
        <w:rPr>
          <w:w w:val="100"/>
        </w:rPr>
        <w:t> </w:t>
      </w:r>
      <w:r>
        <w:rPr/>
        <w:t>以调整后的金额作为新的账面价值。</w:t>
      </w:r>
    </w:p>
    <w:p>
      <w:pPr>
        <w:pStyle w:val="BodyText"/>
        <w:spacing w:line="240" w:lineRule="auto" w:before="48"/>
        <w:ind w:right="1024"/>
        <w:jc w:val="left"/>
      </w:pPr>
      <w:r>
        <w:rPr>
          <w:rFonts w:ascii="宋体" w:hAnsi="宋体" w:cs="宋体" w:eastAsia="宋体" w:hint="default"/>
        </w:rPr>
        <w:t>10.9</w:t>
      </w:r>
      <w:r>
        <w:rPr>
          <w:rFonts w:ascii="宋体" w:hAnsi="宋体" w:cs="宋体" w:eastAsia="宋体" w:hint="default"/>
          <w:spacing w:val="2"/>
        </w:rPr>
        <w:t> </w:t>
      </w:r>
      <w:r>
        <w:rPr/>
        <w:t>报表列示</w:t>
      </w:r>
    </w:p>
    <w:p>
      <w:pPr>
        <w:spacing w:line="240" w:lineRule="auto" w:before="8"/>
        <w:rPr>
          <w:rFonts w:ascii="宋体" w:hAnsi="宋体" w:cs="宋体" w:eastAsia="宋体" w:hint="default"/>
          <w:sz w:val="14"/>
          <w:szCs w:val="14"/>
        </w:rPr>
      </w:pPr>
    </w:p>
    <w:p>
      <w:pPr>
        <w:pStyle w:val="BodyText"/>
        <w:spacing w:line="408" w:lineRule="auto"/>
        <w:ind w:right="1122" w:firstLine="422"/>
        <w:jc w:val="both"/>
      </w:pPr>
      <w:r>
        <w:rPr>
          <w:spacing w:val="-2"/>
        </w:rPr>
        <w:t>本公司将分类为以公允价值计量且其变动计入当期损益的金融资产，在“交易性金融资产”科目中列</w:t>
      </w:r>
      <w:r>
        <w:rPr>
          <w:w w:val="100"/>
        </w:rPr>
        <w:t> </w:t>
      </w:r>
      <w:r>
        <w:rPr>
          <w:spacing w:val="-2"/>
        </w:rPr>
        <w:t>示。自资产负债表日起超过一年到期且预期持有超过一年的以公允价值计量且其变动计入当期损益的非流</w:t>
      </w:r>
      <w:r>
        <w:rPr>
          <w:spacing w:val="-30"/>
        </w:rPr>
        <w:t> </w:t>
      </w:r>
      <w:r>
        <w:rPr>
          <w:spacing w:val="-30"/>
        </w:rPr>
      </w:r>
      <w:r>
        <w:rPr/>
        <w:t>动金融资产，在“其他非流动金融资产”科目列示。</w:t>
      </w:r>
    </w:p>
    <w:p>
      <w:pPr>
        <w:pStyle w:val="BodyText"/>
        <w:spacing w:line="408" w:lineRule="auto" w:before="48"/>
        <w:ind w:right="1125" w:firstLine="422"/>
        <w:jc w:val="both"/>
      </w:pPr>
      <w:r>
        <w:rPr>
          <w:spacing w:val="-2"/>
        </w:rPr>
        <w:t>本公司将分类为以摊余成本计量的长期债权投资，在“债权投资”科目中列示。自资产负债表日起一</w:t>
      </w:r>
      <w:r>
        <w:rPr>
          <w:w w:val="100"/>
        </w:rPr>
        <w:t> </w:t>
      </w:r>
      <w:r>
        <w:rPr>
          <w:spacing w:val="-2"/>
        </w:rPr>
        <w:t>年内到期的长期债权投资，在“一年内到期的非流动资产”科目列示。本公司购入的以摊余成本计量的一</w:t>
      </w:r>
      <w:r>
        <w:rPr>
          <w:spacing w:val="-33"/>
        </w:rPr>
        <w:t> </w:t>
      </w:r>
      <w:r>
        <w:rPr>
          <w:spacing w:val="-33"/>
        </w:rPr>
      </w:r>
      <w:r>
        <w:rPr/>
        <w:t>年内到期的债权投资，在“其他流动资产”科目列示。</w:t>
      </w:r>
    </w:p>
    <w:p>
      <w:pPr>
        <w:pStyle w:val="BodyText"/>
        <w:spacing w:line="240" w:lineRule="auto" w:before="43"/>
        <w:ind w:left="575" w:right="1024"/>
        <w:jc w:val="left"/>
      </w:pPr>
      <w:r>
        <w:rPr/>
        <w:t>本公司将分类为以公允价值计量且其变动计入其他综合收益的长期债权投资，在“其他债权投资”科</w:t>
      </w:r>
    </w:p>
    <w:p>
      <w:pPr>
        <w:spacing w:after="0" w:line="240" w:lineRule="auto"/>
        <w:jc w:val="left"/>
        <w:sectPr>
          <w:pgSz w:w="11910" w:h="16840"/>
          <w:pgMar w:header="871" w:footer="1037" w:top="1100" w:bottom="1220" w:left="980" w:right="0"/>
        </w:sectPr>
      </w:pPr>
    </w:p>
    <w:p>
      <w:pPr>
        <w:spacing w:line="240" w:lineRule="auto" w:before="12"/>
        <w:rPr>
          <w:rFonts w:ascii="宋体" w:hAnsi="宋体" w:cs="宋体" w:eastAsia="宋体" w:hint="default"/>
          <w:sz w:val="26"/>
          <w:szCs w:val="26"/>
        </w:rPr>
      </w:pPr>
    </w:p>
    <w:p>
      <w:pPr>
        <w:pStyle w:val="BodyText"/>
        <w:spacing w:line="408" w:lineRule="auto" w:before="36"/>
        <w:ind w:right="1024"/>
        <w:jc w:val="left"/>
      </w:pPr>
      <w:r>
        <w:rPr/>
        <w:t>目列示。自资产负债表日起一年内到期的长期债权投资的期末账面价值，在“一年内到期的非流动资产”</w:t>
      </w:r>
      <w:r>
        <w:rPr>
          <w:spacing w:val="-30"/>
        </w:rPr>
        <w:t> </w:t>
      </w:r>
      <w:r>
        <w:rPr>
          <w:spacing w:val="-30"/>
        </w:rPr>
      </w:r>
      <w:r>
        <w:rPr>
          <w:spacing w:val="-2"/>
        </w:rPr>
        <w:t>科目列示。本公司购入的以公允价值计量且其变动计入其他综合收益的一年内到期的债权投资，在“其他</w:t>
      </w:r>
      <w:r>
        <w:rPr>
          <w:spacing w:val="-32"/>
        </w:rPr>
        <w:t> </w:t>
      </w:r>
      <w:r>
        <w:rPr>
          <w:spacing w:val="-32"/>
        </w:rPr>
      </w:r>
      <w:r>
        <w:rPr/>
        <w:t>流动资产”科目列示。</w:t>
      </w:r>
    </w:p>
    <w:p>
      <w:pPr>
        <w:pStyle w:val="BodyText"/>
        <w:spacing w:line="410" w:lineRule="auto" w:before="43"/>
        <w:ind w:right="1024" w:firstLine="422"/>
        <w:jc w:val="left"/>
      </w:pPr>
      <w:r>
        <w:rPr>
          <w:spacing w:val="-2"/>
        </w:rPr>
        <w:t>本公司将指定为以公允价值计量且其变动计入其他综合收益的非交易性权益工具投资，在“其他权益</w:t>
      </w:r>
      <w:r>
        <w:rPr>
          <w:w w:val="100"/>
        </w:rPr>
        <w:t> </w:t>
      </w:r>
      <w:r>
        <w:rPr/>
        <w:t>工具投资”科目列示。</w:t>
      </w:r>
    </w:p>
    <w:p>
      <w:pPr>
        <w:pStyle w:val="BodyText"/>
        <w:spacing w:line="410" w:lineRule="auto" w:before="41"/>
        <w:ind w:right="1024" w:firstLine="422"/>
        <w:jc w:val="left"/>
      </w:pPr>
      <w:r>
        <w:rPr>
          <w:spacing w:val="-2"/>
        </w:rPr>
        <w:t>本公司承担的交易性金融负债，以及本公司持有的直接指定为以公允价值计量且其变动计入当期损益</w:t>
      </w:r>
      <w:r>
        <w:rPr>
          <w:w w:val="100"/>
        </w:rPr>
        <w:t> </w:t>
      </w:r>
      <w:r>
        <w:rPr/>
        <w:t>的金融负债，在“交易性金融负债”科目列示。</w:t>
      </w:r>
    </w:p>
    <w:p>
      <w:pPr>
        <w:pStyle w:val="BodyText"/>
        <w:spacing w:line="410" w:lineRule="auto" w:before="41"/>
        <w:ind w:left="575" w:right="1024" w:hanging="423"/>
        <w:jc w:val="left"/>
      </w:pPr>
      <w:r>
        <w:rPr>
          <w:rFonts w:ascii="宋体" w:hAnsi="宋体" w:cs="宋体" w:eastAsia="宋体" w:hint="default"/>
        </w:rPr>
        <w:t>10.10 </w:t>
      </w:r>
      <w:r>
        <w:rPr/>
        <w:t>权益工具</w:t>
      </w:r>
      <w:r>
        <w:rPr>
          <w:spacing w:val="-103"/>
        </w:rPr>
        <w:t> </w:t>
      </w:r>
      <w:r>
        <w:rPr>
          <w:spacing w:val="-103"/>
        </w:rPr>
      </w:r>
      <w:r>
        <w:rPr>
          <w:spacing w:val="-2"/>
        </w:rPr>
        <w:t>权益工具是指能证明拥有本公司在扣除所有负债后的资产中的剩余权益的合同。本公司发行（含再融</w:t>
      </w:r>
    </w:p>
    <w:p>
      <w:pPr>
        <w:pStyle w:val="BodyText"/>
        <w:spacing w:line="408" w:lineRule="auto" w:before="42"/>
        <w:ind w:right="1125"/>
        <w:jc w:val="both"/>
      </w:pPr>
      <w:r>
        <w:rPr>
          <w:spacing w:val="-2"/>
          <w:w w:val="100"/>
        </w:rPr>
        <w:t>资）、回购、出售或注销权益工具作为权益的变动处理，与权益性交易相关的交易费用从权益中扣减。本</w:t>
      </w:r>
      <w:r>
        <w:rPr>
          <w:spacing w:val="-96"/>
          <w:w w:val="100"/>
        </w:rPr>
        <w:t> </w:t>
      </w:r>
      <w:r>
        <w:rPr>
          <w:spacing w:val="-96"/>
          <w:w w:val="100"/>
        </w:rPr>
      </w:r>
      <w:r>
        <w:rPr>
          <w:spacing w:val="-2"/>
        </w:rPr>
        <w:t>公司不确认权益工具的公允价值变动。本公司对权益工具持有方的分配作为利润分配处理，发放的股票股</w:t>
      </w:r>
      <w:r>
        <w:rPr>
          <w:spacing w:val="-33"/>
        </w:rPr>
        <w:t> </w:t>
      </w:r>
      <w:r>
        <w:rPr>
          <w:spacing w:val="-33"/>
        </w:rPr>
      </w:r>
      <w:r>
        <w:rPr/>
        <w:t>利不影响所有者权益总额。</w:t>
      </w:r>
    </w:p>
    <w:p>
      <w:pPr>
        <w:pStyle w:val="Heading4"/>
        <w:spacing w:line="240" w:lineRule="auto" w:before="48"/>
        <w:ind w:right="1024"/>
        <w:jc w:val="left"/>
        <w:rPr>
          <w:b w:val="0"/>
          <w:bCs w:val="0"/>
        </w:rPr>
      </w:pPr>
      <w:bookmarkStart w:name="11、应收票据" w:id="237"/>
      <w:bookmarkEnd w:id="237"/>
      <w:r>
        <w:rPr>
          <w:b w:val="0"/>
          <w:bCs w:val="0"/>
        </w:rPr>
      </w:r>
      <w:r>
        <w:rPr>
          <w:rFonts w:ascii="宋体" w:hAnsi="宋体" w:cs="宋体" w:eastAsia="宋体" w:hint="default"/>
        </w:rPr>
        <w:t>11</w:t>
      </w:r>
      <w:r>
        <w:rPr/>
        <w:t>、应收票据</w:t>
      </w:r>
      <w:r>
        <w:rPr>
          <w:b w:val="0"/>
          <w:bCs w:val="0"/>
        </w:rPr>
      </w:r>
    </w:p>
    <w:p>
      <w:pPr>
        <w:spacing w:line="240" w:lineRule="auto" w:before="8"/>
        <w:rPr>
          <w:rFonts w:ascii="宋体" w:hAnsi="宋体" w:cs="宋体" w:eastAsia="宋体" w:hint="default"/>
          <w:b/>
          <w:bCs/>
          <w:sz w:val="14"/>
          <w:szCs w:val="14"/>
        </w:rPr>
      </w:pPr>
    </w:p>
    <w:p>
      <w:pPr>
        <w:pStyle w:val="BodyText"/>
        <w:spacing w:line="410" w:lineRule="auto"/>
        <w:ind w:right="1024" w:firstLine="422"/>
        <w:jc w:val="left"/>
      </w:pPr>
      <w:r>
        <w:rPr/>
        <w:pict>
          <v:shape style="position:absolute;margin-left:55.703999pt;margin-top:137.083664pt;width:455.95pt;height:71.1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27"/>
                    <w:gridCol w:w="5248"/>
                  </w:tblGrid>
                  <w:tr>
                    <w:trPr>
                      <w:trHeight w:val="355" w:hRule="exact"/>
                    </w:trPr>
                    <w:tc>
                      <w:tcPr>
                        <w:tcW w:w="9075" w:type="dxa"/>
                        <w:gridSpan w:val="2"/>
                        <w:tcBorders>
                          <w:top w:val="single" w:sz="12" w:space="0" w:color="000000"/>
                          <w:left w:val="single" w:sz="12" w:space="0" w:color="000000"/>
                          <w:bottom w:val="single" w:sz="4" w:space="0" w:color="000000"/>
                          <w:right w:val="single" w:sz="12" w:space="0" w:color="000000"/>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pacing w:val="-3"/>
                            <w:sz w:val="18"/>
                            <w:szCs w:val="18"/>
                          </w:rPr>
                          <w:t>应收票据组合：</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确定组合依据</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应收票据组合</w:t>
                        </w:r>
                        <w:r>
                          <w:rPr>
                            <w:rFonts w:ascii="宋体" w:hAnsi="宋体" w:cs="宋体" w:eastAsia="宋体" w:hint="default"/>
                            <w:sz w:val="18"/>
                            <w:szCs w:val="18"/>
                          </w:rPr>
                          <w:t>1</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r>
                  <w:tr>
                    <w:trPr>
                      <w:trHeight w:val="355" w:hRule="exact"/>
                    </w:trPr>
                    <w:tc>
                      <w:tcPr>
                        <w:tcW w:w="382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应收票据组合</w:t>
                        </w:r>
                        <w:r>
                          <w:rPr>
                            <w:rFonts w:ascii="宋体" w:hAnsi="宋体" w:cs="宋体" w:eastAsia="宋体" w:hint="default"/>
                            <w:sz w:val="18"/>
                            <w:szCs w:val="18"/>
                          </w:rPr>
                          <w:t>2</w:t>
                        </w:r>
                      </w:p>
                    </w:tc>
                    <w:tc>
                      <w:tcPr>
                        <w:tcW w:w="524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5"/>
                          <w:ind w:left="13" w:right="0"/>
                          <w:jc w:val="center"/>
                          <w:rPr>
                            <w:rFonts w:ascii="宋体" w:hAnsi="宋体" w:cs="宋体" w:eastAsia="宋体" w:hint="default"/>
                            <w:sz w:val="18"/>
                            <w:szCs w:val="18"/>
                          </w:rPr>
                        </w:pPr>
                        <w:r>
                          <w:rPr>
                            <w:rFonts w:ascii="宋体" w:hAnsi="宋体" w:cs="宋体" w:eastAsia="宋体" w:hint="default"/>
                            <w:spacing w:val="-3"/>
                            <w:sz w:val="18"/>
                            <w:szCs w:val="18"/>
                          </w:rPr>
                          <w:t>评估为正常的、低风险的商业承兑汇票</w:t>
                        </w:r>
                      </w:p>
                    </w:tc>
                  </w:tr>
                </w:tbl>
                <w:p>
                  <w:pPr/>
                </w:p>
              </w:txbxContent>
            </v:textbox>
            <w10:wrap type="none"/>
          </v:shape>
        </w:pict>
      </w:r>
      <w:r>
        <w:rPr>
          <w:spacing w:val="-5"/>
        </w:rPr>
        <w:t>对于应收票据，无论是否存在重大融资成分，本公司均按照整个存续期的预期信用损失计量损失准备。</w:t>
      </w:r>
      <w:r>
        <w:rPr>
          <w:w w:val="100"/>
        </w:rPr>
        <w:t> </w:t>
      </w:r>
      <w:r>
        <w:rPr/>
        <w:t>当单项应收票据无法以合理成本评估预期信用损失的信息时，本公司依据信用风险特征将应收票据划分为</w:t>
      </w:r>
      <w:r>
        <w:rPr>
          <w:w w:val="100"/>
        </w:rPr>
        <w:t> </w:t>
      </w:r>
      <w:r>
        <w:rPr/>
        <w:t>若干组合，在组合基础上计算预期信用损失。如果有客观证据表明某项应收票据已经发生信用减值，则本</w:t>
      </w:r>
      <w:r>
        <w:rPr>
          <w:w w:val="100"/>
        </w:rPr>
        <w:t> </w:t>
      </w:r>
      <w:r>
        <w:rPr/>
        <w:t>公司对该应收票据单项计提坏准备并确认预期信用损失。对于划分为组合的应收票据，本公司参考历史信</w:t>
      </w:r>
      <w:r>
        <w:rPr>
          <w:w w:val="100"/>
        </w:rPr>
        <w:t> </w:t>
      </w:r>
      <w:r>
        <w:rPr>
          <w:spacing w:val="-4"/>
        </w:rPr>
        <w:t>用损失经验，结合当前状况以及对未来经济状况的预测，通过违约风险敞口和整个存续期预期信用损失率，</w:t>
      </w:r>
      <w:r>
        <w:rPr>
          <w:spacing w:val="-42"/>
        </w:rPr>
        <w:t> </w:t>
      </w:r>
      <w:r>
        <w:rPr>
          <w:spacing w:val="-42"/>
        </w:rPr>
      </w:r>
      <w:r>
        <w:rPr/>
        <w:t>计算预期信用损失。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right="8661"/>
        <w:jc w:val="left"/>
      </w:pPr>
      <w:r>
        <w:rPr>
          <w:spacing w:val="-1"/>
        </w:rPr>
        <w:t>各组合预期信用损失率</w:t>
      </w:r>
      <w:r>
        <w:rPr>
          <w:spacing w:val="-93"/>
        </w:rPr>
        <w:t> </w:t>
      </w:r>
      <w:r>
        <w:rPr>
          <w:spacing w:val="-93"/>
        </w:rPr>
      </w:r>
      <w:r>
        <w:rPr/>
        <w:t>账龄组合：</w:t>
      </w:r>
    </w:p>
    <w:tbl>
      <w:tblPr>
        <w:tblW w:w="0" w:type="auto"/>
        <w:jc w:val="left"/>
        <w:tblInd w:w="134" w:type="dxa"/>
        <w:tblLayout w:type="fixed"/>
        <w:tblCellMar>
          <w:top w:w="0" w:type="dxa"/>
          <w:left w:w="0" w:type="dxa"/>
          <w:bottom w:w="0" w:type="dxa"/>
          <w:right w:w="0" w:type="dxa"/>
        </w:tblCellMar>
        <w:tblLook w:val="01E0"/>
      </w:tblPr>
      <w:tblGrid>
        <w:gridCol w:w="3827"/>
        <w:gridCol w:w="5248"/>
      </w:tblGrid>
      <w:tr>
        <w:trPr>
          <w:trHeight w:val="350" w:hRule="exact"/>
        </w:trPr>
        <w:tc>
          <w:tcPr>
            <w:tcW w:w="382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24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
              <w:ind w:left="19" w:right="0"/>
              <w:jc w:val="center"/>
              <w:rPr>
                <w:rFonts w:ascii="宋体" w:hAnsi="宋体" w:cs="宋体" w:eastAsia="宋体" w:hint="default"/>
                <w:sz w:val="18"/>
                <w:szCs w:val="18"/>
              </w:rPr>
            </w:pPr>
            <w:r>
              <w:rPr>
                <w:rFonts w:ascii="宋体" w:hAnsi="宋体" w:cs="宋体" w:eastAsia="宋体" w:hint="default"/>
                <w:sz w:val="18"/>
                <w:szCs w:val="18"/>
              </w:rPr>
              <w:t>预期信用损失率（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346"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5"/>
              <w:jc w:val="right"/>
              <w:rPr>
                <w:rFonts w:ascii="宋体" w:hAnsi="宋体" w:cs="宋体" w:eastAsia="宋体" w:hint="default"/>
                <w:sz w:val="18"/>
                <w:szCs w:val="18"/>
              </w:rPr>
            </w:pPr>
            <w:r>
              <w:rPr>
                <w:rFonts w:ascii="宋体"/>
                <w:w w:val="101"/>
                <w:sz w:val="18"/>
              </w:rPr>
              <w:t>3</w:t>
            </w:r>
            <w:r>
              <w:rPr>
                <w:rFonts w:ascii="宋体"/>
                <w:sz w:val="18"/>
              </w:rPr>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至</w:t>
            </w:r>
            <w:r>
              <w:rPr>
                <w:rFonts w:ascii="宋体" w:hAnsi="宋体" w:cs="宋体" w:eastAsia="宋体" w:hint="default"/>
                <w:sz w:val="18"/>
                <w:szCs w:val="18"/>
              </w:rPr>
              <w:t>2</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10"/>
              <w:jc w:val="right"/>
              <w:rPr>
                <w:rFonts w:ascii="宋体" w:hAnsi="宋体" w:cs="宋体" w:eastAsia="宋体" w:hint="default"/>
                <w:sz w:val="18"/>
                <w:szCs w:val="18"/>
              </w:rPr>
            </w:pPr>
            <w:r>
              <w:rPr>
                <w:rFonts w:ascii="宋体"/>
                <w:sz w:val="18"/>
              </w:rPr>
              <w:t>10</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至</w:t>
            </w:r>
            <w:r>
              <w:rPr>
                <w:rFonts w:ascii="宋体" w:hAnsi="宋体" w:cs="宋体" w:eastAsia="宋体" w:hint="default"/>
                <w:sz w:val="18"/>
                <w:szCs w:val="18"/>
              </w:rPr>
              <w:t>3</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10"/>
              <w:jc w:val="right"/>
              <w:rPr>
                <w:rFonts w:ascii="宋体" w:hAnsi="宋体" w:cs="宋体" w:eastAsia="宋体" w:hint="default"/>
                <w:sz w:val="18"/>
                <w:szCs w:val="18"/>
              </w:rPr>
            </w:pPr>
            <w:r>
              <w:rPr>
                <w:rFonts w:ascii="宋体"/>
                <w:sz w:val="18"/>
              </w:rPr>
              <w:t>30</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至</w:t>
            </w:r>
            <w:r>
              <w:rPr>
                <w:rFonts w:ascii="宋体" w:hAnsi="宋体" w:cs="宋体" w:eastAsia="宋体" w:hint="default"/>
                <w:sz w:val="18"/>
                <w:szCs w:val="18"/>
              </w:rPr>
              <w:t>4</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10"/>
              <w:jc w:val="right"/>
              <w:rPr>
                <w:rFonts w:ascii="宋体" w:hAnsi="宋体" w:cs="宋体" w:eastAsia="宋体" w:hint="default"/>
                <w:sz w:val="18"/>
                <w:szCs w:val="18"/>
              </w:rPr>
            </w:pPr>
            <w:r>
              <w:rPr>
                <w:rFonts w:ascii="宋体"/>
                <w:sz w:val="18"/>
              </w:rPr>
              <w:t>50</w:t>
            </w:r>
          </w:p>
        </w:tc>
      </w:tr>
      <w:tr>
        <w:trPr>
          <w:trHeight w:val="346"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至</w:t>
            </w:r>
            <w:r>
              <w:rPr>
                <w:rFonts w:ascii="宋体" w:hAnsi="宋体" w:cs="宋体" w:eastAsia="宋体" w:hint="default"/>
                <w:sz w:val="18"/>
                <w:szCs w:val="18"/>
              </w:rPr>
              <w:t>5</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10"/>
              <w:jc w:val="right"/>
              <w:rPr>
                <w:rFonts w:ascii="宋体" w:hAnsi="宋体" w:cs="宋体" w:eastAsia="宋体" w:hint="default"/>
                <w:sz w:val="18"/>
                <w:szCs w:val="18"/>
              </w:rPr>
            </w:pPr>
            <w:r>
              <w:rPr>
                <w:rFonts w:ascii="宋体"/>
                <w:sz w:val="18"/>
              </w:rPr>
              <w:t>70</w:t>
            </w:r>
          </w:p>
        </w:tc>
      </w:tr>
    </w:tbl>
    <w:p>
      <w:pPr>
        <w:spacing w:after="0" w:line="240" w:lineRule="auto"/>
        <w:jc w:val="right"/>
        <w:rPr>
          <w:rFonts w:ascii="宋体" w:hAnsi="宋体" w:cs="宋体" w:eastAsia="宋体" w:hint="default"/>
          <w:sz w:val="18"/>
          <w:szCs w:val="18"/>
        </w:rPr>
        <w:sectPr>
          <w:pgSz w:w="11910" w:h="16840"/>
          <w:pgMar w:header="871" w:footer="1037" w:top="1100" w:bottom="1220" w:left="980" w:right="0"/>
        </w:sectPr>
      </w:pPr>
    </w:p>
    <w:p>
      <w:pPr>
        <w:spacing w:line="240" w:lineRule="auto" w:before="6"/>
        <w:rPr>
          <w:rFonts w:ascii="宋体" w:hAnsi="宋体" w:cs="宋体" w:eastAsia="宋体" w:hint="default"/>
          <w:sz w:val="4"/>
          <w:szCs w:val="4"/>
        </w:rPr>
      </w:pPr>
    </w:p>
    <w:tbl>
      <w:tblPr>
        <w:tblW w:w="0" w:type="auto"/>
        <w:jc w:val="left"/>
        <w:tblInd w:w="134" w:type="dxa"/>
        <w:tblLayout w:type="fixed"/>
        <w:tblCellMar>
          <w:top w:w="0" w:type="dxa"/>
          <w:left w:w="0" w:type="dxa"/>
          <w:bottom w:w="0" w:type="dxa"/>
          <w:right w:w="0" w:type="dxa"/>
        </w:tblCellMar>
        <w:tblLook w:val="01E0"/>
      </w:tblPr>
      <w:tblGrid>
        <w:gridCol w:w="3827"/>
        <w:gridCol w:w="5248"/>
      </w:tblGrid>
      <w:tr>
        <w:trPr>
          <w:trHeight w:val="334" w:hRule="exact"/>
        </w:trPr>
        <w:tc>
          <w:tcPr>
            <w:tcW w:w="3827" w:type="dxa"/>
            <w:tcBorders>
              <w:top w:val="nil" w:sz="6" w:space="0" w:color="auto"/>
              <w:left w:val="nil" w:sz="6" w:space="0" w:color="auto"/>
              <w:bottom w:val="single" w:sz="4" w:space="0" w:color="000000"/>
              <w:right w:val="nil" w:sz="6" w:space="0" w:color="auto"/>
            </w:tcBorders>
          </w:tcPr>
          <w:p>
            <w:pPr/>
          </w:p>
        </w:tc>
        <w:tc>
          <w:tcPr>
            <w:tcW w:w="5248" w:type="dxa"/>
            <w:tcBorders>
              <w:top w:val="nil" w:sz="6" w:space="0" w:color="auto"/>
              <w:left w:val="nil" w:sz="6" w:space="0" w:color="auto"/>
              <w:bottom w:val="single" w:sz="4" w:space="0" w:color="000000"/>
              <w:right w:val="nil" w:sz="6" w:space="0" w:color="auto"/>
            </w:tcBorders>
          </w:tcPr>
          <w:p>
            <w:pPr/>
          </w:p>
        </w:tc>
      </w:tr>
      <w:tr>
        <w:trPr>
          <w:trHeight w:val="350" w:hRule="exact"/>
        </w:trPr>
        <w:tc>
          <w:tcPr>
            <w:tcW w:w="382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524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0"/>
              <w:ind w:right="-10"/>
              <w:jc w:val="right"/>
              <w:rPr>
                <w:rFonts w:ascii="宋体" w:hAnsi="宋体" w:cs="宋体" w:eastAsia="宋体" w:hint="default"/>
                <w:sz w:val="18"/>
                <w:szCs w:val="18"/>
              </w:rPr>
            </w:pPr>
            <w:r>
              <w:rPr>
                <w:rFonts w:ascii="宋体"/>
                <w:sz w:val="18"/>
              </w:rPr>
              <w:t>100</w:t>
            </w:r>
          </w:p>
        </w:tc>
      </w:tr>
    </w:tbl>
    <w:p>
      <w:pPr>
        <w:pStyle w:val="BodyText"/>
        <w:spacing w:line="408" w:lineRule="auto" w:before="66"/>
        <w:ind w:right="1024"/>
        <w:jc w:val="left"/>
      </w:pPr>
      <w:r>
        <w:rPr/>
        <w:pict>
          <v:group style="position:absolute;margin-left:55.223999pt;margin-top:-34.956322pt;width:485pt;height:.1pt;mso-position-horizontal-relative:page;mso-position-vertical-relative:paragraph;z-index:-1024168" coordorigin="1104,-699" coordsize="9700,2">
            <v:shape style="position:absolute;left:1104;top:-699;width:9700;height:2" coordorigin="1104,-699" coordsize="9700,0" path="m1104,-699l10804,-699e" filled="false" stroked="true" strokeweight=".72pt" strokecolor="#000000">
              <v:path arrowok="t"/>
            </v:shape>
            <w10:wrap type="none"/>
          </v:group>
        </w:pict>
      </w:r>
      <w:bookmarkStart w:name="12、应收账款" w:id="238"/>
      <w:bookmarkEnd w:id="238"/>
      <w:r>
        <w:rPr/>
      </w:r>
      <w:r>
        <w:rPr>
          <w:rFonts w:ascii="宋体" w:hAnsi="宋体" w:cs="宋体" w:eastAsia="宋体" w:hint="default"/>
          <w:b/>
          <w:bCs/>
        </w:rPr>
        <w:t>12</w:t>
      </w:r>
      <w:r>
        <w:rPr>
          <w:rFonts w:ascii="宋体" w:hAnsi="宋体" w:cs="宋体" w:eastAsia="宋体" w:hint="default"/>
          <w:b/>
          <w:bCs/>
        </w:rPr>
        <w:t>、应收账款</w:t>
      </w:r>
      <w:r>
        <w:rPr>
          <w:rFonts w:ascii="宋体" w:hAnsi="宋体" w:cs="宋体" w:eastAsia="宋体" w:hint="default"/>
          <w:b/>
          <w:bCs/>
          <w:w w:val="100"/>
        </w:rPr>
        <w:t> </w:t>
      </w:r>
      <w:r>
        <w:rPr/>
        <w:t>对于应收账款，无论是否存在重大融资成分，本公司均按照整个存续期的预期信用损失计量损失准备。</w:t>
      </w:r>
      <w:r>
        <w:rPr>
          <w:w w:val="100"/>
        </w:rPr>
        <w:t> </w:t>
      </w:r>
      <w:r>
        <w:rPr/>
        <w:t>当单项应收账款无法以合理成本评估预期信用损失的信息时，本公司依据信用风险特征将应收账款划分为</w:t>
      </w:r>
      <w:r>
        <w:rPr>
          <w:w w:val="100"/>
        </w:rPr>
        <w:t> </w:t>
      </w:r>
      <w:r>
        <w:rPr/>
        <w:t>若干组合，在组合基础上计算预期信用损失。如果有客观证据表明某项应收账款已经发生信用减值，则本</w:t>
      </w:r>
      <w:r>
        <w:rPr>
          <w:w w:val="100"/>
        </w:rPr>
        <w:t> </w:t>
      </w:r>
      <w:r>
        <w:rPr/>
        <w:t>公司对该应收账款单项计提坏准备并确认预期信用损失。对于划分为组合的应收账款，本公司参考历史信</w:t>
      </w:r>
      <w:r>
        <w:rPr>
          <w:w w:val="100"/>
        </w:rPr>
        <w:t> </w:t>
      </w:r>
      <w:r>
        <w:rPr>
          <w:spacing w:val="-4"/>
        </w:rPr>
        <w:t>用损失经验，结合当前状况以及对未来经济状况的预测，通过违约风险敞口和整个存续期预期信用损失率，</w:t>
      </w:r>
      <w:r>
        <w:rPr>
          <w:spacing w:val="-42"/>
        </w:rPr>
        <w:t> </w:t>
      </w:r>
      <w:r>
        <w:rPr>
          <w:spacing w:val="-42"/>
        </w:rPr>
      </w:r>
      <w:r>
        <w:rPr/>
        <w:t>计算预期信用损失。</w:t>
      </w:r>
    </w:p>
    <w:p>
      <w:pPr>
        <w:pStyle w:val="BodyText"/>
        <w:spacing w:line="240" w:lineRule="auto" w:before="48"/>
        <w:ind w:right="1024"/>
        <w:jc w:val="left"/>
      </w:pPr>
      <w:r>
        <w:rPr/>
        <w:t>应收账款组合：</w:t>
      </w:r>
    </w:p>
    <w:p>
      <w:pPr>
        <w:spacing w:line="240" w:lineRule="auto" w:before="6"/>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3827"/>
        <w:gridCol w:w="5248"/>
      </w:tblGrid>
      <w:tr>
        <w:trPr>
          <w:trHeight w:val="356" w:hRule="exact"/>
        </w:trPr>
        <w:tc>
          <w:tcPr>
            <w:tcW w:w="382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24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确定组合依据</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应收账款组合</w:t>
            </w:r>
            <w:r>
              <w:rPr>
                <w:rFonts w:ascii="宋体" w:hAnsi="宋体" w:cs="宋体" w:eastAsia="宋体" w:hint="default"/>
                <w:sz w:val="18"/>
                <w:szCs w:val="18"/>
              </w:rPr>
              <w:t>1</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账龄组合</w:t>
            </w:r>
          </w:p>
        </w:tc>
      </w:tr>
      <w:tr>
        <w:trPr>
          <w:trHeight w:val="667" w:hRule="exact"/>
        </w:trPr>
        <w:tc>
          <w:tcPr>
            <w:tcW w:w="382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应收账款组合</w:t>
            </w:r>
            <w:r>
              <w:rPr>
                <w:rFonts w:ascii="宋体" w:hAnsi="宋体" w:cs="宋体" w:eastAsia="宋体" w:hint="default"/>
                <w:sz w:val="18"/>
                <w:szCs w:val="18"/>
              </w:rPr>
              <w:t>2</w:t>
            </w:r>
          </w:p>
        </w:tc>
        <w:tc>
          <w:tcPr>
            <w:tcW w:w="524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pacing w:val="-3"/>
                <w:sz w:val="18"/>
                <w:szCs w:val="18"/>
              </w:rPr>
              <w:t>应收关联方款项</w:t>
            </w:r>
          </w:p>
        </w:tc>
      </w:tr>
    </w:tbl>
    <w:p>
      <w:pPr>
        <w:pStyle w:val="BodyText"/>
        <w:spacing w:line="408" w:lineRule="auto" w:before="66"/>
        <w:ind w:right="8661"/>
        <w:jc w:val="left"/>
      </w:pPr>
      <w:r>
        <w:rPr>
          <w:spacing w:val="-1"/>
        </w:rPr>
        <w:t>各组合预期信用损失率</w:t>
      </w:r>
      <w:r>
        <w:rPr>
          <w:spacing w:val="-93"/>
        </w:rPr>
        <w:t> </w:t>
      </w:r>
      <w:r>
        <w:rPr>
          <w:spacing w:val="-93"/>
        </w:rPr>
      </w:r>
      <w:r>
        <w:rPr/>
        <w:t>账龄组合：</w:t>
      </w:r>
    </w:p>
    <w:tbl>
      <w:tblPr>
        <w:tblW w:w="0" w:type="auto"/>
        <w:jc w:val="left"/>
        <w:tblInd w:w="134" w:type="dxa"/>
        <w:tblLayout w:type="fixed"/>
        <w:tblCellMar>
          <w:top w:w="0" w:type="dxa"/>
          <w:left w:w="0" w:type="dxa"/>
          <w:bottom w:w="0" w:type="dxa"/>
          <w:right w:w="0" w:type="dxa"/>
        </w:tblCellMar>
        <w:tblLook w:val="01E0"/>
      </w:tblPr>
      <w:tblGrid>
        <w:gridCol w:w="3827"/>
        <w:gridCol w:w="5248"/>
      </w:tblGrid>
      <w:tr>
        <w:trPr>
          <w:trHeight w:val="350" w:hRule="exact"/>
        </w:trPr>
        <w:tc>
          <w:tcPr>
            <w:tcW w:w="382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24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
              <w:ind w:left="19" w:right="0"/>
              <w:jc w:val="center"/>
              <w:rPr>
                <w:rFonts w:ascii="宋体" w:hAnsi="宋体" w:cs="宋体" w:eastAsia="宋体" w:hint="default"/>
                <w:sz w:val="18"/>
                <w:szCs w:val="18"/>
              </w:rPr>
            </w:pPr>
            <w:r>
              <w:rPr>
                <w:rFonts w:ascii="宋体" w:hAnsi="宋体" w:cs="宋体" w:eastAsia="宋体" w:hint="default"/>
                <w:sz w:val="18"/>
                <w:szCs w:val="18"/>
              </w:rPr>
              <w:t>预期信用损失率（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5"/>
              <w:jc w:val="right"/>
              <w:rPr>
                <w:rFonts w:ascii="宋体" w:hAnsi="宋体" w:cs="宋体" w:eastAsia="宋体" w:hint="default"/>
                <w:sz w:val="18"/>
                <w:szCs w:val="18"/>
              </w:rPr>
            </w:pPr>
            <w:r>
              <w:rPr>
                <w:rFonts w:ascii="宋体"/>
                <w:w w:val="101"/>
                <w:sz w:val="18"/>
              </w:rPr>
              <w:t>3</w:t>
            </w:r>
            <w:r>
              <w:rPr>
                <w:rFonts w:ascii="宋体"/>
                <w:sz w:val="18"/>
              </w:rPr>
            </w:r>
          </w:p>
        </w:tc>
      </w:tr>
      <w:tr>
        <w:trPr>
          <w:trHeight w:val="346"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至</w:t>
            </w:r>
            <w:r>
              <w:rPr>
                <w:rFonts w:ascii="宋体" w:hAnsi="宋体" w:cs="宋体" w:eastAsia="宋体" w:hint="default"/>
                <w:sz w:val="18"/>
                <w:szCs w:val="18"/>
              </w:rPr>
              <w:t>2</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10"/>
              <w:jc w:val="right"/>
              <w:rPr>
                <w:rFonts w:ascii="宋体" w:hAnsi="宋体" w:cs="宋体" w:eastAsia="宋体" w:hint="default"/>
                <w:sz w:val="18"/>
                <w:szCs w:val="18"/>
              </w:rPr>
            </w:pPr>
            <w:r>
              <w:rPr>
                <w:rFonts w:ascii="宋体"/>
                <w:sz w:val="18"/>
              </w:rPr>
              <w:t>10</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至</w:t>
            </w:r>
            <w:r>
              <w:rPr>
                <w:rFonts w:ascii="宋体" w:hAnsi="宋体" w:cs="宋体" w:eastAsia="宋体" w:hint="default"/>
                <w:sz w:val="18"/>
                <w:szCs w:val="18"/>
              </w:rPr>
              <w:t>3</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10"/>
              <w:jc w:val="right"/>
              <w:rPr>
                <w:rFonts w:ascii="宋体" w:hAnsi="宋体" w:cs="宋体" w:eastAsia="宋体" w:hint="default"/>
                <w:sz w:val="18"/>
                <w:szCs w:val="18"/>
              </w:rPr>
            </w:pPr>
            <w:r>
              <w:rPr>
                <w:rFonts w:ascii="宋体"/>
                <w:sz w:val="18"/>
              </w:rPr>
              <w:t>30</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至</w:t>
            </w:r>
            <w:r>
              <w:rPr>
                <w:rFonts w:ascii="宋体" w:hAnsi="宋体" w:cs="宋体" w:eastAsia="宋体" w:hint="default"/>
                <w:sz w:val="18"/>
                <w:szCs w:val="18"/>
              </w:rPr>
              <w:t>4</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10"/>
              <w:jc w:val="right"/>
              <w:rPr>
                <w:rFonts w:ascii="宋体" w:hAnsi="宋体" w:cs="宋体" w:eastAsia="宋体" w:hint="default"/>
                <w:sz w:val="18"/>
                <w:szCs w:val="18"/>
              </w:rPr>
            </w:pPr>
            <w:r>
              <w:rPr>
                <w:rFonts w:ascii="宋体"/>
                <w:sz w:val="18"/>
              </w:rPr>
              <w:t>50</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至</w:t>
            </w:r>
            <w:r>
              <w:rPr>
                <w:rFonts w:ascii="宋体" w:hAnsi="宋体" w:cs="宋体" w:eastAsia="宋体" w:hint="default"/>
                <w:sz w:val="18"/>
                <w:szCs w:val="18"/>
              </w:rPr>
              <w:t>5</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10"/>
              <w:jc w:val="right"/>
              <w:rPr>
                <w:rFonts w:ascii="宋体" w:hAnsi="宋体" w:cs="宋体" w:eastAsia="宋体" w:hint="default"/>
                <w:sz w:val="18"/>
                <w:szCs w:val="18"/>
              </w:rPr>
            </w:pPr>
            <w:r>
              <w:rPr>
                <w:rFonts w:ascii="宋体"/>
                <w:sz w:val="18"/>
              </w:rPr>
              <w:t>70</w:t>
            </w:r>
          </w:p>
        </w:tc>
      </w:tr>
      <w:tr>
        <w:trPr>
          <w:trHeight w:val="355" w:hRule="exact"/>
        </w:trPr>
        <w:tc>
          <w:tcPr>
            <w:tcW w:w="382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
              <w:ind w:left="4"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524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
              <w:ind w:right="-10"/>
              <w:jc w:val="right"/>
              <w:rPr>
                <w:rFonts w:ascii="宋体" w:hAnsi="宋体" w:cs="宋体" w:eastAsia="宋体" w:hint="default"/>
                <w:sz w:val="18"/>
                <w:szCs w:val="18"/>
              </w:rPr>
            </w:pPr>
            <w:r>
              <w:rPr>
                <w:rFonts w:ascii="宋体"/>
                <w:sz w:val="18"/>
              </w:rPr>
              <w:t>100</w:t>
            </w:r>
          </w:p>
        </w:tc>
      </w:tr>
    </w:tbl>
    <w:p>
      <w:pPr>
        <w:pStyle w:val="BodyText"/>
        <w:spacing w:line="408" w:lineRule="auto" w:before="48"/>
        <w:ind w:left="575" w:right="1024" w:hanging="423"/>
        <w:jc w:val="left"/>
      </w:pPr>
      <w:bookmarkStart w:name="13、应收款项融资" w:id="239"/>
      <w:bookmarkEnd w:id="239"/>
      <w:r>
        <w:rPr/>
      </w:r>
      <w:r>
        <w:rPr>
          <w:rFonts w:ascii="宋体" w:hAnsi="宋体" w:cs="宋体" w:eastAsia="宋体" w:hint="default"/>
          <w:b/>
          <w:bCs/>
        </w:rPr>
        <w:t>13</w:t>
      </w:r>
      <w:r>
        <w:rPr>
          <w:rFonts w:ascii="宋体" w:hAnsi="宋体" w:cs="宋体" w:eastAsia="宋体" w:hint="default"/>
          <w:b/>
          <w:bCs/>
        </w:rPr>
        <w:t>、应收款项融资</w:t>
      </w:r>
      <w:r>
        <w:rPr>
          <w:rFonts w:ascii="宋体" w:hAnsi="宋体" w:cs="宋体" w:eastAsia="宋体" w:hint="default"/>
          <w:b/>
          <w:bCs/>
          <w:spacing w:val="-104"/>
        </w:rPr>
        <w:t> </w:t>
      </w:r>
      <w:r>
        <w:rPr>
          <w:spacing w:val="-2"/>
        </w:rPr>
        <w:t>当应收票据和应收账款同时满足以下条件时，本公司将其划分为以公允价值计量且其变动计入其他综</w:t>
      </w:r>
    </w:p>
    <w:p>
      <w:pPr>
        <w:pStyle w:val="BodyText"/>
        <w:spacing w:line="405" w:lineRule="auto" w:before="48"/>
        <w:ind w:left="364" w:right="1024" w:hanging="212"/>
        <w:jc w:val="left"/>
      </w:pPr>
      <w:r>
        <w:rPr>
          <w:spacing w:val="-2"/>
        </w:rPr>
        <w:t>合收益的金融资产，相关具体会计处理方式见</w:t>
      </w:r>
      <w:r>
        <w:rPr>
          <w:rFonts w:ascii="宋体" w:hAnsi="宋体" w:cs="宋体" w:eastAsia="宋体" w:hint="default"/>
          <w:spacing w:val="-2"/>
        </w:rPr>
        <w:t>3.10</w:t>
      </w:r>
      <w:r>
        <w:rPr>
          <w:spacing w:val="-2"/>
        </w:rPr>
        <w:t>金融工具，在报表中列示为应收款项融资：</w:t>
      </w:r>
      <w:r>
        <w:rPr>
          <w:spacing w:val="-19"/>
        </w:rPr>
        <w:t> </w:t>
      </w:r>
      <w:r>
        <w:rPr>
          <w:spacing w:val="-19"/>
        </w:rPr>
      </w:r>
      <w:r>
        <w:rPr>
          <w:rFonts w:ascii="宋体" w:hAnsi="宋体" w:cs="宋体" w:eastAsia="宋体" w:hint="default"/>
        </w:rPr>
        <w:t>1</w:t>
      </w:r>
      <w:r>
        <w:rPr/>
        <w:t>）合同现金流量为对本金和以未偿付本金金额为基础的利息的支付；</w:t>
      </w:r>
    </w:p>
    <w:p>
      <w:pPr>
        <w:pStyle w:val="BodyText"/>
        <w:spacing w:line="240" w:lineRule="auto" w:before="50"/>
        <w:ind w:left="364" w:right="1024"/>
        <w:jc w:val="left"/>
      </w:pPr>
      <w:r>
        <w:rPr>
          <w:rFonts w:ascii="宋体" w:hAnsi="宋体" w:cs="宋体" w:eastAsia="宋体" w:hint="default"/>
        </w:rPr>
        <w:t>2</w:t>
      </w:r>
      <w:r>
        <w:rPr/>
        <w:t>）本公司管理应收票据和应收账款的业务模式既以收取合同现金流量为目标又以出售为目标。</w:t>
      </w:r>
    </w:p>
    <w:p>
      <w:pPr>
        <w:spacing w:line="240" w:lineRule="auto" w:before="8"/>
        <w:rPr>
          <w:rFonts w:ascii="宋体" w:hAnsi="宋体" w:cs="宋体" w:eastAsia="宋体" w:hint="default"/>
          <w:sz w:val="14"/>
          <w:szCs w:val="14"/>
        </w:rPr>
      </w:pPr>
    </w:p>
    <w:p>
      <w:pPr>
        <w:spacing w:line="410" w:lineRule="auto" w:before="0"/>
        <w:ind w:left="153" w:right="4644" w:firstLine="0"/>
        <w:jc w:val="left"/>
        <w:rPr>
          <w:rFonts w:ascii="宋体" w:hAnsi="宋体" w:cs="宋体" w:eastAsia="宋体" w:hint="default"/>
          <w:sz w:val="21"/>
          <w:szCs w:val="21"/>
        </w:rPr>
      </w:pPr>
      <w:bookmarkStart w:name="14、其他应收款" w:id="240"/>
      <w:bookmarkEnd w:id="240"/>
      <w:r>
        <w:rPr/>
      </w:r>
      <w:r>
        <w:rPr>
          <w:rFonts w:ascii="宋体" w:hAnsi="宋体" w:cs="宋体" w:eastAsia="宋体" w:hint="default"/>
          <w:b/>
          <w:bCs/>
          <w:sz w:val="21"/>
          <w:szCs w:val="21"/>
        </w:rPr>
        <w:t>14</w:t>
      </w:r>
      <w:r>
        <w:rPr>
          <w:rFonts w:ascii="宋体" w:hAnsi="宋体" w:cs="宋体" w:eastAsia="宋体" w:hint="default"/>
          <w:b/>
          <w:bCs/>
          <w:sz w:val="21"/>
          <w:szCs w:val="21"/>
        </w:rPr>
        <w:t>、其他应收款</w:t>
      </w:r>
      <w:r>
        <w:rPr>
          <w:rFonts w:ascii="宋体" w:hAnsi="宋体" w:cs="宋体" w:eastAsia="宋体" w:hint="default"/>
          <w:b/>
          <w:bCs/>
          <w:w w:val="100"/>
          <w:sz w:val="21"/>
          <w:szCs w:val="21"/>
        </w:rPr>
        <w:t> </w:t>
      </w:r>
      <w:r>
        <w:rPr>
          <w:rFonts w:ascii="宋体" w:hAnsi="宋体" w:cs="宋体" w:eastAsia="宋体" w:hint="default"/>
          <w:spacing w:val="-2"/>
          <w:sz w:val="21"/>
          <w:szCs w:val="21"/>
        </w:rPr>
        <w:t>其他应收款的预期信用损失的确定方法及会计处理方法</w:t>
      </w:r>
    </w:p>
    <w:p>
      <w:pPr>
        <w:pStyle w:val="BodyText"/>
        <w:spacing w:line="410" w:lineRule="auto" w:before="41"/>
        <w:ind w:right="1024"/>
        <w:jc w:val="left"/>
      </w:pPr>
      <w:r>
        <w:rPr/>
        <w:pict>
          <v:shape style="position:absolute;margin-left:55.703999pt;margin-top:45.543777pt;width:455.95pt;height:35.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27"/>
                    <w:gridCol w:w="5248"/>
                  </w:tblGrid>
                  <w:tr>
                    <w:trPr>
                      <w:trHeight w:val="355" w:hRule="exact"/>
                    </w:trPr>
                    <w:tc>
                      <w:tcPr>
                        <w:tcW w:w="382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24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宋体" w:hAnsi="宋体" w:cs="宋体" w:eastAsia="宋体" w:hint="default"/>
                            <w:sz w:val="18"/>
                            <w:szCs w:val="18"/>
                          </w:rPr>
                          <w:t>确定组合依据</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其他应收款组合</w:t>
                        </w:r>
                        <w:r>
                          <w:rPr>
                            <w:rFonts w:ascii="宋体" w:hAnsi="宋体" w:cs="宋体" w:eastAsia="宋体" w:hint="default"/>
                            <w:sz w:val="18"/>
                            <w:szCs w:val="18"/>
                          </w:rPr>
                          <w:t>1</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账龄组合</w:t>
                        </w:r>
                      </w:p>
                    </w:tc>
                  </w:tr>
                </w:tbl>
                <w:p>
                  <w:pPr/>
                </w:p>
              </w:txbxContent>
            </v:textbox>
            <w10:wrap type="none"/>
          </v:shape>
        </w:pict>
      </w:r>
      <w:r>
        <w:rPr>
          <w:spacing w:val="-2"/>
        </w:rPr>
        <w:t>当单项其他应收款无法以合理成本评估预期信用损失的信息时，本公司依据信用风险特征将其他应收款划</w:t>
      </w:r>
      <w:r>
        <w:rPr>
          <w:spacing w:val="-33"/>
        </w:rPr>
        <w:t> </w:t>
      </w:r>
      <w:r>
        <w:rPr>
          <w:spacing w:val="-33"/>
        </w:rPr>
      </w:r>
      <w:r>
        <w:rPr/>
        <w:t>分为若干组合，在组合基础上计算预期信用损失，确定组合的依据如下：</w:t>
      </w:r>
    </w:p>
    <w:p>
      <w:pPr>
        <w:spacing w:after="0" w:line="410" w:lineRule="auto"/>
        <w:jc w:val="left"/>
        <w:sectPr>
          <w:pgSz w:w="11910" w:h="16840"/>
          <w:pgMar w:header="871" w:footer="1037" w:top="1040" w:bottom="1220" w:left="980" w:right="0"/>
        </w:sectPr>
      </w:pPr>
    </w:p>
    <w:p>
      <w:pPr>
        <w:spacing w:line="240" w:lineRule="auto" w:before="12"/>
        <w:rPr>
          <w:rFonts w:ascii="宋体" w:hAnsi="宋体" w:cs="宋体" w:eastAsia="宋体" w:hint="default"/>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3827"/>
        <w:gridCol w:w="5248"/>
      </w:tblGrid>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1222"/>
              <w:jc w:val="right"/>
              <w:rPr>
                <w:rFonts w:ascii="宋体" w:hAnsi="宋体" w:cs="宋体" w:eastAsia="宋体" w:hint="default"/>
                <w:sz w:val="18"/>
                <w:szCs w:val="18"/>
              </w:rPr>
            </w:pPr>
            <w:r>
              <w:rPr>
                <w:rFonts w:ascii="宋体" w:hAnsi="宋体" w:cs="宋体" w:eastAsia="宋体" w:hint="default"/>
                <w:spacing w:val="-2"/>
                <w:sz w:val="18"/>
                <w:szCs w:val="18"/>
              </w:rPr>
              <w:t>其他应收款组合</w:t>
            </w:r>
            <w:r>
              <w:rPr>
                <w:rFonts w:ascii="宋体" w:hAnsi="宋体" w:cs="宋体" w:eastAsia="宋体" w:hint="default"/>
                <w:spacing w:val="-2"/>
                <w:sz w:val="18"/>
                <w:szCs w:val="18"/>
              </w:rPr>
              <w:t>2</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合并范围内关联方组合</w:t>
            </w:r>
          </w:p>
        </w:tc>
      </w:tr>
      <w:tr>
        <w:trPr>
          <w:trHeight w:val="355" w:hRule="exact"/>
        </w:trPr>
        <w:tc>
          <w:tcPr>
            <w:tcW w:w="382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0"/>
              <w:ind w:right="1222"/>
              <w:jc w:val="right"/>
              <w:rPr>
                <w:rFonts w:ascii="宋体" w:hAnsi="宋体" w:cs="宋体" w:eastAsia="宋体" w:hint="default"/>
                <w:sz w:val="18"/>
                <w:szCs w:val="18"/>
              </w:rPr>
            </w:pPr>
            <w:r>
              <w:rPr>
                <w:rFonts w:ascii="宋体" w:hAnsi="宋体" w:cs="宋体" w:eastAsia="宋体" w:hint="default"/>
                <w:spacing w:val="-2"/>
                <w:sz w:val="18"/>
                <w:szCs w:val="18"/>
              </w:rPr>
              <w:t>其他应收款组合</w:t>
            </w:r>
            <w:r>
              <w:rPr>
                <w:rFonts w:ascii="宋体" w:hAnsi="宋体" w:cs="宋体" w:eastAsia="宋体" w:hint="default"/>
                <w:spacing w:val="-2"/>
                <w:sz w:val="18"/>
                <w:szCs w:val="18"/>
              </w:rPr>
              <w:t>3</w:t>
            </w:r>
          </w:p>
        </w:tc>
        <w:tc>
          <w:tcPr>
            <w:tcW w:w="524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单项计提组合</w:t>
            </w:r>
          </w:p>
        </w:tc>
      </w:tr>
    </w:tbl>
    <w:p>
      <w:pPr>
        <w:pStyle w:val="BodyText"/>
        <w:spacing w:line="260" w:lineRule="exact"/>
        <w:ind w:right="1024"/>
        <w:jc w:val="left"/>
      </w:pPr>
      <w:r>
        <w:rPr/>
        <w:t>各组合预期信用损失率</w:t>
      </w:r>
    </w:p>
    <w:p>
      <w:pPr>
        <w:pStyle w:val="BodyText"/>
        <w:spacing w:line="240" w:lineRule="auto" w:before="37"/>
        <w:ind w:right="1024"/>
        <w:jc w:val="left"/>
      </w:pPr>
      <w:r>
        <w:rPr/>
        <w:t>账龄组合：</w:t>
      </w:r>
    </w:p>
    <w:p>
      <w:pPr>
        <w:spacing w:line="240" w:lineRule="auto" w:before="13"/>
        <w:rPr>
          <w:rFonts w:ascii="宋体" w:hAnsi="宋体" w:cs="宋体" w:eastAsia="宋体" w:hint="default"/>
          <w:sz w:val="3"/>
          <w:szCs w:val="3"/>
        </w:rPr>
      </w:pPr>
    </w:p>
    <w:tbl>
      <w:tblPr>
        <w:tblW w:w="0" w:type="auto"/>
        <w:jc w:val="left"/>
        <w:tblInd w:w="134" w:type="dxa"/>
        <w:tblLayout w:type="fixed"/>
        <w:tblCellMar>
          <w:top w:w="0" w:type="dxa"/>
          <w:left w:w="0" w:type="dxa"/>
          <w:bottom w:w="0" w:type="dxa"/>
          <w:right w:w="0" w:type="dxa"/>
        </w:tblCellMar>
        <w:tblLook w:val="01E0"/>
      </w:tblPr>
      <w:tblGrid>
        <w:gridCol w:w="3827"/>
        <w:gridCol w:w="5248"/>
      </w:tblGrid>
      <w:tr>
        <w:trPr>
          <w:trHeight w:val="350" w:hRule="exact"/>
        </w:trPr>
        <w:tc>
          <w:tcPr>
            <w:tcW w:w="382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248"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预期信用损失率（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年以内（含</w:t>
            </w:r>
            <w:r>
              <w:rPr>
                <w:rFonts w:ascii="宋体" w:hAnsi="宋体" w:cs="宋体" w:eastAsia="宋体" w:hint="default"/>
                <w:sz w:val="18"/>
                <w:szCs w:val="18"/>
              </w:rPr>
              <w:t>1</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w w:val="101"/>
                <w:sz w:val="18"/>
              </w:rPr>
              <w:t>3</w:t>
            </w:r>
            <w:r>
              <w:rPr>
                <w:rFonts w:ascii="宋体"/>
                <w:sz w:val="18"/>
              </w:rPr>
            </w:r>
          </w:p>
        </w:tc>
      </w:tr>
      <w:tr>
        <w:trPr>
          <w:trHeight w:val="346"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至</w:t>
            </w:r>
            <w:r>
              <w:rPr>
                <w:rFonts w:ascii="宋体" w:hAnsi="宋体" w:cs="宋体" w:eastAsia="宋体" w:hint="default"/>
                <w:sz w:val="18"/>
                <w:szCs w:val="18"/>
              </w:rPr>
              <w:t>2</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10"/>
              <w:jc w:val="right"/>
              <w:rPr>
                <w:rFonts w:ascii="宋体" w:hAnsi="宋体" w:cs="宋体" w:eastAsia="宋体" w:hint="default"/>
                <w:sz w:val="18"/>
                <w:szCs w:val="18"/>
              </w:rPr>
            </w:pPr>
            <w:r>
              <w:rPr>
                <w:rFonts w:ascii="宋体"/>
                <w:sz w:val="18"/>
              </w:rPr>
              <w:t>10</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至</w:t>
            </w:r>
            <w:r>
              <w:rPr>
                <w:rFonts w:ascii="宋体" w:hAnsi="宋体" w:cs="宋体" w:eastAsia="宋体" w:hint="default"/>
                <w:sz w:val="18"/>
                <w:szCs w:val="18"/>
              </w:rPr>
              <w:t>3</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right="-10"/>
              <w:jc w:val="right"/>
              <w:rPr>
                <w:rFonts w:ascii="宋体" w:hAnsi="宋体" w:cs="宋体" w:eastAsia="宋体" w:hint="default"/>
                <w:sz w:val="18"/>
                <w:szCs w:val="18"/>
              </w:rPr>
            </w:pPr>
            <w:r>
              <w:rPr>
                <w:rFonts w:ascii="宋体"/>
                <w:sz w:val="18"/>
              </w:rPr>
              <w:t>30</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至</w:t>
            </w:r>
            <w:r>
              <w:rPr>
                <w:rFonts w:ascii="宋体" w:hAnsi="宋体" w:cs="宋体" w:eastAsia="宋体" w:hint="default"/>
                <w:sz w:val="18"/>
                <w:szCs w:val="18"/>
              </w:rPr>
              <w:t>4</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right="-10"/>
              <w:jc w:val="right"/>
              <w:rPr>
                <w:rFonts w:ascii="宋体" w:hAnsi="宋体" w:cs="宋体" w:eastAsia="宋体" w:hint="default"/>
                <w:sz w:val="18"/>
                <w:szCs w:val="18"/>
              </w:rPr>
            </w:pPr>
            <w:r>
              <w:rPr>
                <w:rFonts w:ascii="宋体"/>
                <w:sz w:val="18"/>
              </w:rPr>
              <w:t>50</w:t>
            </w:r>
          </w:p>
        </w:tc>
      </w:tr>
      <w:tr>
        <w:trPr>
          <w:trHeight w:val="341" w:hRule="exact"/>
        </w:trPr>
        <w:tc>
          <w:tcPr>
            <w:tcW w:w="382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至</w:t>
            </w:r>
            <w:r>
              <w:rPr>
                <w:rFonts w:ascii="宋体" w:hAnsi="宋体" w:cs="宋体" w:eastAsia="宋体" w:hint="default"/>
                <w:sz w:val="18"/>
                <w:szCs w:val="18"/>
              </w:rPr>
              <w:t>5</w:t>
            </w:r>
            <w:r>
              <w:rPr>
                <w:rFonts w:ascii="宋体" w:hAnsi="宋体" w:cs="宋体" w:eastAsia="宋体" w:hint="default"/>
                <w:sz w:val="18"/>
                <w:szCs w:val="18"/>
              </w:rPr>
              <w:t>年</w:t>
            </w:r>
          </w:p>
        </w:tc>
        <w:tc>
          <w:tcPr>
            <w:tcW w:w="52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right="-10"/>
              <w:jc w:val="right"/>
              <w:rPr>
                <w:rFonts w:ascii="宋体" w:hAnsi="宋体" w:cs="宋体" w:eastAsia="宋体" w:hint="default"/>
                <w:sz w:val="18"/>
                <w:szCs w:val="18"/>
              </w:rPr>
            </w:pPr>
            <w:r>
              <w:rPr>
                <w:rFonts w:ascii="宋体"/>
                <w:sz w:val="18"/>
              </w:rPr>
              <w:t>70</w:t>
            </w:r>
          </w:p>
        </w:tc>
      </w:tr>
      <w:tr>
        <w:trPr>
          <w:trHeight w:val="355" w:hRule="exact"/>
        </w:trPr>
        <w:tc>
          <w:tcPr>
            <w:tcW w:w="382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524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5"/>
              <w:ind w:right="-10"/>
              <w:jc w:val="right"/>
              <w:rPr>
                <w:rFonts w:ascii="宋体" w:hAnsi="宋体" w:cs="宋体" w:eastAsia="宋体" w:hint="default"/>
                <w:sz w:val="18"/>
                <w:szCs w:val="18"/>
              </w:rPr>
            </w:pPr>
            <w:r>
              <w:rPr>
                <w:rFonts w:ascii="宋体"/>
                <w:sz w:val="18"/>
              </w:rPr>
              <w:t>100</w:t>
            </w:r>
          </w:p>
        </w:tc>
      </w:tr>
    </w:tbl>
    <w:p>
      <w:pPr>
        <w:pStyle w:val="BodyText"/>
        <w:spacing w:line="408" w:lineRule="auto" w:before="66"/>
        <w:ind w:right="1024"/>
        <w:jc w:val="left"/>
      </w:pPr>
      <w:r>
        <w:rPr>
          <w:spacing w:val="-2"/>
        </w:rPr>
        <w:t>其他应收款组合</w:t>
      </w:r>
      <w:r>
        <w:rPr>
          <w:rFonts w:ascii="宋体" w:hAnsi="宋体" w:cs="宋体" w:eastAsia="宋体" w:hint="default"/>
          <w:spacing w:val="-2"/>
        </w:rPr>
        <w:t>2</w:t>
      </w:r>
      <w:r>
        <w:rPr>
          <w:spacing w:val="-2"/>
        </w:rPr>
        <w:t>：本公司参考历史信用损失经验，结合当前状况以及对未来经济状况的预测，通过违约</w:t>
      </w:r>
      <w:r>
        <w:rPr>
          <w:spacing w:val="-14"/>
        </w:rPr>
        <w:t> </w:t>
      </w:r>
      <w:r>
        <w:rPr>
          <w:spacing w:val="-14"/>
        </w:rPr>
      </w:r>
      <w:r>
        <w:rPr/>
        <w:t>风险敞口和整个存续期预期信用损失率，预期不会产生信用减值。</w:t>
      </w:r>
      <w:r>
        <w:rPr>
          <w:w w:val="100"/>
        </w:rPr>
        <w:t> </w:t>
      </w:r>
      <w:r>
        <w:rPr>
          <w:spacing w:val="-2"/>
        </w:rPr>
        <w:t>其他应收款组合</w:t>
      </w:r>
      <w:r>
        <w:rPr>
          <w:rFonts w:ascii="宋体" w:hAnsi="宋体" w:cs="宋体" w:eastAsia="宋体" w:hint="default"/>
          <w:spacing w:val="-2"/>
        </w:rPr>
        <w:t>3</w:t>
      </w:r>
      <w:r>
        <w:rPr>
          <w:spacing w:val="-2"/>
        </w:rPr>
        <w:t>：本公司参考历史信用损失经验，结合当前状况以及对未来经济状况的预测，通过违约</w:t>
      </w:r>
      <w:r>
        <w:rPr>
          <w:spacing w:val="-14"/>
        </w:rPr>
        <w:t> </w:t>
      </w:r>
      <w:r>
        <w:rPr>
          <w:spacing w:val="-14"/>
        </w:rPr>
      </w:r>
      <w:r>
        <w:rPr/>
        <w:t>风险敞口和整个存续期预期信用损失率，为每项债权单独计算信用减值损失率。</w:t>
      </w:r>
    </w:p>
    <w:p>
      <w:pPr>
        <w:pStyle w:val="Heading4"/>
        <w:spacing w:line="240" w:lineRule="auto" w:before="48"/>
        <w:ind w:right="1024"/>
        <w:jc w:val="left"/>
        <w:rPr>
          <w:b w:val="0"/>
          <w:bCs w:val="0"/>
        </w:rPr>
      </w:pPr>
      <w:bookmarkStart w:name="15、存货" w:id="241"/>
      <w:bookmarkEnd w:id="241"/>
      <w:r>
        <w:rPr>
          <w:b w:val="0"/>
          <w:bCs w:val="0"/>
        </w:rPr>
      </w:r>
      <w:r>
        <w:rPr>
          <w:rFonts w:ascii="宋体" w:hAnsi="宋体" w:cs="宋体" w:eastAsia="宋体" w:hint="default"/>
        </w:rPr>
        <w:t>15</w:t>
      </w:r>
      <w:r>
        <w:rPr/>
        <w:t>、存货</w:t>
      </w:r>
      <w:r>
        <w:rPr>
          <w:b w:val="0"/>
          <w:bCs w:val="0"/>
        </w:rPr>
      </w:r>
    </w:p>
    <w:p>
      <w:pPr>
        <w:spacing w:line="240" w:lineRule="auto" w:before="8"/>
        <w:rPr>
          <w:rFonts w:ascii="宋体" w:hAnsi="宋体" w:cs="宋体" w:eastAsia="宋体" w:hint="default"/>
          <w:b/>
          <w:bCs/>
          <w:sz w:val="14"/>
          <w:szCs w:val="14"/>
        </w:rPr>
      </w:pPr>
    </w:p>
    <w:p>
      <w:pPr>
        <w:pStyle w:val="BodyText"/>
        <w:spacing w:line="410" w:lineRule="auto"/>
        <w:ind w:left="575" w:right="2353" w:hanging="423"/>
        <w:jc w:val="left"/>
      </w:pPr>
      <w:r>
        <w:rPr>
          <w:rFonts w:ascii="宋体" w:hAnsi="宋体" w:cs="宋体" w:eastAsia="宋体" w:hint="default"/>
        </w:rPr>
        <w:t>15.1 </w:t>
      </w:r>
      <w:r>
        <w:rPr/>
        <w:t>存货的类别</w:t>
      </w:r>
      <w:r>
        <w:rPr>
          <w:spacing w:val="-102"/>
        </w:rPr>
        <w:t> </w:t>
      </w:r>
      <w:r>
        <w:rPr>
          <w:spacing w:val="-102"/>
        </w:rPr>
      </w:r>
      <w:r>
        <w:rPr>
          <w:spacing w:val="-2"/>
        </w:rPr>
        <w:t>存货包括原材料、在产品、产成品和周转材料等，按成本与可变现净值孰低列示。</w:t>
      </w:r>
    </w:p>
    <w:p>
      <w:pPr>
        <w:pStyle w:val="BodyText"/>
        <w:spacing w:line="410" w:lineRule="auto" w:before="41"/>
        <w:ind w:left="575" w:right="1024" w:hanging="423"/>
        <w:jc w:val="left"/>
      </w:pPr>
      <w:r>
        <w:rPr>
          <w:rFonts w:ascii="宋体" w:hAnsi="宋体" w:cs="宋体" w:eastAsia="宋体" w:hint="default"/>
        </w:rPr>
        <w:t>15.2 </w:t>
      </w:r>
      <w:r>
        <w:rPr/>
        <w:t>发出存货的计价方法</w:t>
      </w:r>
      <w:r>
        <w:rPr>
          <w:spacing w:val="-102"/>
        </w:rPr>
        <w:t> </w:t>
      </w:r>
      <w:r>
        <w:rPr>
          <w:spacing w:val="-102"/>
        </w:rPr>
      </w:r>
      <w:r>
        <w:rPr>
          <w:spacing w:val="-2"/>
        </w:rPr>
        <w:t>存货发出时的成本按加权平均法核算，产成品和在产品成本包括原材料、直接人工以及在正常生产能</w:t>
      </w:r>
    </w:p>
    <w:p>
      <w:pPr>
        <w:pStyle w:val="BodyText"/>
        <w:spacing w:line="410" w:lineRule="auto" w:before="41"/>
        <w:ind w:right="3709"/>
        <w:jc w:val="left"/>
      </w:pPr>
      <w:r>
        <w:rPr>
          <w:spacing w:val="-2"/>
        </w:rPr>
        <w:t>力下按照一定方法分配的制造费用。周转材料包括低值易耗品和包装物等。</w:t>
      </w:r>
      <w:r>
        <w:rPr>
          <w:spacing w:val="-40"/>
        </w:rPr>
        <w:t> </w:t>
      </w:r>
      <w:r>
        <w:rPr>
          <w:spacing w:val="-40"/>
        </w:rPr>
      </w:r>
      <w:r>
        <w:rPr>
          <w:rFonts w:ascii="宋体" w:hAnsi="宋体" w:cs="宋体" w:eastAsia="宋体" w:hint="default"/>
        </w:rPr>
        <w:t>15.3</w:t>
      </w:r>
      <w:r>
        <w:rPr>
          <w:rFonts w:ascii="宋体" w:hAnsi="宋体" w:cs="宋体" w:eastAsia="宋体" w:hint="default"/>
          <w:spacing w:val="1"/>
        </w:rPr>
        <w:t> </w:t>
      </w:r>
      <w:r>
        <w:rPr/>
        <w:t>确定不同类别存货可变现净值的依据</w:t>
      </w:r>
    </w:p>
    <w:p>
      <w:pPr>
        <w:pStyle w:val="BodyText"/>
        <w:spacing w:line="410" w:lineRule="auto" w:before="41"/>
        <w:ind w:right="1124" w:firstLine="422"/>
        <w:jc w:val="both"/>
      </w:pPr>
      <w:r>
        <w:rPr>
          <w:spacing w:val="-7"/>
        </w:rPr>
        <w:t>存货成本高于其可变现净值的，计提存货跌价准备，计入当期损益。可变现净值，是指在日常活动中，</w:t>
      </w:r>
      <w:r>
        <w:rPr>
          <w:w w:val="100"/>
        </w:rPr>
        <w:t> </w:t>
      </w:r>
      <w:r>
        <w:rPr>
          <w:spacing w:val="-2"/>
        </w:rPr>
        <w:t>存货的估计售价减去至完工时估计将要发生的成本、估计的销售费用以及相关税费后的金额。公司确定存</w:t>
      </w:r>
      <w:r>
        <w:rPr>
          <w:spacing w:val="-33"/>
        </w:rPr>
        <w:t> </w:t>
      </w:r>
      <w:r>
        <w:rPr>
          <w:spacing w:val="-33"/>
        </w:rPr>
      </w:r>
      <w:r>
        <w:rPr>
          <w:spacing w:val="-2"/>
        </w:rPr>
        <w:t>货的可变现净值，以取得的确凿证据为基础，并且考虑持有存货的目的、资产负债表日后事项的影响等因</w:t>
      </w:r>
      <w:r>
        <w:rPr>
          <w:spacing w:val="-33"/>
        </w:rPr>
        <w:t> </w:t>
      </w:r>
      <w:r>
        <w:rPr>
          <w:spacing w:val="-33"/>
        </w:rPr>
      </w:r>
      <w:r>
        <w:rPr/>
        <w:t>素。</w:t>
      </w:r>
    </w:p>
    <w:p>
      <w:pPr>
        <w:pStyle w:val="BodyText"/>
        <w:spacing w:line="410" w:lineRule="auto" w:before="41"/>
        <w:ind w:right="1120" w:firstLine="422"/>
        <w:jc w:val="both"/>
      </w:pPr>
      <w:r>
        <w:rPr>
          <w:spacing w:val="-2"/>
        </w:rPr>
        <w:t>为生产而持有的材料等，用其生产的产成品的可变现净值高于成本的，该材料仍然按照成本计量；材</w:t>
      </w:r>
      <w:r>
        <w:rPr>
          <w:w w:val="100"/>
        </w:rPr>
        <w:t> </w:t>
      </w:r>
      <w:r>
        <w:rPr/>
        <w:t>料价格的下降表明产成品的可变现净值低于成本的，该材料按照可变现净值计量。</w:t>
      </w:r>
    </w:p>
    <w:p>
      <w:pPr>
        <w:pStyle w:val="BodyText"/>
        <w:spacing w:line="410" w:lineRule="auto" w:before="41"/>
        <w:ind w:right="1125" w:firstLine="422"/>
        <w:jc w:val="both"/>
      </w:pPr>
      <w:r>
        <w:rPr>
          <w:spacing w:val="-2"/>
        </w:rPr>
        <w:t>为执行销售合同或者劳务合同而持有的存货，其可变现净值以合同价格为基础计算。持有存货的数量</w:t>
      </w:r>
      <w:r>
        <w:rPr>
          <w:w w:val="100"/>
        </w:rPr>
        <w:t> </w:t>
      </w:r>
      <w:r>
        <w:rPr/>
        <w:t>多于销售合同订购数量的，超出部分的存货的可变现净值以一般销售价格为基础计算。</w:t>
      </w:r>
    </w:p>
    <w:p>
      <w:pPr>
        <w:pStyle w:val="BodyText"/>
        <w:spacing w:line="410" w:lineRule="auto" w:before="42"/>
        <w:ind w:left="575" w:right="5885" w:hanging="423"/>
        <w:jc w:val="left"/>
      </w:pPr>
      <w:r>
        <w:rPr>
          <w:rFonts w:ascii="宋体" w:hAnsi="宋体" w:cs="宋体" w:eastAsia="宋体" w:hint="default"/>
        </w:rPr>
        <w:t>15.4 </w:t>
      </w:r>
      <w:r>
        <w:rPr/>
        <w:t>存货的盘存制度</w:t>
      </w:r>
      <w:r>
        <w:rPr>
          <w:spacing w:val="-100"/>
        </w:rPr>
        <w:t> </w:t>
      </w:r>
      <w:r>
        <w:rPr>
          <w:spacing w:val="-100"/>
        </w:rPr>
      </w:r>
      <w:r>
        <w:rPr>
          <w:spacing w:val="-2"/>
        </w:rPr>
        <w:t>存货盘存制度采用永续盘存制。</w:t>
      </w:r>
    </w:p>
    <w:p>
      <w:pPr>
        <w:spacing w:after="0" w:line="410" w:lineRule="auto"/>
        <w:jc w:val="left"/>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408" w:lineRule="auto"/>
        <w:ind w:left="575" w:right="5885" w:hanging="423"/>
        <w:jc w:val="left"/>
      </w:pPr>
      <w:r>
        <w:rPr>
          <w:rFonts w:ascii="宋体" w:hAnsi="宋体" w:cs="宋体" w:eastAsia="宋体" w:hint="default"/>
        </w:rPr>
        <w:t>15.5 </w:t>
      </w:r>
      <w:r>
        <w:rPr/>
        <w:t>低值易耗品和包装物的摊销方法</w:t>
      </w:r>
      <w:r>
        <w:rPr>
          <w:spacing w:val="-101"/>
        </w:rPr>
        <w:t> </w:t>
      </w:r>
      <w:r>
        <w:rPr>
          <w:spacing w:val="-101"/>
        </w:rPr>
      </w:r>
      <w:r>
        <w:rPr>
          <w:spacing w:val="-1"/>
        </w:rPr>
        <w:t>低值易耗品在领用时采用五五摊销法核算成本。</w:t>
      </w:r>
      <w:r>
        <w:rPr>
          <w:w w:val="100"/>
        </w:rPr>
        <w:t> </w:t>
      </w:r>
      <w:r>
        <w:rPr/>
        <w:t>包装物在领用时采用一次转销法核算成本。</w:t>
      </w:r>
    </w:p>
    <w:p>
      <w:pPr>
        <w:pStyle w:val="Heading4"/>
        <w:spacing w:line="240" w:lineRule="auto" w:before="43"/>
        <w:ind w:right="1024"/>
        <w:jc w:val="left"/>
        <w:rPr>
          <w:b w:val="0"/>
          <w:bCs w:val="0"/>
        </w:rPr>
      </w:pPr>
      <w:bookmarkStart w:name="16、 合同资产" w:id="242"/>
      <w:bookmarkEnd w:id="242"/>
      <w:r>
        <w:rPr>
          <w:b w:val="0"/>
          <w:bCs w:val="0"/>
        </w:rPr>
      </w:r>
      <w:r>
        <w:rPr>
          <w:rFonts w:ascii="宋体" w:hAnsi="宋体" w:cs="宋体" w:eastAsia="宋体" w:hint="default"/>
        </w:rPr>
        <w:t>16</w:t>
      </w:r>
      <w:r>
        <w:rPr/>
        <w:t>、合同资产</w:t>
      </w:r>
      <w:r>
        <w:rPr>
          <w:b w:val="0"/>
          <w:bCs w:val="0"/>
        </w:rPr>
      </w:r>
    </w:p>
    <w:p>
      <w:pPr>
        <w:spacing w:line="240" w:lineRule="auto" w:before="12"/>
        <w:rPr>
          <w:rFonts w:ascii="宋体" w:hAnsi="宋体" w:cs="宋体" w:eastAsia="宋体" w:hint="default"/>
          <w:b/>
          <w:bCs/>
          <w:sz w:val="14"/>
          <w:szCs w:val="14"/>
        </w:rPr>
      </w:pPr>
    </w:p>
    <w:p>
      <w:pPr>
        <w:spacing w:line="405" w:lineRule="auto" w:before="0"/>
        <w:ind w:left="15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17、 合同成本" w:id="243"/>
      <w:bookmarkEnd w:id="243"/>
      <w:r>
        <w:rPr>
          <w:rFonts w:ascii="宋体" w:hAnsi="宋体" w:cs="宋体" w:eastAsia="宋体" w:hint="default"/>
          <w:w w:val="100"/>
          <w:sz w:val="21"/>
          <w:szCs w:val="21"/>
        </w:rPr>
      </w:r>
      <w:r>
        <w:rPr>
          <w:rFonts w:ascii="宋体" w:hAnsi="宋体" w:cs="宋体" w:eastAsia="宋体" w:hint="default"/>
          <w:b/>
          <w:bCs/>
          <w:sz w:val="21"/>
          <w:szCs w:val="21"/>
        </w:rPr>
        <w:t>17</w:t>
      </w:r>
      <w:r>
        <w:rPr>
          <w:rFonts w:ascii="宋体" w:hAnsi="宋体" w:cs="宋体" w:eastAsia="宋体" w:hint="default"/>
          <w:b/>
          <w:bCs/>
          <w:sz w:val="21"/>
          <w:szCs w:val="21"/>
        </w:rPr>
        <w:t>、合同成本</w:t>
      </w:r>
      <w:r>
        <w:rPr>
          <w:rFonts w:ascii="宋体" w:hAnsi="宋体" w:cs="宋体" w:eastAsia="宋体" w:hint="default"/>
          <w:sz w:val="21"/>
          <w:szCs w:val="21"/>
        </w:rPr>
      </w:r>
    </w:p>
    <w:p>
      <w:pPr>
        <w:spacing w:line="405" w:lineRule="auto" w:before="51"/>
        <w:ind w:left="15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18、持有待售资产" w:id="244"/>
      <w:bookmarkEnd w:id="244"/>
      <w:r>
        <w:rPr>
          <w:rFonts w:ascii="宋体" w:hAnsi="宋体" w:cs="宋体" w:eastAsia="宋体" w:hint="default"/>
          <w:w w:val="100"/>
          <w:sz w:val="21"/>
          <w:szCs w:val="21"/>
        </w:rPr>
      </w:r>
      <w:r>
        <w:rPr>
          <w:rFonts w:ascii="宋体" w:hAnsi="宋体" w:cs="宋体" w:eastAsia="宋体" w:hint="default"/>
          <w:b/>
          <w:bCs/>
          <w:sz w:val="21"/>
          <w:szCs w:val="21"/>
        </w:rPr>
        <w:t>18</w:t>
      </w:r>
      <w:r>
        <w:rPr>
          <w:rFonts w:ascii="宋体" w:hAnsi="宋体" w:cs="宋体" w:eastAsia="宋体" w:hint="default"/>
          <w:b/>
          <w:bCs/>
          <w:sz w:val="21"/>
          <w:szCs w:val="21"/>
        </w:rPr>
        <w:t>、持有待售资产</w:t>
      </w:r>
      <w:r>
        <w:rPr>
          <w:rFonts w:ascii="宋体" w:hAnsi="宋体" w:cs="宋体" w:eastAsia="宋体" w:hint="default"/>
          <w:sz w:val="21"/>
          <w:szCs w:val="21"/>
        </w:rPr>
      </w:r>
    </w:p>
    <w:p>
      <w:pPr>
        <w:pStyle w:val="BodyText"/>
        <w:spacing w:line="408" w:lineRule="auto" w:before="50"/>
        <w:ind w:left="575" w:right="2353" w:hanging="423"/>
        <w:jc w:val="left"/>
      </w:pPr>
      <w:r>
        <w:rPr>
          <w:rFonts w:ascii="宋体" w:hAnsi="宋体" w:cs="宋体" w:eastAsia="宋体" w:hint="default"/>
        </w:rPr>
        <w:t>18.1</w:t>
      </w:r>
      <w:r>
        <w:rPr/>
        <w:t>划分为持有待售资产的条件</w:t>
      </w:r>
      <w:r>
        <w:rPr>
          <w:w w:val="100"/>
        </w:rPr>
        <w:t> </w:t>
      </w:r>
      <w:r>
        <w:rPr/>
        <w:t>同时满足下列条件的非流动资产或处置组，确认为持有待售资产：</w:t>
      </w:r>
      <w:r>
        <w:rPr>
          <w:w w:val="100"/>
        </w:rPr>
        <w:t> </w:t>
      </w:r>
      <w:r>
        <w:rPr>
          <w:rFonts w:ascii="宋体" w:hAnsi="宋体" w:cs="宋体" w:eastAsia="宋体" w:hint="default"/>
          <w:spacing w:val="-2"/>
        </w:rPr>
        <w:t>1</w:t>
      </w:r>
      <w:r>
        <w:rPr>
          <w:spacing w:val="-2"/>
        </w:rPr>
        <w:t>）根据类似交易中出售此类资产或处置组的惯例，在当前状况下即可立即出售；</w:t>
      </w:r>
    </w:p>
    <w:p>
      <w:pPr>
        <w:pStyle w:val="BodyText"/>
        <w:spacing w:line="410" w:lineRule="auto" w:before="43"/>
        <w:ind w:right="1207" w:firstLine="422"/>
        <w:jc w:val="both"/>
      </w:pPr>
      <w:r>
        <w:rPr>
          <w:rFonts w:ascii="宋体" w:hAnsi="宋体" w:cs="宋体" w:eastAsia="宋体" w:hint="default"/>
          <w:spacing w:val="-2"/>
        </w:rPr>
        <w:t>2</w:t>
      </w:r>
      <w:r>
        <w:rPr>
          <w:spacing w:val="-2"/>
        </w:rPr>
        <w:t>）出售极可能发生，即公司已经就一项出售计划作出决议且获得确定的购买承诺，预计出售将在一</w:t>
      </w:r>
      <w:r>
        <w:rPr>
          <w:w w:val="100"/>
        </w:rPr>
        <w:t> </w:t>
      </w:r>
      <w:r>
        <w:rPr/>
        <w:t>年内完成。有关规定要求公司相关权力机构或者监管部门批准后方可出售的，已经获得批准。</w:t>
      </w:r>
    </w:p>
    <w:p>
      <w:pPr>
        <w:pStyle w:val="BodyText"/>
        <w:spacing w:line="408" w:lineRule="auto" w:before="42"/>
        <w:ind w:right="1024" w:firstLine="422"/>
        <w:jc w:val="left"/>
      </w:pPr>
      <w:r>
        <w:rPr>
          <w:spacing w:val="-2"/>
        </w:rPr>
        <w:t>确定的购买承诺，是指公司与其他方签订的具有法律约束力的购买协议，该协议包含交易价格、时间</w:t>
      </w:r>
      <w:r>
        <w:rPr>
          <w:w w:val="100"/>
        </w:rPr>
        <w:t> </w:t>
      </w:r>
      <w:r>
        <w:rPr/>
        <w:t>和足够严厉的违约惩罚等重要条款，使协议出现重大调整或者撤销的可能性极小。</w:t>
      </w:r>
      <w:r>
        <w:rPr>
          <w:spacing w:val="-102"/>
        </w:rPr>
        <w:t> </w:t>
      </w:r>
      <w:r>
        <w:rPr>
          <w:spacing w:val="-102"/>
        </w:rPr>
      </w:r>
      <w:r>
        <w:rPr>
          <w:rFonts w:ascii="宋体" w:hAnsi="宋体" w:cs="宋体" w:eastAsia="宋体" w:hint="default"/>
        </w:rPr>
        <w:t>18.2</w:t>
      </w:r>
      <w:r>
        <w:rPr/>
        <w:t>持有待售的非流动资产或处置组的计量</w:t>
      </w:r>
    </w:p>
    <w:p>
      <w:pPr>
        <w:pStyle w:val="BodyText"/>
        <w:spacing w:line="408" w:lineRule="auto" w:before="48"/>
        <w:ind w:right="1125" w:firstLine="422"/>
        <w:jc w:val="both"/>
      </w:pPr>
      <w:r>
        <w:rPr>
          <w:spacing w:val="-2"/>
        </w:rPr>
        <w:t>公司初始计量或在资产负债表日重新计量持有待售的非流动资产或处置组时，其账面价值高于公允价</w:t>
      </w:r>
      <w:r>
        <w:rPr>
          <w:w w:val="100"/>
        </w:rPr>
        <w:t> </w:t>
      </w:r>
      <w:r>
        <w:rPr>
          <w:spacing w:val="-2"/>
        </w:rPr>
        <w:t>值减去出售费用后的净额的，将账面价值减记至公允价值减去出售费用后的净额，减记的金额确认为资产</w:t>
      </w:r>
      <w:r>
        <w:rPr>
          <w:spacing w:val="-33"/>
        </w:rPr>
        <w:t> </w:t>
      </w:r>
      <w:r>
        <w:rPr>
          <w:spacing w:val="-33"/>
        </w:rPr>
      </w:r>
      <w:r>
        <w:rPr/>
        <w:t>减值损失，计入当期损益，同时计提持有待售资产减值准备。</w:t>
      </w:r>
    </w:p>
    <w:p>
      <w:pPr>
        <w:pStyle w:val="BodyText"/>
        <w:spacing w:line="410" w:lineRule="auto" w:before="43"/>
        <w:ind w:right="1125" w:firstLine="422"/>
        <w:jc w:val="both"/>
      </w:pPr>
      <w:r>
        <w:rPr>
          <w:spacing w:val="-2"/>
        </w:rPr>
        <w:t>对于取得日划分为持有待售类别的非流动资产或处置组，公司在初始计量时比较假定其不划分为持有</w:t>
      </w:r>
      <w:r>
        <w:rPr>
          <w:w w:val="100"/>
        </w:rPr>
        <w:t> </w:t>
      </w:r>
      <w:r>
        <w:rPr>
          <w:spacing w:val="-2"/>
        </w:rPr>
        <w:t>待售类别情况下的初始计量金额和公允价值减去出售费用后的净额，以两者孰低计量。除公司合并中取得</w:t>
      </w:r>
      <w:r>
        <w:rPr>
          <w:spacing w:val="-33"/>
        </w:rPr>
        <w:t> </w:t>
      </w:r>
      <w:r>
        <w:rPr>
          <w:spacing w:val="-33"/>
        </w:rPr>
      </w:r>
      <w:r>
        <w:rPr>
          <w:spacing w:val="-2"/>
        </w:rPr>
        <w:t>的非流动资产或处置组外，由非流动资产或处置组以公允价值减去出售费用后的净额作为初始计量金额而</w:t>
      </w:r>
      <w:r>
        <w:rPr>
          <w:spacing w:val="-33"/>
        </w:rPr>
        <w:t> </w:t>
      </w:r>
      <w:r>
        <w:rPr>
          <w:spacing w:val="-33"/>
        </w:rPr>
      </w:r>
      <w:r>
        <w:rPr/>
        <w:t>产生的差额，计入当期损益。</w:t>
      </w:r>
    </w:p>
    <w:p>
      <w:pPr>
        <w:pStyle w:val="BodyText"/>
        <w:spacing w:line="410" w:lineRule="auto" w:before="41"/>
        <w:ind w:right="1121" w:firstLine="422"/>
        <w:jc w:val="both"/>
      </w:pPr>
      <w:r>
        <w:rPr>
          <w:spacing w:val="-2"/>
        </w:rPr>
        <w:t>公司在资产负债表日重新计量持有待售的处置组时，首先按照相关会计准则规定计量处置组中资产和</w:t>
      </w:r>
      <w:r>
        <w:rPr>
          <w:w w:val="100"/>
        </w:rPr>
        <w:t> </w:t>
      </w:r>
      <w:r>
        <w:rPr/>
        <w:t>负债的账面价值，然后按照上款的规定进行会计处理。</w:t>
      </w:r>
    </w:p>
    <w:p>
      <w:pPr>
        <w:pStyle w:val="BodyText"/>
        <w:spacing w:line="410" w:lineRule="auto" w:before="41"/>
        <w:ind w:right="1122" w:firstLine="422"/>
        <w:jc w:val="both"/>
      </w:pPr>
      <w:r>
        <w:rPr>
          <w:spacing w:val="-2"/>
        </w:rPr>
        <w:t>对于持有待售的处置组确认的资产减值损失金额，先抵减处置组中商誉的账面价值，再根据处置组中</w:t>
      </w:r>
      <w:r>
        <w:rPr>
          <w:w w:val="100"/>
        </w:rPr>
        <w:t> </w:t>
      </w:r>
      <w:r>
        <w:rPr/>
        <w:t>适用准则计量规定的各项非流动资产账面价值所占比重，按比例抵减其账面价值。</w:t>
      </w:r>
    </w:p>
    <w:p>
      <w:pPr>
        <w:pStyle w:val="BodyText"/>
        <w:spacing w:line="408" w:lineRule="auto" w:before="42"/>
        <w:ind w:right="1125" w:firstLine="422"/>
        <w:jc w:val="both"/>
      </w:pPr>
      <w:r>
        <w:rPr>
          <w:spacing w:val="-2"/>
        </w:rPr>
        <w:t>后续资产负债表日持有待售的非流动资产公允价值减去出售费用后的净额增加的，以前减记的金额予</w:t>
      </w:r>
      <w:r>
        <w:rPr>
          <w:w w:val="100"/>
        </w:rPr>
        <w:t> </w:t>
      </w:r>
      <w:r>
        <w:rPr>
          <w:spacing w:val="-2"/>
        </w:rPr>
        <w:t>以恢复，并在划分为持有待售类别后确认的资产减值损失金额内转回，转回金额计入当期损益。划分为持</w:t>
      </w:r>
      <w:r>
        <w:rPr>
          <w:spacing w:val="-33"/>
        </w:rPr>
        <w:t> </w:t>
      </w:r>
      <w:r>
        <w:rPr>
          <w:spacing w:val="-33"/>
        </w:rPr>
      </w:r>
      <w:r>
        <w:rPr/>
        <w:t>有待售类别前确认的资产减值损失不得转回。</w:t>
      </w:r>
    </w:p>
    <w:p>
      <w:pPr>
        <w:spacing w:after="0" w:line="408" w:lineRule="auto"/>
        <w:jc w:val="both"/>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408" w:lineRule="auto"/>
        <w:ind w:right="1125" w:firstLine="422"/>
        <w:jc w:val="both"/>
      </w:pPr>
      <w:r>
        <w:rPr>
          <w:spacing w:val="-2"/>
        </w:rPr>
        <w:t>后续资产负债表日持有待售的处置组公允价值减去出售费用后的净额增加的，以前减记的金额予以恢</w:t>
      </w:r>
      <w:r>
        <w:rPr>
          <w:w w:val="100"/>
        </w:rPr>
        <w:t> </w:t>
      </w:r>
      <w:r>
        <w:rPr>
          <w:spacing w:val="-2"/>
        </w:rPr>
        <w:t>复，并在划分为持有待售类别后适用准则计量规定的非流动资产确认的资产减值损失金额内转回，转回金</w:t>
      </w:r>
      <w:r>
        <w:rPr>
          <w:spacing w:val="-33"/>
        </w:rPr>
        <w:t> </w:t>
      </w:r>
      <w:r>
        <w:rPr>
          <w:spacing w:val="-33"/>
        </w:rPr>
      </w:r>
      <w:r>
        <w:rPr>
          <w:spacing w:val="-2"/>
        </w:rPr>
        <w:t>额计入当期损益。已抵减的商誉账面价值，以及适用准则计量规定的非流动资产在划分为持有待售类别前</w:t>
      </w:r>
      <w:r>
        <w:rPr>
          <w:spacing w:val="-33"/>
        </w:rPr>
        <w:t> </w:t>
      </w:r>
      <w:r>
        <w:rPr>
          <w:spacing w:val="-33"/>
        </w:rPr>
      </w:r>
      <w:r>
        <w:rPr/>
        <w:t>确认的资产减值损失不得转回。</w:t>
      </w:r>
    </w:p>
    <w:p>
      <w:pPr>
        <w:pStyle w:val="BodyText"/>
        <w:spacing w:line="405" w:lineRule="auto" w:before="48"/>
        <w:ind w:right="1126" w:firstLine="422"/>
        <w:jc w:val="both"/>
      </w:pPr>
      <w:r>
        <w:rPr>
          <w:spacing w:val="-2"/>
        </w:rPr>
        <w:t>持有待售的处置组确认的资产减值损失后续转回金额，根据处置组中除商誉外适用准则计量规定的各</w:t>
      </w:r>
      <w:r>
        <w:rPr>
          <w:w w:val="100"/>
        </w:rPr>
        <w:t> </w:t>
      </w:r>
      <w:r>
        <w:rPr/>
        <w:t>项非流动资产账面价值所占比重，按比例增加其账面价值。</w:t>
      </w:r>
    </w:p>
    <w:p>
      <w:pPr>
        <w:pStyle w:val="BodyText"/>
        <w:spacing w:line="405" w:lineRule="auto" w:before="51"/>
        <w:ind w:right="1126" w:firstLine="422"/>
        <w:jc w:val="both"/>
      </w:pPr>
      <w:r>
        <w:rPr>
          <w:spacing w:val="-2"/>
        </w:rPr>
        <w:t>持有待售的非流动资产或处置组中的非流动资产不计提折旧或摊销，持有待售的处置组中负债的利息</w:t>
      </w:r>
      <w:r>
        <w:rPr>
          <w:w w:val="100"/>
        </w:rPr>
        <w:t> </w:t>
      </w:r>
      <w:r>
        <w:rPr/>
        <w:t>和其他费用继续予以确认。</w:t>
      </w:r>
    </w:p>
    <w:p>
      <w:pPr>
        <w:pStyle w:val="BodyText"/>
        <w:spacing w:line="408" w:lineRule="auto" w:before="50"/>
        <w:ind w:right="1129" w:firstLine="422"/>
        <w:jc w:val="both"/>
      </w:pPr>
      <w:r>
        <w:rPr>
          <w:spacing w:val="2"/>
        </w:rPr>
        <w:t>非流动资产或处置组因不再满足持有待售类别的划分条件而不再继续划分为持有待售类别或非流动</w:t>
      </w:r>
      <w:r>
        <w:rPr>
          <w:w w:val="100"/>
        </w:rPr>
        <w:t> </w:t>
      </w:r>
      <w:r>
        <w:rPr/>
        <w:t>资产从持有待售的处置组中移除时，按照以下两者孰低计量：</w:t>
      </w:r>
    </w:p>
    <w:p>
      <w:pPr>
        <w:pStyle w:val="BodyText"/>
        <w:spacing w:line="405" w:lineRule="auto" w:before="48"/>
        <w:ind w:right="1135" w:firstLine="422"/>
        <w:jc w:val="both"/>
      </w:pPr>
      <w:r>
        <w:rPr>
          <w:rFonts w:ascii="宋体" w:hAnsi="宋体" w:cs="宋体" w:eastAsia="宋体" w:hint="default"/>
        </w:rPr>
        <w:t>1</w:t>
      </w:r>
      <w:r>
        <w:rPr/>
        <w:t>）划分为持有待售类别前的账面价值，按照假定不划分为持有待售类别情况下本应确认的折旧、摊</w:t>
      </w:r>
      <w:r>
        <w:rPr>
          <w:w w:val="100"/>
        </w:rPr>
        <w:t> </w:t>
      </w:r>
      <w:r>
        <w:rPr/>
        <w:t>销或减值等进行调整后的金额；</w:t>
      </w:r>
    </w:p>
    <w:p>
      <w:pPr>
        <w:pStyle w:val="BodyText"/>
        <w:spacing w:line="408" w:lineRule="auto" w:before="50"/>
        <w:ind w:left="575" w:right="1024"/>
        <w:jc w:val="left"/>
      </w:pPr>
      <w:r>
        <w:rPr>
          <w:rFonts w:ascii="宋体" w:hAnsi="宋体" w:cs="宋体" w:eastAsia="宋体" w:hint="default"/>
        </w:rPr>
        <w:t>2</w:t>
      </w:r>
      <w:r>
        <w:rPr/>
        <w:t>）可收回金额。</w:t>
      </w:r>
      <w:r>
        <w:rPr>
          <w:spacing w:val="-101"/>
        </w:rPr>
        <w:t> </w:t>
      </w:r>
      <w:r>
        <w:rPr>
          <w:spacing w:val="-101"/>
        </w:rPr>
      </w:r>
      <w:r>
        <w:rPr>
          <w:spacing w:val="-2"/>
        </w:rPr>
        <w:t>公司终止确认持有待售的非流动资产或处置组时，将尚未确认的利得或损失计入当期损益。</w:t>
      </w:r>
    </w:p>
    <w:p>
      <w:pPr>
        <w:pStyle w:val="Heading4"/>
        <w:spacing w:line="240" w:lineRule="auto" w:before="48"/>
        <w:ind w:right="1024"/>
        <w:jc w:val="left"/>
        <w:rPr>
          <w:b w:val="0"/>
          <w:bCs w:val="0"/>
        </w:rPr>
      </w:pPr>
      <w:bookmarkStart w:name="19、债权投资" w:id="245"/>
      <w:bookmarkEnd w:id="245"/>
      <w:r>
        <w:rPr>
          <w:b w:val="0"/>
          <w:bCs w:val="0"/>
        </w:rPr>
      </w:r>
      <w:r>
        <w:rPr>
          <w:rFonts w:ascii="宋体" w:hAnsi="宋体" w:cs="宋体" w:eastAsia="宋体" w:hint="default"/>
        </w:rPr>
        <w:t>19</w:t>
      </w:r>
      <w:r>
        <w:rPr/>
        <w:t>、债权投资</w:t>
      </w:r>
      <w:r>
        <w:rPr>
          <w:b w:val="0"/>
          <w:bCs w:val="0"/>
        </w:rPr>
      </w:r>
    </w:p>
    <w:p>
      <w:pPr>
        <w:spacing w:line="240" w:lineRule="auto" w:before="8"/>
        <w:rPr>
          <w:rFonts w:ascii="宋体" w:hAnsi="宋体" w:cs="宋体" w:eastAsia="宋体" w:hint="default"/>
          <w:b/>
          <w:bCs/>
          <w:sz w:val="14"/>
          <w:szCs w:val="14"/>
        </w:rPr>
      </w:pPr>
    </w:p>
    <w:p>
      <w:pPr>
        <w:spacing w:line="410" w:lineRule="auto" w:before="0"/>
        <w:ind w:left="15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20、 其他债权投资" w:id="246"/>
      <w:bookmarkEnd w:id="246"/>
      <w:r>
        <w:rPr>
          <w:rFonts w:ascii="宋体" w:hAnsi="宋体" w:cs="宋体" w:eastAsia="宋体" w:hint="default"/>
          <w:w w:val="100"/>
          <w:sz w:val="21"/>
          <w:szCs w:val="21"/>
        </w:rPr>
      </w:r>
      <w:r>
        <w:rPr>
          <w:rFonts w:ascii="宋体" w:hAnsi="宋体" w:cs="宋体" w:eastAsia="宋体" w:hint="default"/>
          <w:b/>
          <w:bCs/>
          <w:sz w:val="21"/>
          <w:szCs w:val="21"/>
        </w:rPr>
        <w:t>20</w:t>
      </w:r>
      <w:r>
        <w:rPr>
          <w:rFonts w:ascii="宋体" w:hAnsi="宋体" w:cs="宋体" w:eastAsia="宋体" w:hint="default"/>
          <w:b/>
          <w:bCs/>
          <w:sz w:val="21"/>
          <w:szCs w:val="21"/>
        </w:rPr>
        <w:t>、其他债权投资</w:t>
      </w:r>
      <w:r>
        <w:rPr>
          <w:rFonts w:ascii="宋体" w:hAnsi="宋体" w:cs="宋体" w:eastAsia="宋体" w:hint="default"/>
          <w:sz w:val="21"/>
          <w:szCs w:val="21"/>
        </w:rPr>
      </w:r>
    </w:p>
    <w:p>
      <w:pPr>
        <w:spacing w:line="410" w:lineRule="auto" w:before="42"/>
        <w:ind w:left="15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21、 长期应收款" w:id="247"/>
      <w:bookmarkEnd w:id="247"/>
      <w:r>
        <w:rPr>
          <w:rFonts w:ascii="宋体" w:hAnsi="宋体" w:cs="宋体" w:eastAsia="宋体" w:hint="default"/>
          <w:w w:val="100"/>
          <w:sz w:val="21"/>
          <w:szCs w:val="21"/>
        </w:rPr>
      </w:r>
      <w:r>
        <w:rPr>
          <w:rFonts w:ascii="宋体" w:hAnsi="宋体" w:cs="宋体" w:eastAsia="宋体" w:hint="default"/>
          <w:b/>
          <w:bCs/>
          <w:sz w:val="21"/>
          <w:szCs w:val="21"/>
        </w:rPr>
        <w:t>21</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604" w:lineRule="auto" w:before="41"/>
        <w:ind w:left="15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22、长期股权投资" w:id="248"/>
      <w:bookmarkEnd w:id="248"/>
      <w:r>
        <w:rPr>
          <w:rFonts w:ascii="宋体" w:hAnsi="宋体" w:cs="宋体" w:eastAsia="宋体" w:hint="default"/>
          <w:w w:val="100"/>
          <w:sz w:val="21"/>
          <w:szCs w:val="21"/>
        </w:rPr>
      </w:r>
      <w:r>
        <w:rPr>
          <w:rFonts w:ascii="宋体" w:hAnsi="宋体" w:cs="宋体" w:eastAsia="宋体" w:hint="default"/>
          <w:b/>
          <w:bCs/>
          <w:sz w:val="21"/>
          <w:szCs w:val="21"/>
        </w:rPr>
        <w:t>22</w:t>
      </w:r>
      <w:r>
        <w:rPr>
          <w:rFonts w:ascii="宋体" w:hAnsi="宋体" w:cs="宋体" w:eastAsia="宋体" w:hint="default"/>
          <w:b/>
          <w:bCs/>
          <w:sz w:val="21"/>
          <w:szCs w:val="21"/>
        </w:rPr>
        <w:t>、长期股权投资</w:t>
      </w:r>
      <w:r>
        <w:rPr>
          <w:rFonts w:ascii="宋体" w:hAnsi="宋体" w:cs="宋体" w:eastAsia="宋体" w:hint="default"/>
          <w:sz w:val="21"/>
          <w:szCs w:val="21"/>
        </w:rPr>
      </w:r>
    </w:p>
    <w:p>
      <w:pPr>
        <w:pStyle w:val="BodyText"/>
        <w:spacing w:line="410" w:lineRule="auto" w:before="97"/>
        <w:ind w:left="575" w:right="1024" w:hanging="423"/>
        <w:jc w:val="left"/>
      </w:pPr>
      <w:r>
        <w:rPr>
          <w:rFonts w:ascii="宋体" w:hAnsi="宋体" w:cs="宋体" w:eastAsia="宋体" w:hint="default"/>
        </w:rPr>
        <w:t>22.1 </w:t>
      </w:r>
      <w:r>
        <w:rPr/>
        <w:t>共同控制、重大影响的判断标准</w:t>
      </w:r>
      <w:r>
        <w:rPr>
          <w:spacing w:val="-101"/>
        </w:rPr>
        <w:t> </w:t>
      </w:r>
      <w:r>
        <w:rPr>
          <w:spacing w:val="-101"/>
        </w:rPr>
      </w:r>
      <w:r>
        <w:rPr>
          <w:spacing w:val="-2"/>
        </w:rPr>
        <w:t>按照相关约定对某项安排所共有的控制，并且该安排的相关活动必须经过分享控制权的参与方一致同</w:t>
      </w:r>
    </w:p>
    <w:p>
      <w:pPr>
        <w:pStyle w:val="BodyText"/>
        <w:spacing w:line="410" w:lineRule="auto" w:before="42"/>
        <w:ind w:right="1024"/>
        <w:jc w:val="left"/>
      </w:pPr>
      <w:r>
        <w:rPr>
          <w:spacing w:val="-2"/>
        </w:rPr>
        <w:t>意后才能决策，则视为共同控制。如果存在两个或两个以上的参与方组合能够集体控制某项安排的，不视</w:t>
      </w:r>
      <w:r>
        <w:rPr>
          <w:spacing w:val="-33"/>
        </w:rPr>
        <w:t> </w:t>
      </w:r>
      <w:r>
        <w:rPr>
          <w:spacing w:val="-33"/>
        </w:rPr>
      </w:r>
      <w:r>
        <w:rPr/>
        <w:t>为共同控制。</w:t>
      </w:r>
    </w:p>
    <w:p>
      <w:pPr>
        <w:pStyle w:val="BodyText"/>
        <w:spacing w:line="410" w:lineRule="auto" w:before="41"/>
        <w:ind w:right="1121" w:firstLine="422"/>
        <w:jc w:val="both"/>
      </w:pPr>
      <w:r>
        <w:rPr>
          <w:spacing w:val="-2"/>
        </w:rPr>
        <w:t>对被投资单位的财务和经营政策有参与决策的权力，但并不能够控制或者与其他方一起共同控制这些</w:t>
      </w:r>
      <w:r>
        <w:rPr>
          <w:w w:val="100"/>
        </w:rPr>
        <w:t> </w:t>
      </w:r>
      <w:r>
        <w:rPr/>
        <w:t>政策的制定，则视为对被投资单位实施重大影响。</w:t>
      </w:r>
    </w:p>
    <w:p>
      <w:pPr>
        <w:pStyle w:val="BodyText"/>
        <w:spacing w:line="410" w:lineRule="auto" w:before="41"/>
        <w:ind w:left="575" w:right="1024" w:hanging="423"/>
        <w:jc w:val="left"/>
      </w:pPr>
      <w:r>
        <w:rPr>
          <w:rFonts w:ascii="宋体" w:hAnsi="宋体" w:cs="宋体" w:eastAsia="宋体" w:hint="default"/>
        </w:rPr>
        <w:t>22.2 </w:t>
      </w:r>
      <w:r>
        <w:rPr/>
        <w:t>初始投资成本确定</w:t>
      </w:r>
      <w:r>
        <w:rPr>
          <w:w w:val="100"/>
        </w:rPr>
        <w:t> </w:t>
      </w:r>
      <w:r>
        <w:rPr/>
        <w:t>企业合并形成的长期股权投资，按照本附注“</w:t>
      </w:r>
      <w:r>
        <w:rPr>
          <w:rFonts w:ascii="宋体" w:hAnsi="宋体" w:cs="宋体" w:eastAsia="宋体" w:hint="default"/>
        </w:rPr>
        <w:t>3.5</w:t>
      </w:r>
      <w:r>
        <w:rPr/>
        <w:t>同一控制下和非同一控制下企业合并的会计处理方</w:t>
      </w:r>
    </w:p>
    <w:p>
      <w:pPr>
        <w:spacing w:after="0" w:line="410" w:lineRule="auto"/>
        <w:jc w:val="left"/>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405" w:lineRule="auto"/>
        <w:ind w:right="1125"/>
        <w:jc w:val="both"/>
      </w:pPr>
      <w:r>
        <w:rPr>
          <w:spacing w:val="-7"/>
        </w:rPr>
        <w:t>法”的相关内容确认初始投资成本；除企业合并形成的长期股权投资以外，其他方式取得的长期股权投资，</w:t>
      </w:r>
      <w:r>
        <w:rPr>
          <w:spacing w:val="-6"/>
        </w:rPr>
        <w:t> </w:t>
      </w:r>
      <w:r>
        <w:rPr>
          <w:spacing w:val="-6"/>
        </w:rPr>
      </w:r>
      <w:r>
        <w:rPr/>
        <w:t>按照下述方法确认其初始投资成本：</w:t>
      </w:r>
    </w:p>
    <w:p>
      <w:pPr>
        <w:pStyle w:val="BodyText"/>
        <w:spacing w:line="405" w:lineRule="auto" w:before="51"/>
        <w:ind w:right="1135" w:firstLine="422"/>
        <w:jc w:val="both"/>
      </w:pPr>
      <w:r>
        <w:rPr>
          <w:rFonts w:ascii="宋体" w:hAnsi="宋体" w:cs="宋体" w:eastAsia="宋体" w:hint="default"/>
        </w:rPr>
        <w:t>1</w:t>
      </w:r>
      <w:r>
        <w:rPr/>
        <w:t>）以支付现金取得的长期股权投资，按照实际支付的购买价款作为初始投资成本。初始投资成本包</w:t>
      </w:r>
      <w:r>
        <w:rPr>
          <w:w w:val="100"/>
        </w:rPr>
        <w:t> </w:t>
      </w:r>
      <w:r>
        <w:rPr/>
        <w:t>括与取得长期股权投资直接相关的费用、税金及其他必要支出。</w:t>
      </w:r>
    </w:p>
    <w:p>
      <w:pPr>
        <w:pStyle w:val="BodyText"/>
        <w:spacing w:line="405" w:lineRule="auto" w:before="50"/>
        <w:ind w:right="1135" w:firstLine="422"/>
        <w:jc w:val="both"/>
      </w:pPr>
      <w:r>
        <w:rPr>
          <w:rFonts w:ascii="宋体" w:hAnsi="宋体" w:cs="宋体" w:eastAsia="宋体" w:hint="default"/>
        </w:rPr>
        <w:t>2</w:t>
      </w:r>
      <w:r>
        <w:rPr/>
        <w:t>）以发行权益性证券取得的长期股权投资，按照发行权益性证券的公允价值作为初始投资成本。与</w:t>
      </w:r>
      <w:r>
        <w:rPr>
          <w:w w:val="100"/>
        </w:rPr>
        <w:t> </w:t>
      </w:r>
      <w:r>
        <w:rPr/>
        <w:t>发行权益性证券直接相关的费用，按照《企业会计准则第</w:t>
      </w:r>
      <w:r>
        <w:rPr>
          <w:rFonts w:ascii="宋体" w:hAnsi="宋体" w:cs="宋体" w:eastAsia="宋体" w:hint="default"/>
        </w:rPr>
        <w:t>37</w:t>
      </w:r>
      <w:r>
        <w:rPr/>
        <w:t>号——金融工具列报》的有关规定确定。</w:t>
      </w:r>
    </w:p>
    <w:p>
      <w:pPr>
        <w:pStyle w:val="BodyText"/>
        <w:spacing w:line="408" w:lineRule="auto" w:before="51"/>
        <w:ind w:right="1125" w:firstLine="422"/>
        <w:jc w:val="both"/>
      </w:pPr>
      <w:r>
        <w:rPr>
          <w:rFonts w:ascii="宋体" w:hAnsi="宋体" w:cs="宋体" w:eastAsia="宋体" w:hint="default"/>
        </w:rPr>
        <w:t>3</w:t>
      </w:r>
      <w:r>
        <w:rPr/>
        <w:t>）在非货币性资产交换具备商业实质和换入资产或换出资产的公允价值能够可靠计量的前提下，非</w:t>
      </w:r>
      <w:r>
        <w:rPr>
          <w:w w:val="100"/>
        </w:rPr>
        <w:t> </w:t>
      </w:r>
      <w:r>
        <w:rPr>
          <w:spacing w:val="-2"/>
        </w:rPr>
        <w:t>货币性资产交换换入的长期股权投资以换出资产的公允价值为基础确定其初始投资成本，除非有确凿证据</w:t>
      </w:r>
      <w:r>
        <w:rPr>
          <w:spacing w:val="-33"/>
        </w:rPr>
        <w:t> </w:t>
      </w:r>
      <w:r>
        <w:rPr>
          <w:spacing w:val="-33"/>
        </w:rPr>
      </w:r>
      <w:r>
        <w:rPr>
          <w:spacing w:val="-2"/>
        </w:rPr>
        <w:t>表明换入资产的公允价值更加可靠；不满足上述前提的非货币性资产交换，以换出资产的账面价值和应支</w:t>
      </w:r>
      <w:r>
        <w:rPr>
          <w:spacing w:val="-33"/>
        </w:rPr>
        <w:t> </w:t>
      </w:r>
      <w:r>
        <w:rPr>
          <w:spacing w:val="-33"/>
        </w:rPr>
      </w:r>
      <w:r>
        <w:rPr/>
        <w:t>付的相关税费作为换入长期股权投资的初始投资成本。</w:t>
      </w:r>
    </w:p>
    <w:p>
      <w:pPr>
        <w:pStyle w:val="BodyText"/>
        <w:spacing w:line="240" w:lineRule="auto" w:before="48"/>
        <w:ind w:left="575" w:right="1024"/>
        <w:jc w:val="left"/>
      </w:pPr>
      <w:r>
        <w:rPr>
          <w:rFonts w:ascii="宋体" w:hAnsi="宋体" w:cs="宋体" w:eastAsia="宋体" w:hint="default"/>
        </w:rPr>
        <w:t>4</w:t>
      </w:r>
      <w:r>
        <w:rPr/>
        <w:t>）通过债务重组取得的长期股权投资，其初始投资成本按照公允价值为基础确定。</w:t>
      </w:r>
    </w:p>
    <w:p>
      <w:pPr>
        <w:spacing w:line="240" w:lineRule="auto" w:before="8"/>
        <w:rPr>
          <w:rFonts w:ascii="宋体" w:hAnsi="宋体" w:cs="宋体" w:eastAsia="宋体" w:hint="default"/>
          <w:sz w:val="14"/>
          <w:szCs w:val="14"/>
        </w:rPr>
      </w:pPr>
    </w:p>
    <w:p>
      <w:pPr>
        <w:pStyle w:val="BodyText"/>
        <w:spacing w:line="240" w:lineRule="auto"/>
        <w:ind w:right="0"/>
        <w:jc w:val="both"/>
      </w:pPr>
      <w:r>
        <w:rPr>
          <w:rFonts w:ascii="宋体" w:hAnsi="宋体" w:cs="宋体" w:eastAsia="宋体" w:hint="default"/>
        </w:rPr>
        <w:t>22.3</w:t>
      </w:r>
      <w:r>
        <w:rPr>
          <w:rFonts w:ascii="宋体" w:hAnsi="宋体" w:cs="宋体" w:eastAsia="宋体" w:hint="default"/>
          <w:spacing w:val="5"/>
        </w:rPr>
        <w:t> </w:t>
      </w:r>
      <w:r>
        <w:rPr/>
        <w:t>后续计量及损益确认方法</w:t>
      </w:r>
    </w:p>
    <w:p>
      <w:pPr>
        <w:spacing w:line="240" w:lineRule="auto" w:before="12"/>
        <w:rPr>
          <w:rFonts w:ascii="宋体" w:hAnsi="宋体" w:cs="宋体" w:eastAsia="宋体" w:hint="default"/>
          <w:sz w:val="14"/>
          <w:szCs w:val="14"/>
        </w:rPr>
      </w:pPr>
    </w:p>
    <w:p>
      <w:pPr>
        <w:pStyle w:val="BodyText"/>
        <w:spacing w:line="408" w:lineRule="auto"/>
        <w:ind w:left="575" w:right="1024"/>
        <w:jc w:val="left"/>
      </w:pPr>
      <w:r>
        <w:rPr>
          <w:rFonts w:ascii="宋体" w:hAnsi="宋体" w:cs="宋体" w:eastAsia="宋体" w:hint="default"/>
        </w:rPr>
        <w:t>22.3.1</w:t>
      </w:r>
      <w:r>
        <w:rPr>
          <w:rFonts w:ascii="宋体" w:hAnsi="宋体" w:cs="宋体" w:eastAsia="宋体" w:hint="default"/>
          <w:spacing w:val="1"/>
        </w:rPr>
        <w:t> </w:t>
      </w:r>
      <w:r>
        <w:rPr/>
        <w:t>成本法后续计量</w:t>
      </w:r>
      <w:r>
        <w:rPr>
          <w:w w:val="100"/>
        </w:rPr>
        <w:t> </w:t>
      </w:r>
      <w:r>
        <w:rPr>
          <w:spacing w:val="-2"/>
        </w:rPr>
        <w:t>公司能够对被投资单位实施控制的长期股权投资采用成本法核算，长期股权投资按照初始投资成本计</w:t>
      </w:r>
    </w:p>
    <w:p>
      <w:pPr>
        <w:pStyle w:val="BodyText"/>
        <w:spacing w:line="405" w:lineRule="auto" w:before="48"/>
        <w:ind w:right="1125"/>
        <w:jc w:val="both"/>
      </w:pPr>
      <w:r>
        <w:rPr>
          <w:spacing w:val="-2"/>
        </w:rPr>
        <w:t>价。追加或收回投资调整长期股权投资的成本。被投资单位宣告分派的现金股利或利润，确认为当期投资</w:t>
      </w:r>
      <w:r>
        <w:rPr>
          <w:spacing w:val="-33"/>
        </w:rPr>
        <w:t> </w:t>
      </w:r>
      <w:r>
        <w:rPr>
          <w:spacing w:val="-33"/>
        </w:rPr>
      </w:r>
      <w:r>
        <w:rPr/>
        <w:t>收益。</w:t>
      </w:r>
    </w:p>
    <w:p>
      <w:pPr>
        <w:pStyle w:val="BodyText"/>
        <w:spacing w:line="408" w:lineRule="auto" w:before="50"/>
        <w:ind w:left="575" w:right="1024"/>
        <w:jc w:val="left"/>
      </w:pPr>
      <w:r>
        <w:rPr>
          <w:rFonts w:ascii="宋体" w:hAnsi="宋体" w:cs="宋体" w:eastAsia="宋体" w:hint="default"/>
        </w:rPr>
        <w:t>22.3.2</w:t>
      </w:r>
      <w:r>
        <w:rPr>
          <w:rFonts w:ascii="宋体" w:hAnsi="宋体" w:cs="宋体" w:eastAsia="宋体" w:hint="default"/>
          <w:spacing w:val="1"/>
        </w:rPr>
        <w:t> </w:t>
      </w:r>
      <w:r>
        <w:rPr/>
        <w:t>权益法后续计量</w:t>
      </w:r>
      <w:r>
        <w:rPr>
          <w:w w:val="100"/>
        </w:rPr>
        <w:t> </w:t>
      </w:r>
      <w:r>
        <w:rPr>
          <w:spacing w:val="-2"/>
        </w:rPr>
        <w:t>公司对联营企业和合营企业的长期股权投资，采用权益法核算，长期股权投资的初始投资成本大于投</w:t>
      </w:r>
    </w:p>
    <w:p>
      <w:pPr>
        <w:pStyle w:val="BodyText"/>
        <w:spacing w:line="408" w:lineRule="auto" w:before="48"/>
        <w:ind w:right="1125"/>
        <w:jc w:val="both"/>
      </w:pPr>
      <w:r>
        <w:rPr>
          <w:spacing w:val="-2"/>
        </w:rPr>
        <w:t>资时应享有被投资单位可辨认净资产公允价值份额的，不调整长期股权投资的初始投资成本；长期股权投</w:t>
      </w:r>
      <w:r>
        <w:rPr>
          <w:spacing w:val="-33"/>
        </w:rPr>
        <w:t> </w:t>
      </w:r>
      <w:r>
        <w:rPr>
          <w:spacing w:val="-33"/>
        </w:rPr>
      </w:r>
      <w:r>
        <w:rPr>
          <w:spacing w:val="-2"/>
        </w:rPr>
        <w:t>资的初始投资成本小于投资时应享有被投资单位可辨认净资产公允价值份额的，其差额计入当期损益，同</w:t>
      </w:r>
      <w:r>
        <w:rPr>
          <w:spacing w:val="-33"/>
        </w:rPr>
        <w:t> </w:t>
      </w:r>
      <w:r>
        <w:rPr>
          <w:spacing w:val="-33"/>
        </w:rPr>
      </w:r>
      <w:r>
        <w:rPr/>
        <w:t>时调整长期股权投资的成本。</w:t>
      </w:r>
    </w:p>
    <w:p>
      <w:pPr>
        <w:pStyle w:val="BodyText"/>
        <w:spacing w:line="408" w:lineRule="auto" w:before="43"/>
        <w:ind w:right="1120" w:firstLine="422"/>
        <w:jc w:val="both"/>
      </w:pPr>
      <w:r>
        <w:rPr>
          <w:spacing w:val="-2"/>
        </w:rPr>
        <w:t>采用权益法核算时，投资方取得长期股权投资后，按照应享有或应分担的被投资单位实现的净损益和</w:t>
      </w:r>
      <w:r>
        <w:rPr>
          <w:w w:val="100"/>
        </w:rPr>
        <w:t> </w:t>
      </w:r>
      <w:r>
        <w:rPr>
          <w:spacing w:val="-2"/>
        </w:rPr>
        <w:t>其他综合收益的份额，分别确认投资收益和其他综合收益，同时调整长期股权投资的账面价值；投资方按</w:t>
      </w:r>
      <w:r>
        <w:rPr>
          <w:spacing w:val="-33"/>
        </w:rPr>
        <w:t> </w:t>
      </w:r>
      <w:r>
        <w:rPr>
          <w:spacing w:val="-33"/>
        </w:rPr>
      </w:r>
      <w:r>
        <w:rPr>
          <w:spacing w:val="-2"/>
        </w:rPr>
        <w:t>照被投资单位宣告分派的利润或现金股利计算应享有的部分，相应减少长期股权投资的账面价值；投资方</w:t>
      </w:r>
      <w:r>
        <w:rPr>
          <w:spacing w:val="-33"/>
        </w:rPr>
        <w:t> </w:t>
      </w:r>
      <w:r>
        <w:rPr>
          <w:spacing w:val="-33"/>
        </w:rPr>
      </w:r>
      <w:r>
        <w:rPr>
          <w:spacing w:val="-2"/>
        </w:rPr>
        <w:t>对于被投资单位除净损益、其他综合收益和利润分配以外所有者权益的其他变动，调整长期股权投资的账</w:t>
      </w:r>
      <w:r>
        <w:rPr>
          <w:spacing w:val="-33"/>
        </w:rPr>
        <w:t> </w:t>
      </w:r>
      <w:r>
        <w:rPr>
          <w:spacing w:val="-33"/>
        </w:rPr>
      </w:r>
      <w:r>
        <w:rPr>
          <w:spacing w:val="-2"/>
        </w:rPr>
        <w:t>面价值并计入所有者权益。投资方在确认应享有被投资单位净损益的份额时，以取得投资时被投资单位可</w:t>
      </w:r>
      <w:r>
        <w:rPr>
          <w:spacing w:val="-33"/>
        </w:rPr>
        <w:t> </w:t>
      </w:r>
      <w:r>
        <w:rPr>
          <w:spacing w:val="-33"/>
        </w:rPr>
      </w:r>
      <w:r>
        <w:rPr>
          <w:spacing w:val="-2"/>
        </w:rPr>
        <w:t>辨认净资产的公允价值为基础，对被投资单位的净利润进行调整后确认。被投资单位采用的会计政策及会</w:t>
      </w:r>
      <w:r>
        <w:rPr>
          <w:spacing w:val="-30"/>
        </w:rPr>
        <w:t> </w:t>
      </w:r>
      <w:r>
        <w:rPr>
          <w:spacing w:val="-30"/>
        </w:rPr>
      </w:r>
      <w:r>
        <w:rPr>
          <w:spacing w:val="-2"/>
        </w:rPr>
        <w:t>计期间与投资方不一致的，按照投资方的会计政策及会计期间对被投资单位的财务报表进行调整，并据以</w:t>
      </w:r>
      <w:r>
        <w:rPr>
          <w:spacing w:val="-33"/>
        </w:rPr>
        <w:t> </w:t>
      </w:r>
      <w:r>
        <w:rPr>
          <w:spacing w:val="-33"/>
        </w:rPr>
      </w:r>
      <w:r>
        <w:rPr/>
        <w:t>确认投资收益和其他综合收益等。</w:t>
      </w:r>
    </w:p>
    <w:p>
      <w:pPr>
        <w:pStyle w:val="BodyText"/>
        <w:spacing w:line="240" w:lineRule="auto" w:before="43"/>
        <w:ind w:left="575" w:right="1024"/>
        <w:jc w:val="left"/>
      </w:pPr>
      <w:r>
        <w:rPr/>
        <w:t>投资方确认被投资单位发生的净亏损，以长期股权投资的账面价值以及其他实质上构成对被投资单位</w:t>
      </w:r>
    </w:p>
    <w:p>
      <w:pPr>
        <w:spacing w:after="0" w:line="240" w:lineRule="auto"/>
        <w:jc w:val="left"/>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405" w:lineRule="auto"/>
        <w:ind w:right="1027"/>
        <w:jc w:val="both"/>
      </w:pPr>
      <w:r>
        <w:rPr/>
        <w:t>净投资的长期权益减记至零为限，投资方负有承担额外损失义务的除外。被投资单位以后实现净利润的，</w:t>
      </w:r>
      <w:r>
        <w:rPr>
          <w:spacing w:val="-33"/>
        </w:rPr>
        <w:t> </w:t>
      </w:r>
      <w:r>
        <w:rPr>
          <w:spacing w:val="-33"/>
        </w:rPr>
      </w:r>
      <w:r>
        <w:rPr/>
        <w:t>投资方在其收益分享额弥补未确认的亏损分担额后，恢复确认收益分享额。</w:t>
      </w:r>
    </w:p>
    <w:p>
      <w:pPr>
        <w:pStyle w:val="BodyText"/>
        <w:spacing w:line="408" w:lineRule="auto" w:before="51"/>
        <w:ind w:right="1024" w:firstLine="422"/>
        <w:jc w:val="left"/>
      </w:pPr>
      <w:r>
        <w:rPr>
          <w:spacing w:val="-2"/>
        </w:rPr>
        <w:t>投资方计算确认应享有或应分担被投资单位的净损益时，与联营企业、合营企业之间发生的未实现内</w:t>
      </w:r>
      <w:r>
        <w:rPr>
          <w:w w:val="100"/>
        </w:rPr>
        <w:t> </w:t>
      </w:r>
      <w:r>
        <w:rPr>
          <w:spacing w:val="-2"/>
        </w:rPr>
        <w:t>部交易损益按照应享有的比例计算归属于投资方的部分，予以抵销，在此基础上确认投资收益。投资方与</w:t>
      </w:r>
      <w:r>
        <w:rPr>
          <w:spacing w:val="-32"/>
        </w:rPr>
        <w:t> </w:t>
      </w:r>
      <w:r>
        <w:rPr>
          <w:spacing w:val="-32"/>
        </w:rPr>
      </w:r>
      <w:r>
        <w:rPr/>
        <w:t>被投资单位发生的未实现内部交易损失，按照《企业会计准则第</w:t>
      </w:r>
      <w:r>
        <w:rPr>
          <w:rFonts w:ascii="宋体" w:hAnsi="宋体" w:cs="宋体" w:eastAsia="宋体" w:hint="default"/>
        </w:rPr>
        <w:t>8</w:t>
      </w:r>
      <w:r>
        <w:rPr/>
        <w:t>号——资产减值》等的有关规定属于资</w:t>
      </w:r>
      <w:r>
        <w:rPr>
          <w:w w:val="100"/>
        </w:rPr>
        <w:t> </w:t>
      </w:r>
      <w:r>
        <w:rPr/>
        <w:t>产减值损失的，全额确认。</w:t>
      </w:r>
    </w:p>
    <w:p>
      <w:pPr>
        <w:pStyle w:val="BodyText"/>
        <w:spacing w:line="408" w:lineRule="auto" w:before="49"/>
        <w:ind w:right="1120" w:firstLine="422"/>
        <w:jc w:val="both"/>
      </w:pPr>
      <w:r>
        <w:rPr>
          <w:spacing w:val="-2"/>
        </w:rPr>
        <w:t>投资方对联营企业的权益性投资，其中一部分通过风险投资机构、共同基金、信托公司或包括投连险</w:t>
      </w:r>
      <w:r>
        <w:rPr>
          <w:w w:val="100"/>
        </w:rPr>
        <w:t> </w:t>
      </w:r>
      <w:r>
        <w:rPr>
          <w:spacing w:val="-2"/>
        </w:rPr>
        <w:t>基金在内的类似主体间接持有的，无论以上主体是否对这部分投资具有重大影响，投资方都按照金融工具</w:t>
      </w:r>
      <w:r>
        <w:rPr>
          <w:spacing w:val="-33"/>
        </w:rPr>
        <w:t> </w:t>
      </w:r>
      <w:r>
        <w:rPr>
          <w:spacing w:val="-33"/>
        </w:rPr>
      </w:r>
      <w:r>
        <w:rPr>
          <w:spacing w:val="-2"/>
        </w:rPr>
        <w:t>政策的有关规定，对间接持有的该部分投资选择以公允价值计量且其变动计入损益，并对其余部分采用权</w:t>
      </w:r>
      <w:r>
        <w:rPr>
          <w:spacing w:val="-33"/>
        </w:rPr>
        <w:t> </w:t>
      </w:r>
      <w:r>
        <w:rPr>
          <w:spacing w:val="-33"/>
        </w:rPr>
      </w:r>
      <w:r>
        <w:rPr/>
        <w:t>益法核算。</w:t>
      </w:r>
    </w:p>
    <w:p>
      <w:pPr>
        <w:pStyle w:val="BodyText"/>
        <w:spacing w:line="405" w:lineRule="auto" w:before="48"/>
        <w:ind w:left="575" w:right="1024"/>
        <w:jc w:val="left"/>
      </w:pPr>
      <w:r>
        <w:rPr>
          <w:rFonts w:ascii="宋体" w:hAnsi="宋体" w:cs="宋体" w:eastAsia="宋体" w:hint="default"/>
        </w:rPr>
        <w:t>22.3.3</w:t>
      </w:r>
      <w:r>
        <w:rPr>
          <w:rFonts w:ascii="宋体" w:hAnsi="宋体" w:cs="宋体" w:eastAsia="宋体" w:hint="default"/>
          <w:spacing w:val="1"/>
        </w:rPr>
        <w:t> </w:t>
      </w:r>
      <w:r>
        <w:rPr/>
        <w:t>因追加投资等原因能够对被投资单位施加重大影响或实施共同控制但不构成控制的处理</w:t>
      </w:r>
      <w:r>
        <w:rPr>
          <w:w w:val="100"/>
        </w:rPr>
        <w:t> </w:t>
      </w:r>
      <w:r>
        <w:rPr>
          <w:spacing w:val="-2"/>
        </w:rPr>
        <w:t>按照《企业会计准则第</w:t>
      </w:r>
      <w:r>
        <w:rPr>
          <w:rFonts w:ascii="宋体" w:hAnsi="宋体" w:cs="宋体" w:eastAsia="宋体" w:hint="default"/>
          <w:spacing w:val="-2"/>
        </w:rPr>
        <w:t>22</w:t>
      </w:r>
      <w:r>
        <w:rPr>
          <w:spacing w:val="-2"/>
        </w:rPr>
        <w:t>号——金融工具确认和计量》确定的原持有的股权投资的公允价值加上新增</w:t>
      </w:r>
    </w:p>
    <w:p>
      <w:pPr>
        <w:pStyle w:val="BodyText"/>
        <w:spacing w:line="408" w:lineRule="auto" w:before="50"/>
        <w:ind w:right="1125"/>
        <w:jc w:val="both"/>
      </w:pPr>
      <w:r>
        <w:rPr>
          <w:spacing w:val="-2"/>
        </w:rPr>
        <w:t>投资成本之和，作为改按权益法核算的初始投资成本。原持有的股权投资分类为可供出售金融资产的，其</w:t>
      </w:r>
      <w:r>
        <w:rPr>
          <w:spacing w:val="-33"/>
        </w:rPr>
        <w:t> </w:t>
      </w:r>
      <w:r>
        <w:rPr>
          <w:spacing w:val="-33"/>
        </w:rPr>
      </w:r>
      <w:r>
        <w:rPr>
          <w:spacing w:val="-2"/>
        </w:rPr>
        <w:t>公允价值与账面价值之间的差额，以及原计入其他综合收益的累计公允价值变动转入改按权益法核算的当</w:t>
      </w:r>
      <w:r>
        <w:rPr>
          <w:spacing w:val="-33"/>
        </w:rPr>
        <w:t> </w:t>
      </w:r>
      <w:r>
        <w:rPr>
          <w:spacing w:val="-33"/>
        </w:rPr>
      </w:r>
      <w:r>
        <w:rPr/>
        <w:t>期损益。</w:t>
      </w:r>
    </w:p>
    <w:p>
      <w:pPr>
        <w:pStyle w:val="BodyText"/>
        <w:spacing w:line="410" w:lineRule="auto" w:before="43"/>
        <w:ind w:left="575" w:right="1024"/>
        <w:jc w:val="left"/>
      </w:pPr>
      <w:r>
        <w:rPr>
          <w:rFonts w:ascii="宋体" w:hAnsi="宋体" w:cs="宋体" w:eastAsia="宋体" w:hint="default"/>
        </w:rPr>
        <w:t>22.3.4</w:t>
      </w:r>
      <w:r>
        <w:rPr/>
        <w:t>处置部分股权的处理</w:t>
      </w:r>
      <w:r>
        <w:rPr>
          <w:spacing w:val="-101"/>
        </w:rPr>
        <w:t> </w:t>
      </w:r>
      <w:r>
        <w:rPr>
          <w:spacing w:val="-101"/>
        </w:rPr>
      </w:r>
      <w:r>
        <w:rPr>
          <w:spacing w:val="-2"/>
        </w:rPr>
        <w:t>因处置部分股权投资等原因丧失了对被投资单位的共同控制或重大影响的，处置后的剩余股权改按本</w:t>
      </w:r>
    </w:p>
    <w:p>
      <w:pPr>
        <w:pStyle w:val="BodyText"/>
        <w:spacing w:line="408" w:lineRule="auto" w:before="42"/>
        <w:ind w:right="1123"/>
        <w:jc w:val="both"/>
      </w:pPr>
      <w:r>
        <w:rPr>
          <w:spacing w:val="-2"/>
        </w:rPr>
        <w:t>附注“金融工具”的政策核算，其在丧失共同控制或重大影响之日的公允价值与账面价值之间的差额计入</w:t>
      </w:r>
      <w:r>
        <w:rPr>
          <w:spacing w:val="-31"/>
        </w:rPr>
        <w:t> </w:t>
      </w:r>
      <w:r>
        <w:rPr>
          <w:spacing w:val="-31"/>
        </w:rPr>
      </w:r>
      <w:r>
        <w:rPr>
          <w:spacing w:val="-2"/>
        </w:rPr>
        <w:t>当期损益。原股权投资因采用权益法核算而确认的其他综合收益，在终止采用权益法核算时采用与被投资</w:t>
      </w:r>
      <w:r>
        <w:rPr>
          <w:spacing w:val="-33"/>
        </w:rPr>
        <w:t> </w:t>
      </w:r>
      <w:r>
        <w:rPr>
          <w:spacing w:val="-33"/>
        </w:rPr>
      </w:r>
      <w:r>
        <w:rPr/>
        <w:t>单位直接处置相关资产或负债相同的基础进行会计处理。</w:t>
      </w:r>
    </w:p>
    <w:p>
      <w:pPr>
        <w:pStyle w:val="BodyText"/>
        <w:spacing w:line="408" w:lineRule="auto" w:before="49"/>
        <w:ind w:right="1123" w:firstLine="422"/>
        <w:jc w:val="both"/>
      </w:pPr>
      <w:r>
        <w:rPr>
          <w:spacing w:val="-2"/>
        </w:rPr>
        <w:t>因处置部分权益性投资等原因丧失了对被投资单位的控制的，在编制个别财务报表时，处置后的剩余</w:t>
      </w:r>
      <w:r>
        <w:rPr>
          <w:w w:val="100"/>
        </w:rPr>
        <w:t> </w:t>
      </w:r>
      <w:r>
        <w:rPr>
          <w:spacing w:val="-2"/>
        </w:rPr>
        <w:t>股权能够对被投资单位实施共同控制或施加重大影响的，改按权益法核算，并对该剩余股权视同自取得时</w:t>
      </w:r>
      <w:r>
        <w:rPr>
          <w:spacing w:val="-33"/>
        </w:rPr>
        <w:t> </w:t>
      </w:r>
      <w:r>
        <w:rPr>
          <w:spacing w:val="-33"/>
        </w:rPr>
      </w:r>
      <w:r>
        <w:rPr>
          <w:spacing w:val="-2"/>
        </w:rPr>
        <w:t>即采用权益法核算进行调整；处置后的剩余股权不能对被投资单位实施共同控制或施加重大影响的，改按</w:t>
      </w:r>
      <w:r>
        <w:rPr>
          <w:spacing w:val="-33"/>
        </w:rPr>
        <w:t> </w:t>
      </w:r>
      <w:r>
        <w:rPr>
          <w:spacing w:val="-33"/>
        </w:rPr>
      </w:r>
      <w:r>
        <w:rPr>
          <w:spacing w:val="-2"/>
        </w:rPr>
        <w:t>本附注“金融工具”的有关政策进行会计处理，其在丧失控制之日的公允价值与账面价值间的差额计入当</w:t>
      </w:r>
      <w:r>
        <w:rPr>
          <w:spacing w:val="-31"/>
        </w:rPr>
        <w:t> </w:t>
      </w:r>
      <w:r>
        <w:rPr>
          <w:spacing w:val="-31"/>
        </w:rPr>
      </w:r>
      <w:r>
        <w:rPr/>
        <w:t>期损益。在编制合并财务报表时，按照本附注“合并财务报表的编制方法”的相关内容处理。</w:t>
      </w:r>
    </w:p>
    <w:p>
      <w:pPr>
        <w:pStyle w:val="BodyText"/>
        <w:spacing w:line="410" w:lineRule="auto" w:before="43"/>
        <w:ind w:left="575" w:right="1024"/>
        <w:jc w:val="left"/>
      </w:pPr>
      <w:r>
        <w:rPr>
          <w:rFonts w:ascii="宋体" w:hAnsi="宋体" w:cs="宋体" w:eastAsia="宋体" w:hint="default"/>
        </w:rPr>
        <w:t>22.3.5</w:t>
      </w:r>
      <w:r>
        <w:rPr/>
        <w:t>对联营企业或合营企业的权益性投资全部或部分分类为持有待售资产的处理</w:t>
      </w:r>
      <w:r>
        <w:rPr>
          <w:spacing w:val="-102"/>
        </w:rPr>
        <w:t> </w:t>
      </w:r>
      <w:r>
        <w:rPr>
          <w:spacing w:val="-102"/>
        </w:rPr>
      </w:r>
      <w:r>
        <w:rPr>
          <w:spacing w:val="-2"/>
        </w:rPr>
        <w:t>分类为持有待售资产的对联营企业或合营企业的权益性投资，以账面价值与公允价值减去处置费用孰</w:t>
      </w:r>
    </w:p>
    <w:p>
      <w:pPr>
        <w:pStyle w:val="BodyText"/>
        <w:spacing w:line="408" w:lineRule="auto" w:before="42"/>
        <w:ind w:right="1025"/>
        <w:jc w:val="both"/>
      </w:pPr>
      <w:r>
        <w:rPr>
          <w:spacing w:val="-2"/>
        </w:rPr>
        <w:t>低的金额列示，公允价值减去处置费用低于原账面价值的金额，确认为资产减值损失。对于未划分为持有</w:t>
      </w:r>
      <w:r>
        <w:rPr>
          <w:spacing w:val="-33"/>
        </w:rPr>
        <w:t> </w:t>
      </w:r>
      <w:r>
        <w:rPr>
          <w:spacing w:val="-33"/>
        </w:rPr>
      </w:r>
      <w:r>
        <w:rPr>
          <w:spacing w:val="-2"/>
        </w:rPr>
        <w:t>待售资产的剩余权益性投资，采用权益法进行会计处理。已划分为持有待售的对联营企业或合营企业的权</w:t>
      </w:r>
      <w:r>
        <w:rPr>
          <w:spacing w:val="-33"/>
        </w:rPr>
        <w:t> </w:t>
      </w:r>
      <w:r>
        <w:rPr>
          <w:spacing w:val="-33"/>
        </w:rPr>
      </w:r>
      <w:r>
        <w:rPr>
          <w:spacing w:val="-4"/>
        </w:rPr>
        <w:t>益性投资，不再符合持有待售资产分类条件的，从被分类为持有待售资产之日起采用权益法进行追溯调整。</w:t>
      </w:r>
    </w:p>
    <w:p>
      <w:pPr>
        <w:spacing w:after="0" w:line="408" w:lineRule="auto"/>
        <w:jc w:val="both"/>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405" w:lineRule="auto"/>
        <w:ind w:left="575" w:right="6217" w:hanging="423"/>
        <w:jc w:val="left"/>
      </w:pPr>
      <w:r>
        <w:rPr>
          <w:spacing w:val="-1"/>
        </w:rPr>
        <w:t>分类为持有待售期间的财务报表作相应调整。</w:t>
      </w:r>
      <w:r>
        <w:rPr>
          <w:spacing w:val="-81"/>
        </w:rPr>
        <w:t> </w:t>
      </w:r>
      <w:r>
        <w:rPr>
          <w:spacing w:val="-81"/>
        </w:rPr>
      </w:r>
      <w:r>
        <w:rPr>
          <w:rFonts w:ascii="宋体" w:hAnsi="宋体" w:cs="宋体" w:eastAsia="宋体" w:hint="default"/>
        </w:rPr>
        <w:t>22.3.6</w:t>
      </w:r>
      <w:r>
        <w:rPr>
          <w:rFonts w:ascii="宋体" w:hAnsi="宋体" w:cs="宋体" w:eastAsia="宋体" w:hint="default"/>
          <w:spacing w:val="2"/>
        </w:rPr>
        <w:t> </w:t>
      </w:r>
      <w:r>
        <w:rPr/>
        <w:t>处置长期股权投资的处理</w:t>
      </w:r>
    </w:p>
    <w:p>
      <w:pPr>
        <w:pStyle w:val="BodyText"/>
        <w:spacing w:line="408" w:lineRule="auto" w:before="51"/>
        <w:ind w:right="1117" w:firstLine="422"/>
        <w:jc w:val="both"/>
      </w:pPr>
      <w:r>
        <w:rPr>
          <w:spacing w:val="-2"/>
        </w:rPr>
        <w:t>处置长期股权投资，其账面价值与实际取得价款之间的差额，计入当期损益。采用权益法核算的长期</w:t>
      </w:r>
      <w:r>
        <w:rPr>
          <w:w w:val="100"/>
        </w:rPr>
        <w:t> </w:t>
      </w:r>
      <w:r>
        <w:rPr>
          <w:spacing w:val="-2"/>
        </w:rPr>
        <w:t>股权投资，在处置该项投资时，采用与被投资单位直接处置相关资产或负债相同的基础，按相应比例对原</w:t>
      </w:r>
      <w:r>
        <w:rPr>
          <w:spacing w:val="-33"/>
        </w:rPr>
        <w:t> </w:t>
      </w:r>
      <w:r>
        <w:rPr>
          <w:spacing w:val="-33"/>
        </w:rPr>
      </w:r>
      <w:r>
        <w:rPr/>
        <w:t>计入其他综合收益的部分进行会计处理。</w:t>
      </w:r>
    </w:p>
    <w:p>
      <w:pPr>
        <w:spacing w:line="410" w:lineRule="auto" w:before="43"/>
        <w:ind w:left="153" w:right="8661" w:firstLine="0"/>
        <w:jc w:val="left"/>
        <w:rPr>
          <w:rFonts w:ascii="宋体" w:hAnsi="宋体" w:cs="宋体" w:eastAsia="宋体" w:hint="default"/>
          <w:sz w:val="21"/>
          <w:szCs w:val="21"/>
        </w:rPr>
      </w:pPr>
      <w:bookmarkStart w:name="23、投资性房地产" w:id="249"/>
      <w:bookmarkEnd w:id="249"/>
      <w:r>
        <w:rPr/>
      </w:r>
      <w:r>
        <w:rPr>
          <w:rFonts w:ascii="宋体" w:hAnsi="宋体" w:cs="宋体" w:eastAsia="宋体" w:hint="default"/>
          <w:b/>
          <w:bCs/>
          <w:sz w:val="21"/>
          <w:szCs w:val="21"/>
        </w:rPr>
        <w:t>23</w:t>
      </w:r>
      <w:r>
        <w:rPr>
          <w:rFonts w:ascii="宋体" w:hAnsi="宋体" w:cs="宋体" w:eastAsia="宋体" w:hint="default"/>
          <w:b/>
          <w:bCs/>
          <w:sz w:val="21"/>
          <w:szCs w:val="21"/>
        </w:rPr>
        <w:t>、投资性房地产</w:t>
      </w:r>
      <w:r>
        <w:rPr>
          <w:rFonts w:ascii="宋体" w:hAnsi="宋体" w:cs="宋体" w:eastAsia="宋体" w:hint="default"/>
          <w:b/>
          <w:bCs/>
          <w:spacing w:val="-104"/>
          <w:sz w:val="21"/>
          <w:szCs w:val="21"/>
        </w:rPr>
        <w:t> </w:t>
      </w:r>
      <w:r>
        <w:rPr>
          <w:rFonts w:ascii="宋体" w:hAnsi="宋体" w:cs="宋体" w:eastAsia="宋体" w:hint="default"/>
          <w:spacing w:val="-1"/>
          <w:sz w:val="21"/>
          <w:szCs w:val="21"/>
        </w:rPr>
        <w:t>投资性房地产计量模式</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成本法计量</w:t>
      </w:r>
      <w:r>
        <w:rPr>
          <w:rFonts w:ascii="宋体" w:hAnsi="宋体" w:cs="宋体" w:eastAsia="宋体" w:hint="default"/>
          <w:spacing w:val="-99"/>
          <w:sz w:val="21"/>
          <w:szCs w:val="21"/>
        </w:rPr>
        <w:t> </w:t>
      </w:r>
      <w:r>
        <w:rPr>
          <w:rFonts w:ascii="宋体" w:hAnsi="宋体" w:cs="宋体" w:eastAsia="宋体" w:hint="default"/>
          <w:sz w:val="21"/>
          <w:szCs w:val="21"/>
        </w:rPr>
        <w:t>折旧或摊销方法</w:t>
      </w:r>
    </w:p>
    <w:p>
      <w:pPr>
        <w:pStyle w:val="BodyText"/>
        <w:spacing w:line="408" w:lineRule="auto" w:before="42"/>
        <w:ind w:right="1125" w:firstLine="422"/>
        <w:jc w:val="both"/>
      </w:pPr>
      <w:r>
        <w:rPr>
          <w:spacing w:val="-2"/>
        </w:rPr>
        <w:t>投资性房地产包括已出租持有并准备增值后转让的土地使用权以及已出租的建筑物，以实际成本进行</w:t>
      </w:r>
      <w:r>
        <w:rPr>
          <w:w w:val="100"/>
        </w:rPr>
        <w:t> </w:t>
      </w:r>
      <w:r>
        <w:rPr>
          <w:spacing w:val="-2"/>
        </w:rPr>
        <w:t>初始计量。与投资性房地产有关的后续支出，在相关的经济利益很可能流入本公司且其成本能够可靠的计</w:t>
      </w:r>
      <w:r>
        <w:rPr>
          <w:spacing w:val="-33"/>
        </w:rPr>
        <w:t> </w:t>
      </w:r>
      <w:r>
        <w:rPr>
          <w:spacing w:val="-33"/>
        </w:rPr>
      </w:r>
      <w:r>
        <w:rPr/>
        <w:t>量时，计入投资性房地产成本；否则，在发生时计入当期损益。</w:t>
      </w:r>
    </w:p>
    <w:p>
      <w:pPr>
        <w:pStyle w:val="BodyText"/>
        <w:spacing w:line="408" w:lineRule="auto" w:before="48"/>
        <w:ind w:right="1123" w:firstLine="422"/>
        <w:jc w:val="both"/>
      </w:pPr>
      <w:r>
        <w:rPr>
          <w:spacing w:val="-2"/>
        </w:rPr>
        <w:t>本公司采用成本模式对所有投资性房地产进行后续计量，按其预计使用寿命及净残值率对建筑物和土</w:t>
      </w:r>
      <w:r>
        <w:rPr>
          <w:w w:val="100"/>
        </w:rPr>
        <w:t> </w:t>
      </w:r>
      <w:r>
        <w:rPr/>
        <w:t>地使用权计提折旧或摊销。投资性房地产的预计使用寿命、净残值率及年折旧</w:t>
      </w:r>
      <w:r>
        <w:rPr>
          <w:rFonts w:ascii="宋体" w:hAnsi="宋体" w:cs="宋体" w:eastAsia="宋体" w:hint="default"/>
        </w:rPr>
        <w:t>(</w:t>
      </w:r>
      <w:r>
        <w:rPr/>
        <w:t>摊销</w:t>
      </w:r>
      <w:r>
        <w:rPr>
          <w:rFonts w:ascii="宋体" w:hAnsi="宋体" w:cs="宋体" w:eastAsia="宋体" w:hint="default"/>
        </w:rPr>
        <w:t>)</w:t>
      </w:r>
      <w:r>
        <w:rPr/>
        <w:t>率列示如下：</w:t>
      </w:r>
    </w:p>
    <w:tbl>
      <w:tblPr>
        <w:tblW w:w="0" w:type="auto"/>
        <w:jc w:val="left"/>
        <w:tblInd w:w="134" w:type="dxa"/>
        <w:tblLayout w:type="fixed"/>
        <w:tblCellMar>
          <w:top w:w="0" w:type="dxa"/>
          <w:left w:w="0" w:type="dxa"/>
          <w:bottom w:w="0" w:type="dxa"/>
          <w:right w:w="0" w:type="dxa"/>
        </w:tblCellMar>
        <w:tblLook w:val="01E0"/>
      </w:tblPr>
      <w:tblGrid>
        <w:gridCol w:w="2132"/>
        <w:gridCol w:w="1997"/>
        <w:gridCol w:w="2396"/>
        <w:gridCol w:w="2550"/>
      </w:tblGrid>
      <w:tr>
        <w:trPr>
          <w:trHeight w:val="379" w:hRule="exact"/>
        </w:trPr>
        <w:tc>
          <w:tcPr>
            <w:tcW w:w="213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single" w:color="000000"/>
              </w:rPr>
              <w:t>类别</w:t>
            </w:r>
            <w:r>
              <w:rPr>
                <w:rFonts w:ascii="宋体" w:hAnsi="宋体" w:cs="宋体" w:eastAsia="宋体" w:hint="default"/>
                <w:sz w:val="18"/>
                <w:szCs w:val="18"/>
              </w:rPr>
            </w:r>
          </w:p>
        </w:tc>
        <w:tc>
          <w:tcPr>
            <w:tcW w:w="199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12"/>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single" w:color="000000"/>
              </w:rPr>
              <w:t>预计使用寿（年）</w:t>
            </w:r>
            <w:r>
              <w:rPr>
                <w:rFonts w:ascii="宋体" w:hAnsi="宋体" w:cs="宋体" w:eastAsia="宋体" w:hint="default"/>
                <w:sz w:val="18"/>
                <w:szCs w:val="18"/>
              </w:rPr>
            </w:r>
          </w:p>
        </w:tc>
        <w:tc>
          <w:tcPr>
            <w:tcW w:w="23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2"/>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single" w:color="000000"/>
              </w:rPr>
              <w:t>预计净残值率（</w:t>
            </w:r>
            <w:r>
              <w:rPr>
                <w:rFonts w:ascii="宋体" w:hAnsi="宋体" w:cs="宋体" w:eastAsia="宋体"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2550"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
              <w:ind w:left="9" w:right="0"/>
              <w:jc w:val="center"/>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u w:val="single" w:color="000000"/>
              </w:rPr>
              <w:t>年折旧</w:t>
            </w:r>
            <w:r>
              <w:rPr>
                <w:rFonts w:ascii="宋体" w:hAnsi="宋体" w:cs="宋体" w:eastAsia="宋体" w:hint="default"/>
                <w:sz w:val="18"/>
                <w:szCs w:val="18"/>
                <w:u w:val="single" w:color="000000"/>
              </w:rPr>
              <w:t>(</w:t>
            </w:r>
            <w:r>
              <w:rPr>
                <w:rFonts w:ascii="宋体" w:hAnsi="宋体" w:cs="宋体" w:eastAsia="宋体" w:hint="default"/>
                <w:sz w:val="18"/>
                <w:szCs w:val="18"/>
                <w:u w:val="single" w:color="000000"/>
              </w:rPr>
              <w:t>摊销</w:t>
            </w:r>
            <w:r>
              <w:rPr>
                <w:rFonts w:ascii="宋体" w:hAnsi="宋体" w:cs="宋体" w:eastAsia="宋体" w:hint="default"/>
                <w:sz w:val="18"/>
                <w:szCs w:val="18"/>
                <w:u w:val="single" w:color="000000"/>
              </w:rPr>
              <w:t>)</w:t>
            </w:r>
            <w:r>
              <w:rPr>
                <w:rFonts w:ascii="宋体" w:hAnsi="宋体" w:cs="宋体" w:eastAsia="宋体" w:hint="default"/>
                <w:sz w:val="18"/>
                <w:szCs w:val="18"/>
                <w:u w:val="single" w:color="000000"/>
              </w:rPr>
              <w:t>率（</w:t>
            </w:r>
            <w:r>
              <w:rPr>
                <w:rFonts w:ascii="宋体" w:hAnsi="宋体" w:cs="宋体" w:eastAsia="宋体"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tc>
      </w:tr>
      <w:tr>
        <w:trPr>
          <w:trHeight w:val="350" w:hRule="exact"/>
        </w:trPr>
        <w:tc>
          <w:tcPr>
            <w:tcW w:w="213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r>
              <w:rPr>
                <w:rFonts w:ascii="宋体" w:hAnsi="宋体" w:cs="宋体" w:eastAsia="宋体" w:hint="default"/>
                <w:sz w:val="18"/>
                <w:szCs w:val="18"/>
              </w:rPr>
              <w:t>建筑物</w:t>
            </w:r>
          </w:p>
        </w:tc>
        <w:tc>
          <w:tcPr>
            <w:tcW w:w="19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14"/>
              <w:jc w:val="center"/>
              <w:rPr>
                <w:rFonts w:ascii="宋体" w:hAnsi="宋体" w:cs="宋体" w:eastAsia="宋体" w:hint="default"/>
                <w:sz w:val="18"/>
                <w:szCs w:val="18"/>
              </w:rPr>
            </w:pPr>
            <w:r>
              <w:rPr>
                <w:rFonts w:ascii="宋体"/>
                <w:sz w:val="18"/>
              </w:rPr>
              <w:t>20-50</w:t>
            </w:r>
          </w:p>
        </w:tc>
        <w:tc>
          <w:tcPr>
            <w:tcW w:w="2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2"/>
              <w:jc w:val="center"/>
              <w:rPr>
                <w:rFonts w:ascii="宋体" w:hAnsi="宋体" w:cs="宋体" w:eastAsia="宋体" w:hint="default"/>
                <w:sz w:val="18"/>
                <w:szCs w:val="18"/>
              </w:rPr>
            </w:pPr>
            <w:r>
              <w:rPr>
                <w:rFonts w:ascii="宋体"/>
                <w:sz w:val="18"/>
              </w:rPr>
              <w:t>5.00</w:t>
            </w:r>
          </w:p>
        </w:tc>
        <w:tc>
          <w:tcPr>
            <w:tcW w:w="255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
              <w:ind w:left="14" w:right="0"/>
              <w:jc w:val="center"/>
              <w:rPr>
                <w:rFonts w:ascii="宋体" w:hAnsi="宋体" w:cs="宋体" w:eastAsia="宋体" w:hint="default"/>
                <w:sz w:val="18"/>
                <w:szCs w:val="18"/>
              </w:rPr>
            </w:pPr>
            <w:r>
              <w:rPr>
                <w:rFonts w:ascii="宋体" w:hAnsi="宋体" w:cs="宋体" w:eastAsia="宋体" w:hint="default"/>
                <w:sz w:val="18"/>
                <w:szCs w:val="18"/>
              </w:rPr>
              <w:t>1.90</w:t>
            </w:r>
            <w:r>
              <w:rPr>
                <w:rFonts w:ascii="宋体" w:hAnsi="宋体" w:cs="宋体" w:eastAsia="宋体" w:hint="default"/>
                <w:sz w:val="18"/>
                <w:szCs w:val="18"/>
              </w:rPr>
              <w:t>至</w:t>
            </w:r>
            <w:r>
              <w:rPr>
                <w:rFonts w:ascii="宋体" w:hAnsi="宋体" w:cs="宋体" w:eastAsia="宋体" w:hint="default"/>
                <w:sz w:val="18"/>
                <w:szCs w:val="18"/>
              </w:rPr>
              <w:t>4.75</w:t>
            </w:r>
          </w:p>
        </w:tc>
      </w:tr>
    </w:tbl>
    <w:p>
      <w:pPr>
        <w:pStyle w:val="Heading4"/>
        <w:spacing w:line="240" w:lineRule="auto" w:before="48"/>
        <w:ind w:right="1024"/>
        <w:jc w:val="left"/>
        <w:rPr>
          <w:b w:val="0"/>
          <w:bCs w:val="0"/>
        </w:rPr>
      </w:pPr>
      <w:bookmarkStart w:name="24、固定资产" w:id="250"/>
      <w:bookmarkEnd w:id="250"/>
      <w:r>
        <w:rPr>
          <w:b w:val="0"/>
          <w:bCs w:val="0"/>
        </w:rPr>
      </w:r>
      <w:r>
        <w:rPr>
          <w:rFonts w:ascii="宋体" w:hAnsi="宋体" w:cs="宋体" w:eastAsia="宋体" w:hint="default"/>
        </w:rPr>
        <w:t>24</w:t>
      </w:r>
      <w:r>
        <w:rPr/>
        <w:t>、固定资产</w:t>
      </w:r>
      <w:r>
        <w:rPr>
          <w:b w:val="0"/>
          <w:bCs w:val="0"/>
        </w:rPr>
      </w:r>
    </w:p>
    <w:p>
      <w:pPr>
        <w:spacing w:line="240" w:lineRule="auto" w:before="13"/>
        <w:rPr>
          <w:rFonts w:ascii="宋体" w:hAnsi="宋体" w:cs="宋体" w:eastAsia="宋体" w:hint="default"/>
          <w:b/>
          <w:bCs/>
          <w:sz w:val="14"/>
          <w:szCs w:val="14"/>
        </w:rPr>
      </w:pPr>
    </w:p>
    <w:p>
      <w:pPr>
        <w:pStyle w:val="Heading4"/>
        <w:spacing w:line="240" w:lineRule="auto" w:before="0"/>
        <w:ind w:right="1024"/>
        <w:jc w:val="left"/>
        <w:rPr>
          <w:b w:val="0"/>
          <w:bCs w:val="0"/>
        </w:rPr>
      </w:pPr>
      <w:bookmarkStart w:name="（1）确认条件" w:id="251"/>
      <w:bookmarkEnd w:id="251"/>
      <w:r>
        <w:rPr>
          <w:b w:val="0"/>
          <w:bCs w:val="0"/>
        </w:rPr>
      </w:r>
      <w:r>
        <w:rPr/>
        <w:t>（</w:t>
      </w:r>
      <w:r>
        <w:rPr>
          <w:rFonts w:ascii="宋体" w:hAnsi="宋体" w:cs="宋体" w:eastAsia="宋体" w:hint="default"/>
        </w:rPr>
        <w:t>1</w:t>
      </w:r>
      <w:r>
        <w:rPr/>
        <w:t>）确认条件</w:t>
      </w:r>
      <w:r>
        <w:rPr>
          <w:b w:val="0"/>
          <w:bCs w:val="0"/>
        </w:rPr>
      </w:r>
    </w:p>
    <w:p>
      <w:pPr>
        <w:spacing w:line="240" w:lineRule="auto" w:before="8"/>
        <w:rPr>
          <w:rFonts w:ascii="宋体" w:hAnsi="宋体" w:cs="宋体" w:eastAsia="宋体" w:hint="default"/>
          <w:b/>
          <w:bCs/>
          <w:sz w:val="14"/>
          <w:szCs w:val="14"/>
        </w:rPr>
      </w:pPr>
    </w:p>
    <w:p>
      <w:pPr>
        <w:pStyle w:val="BodyText"/>
        <w:spacing w:line="410" w:lineRule="auto"/>
        <w:ind w:right="1024" w:firstLine="422"/>
        <w:jc w:val="left"/>
      </w:pPr>
      <w:r>
        <w:rPr>
          <w:spacing w:val="-2"/>
        </w:rPr>
        <w:t>固定资产是指为生产商品、提供劳务、出租或经营管理而持有的，使用寿命超过一个会计年度的有形</w:t>
      </w:r>
      <w:r>
        <w:rPr>
          <w:w w:val="100"/>
        </w:rPr>
        <w:t> </w:t>
      </w:r>
      <w:r>
        <w:rPr/>
        <w:t>资产。固定资产同时满足下列条件的，才能予以确认：</w:t>
      </w:r>
    </w:p>
    <w:p>
      <w:pPr>
        <w:pStyle w:val="BodyText"/>
        <w:spacing w:line="240" w:lineRule="auto" w:before="41"/>
        <w:ind w:left="575" w:right="1024"/>
        <w:jc w:val="left"/>
      </w:pPr>
      <w:r>
        <w:rPr>
          <w:rFonts w:ascii="宋体" w:hAnsi="宋体" w:cs="宋体" w:eastAsia="宋体" w:hint="default"/>
        </w:rPr>
        <w:t>1</w:t>
      </w:r>
      <w:r>
        <w:rPr/>
        <w:t>）与该固定资产有关的经济利益很可能流入企业；</w:t>
      </w:r>
    </w:p>
    <w:p>
      <w:pPr>
        <w:spacing w:line="240" w:lineRule="auto" w:before="13"/>
        <w:rPr>
          <w:rFonts w:ascii="宋体" w:hAnsi="宋体" w:cs="宋体" w:eastAsia="宋体" w:hint="default"/>
          <w:sz w:val="14"/>
          <w:szCs w:val="14"/>
        </w:rPr>
      </w:pPr>
    </w:p>
    <w:p>
      <w:pPr>
        <w:pStyle w:val="BodyText"/>
        <w:spacing w:line="240" w:lineRule="auto"/>
        <w:ind w:left="575" w:right="1024"/>
        <w:jc w:val="left"/>
      </w:pPr>
      <w:r>
        <w:rPr>
          <w:rFonts w:ascii="宋体" w:hAnsi="宋体" w:cs="宋体" w:eastAsia="宋体" w:hint="default"/>
        </w:rPr>
        <w:t>2</w:t>
      </w:r>
      <w:r>
        <w:rPr/>
        <w:t>）该固定资产的成本能够可靠地计量。</w:t>
      </w:r>
    </w:p>
    <w:p>
      <w:pPr>
        <w:spacing w:line="240" w:lineRule="auto" w:before="0"/>
        <w:rPr>
          <w:rFonts w:ascii="宋体" w:hAnsi="宋体" w:cs="宋体" w:eastAsia="宋体" w:hint="default"/>
          <w:sz w:val="20"/>
          <w:szCs w:val="20"/>
        </w:rPr>
      </w:pPr>
    </w:p>
    <w:p>
      <w:pPr>
        <w:pStyle w:val="Heading4"/>
        <w:spacing w:line="240" w:lineRule="auto" w:before="150"/>
        <w:ind w:right="1024"/>
        <w:jc w:val="left"/>
        <w:rPr>
          <w:b w:val="0"/>
          <w:bCs w:val="0"/>
        </w:rPr>
      </w:pPr>
      <w:bookmarkStart w:name="（2）折旧方法" w:id="252"/>
      <w:bookmarkEnd w:id="252"/>
      <w:r>
        <w:rPr>
          <w:b w:val="0"/>
          <w:bCs w:val="0"/>
        </w:rPr>
      </w:r>
      <w:r>
        <w:rPr/>
        <w:t>（</w:t>
      </w:r>
      <w:r>
        <w:rPr>
          <w:rFonts w:ascii="宋体" w:hAnsi="宋体" w:cs="宋体" w:eastAsia="宋体" w:hint="default"/>
        </w:rPr>
        <w:t>2</w:t>
      </w:r>
      <w:r>
        <w:rPr/>
        <w:t>）折旧方法</w:t>
      </w:r>
      <w:r>
        <w:rPr>
          <w:b w:val="0"/>
          <w:bCs w:val="0"/>
        </w:rPr>
      </w:r>
    </w:p>
    <w:p>
      <w:pPr>
        <w:spacing w:line="240" w:lineRule="auto" w:before="12"/>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11" w:hRule="exact"/>
        </w:trPr>
        <w:tc>
          <w:tcPr>
            <w:tcW w:w="191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595"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20-50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5.00</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1.90-4.75</w:t>
            </w: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房屋装修费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5.00</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9.50</w:t>
            </w: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5.00</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9.50-31.67</w:t>
            </w:r>
          </w:p>
        </w:tc>
      </w:tr>
      <w:tr>
        <w:trPr>
          <w:trHeight w:val="399"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5"/>
              <w:jc w:val="right"/>
              <w:rPr>
                <w:rFonts w:ascii="宋体" w:hAnsi="宋体" w:cs="宋体" w:eastAsia="宋体" w:hint="default"/>
                <w:sz w:val="18"/>
                <w:szCs w:val="18"/>
              </w:rPr>
            </w:pPr>
            <w:r>
              <w:rPr>
                <w:rFonts w:ascii="宋体"/>
                <w:sz w:val="18"/>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5"/>
              <w:jc w:val="right"/>
              <w:rPr>
                <w:rFonts w:ascii="宋体" w:hAnsi="宋体" w:cs="宋体" w:eastAsia="宋体" w:hint="default"/>
                <w:sz w:val="18"/>
                <w:szCs w:val="18"/>
              </w:rPr>
            </w:pPr>
            <w:r>
              <w:rPr>
                <w:rFonts w:ascii="宋体"/>
                <w:sz w:val="18"/>
              </w:rPr>
              <w:t>5.00</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9.50-19.00</w:t>
            </w:r>
          </w:p>
        </w:tc>
      </w:tr>
      <w:tr>
        <w:trPr>
          <w:trHeight w:val="413" w:hRule="exact"/>
        </w:trPr>
        <w:tc>
          <w:tcPr>
            <w:tcW w:w="191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电子及其他设备</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w w:val="101"/>
                <w:sz w:val="18"/>
              </w:rPr>
              <w:t>5</w:t>
            </w:r>
            <w:r>
              <w:rPr>
                <w:rFonts w:ascii="宋体"/>
                <w:sz w:val="18"/>
              </w:rPr>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5.00</w:t>
            </w:r>
          </w:p>
        </w:tc>
        <w:tc>
          <w:tcPr>
            <w:tcW w:w="19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19.00</w:t>
            </w:r>
          </w:p>
        </w:tc>
      </w:tr>
    </w:tbl>
    <w:p>
      <w:pPr>
        <w:spacing w:after="0" w:line="240" w:lineRule="auto"/>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pStyle w:val="Heading4"/>
        <w:spacing w:line="240" w:lineRule="auto" w:before="0"/>
        <w:ind w:right="1024"/>
        <w:jc w:val="left"/>
        <w:rPr>
          <w:b w:val="0"/>
          <w:bCs w:val="0"/>
        </w:rPr>
      </w:pPr>
      <w:bookmarkStart w:name="25、在建工程" w:id="253"/>
      <w:bookmarkEnd w:id="253"/>
      <w:r>
        <w:rPr>
          <w:b w:val="0"/>
          <w:bCs w:val="0"/>
        </w:rPr>
      </w:r>
      <w:r>
        <w:rPr>
          <w:rFonts w:ascii="宋体" w:hAnsi="宋体" w:cs="宋体" w:eastAsia="宋体" w:hint="default"/>
        </w:rPr>
        <w:t>25</w:t>
      </w:r>
      <w:r>
        <w:rPr/>
        <w:t>、在建工程</w:t>
      </w:r>
      <w:r>
        <w:rPr>
          <w:b w:val="0"/>
          <w:bCs w:val="0"/>
        </w:rPr>
      </w:r>
    </w:p>
    <w:p>
      <w:pPr>
        <w:spacing w:line="240" w:lineRule="auto" w:before="8"/>
        <w:rPr>
          <w:rFonts w:ascii="宋体" w:hAnsi="宋体" w:cs="宋体" w:eastAsia="宋体" w:hint="default"/>
          <w:b/>
          <w:bCs/>
          <w:sz w:val="14"/>
          <w:szCs w:val="14"/>
        </w:rPr>
      </w:pPr>
    </w:p>
    <w:p>
      <w:pPr>
        <w:pStyle w:val="BodyText"/>
        <w:spacing w:line="408" w:lineRule="auto"/>
        <w:ind w:right="1125" w:firstLine="422"/>
        <w:jc w:val="both"/>
      </w:pPr>
      <w:r>
        <w:rPr>
          <w:spacing w:val="-2"/>
        </w:rPr>
        <w:t>在建工程按实际发生的成本计量。实际成本包括建筑费用、其他为使在建工程达到预定可使用状态所</w:t>
      </w:r>
      <w:r>
        <w:rPr>
          <w:w w:val="100"/>
        </w:rPr>
        <w:t> </w:t>
      </w:r>
      <w:r>
        <w:rPr>
          <w:spacing w:val="-2"/>
        </w:rPr>
        <w:t>发生的必要支出以及在资产达到预定可使用状态之前所发生的符合资本化条件的借款费用。在建工程在达</w:t>
      </w:r>
      <w:r>
        <w:rPr>
          <w:spacing w:val="-33"/>
        </w:rPr>
        <w:t> </w:t>
      </w:r>
      <w:r>
        <w:rPr>
          <w:spacing w:val="-33"/>
        </w:rPr>
      </w:r>
      <w:r>
        <w:rPr/>
        <w:t>到预定可使用状态时，转入固定资产并自次月起开始计提折旧。</w:t>
      </w:r>
    </w:p>
    <w:p>
      <w:pPr>
        <w:pStyle w:val="Heading4"/>
        <w:spacing w:line="240" w:lineRule="auto" w:before="48"/>
        <w:ind w:right="1024"/>
        <w:jc w:val="left"/>
        <w:rPr>
          <w:b w:val="0"/>
          <w:bCs w:val="0"/>
        </w:rPr>
      </w:pPr>
      <w:bookmarkStart w:name="26、借款费用" w:id="254"/>
      <w:bookmarkEnd w:id="254"/>
      <w:r>
        <w:rPr>
          <w:b w:val="0"/>
          <w:bCs w:val="0"/>
        </w:rPr>
      </w:r>
      <w:r>
        <w:rPr>
          <w:rFonts w:ascii="宋体" w:hAnsi="宋体" w:cs="宋体" w:eastAsia="宋体" w:hint="default"/>
        </w:rPr>
        <w:t>26</w:t>
      </w:r>
      <w:r>
        <w:rPr/>
        <w:t>、借款费用</w:t>
      </w:r>
      <w:r>
        <w:rPr>
          <w:b w:val="0"/>
          <w:bCs w:val="0"/>
        </w:rPr>
      </w:r>
    </w:p>
    <w:p>
      <w:pPr>
        <w:spacing w:line="240" w:lineRule="auto" w:before="8"/>
        <w:rPr>
          <w:rFonts w:ascii="宋体" w:hAnsi="宋体" w:cs="宋体" w:eastAsia="宋体" w:hint="default"/>
          <w:b/>
          <w:bCs/>
          <w:sz w:val="14"/>
          <w:szCs w:val="14"/>
        </w:rPr>
      </w:pPr>
    </w:p>
    <w:p>
      <w:pPr>
        <w:pStyle w:val="BodyText"/>
        <w:spacing w:line="403" w:lineRule="auto"/>
        <w:ind w:right="1024" w:firstLine="422"/>
        <w:jc w:val="left"/>
      </w:pPr>
      <w:r>
        <w:rPr/>
        <w:t>发生的可直接归属于需要经过相当长时间的购建活动才能达到预定可使用状态之固定资产的购建的</w:t>
      </w:r>
      <w:r>
        <w:rPr>
          <w:w w:val="100"/>
        </w:rPr>
        <w:t> </w:t>
      </w:r>
      <w:r>
        <w:rPr>
          <w:spacing w:val="-4"/>
        </w:rPr>
        <w:t>借款费用，在资产支出及借款费用已经发生、为使资产达到预定可使用状态所必要的购建活动已经开始时，</w:t>
      </w:r>
      <w:r>
        <w:rPr>
          <w:spacing w:val="-47"/>
        </w:rPr>
        <w:t> </w:t>
      </w:r>
      <w:r>
        <w:rPr>
          <w:spacing w:val="-47"/>
        </w:rPr>
      </w:r>
      <w:r>
        <w:rPr>
          <w:spacing w:val="-2"/>
        </w:rPr>
        <w:t>开始资本化并计入该资产的成本。当购建的资产达到预定可使用状态时停止资本化，其后发生的借款费用</w:t>
      </w:r>
      <w:r>
        <w:rPr>
          <w:spacing w:val="-33"/>
        </w:rPr>
        <w:t> </w:t>
      </w:r>
      <w:r>
        <w:rPr>
          <w:spacing w:val="-33"/>
        </w:rPr>
      </w:r>
      <w:r>
        <w:rPr/>
        <w:t>计入当期损益。如果资产的购建活动发生非正常中断，并且中断时间连续超过</w:t>
      </w:r>
      <w:r>
        <w:rPr>
          <w:rFonts w:ascii="Times New Roman" w:hAnsi="Times New Roman" w:cs="Times New Roman" w:eastAsia="Times New Roman" w:hint="default"/>
        </w:rPr>
        <w:t>3</w:t>
      </w:r>
      <w:r>
        <w:rPr/>
        <w:t>个月，暂停借款费用的资</w:t>
      </w:r>
      <w:r>
        <w:rPr>
          <w:spacing w:val="-103"/>
        </w:rPr>
        <w:t> </w:t>
      </w:r>
      <w:r>
        <w:rPr>
          <w:spacing w:val="-103"/>
        </w:rPr>
      </w:r>
      <w:r>
        <w:rPr/>
        <w:t>本化，直至资产的购建活动重新开始。</w:t>
      </w:r>
    </w:p>
    <w:p>
      <w:pPr>
        <w:pStyle w:val="BodyText"/>
        <w:spacing w:line="408" w:lineRule="auto" w:before="52"/>
        <w:ind w:right="1125" w:firstLine="422"/>
        <w:jc w:val="both"/>
      </w:pPr>
      <w:r>
        <w:rPr>
          <w:spacing w:val="-2"/>
        </w:rPr>
        <w:t>在资本化期间内，专门借款（指为购建或者生产符合资本化条件的资产而专门借入的款项）以专门借</w:t>
      </w:r>
      <w:r>
        <w:rPr>
          <w:w w:val="100"/>
        </w:rPr>
        <w:t> </w:t>
      </w:r>
      <w:r>
        <w:rPr>
          <w:spacing w:val="-2"/>
        </w:rPr>
        <w:t>款当期实际发生的利息费用，减去将尚未动用的借款资金存入银行取得的利息收入或进行暂时性投资取得</w:t>
      </w:r>
      <w:r>
        <w:rPr>
          <w:spacing w:val="-32"/>
        </w:rPr>
        <w:t> </w:t>
      </w:r>
      <w:r>
        <w:rPr>
          <w:spacing w:val="-32"/>
        </w:rPr>
      </w:r>
      <w:r>
        <w:rPr>
          <w:spacing w:val="-2"/>
        </w:rPr>
        <w:t>的投资收益后确定应予资本化的利息金额；一般借款则根据累计资产支出超过专门借款部分的资产支出加</w:t>
      </w:r>
      <w:r>
        <w:rPr>
          <w:spacing w:val="-33"/>
        </w:rPr>
        <w:t> </w:t>
      </w:r>
      <w:r>
        <w:rPr>
          <w:spacing w:val="-33"/>
        </w:rPr>
      </w:r>
      <w:r>
        <w:rPr>
          <w:spacing w:val="-2"/>
        </w:rPr>
        <w:t>权平均数乘以所占用一般借款的资本化率，计算确定一般借款应予资本化的利息金额。资本化率根据一般</w:t>
      </w:r>
      <w:r>
        <w:rPr>
          <w:spacing w:val="-33"/>
        </w:rPr>
        <w:t> </w:t>
      </w:r>
      <w:r>
        <w:rPr>
          <w:spacing w:val="-33"/>
        </w:rPr>
      </w:r>
      <w:r>
        <w:rPr/>
        <w:t>借款加权平均利率计算确定。</w:t>
      </w:r>
    </w:p>
    <w:p>
      <w:pPr>
        <w:pStyle w:val="BodyText"/>
        <w:spacing w:line="410" w:lineRule="auto" w:before="43"/>
        <w:ind w:right="1125" w:firstLine="422"/>
        <w:jc w:val="both"/>
      </w:pPr>
      <w:r>
        <w:rPr>
          <w:spacing w:val="-2"/>
        </w:rPr>
        <w:t>借款存在折价或者溢价的，按照实际利率法确定每一会计期间应摊销的折价或者溢价金额，调整每期</w:t>
      </w:r>
      <w:r>
        <w:rPr>
          <w:w w:val="100"/>
        </w:rPr>
        <w:t> </w:t>
      </w:r>
      <w:r>
        <w:rPr/>
        <w:t>利息金额。</w:t>
      </w:r>
    </w:p>
    <w:p>
      <w:pPr>
        <w:pStyle w:val="Heading4"/>
        <w:spacing w:line="240" w:lineRule="auto" w:before="42"/>
        <w:ind w:right="1024"/>
        <w:jc w:val="left"/>
        <w:rPr>
          <w:b w:val="0"/>
          <w:bCs w:val="0"/>
        </w:rPr>
      </w:pPr>
      <w:bookmarkStart w:name="27、无形资产" w:id="255"/>
      <w:bookmarkEnd w:id="255"/>
      <w:r>
        <w:rPr>
          <w:b w:val="0"/>
          <w:bCs w:val="0"/>
        </w:rPr>
      </w:r>
      <w:r>
        <w:rPr>
          <w:rFonts w:ascii="宋体" w:hAnsi="宋体" w:cs="宋体" w:eastAsia="宋体" w:hint="default"/>
        </w:rPr>
        <w:t>27</w:t>
      </w:r>
      <w:r>
        <w:rPr/>
        <w:t>、无形资产</w:t>
      </w:r>
      <w:r>
        <w:rPr>
          <w:b w:val="0"/>
          <w:bCs w:val="0"/>
        </w:rPr>
      </w:r>
    </w:p>
    <w:p>
      <w:pPr>
        <w:spacing w:line="240" w:lineRule="auto" w:before="12"/>
        <w:rPr>
          <w:rFonts w:ascii="宋体" w:hAnsi="宋体" w:cs="宋体" w:eastAsia="宋体" w:hint="default"/>
          <w:b/>
          <w:bCs/>
          <w:sz w:val="14"/>
          <w:szCs w:val="14"/>
        </w:rPr>
      </w:pPr>
    </w:p>
    <w:p>
      <w:pPr>
        <w:pStyle w:val="BodyText"/>
        <w:spacing w:line="408" w:lineRule="auto"/>
        <w:ind w:left="575" w:right="1024"/>
        <w:jc w:val="left"/>
      </w:pPr>
      <w:bookmarkStart w:name="（1）计价方法、使用寿命、减值测试" w:id="256"/>
      <w:bookmarkEnd w:id="256"/>
      <w:r>
        <w:rPr/>
      </w: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）计价方法、使用寿命、减值测试</w:t>
      </w:r>
      <w:r>
        <w:rPr>
          <w:rFonts w:ascii="宋体" w:hAnsi="宋体" w:cs="宋体" w:eastAsia="宋体" w:hint="default"/>
          <w:b/>
          <w:bCs/>
          <w:spacing w:val="-100"/>
        </w:rPr>
        <w:t> </w:t>
      </w:r>
      <w:r>
        <w:rPr/>
        <w:t>无形资产包括土地使用权、专利权及软件等。无形资产以实际成本计量。</w:t>
      </w:r>
      <w:r>
        <w:rPr>
          <w:spacing w:val="-102"/>
        </w:rPr>
        <w:t> </w:t>
      </w:r>
      <w:r>
        <w:rPr>
          <w:spacing w:val="-102"/>
        </w:rPr>
      </w:r>
      <w:r>
        <w:rPr>
          <w:spacing w:val="-2"/>
        </w:rPr>
        <w:t>土地使用权按使用年限</w:t>
      </w:r>
      <w:r>
        <w:rPr>
          <w:rFonts w:ascii="宋体" w:hAnsi="宋体" w:cs="宋体" w:eastAsia="宋体" w:hint="default"/>
          <w:spacing w:val="-2"/>
        </w:rPr>
        <w:t>50</w:t>
      </w:r>
      <w:r>
        <w:rPr>
          <w:spacing w:val="-2"/>
        </w:rPr>
        <w:t>年平均摊销。外购土地及建筑物的价款难以在土地使用权与建筑物之间合理</w:t>
      </w:r>
    </w:p>
    <w:p>
      <w:pPr>
        <w:pStyle w:val="BodyText"/>
        <w:spacing w:line="410" w:lineRule="auto" w:before="43"/>
        <w:ind w:left="575" w:right="1024" w:hanging="423"/>
        <w:jc w:val="left"/>
      </w:pPr>
      <w:r>
        <w:rPr/>
        <w:t>分配的，全部作为固定资产。专利权按预计受益期间平均摊销。软件按受益期间平均摊销。</w:t>
      </w:r>
      <w:r>
        <w:rPr>
          <w:spacing w:val="-102"/>
        </w:rPr>
        <w:t> </w:t>
      </w:r>
      <w:r>
        <w:rPr>
          <w:spacing w:val="-102"/>
        </w:rPr>
      </w:r>
      <w:r>
        <w:rPr>
          <w:spacing w:val="-2"/>
        </w:rPr>
        <w:t>对使用寿命有限的无形资产的预计使用寿命及摊销方法于每年年度终了进行复核并作适当调整。</w:t>
      </w:r>
    </w:p>
    <w:p>
      <w:pPr>
        <w:spacing w:line="410" w:lineRule="auto" w:before="41"/>
        <w:ind w:left="575" w:right="1024" w:firstLine="0"/>
        <w:jc w:val="left"/>
        <w:rPr>
          <w:rFonts w:ascii="宋体" w:hAnsi="宋体" w:cs="宋体" w:eastAsia="宋体" w:hint="default"/>
          <w:sz w:val="21"/>
          <w:szCs w:val="21"/>
        </w:rPr>
      </w:pPr>
      <w:bookmarkStart w:name="（2）内部研究开发支出会计政策" w:id="257"/>
      <w:bookmarkEnd w:id="257"/>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spacing w:val="-101"/>
          <w:sz w:val="21"/>
          <w:szCs w:val="21"/>
        </w:rPr>
        <w:t> </w:t>
      </w:r>
      <w:r>
        <w:rPr>
          <w:rFonts w:ascii="宋体" w:hAnsi="宋体" w:cs="宋体" w:eastAsia="宋体" w:hint="default"/>
          <w:spacing w:val="-2"/>
          <w:sz w:val="21"/>
          <w:szCs w:val="21"/>
        </w:rPr>
        <w:t>根据内部研究开发项目支出的性质以及研发活动最终形成无形资产是否具有较大不确定性，分为研究</w:t>
      </w:r>
    </w:p>
    <w:p>
      <w:pPr>
        <w:pStyle w:val="BodyText"/>
        <w:spacing w:line="408" w:lineRule="auto" w:before="41"/>
        <w:ind w:left="575" w:right="1024" w:hanging="423"/>
        <w:jc w:val="left"/>
      </w:pPr>
      <w:r>
        <w:rPr/>
        <w:t>阶段支出和开发阶段支出。</w:t>
      </w:r>
      <w:r>
        <w:rPr>
          <w:spacing w:val="-101"/>
        </w:rPr>
        <w:t> </w:t>
      </w:r>
      <w:r>
        <w:rPr>
          <w:spacing w:val="-101"/>
        </w:rPr>
      </w:r>
      <w:r>
        <w:rPr>
          <w:spacing w:val="-7"/>
        </w:rPr>
        <w:t>研究阶段的支出，于发生时计入当期损益；开发阶段的支出，同时满足下列条件的，确认为无形资产：</w:t>
      </w:r>
      <w:r>
        <w:rPr>
          <w:w w:val="100"/>
        </w:rPr>
        <w:t> </w:t>
      </w:r>
      <w:r>
        <w:rPr>
          <w:rFonts w:ascii="宋体" w:hAnsi="宋体" w:cs="宋体" w:eastAsia="宋体" w:hint="default"/>
        </w:rPr>
        <w:t>1</w:t>
      </w:r>
      <w:r>
        <w:rPr/>
        <w:t>）完成该无形资产以使其能够使用或出售在技术上具有可行性；</w:t>
      </w:r>
    </w:p>
    <w:p>
      <w:pPr>
        <w:pStyle w:val="BodyText"/>
        <w:spacing w:line="240" w:lineRule="auto" w:before="48"/>
        <w:ind w:left="575" w:right="1024"/>
        <w:jc w:val="left"/>
      </w:pPr>
      <w:r>
        <w:rPr>
          <w:rFonts w:ascii="宋体" w:hAnsi="宋体" w:cs="宋体" w:eastAsia="宋体" w:hint="default"/>
        </w:rPr>
        <w:t>2</w:t>
      </w:r>
      <w:r>
        <w:rPr/>
        <w:t>）管理层具有完成该无形资产并使用或出售的意图；</w:t>
      </w:r>
    </w:p>
    <w:p>
      <w:pPr>
        <w:spacing w:line="240" w:lineRule="auto" w:before="8"/>
        <w:rPr>
          <w:rFonts w:ascii="宋体" w:hAnsi="宋体" w:cs="宋体" w:eastAsia="宋体" w:hint="default"/>
          <w:sz w:val="14"/>
          <w:szCs w:val="14"/>
        </w:rPr>
      </w:pPr>
    </w:p>
    <w:p>
      <w:pPr>
        <w:pStyle w:val="BodyText"/>
        <w:spacing w:line="240" w:lineRule="auto"/>
        <w:ind w:left="575" w:right="1024"/>
        <w:jc w:val="left"/>
      </w:pPr>
      <w:r>
        <w:rPr>
          <w:rFonts w:ascii="宋体" w:hAnsi="宋体" w:cs="宋体" w:eastAsia="宋体" w:hint="default"/>
        </w:rPr>
        <w:t>3</w:t>
      </w:r>
      <w:r>
        <w:rPr/>
        <w:t>）能够证明该无形资产将如何产生经济利益；</w:t>
      </w:r>
    </w:p>
    <w:p>
      <w:pPr>
        <w:spacing w:after="0" w:line="240" w:lineRule="auto"/>
        <w:jc w:val="left"/>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405" w:lineRule="auto"/>
        <w:ind w:right="1207" w:firstLine="422"/>
        <w:jc w:val="both"/>
      </w:pPr>
      <w:r>
        <w:rPr>
          <w:rFonts w:ascii="宋体" w:hAnsi="宋体" w:cs="宋体" w:eastAsia="宋体" w:hint="default"/>
          <w:spacing w:val="-2"/>
        </w:rPr>
        <w:t>4</w:t>
      </w:r>
      <w:r>
        <w:rPr>
          <w:spacing w:val="-2"/>
        </w:rPr>
        <w:t>）有足够的技术、财务资源和其他资源支持，以完成该无形资产的开发，并有能力使用或出售该无</w:t>
      </w:r>
      <w:r>
        <w:rPr>
          <w:w w:val="100"/>
        </w:rPr>
        <w:t> </w:t>
      </w:r>
      <w:r>
        <w:rPr/>
        <w:t>形资产；</w:t>
      </w:r>
    </w:p>
    <w:p>
      <w:pPr>
        <w:pStyle w:val="BodyText"/>
        <w:spacing w:line="405" w:lineRule="auto" w:before="51"/>
        <w:ind w:left="575" w:right="1024"/>
        <w:jc w:val="left"/>
      </w:pPr>
      <w:r>
        <w:rPr>
          <w:rFonts w:ascii="宋体" w:hAnsi="宋体" w:cs="宋体" w:eastAsia="宋体" w:hint="default"/>
        </w:rPr>
        <w:t>5</w:t>
      </w:r>
      <w:r>
        <w:rPr/>
        <w:t>）归属于该无形资产开发阶段的支出能够可靠地计量。</w:t>
      </w:r>
      <w:r>
        <w:rPr>
          <w:w w:val="100"/>
        </w:rPr>
        <w:t> </w:t>
      </w:r>
      <w:r>
        <w:rPr>
          <w:spacing w:val="-2"/>
        </w:rPr>
        <w:t>不满足上述条件的开发阶段的支出，于发生时计入当期损益。前期已计入损益的开发支出不在以后期</w:t>
      </w:r>
    </w:p>
    <w:p>
      <w:pPr>
        <w:pStyle w:val="BodyText"/>
        <w:spacing w:line="405" w:lineRule="auto" w:before="50"/>
        <w:ind w:right="1125"/>
        <w:jc w:val="both"/>
      </w:pPr>
      <w:r>
        <w:rPr>
          <w:spacing w:val="-2"/>
        </w:rPr>
        <w:t>间确认为资产。已资本化的开发阶段的支出在资产负债表上列示为开发支出，自该项目达到预定可使用状</w:t>
      </w:r>
      <w:r>
        <w:rPr>
          <w:spacing w:val="-33"/>
        </w:rPr>
        <w:t> </w:t>
      </w:r>
      <w:r>
        <w:rPr>
          <w:spacing w:val="-33"/>
        </w:rPr>
      </w:r>
      <w:r>
        <w:rPr/>
        <w:t>态之日起转为无形资产。</w:t>
      </w:r>
    </w:p>
    <w:p>
      <w:pPr>
        <w:spacing w:line="405" w:lineRule="auto" w:before="51"/>
        <w:ind w:left="153" w:right="2353" w:firstLine="422"/>
        <w:jc w:val="left"/>
        <w:rPr>
          <w:rFonts w:ascii="宋体" w:hAnsi="宋体" w:cs="宋体" w:eastAsia="宋体" w:hint="default"/>
          <w:sz w:val="21"/>
          <w:szCs w:val="21"/>
        </w:rPr>
      </w:pPr>
      <w:r>
        <w:rPr>
          <w:rFonts w:ascii="宋体" w:hAnsi="宋体" w:cs="宋体" w:eastAsia="宋体" w:hint="default"/>
          <w:spacing w:val="-2"/>
          <w:sz w:val="21"/>
          <w:szCs w:val="21"/>
        </w:rPr>
        <w:t>当开发支出的可收回金额低于其账面价值时，账面价值减记至可收回金额。</w:t>
      </w:r>
      <w:r>
        <w:rPr>
          <w:rFonts w:ascii="宋体" w:hAnsi="宋体" w:cs="宋体" w:eastAsia="宋体" w:hint="default"/>
          <w:w w:val="100"/>
          <w:sz w:val="21"/>
          <w:szCs w:val="21"/>
        </w:rPr>
        <w:t> </w:t>
      </w:r>
      <w:bookmarkStart w:name="28、长期资产减值" w:id="258"/>
      <w:bookmarkEnd w:id="258"/>
      <w:r>
        <w:rPr>
          <w:rFonts w:ascii="宋体" w:hAnsi="宋体" w:cs="宋体" w:eastAsia="宋体" w:hint="default"/>
          <w:w w:val="100"/>
          <w:sz w:val="21"/>
          <w:szCs w:val="21"/>
        </w:rPr>
      </w:r>
      <w:r>
        <w:rPr>
          <w:rFonts w:ascii="宋体" w:hAnsi="宋体" w:cs="宋体" w:eastAsia="宋体" w:hint="default"/>
          <w:b/>
          <w:bCs/>
          <w:sz w:val="21"/>
          <w:szCs w:val="21"/>
        </w:rPr>
        <w:t>28</w:t>
      </w:r>
      <w:r>
        <w:rPr>
          <w:rFonts w:ascii="宋体" w:hAnsi="宋体" w:cs="宋体" w:eastAsia="宋体" w:hint="default"/>
          <w:b/>
          <w:bCs/>
          <w:sz w:val="21"/>
          <w:szCs w:val="21"/>
        </w:rPr>
        <w:t>、长期资产减值</w:t>
      </w:r>
      <w:r>
        <w:rPr>
          <w:rFonts w:ascii="宋体" w:hAnsi="宋体" w:cs="宋体" w:eastAsia="宋体" w:hint="default"/>
          <w:sz w:val="21"/>
          <w:szCs w:val="21"/>
        </w:rPr>
      </w:r>
    </w:p>
    <w:p>
      <w:pPr>
        <w:pStyle w:val="BodyText"/>
        <w:spacing w:line="408" w:lineRule="auto" w:before="50"/>
        <w:ind w:right="1125" w:firstLine="422"/>
        <w:jc w:val="both"/>
      </w:pPr>
      <w:r>
        <w:rPr>
          <w:spacing w:val="-2"/>
        </w:rPr>
        <w:t>在财务报表中单独列示的商誉和使用寿命不确定的无形资产，无论是否存在减值迹象，至少每年进行</w:t>
      </w:r>
      <w:r>
        <w:rPr>
          <w:w w:val="100"/>
        </w:rPr>
        <w:t> </w:t>
      </w:r>
      <w:r>
        <w:rPr>
          <w:spacing w:val="-2"/>
        </w:rPr>
        <w:t>减值测试。固定资产、无形资产、以成本模式计量的投资性房地产及长期股权投资等，于资产负债表日存</w:t>
      </w:r>
      <w:r>
        <w:rPr>
          <w:spacing w:val="-33"/>
        </w:rPr>
        <w:t> </w:t>
      </w:r>
      <w:r>
        <w:rPr>
          <w:spacing w:val="-33"/>
        </w:rPr>
      </w:r>
      <w:r>
        <w:rPr>
          <w:spacing w:val="-2"/>
        </w:rPr>
        <w:t>在减值迹象的，进行减值测试。减值测试结果表明资产的可收回金额低于其账面价值的，按其差额计提减</w:t>
      </w:r>
      <w:r>
        <w:rPr>
          <w:spacing w:val="-33"/>
        </w:rPr>
        <w:t> </w:t>
      </w:r>
      <w:r>
        <w:rPr>
          <w:spacing w:val="-33"/>
        </w:rPr>
      </w:r>
      <w:r>
        <w:rPr>
          <w:spacing w:val="-2"/>
        </w:rPr>
        <w:t>值准备并计入减值损失。可收回金额为资产的公允价值减去处置费用后的净额与资产预计未来现金流量的</w:t>
      </w:r>
      <w:r>
        <w:rPr>
          <w:spacing w:val="-33"/>
        </w:rPr>
        <w:t> </w:t>
      </w:r>
      <w:r>
        <w:rPr>
          <w:spacing w:val="-33"/>
        </w:rPr>
      </w:r>
      <w:r>
        <w:rPr>
          <w:spacing w:val="-2"/>
        </w:rPr>
        <w:t>现值两者之间的较高者。资产减值准备按单项资产为基础计算并确认，如果难以对单项资产的可收回金额</w:t>
      </w:r>
      <w:r>
        <w:rPr>
          <w:spacing w:val="-33"/>
        </w:rPr>
        <w:t> </w:t>
      </w:r>
      <w:r>
        <w:rPr>
          <w:spacing w:val="-33"/>
        </w:rPr>
      </w:r>
      <w:r>
        <w:rPr>
          <w:spacing w:val="-2"/>
        </w:rPr>
        <w:t>进行估计的，以该资产所属的资产组确定资产组的可收回金额。资产组是能够独立产生现金流入的最小资</w:t>
      </w:r>
      <w:r>
        <w:rPr>
          <w:spacing w:val="-33"/>
        </w:rPr>
        <w:t> </w:t>
      </w:r>
      <w:r>
        <w:rPr>
          <w:spacing w:val="-33"/>
        </w:rPr>
      </w:r>
      <w:r>
        <w:rPr/>
        <w:t>产组合。前述资产减值损失一经确认，如果在以后期间价值得以恢复，也不予转回。</w:t>
      </w:r>
    </w:p>
    <w:p>
      <w:pPr>
        <w:pStyle w:val="BodyText"/>
        <w:spacing w:line="410" w:lineRule="auto" w:before="43"/>
        <w:ind w:left="575" w:right="1024" w:hanging="423"/>
        <w:jc w:val="left"/>
      </w:pPr>
      <w:bookmarkStart w:name="29、长期待摊费用" w:id="259"/>
      <w:bookmarkEnd w:id="259"/>
      <w:r>
        <w:rPr/>
      </w:r>
      <w:r>
        <w:rPr>
          <w:rFonts w:ascii="宋体" w:hAnsi="宋体" w:cs="宋体" w:eastAsia="宋体" w:hint="default"/>
          <w:b/>
          <w:bCs/>
        </w:rPr>
        <w:t>29</w:t>
      </w:r>
      <w:r>
        <w:rPr>
          <w:rFonts w:ascii="宋体" w:hAnsi="宋体" w:cs="宋体" w:eastAsia="宋体" w:hint="default"/>
          <w:b/>
          <w:bCs/>
        </w:rPr>
        <w:t>、长期待摊费用</w:t>
      </w:r>
      <w:r>
        <w:rPr>
          <w:rFonts w:ascii="宋体" w:hAnsi="宋体" w:cs="宋体" w:eastAsia="宋体" w:hint="default"/>
          <w:b/>
          <w:bCs/>
          <w:spacing w:val="-104"/>
        </w:rPr>
        <w:t> </w:t>
      </w:r>
      <w:r>
        <w:rPr>
          <w:spacing w:val="-2"/>
        </w:rPr>
        <w:t>长期待摊费用包括经营租入固定资产改良及其他已经发生但应由本期和以后各期负担的分摊期限在</w:t>
      </w:r>
    </w:p>
    <w:p>
      <w:pPr>
        <w:pStyle w:val="BodyText"/>
        <w:spacing w:line="410" w:lineRule="auto" w:before="42"/>
        <w:ind w:right="1024"/>
        <w:jc w:val="left"/>
        <w:rPr>
          <w:rFonts w:ascii="宋体" w:hAnsi="宋体" w:cs="宋体" w:eastAsia="宋体" w:hint="default"/>
        </w:rPr>
      </w:pPr>
      <w:r>
        <w:rPr>
          <w:spacing w:val="-2"/>
        </w:rPr>
        <w:t>一年以上的各项费用，按预计受益期间分期平均摊销，并以实际支出减去累计摊销后的净额列示。</w:t>
      </w:r>
      <w:r>
        <w:rPr>
          <w:spacing w:val="-18"/>
        </w:rPr>
        <w:t> </w:t>
      </w:r>
      <w:r>
        <w:rPr>
          <w:spacing w:val="-18"/>
        </w:rPr>
      </w:r>
      <w:bookmarkStart w:name="30、职工薪酬" w:id="260"/>
      <w:bookmarkEnd w:id="260"/>
      <w:r>
        <w:rPr>
          <w:spacing w:val="-18"/>
        </w:rPr>
      </w:r>
      <w:r>
        <w:rPr>
          <w:rFonts w:ascii="宋体" w:hAnsi="宋体" w:cs="宋体" w:eastAsia="宋体" w:hint="default"/>
          <w:b/>
          <w:bCs/>
        </w:rPr>
        <w:t>30</w:t>
      </w:r>
      <w:r>
        <w:rPr>
          <w:rFonts w:ascii="宋体" w:hAnsi="宋体" w:cs="宋体" w:eastAsia="宋体" w:hint="default"/>
          <w:b/>
          <w:bCs/>
        </w:rPr>
        <w:t>、职工薪酬</w:t>
      </w:r>
      <w:r>
        <w:rPr>
          <w:rFonts w:ascii="宋体" w:hAnsi="宋体" w:cs="宋体" w:eastAsia="宋体" w:hint="default"/>
        </w:rPr>
      </w:r>
    </w:p>
    <w:p>
      <w:pPr>
        <w:spacing w:line="410" w:lineRule="auto" w:before="41"/>
        <w:ind w:left="575" w:right="1024" w:firstLine="0"/>
        <w:jc w:val="left"/>
        <w:rPr>
          <w:rFonts w:ascii="宋体" w:hAnsi="宋体" w:cs="宋体" w:eastAsia="宋体" w:hint="default"/>
          <w:sz w:val="21"/>
          <w:szCs w:val="21"/>
        </w:rPr>
      </w:pPr>
      <w:bookmarkStart w:name="（1）短期薪酬的会计处理方法" w:id="261"/>
      <w:bookmarkEnd w:id="261"/>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在职工为公司提供服务的会计期间，将实际发生的短期薪酬确认为负债，并计入当期损益或相关资产</w:t>
      </w:r>
    </w:p>
    <w:p>
      <w:pPr>
        <w:pStyle w:val="BodyText"/>
        <w:spacing w:line="410" w:lineRule="auto" w:before="41"/>
        <w:ind w:right="1027"/>
        <w:jc w:val="both"/>
      </w:pPr>
      <w:r>
        <w:rPr>
          <w:spacing w:val="-2"/>
        </w:rPr>
        <w:t>成本。发生的职工福利费，在实际发生时根据实际发生额计入当期损益或相关资产成本。职工福利费为非</w:t>
      </w:r>
      <w:r>
        <w:rPr>
          <w:spacing w:val="-33"/>
        </w:rPr>
        <w:t> </w:t>
      </w:r>
      <w:r>
        <w:rPr>
          <w:spacing w:val="-33"/>
        </w:rPr>
      </w:r>
      <w:r>
        <w:rPr>
          <w:spacing w:val="-2"/>
        </w:rPr>
        <w:t>货币性福利的，按照公允价值计量。为职工缴纳的医疗保险费、工伤保险费、生育保险费等社会保险费和</w:t>
      </w:r>
      <w:r>
        <w:rPr>
          <w:spacing w:val="-33"/>
        </w:rPr>
        <w:t> </w:t>
      </w:r>
      <w:r>
        <w:rPr>
          <w:spacing w:val="-33"/>
        </w:rPr>
      </w:r>
      <w:r>
        <w:rPr>
          <w:spacing w:val="-2"/>
        </w:rPr>
        <w:t>住房公积金，以及按规定提取的工会经费和职工教育经费，在职工为公司提供服务的会计期间，根据规定</w:t>
      </w:r>
      <w:r>
        <w:rPr>
          <w:spacing w:val="-33"/>
        </w:rPr>
        <w:t> </w:t>
      </w:r>
      <w:r>
        <w:rPr>
          <w:spacing w:val="-33"/>
        </w:rPr>
      </w:r>
      <w:r>
        <w:rPr/>
        <w:t>的计提基础和计提比例计算确定相应的职工薪酬金额，并确认相应负债，计入当期损益或相关资产成本。</w:t>
      </w:r>
    </w:p>
    <w:p>
      <w:pPr>
        <w:pStyle w:val="BodyText"/>
        <w:spacing w:line="408" w:lineRule="auto" w:before="41"/>
        <w:ind w:right="1123" w:firstLine="422"/>
        <w:jc w:val="both"/>
      </w:pPr>
      <w:r>
        <w:rPr>
          <w:spacing w:val="-2"/>
        </w:rPr>
        <w:t>在职工提供服务从而增加了其未来享有的带薪缺勤权利时，确认与累积带薪缺勤相关的职工薪酬，并</w:t>
      </w:r>
      <w:r>
        <w:rPr>
          <w:w w:val="100"/>
        </w:rPr>
        <w:t> </w:t>
      </w:r>
      <w:r>
        <w:rPr>
          <w:spacing w:val="-2"/>
        </w:rPr>
        <w:t>以累积未行使权利而增加的预期支付金额计量。在职工实际发生缺勤的会计期间确认与非累积带薪缺勤相</w:t>
      </w:r>
      <w:r>
        <w:rPr>
          <w:spacing w:val="-33"/>
        </w:rPr>
        <w:t> </w:t>
      </w:r>
      <w:r>
        <w:rPr>
          <w:spacing w:val="-33"/>
        </w:rPr>
      </w:r>
      <w:r>
        <w:rPr/>
        <w:t>关的职工薪酬。</w:t>
      </w:r>
    </w:p>
    <w:p>
      <w:pPr>
        <w:pStyle w:val="BodyText"/>
        <w:spacing w:line="405" w:lineRule="auto" w:before="48"/>
        <w:ind w:left="575" w:right="1024"/>
        <w:jc w:val="left"/>
      </w:pPr>
      <w:r>
        <w:rPr>
          <w:spacing w:val="-2"/>
        </w:rPr>
        <w:t>利润分享计划同时满足下列条件时，公司确认相关的应付职工薪酬：</w:t>
      </w:r>
      <w:r>
        <w:rPr>
          <w:spacing w:val="-44"/>
        </w:rPr>
        <w:t> </w:t>
      </w:r>
      <w:r>
        <w:rPr>
          <w:spacing w:val="-44"/>
        </w:rPr>
      </w:r>
      <w:r>
        <w:rPr>
          <w:rFonts w:ascii="宋体" w:hAnsi="宋体" w:cs="宋体" w:eastAsia="宋体" w:hint="default"/>
        </w:rPr>
        <w:t>1</w:t>
      </w:r>
      <w:r>
        <w:rPr/>
        <w:t>）因过去事项导致现在具有支付职工薪酬的法定义务或推定义务；</w:t>
      </w:r>
    </w:p>
    <w:p>
      <w:pPr>
        <w:spacing w:after="0" w:line="405" w:lineRule="auto"/>
        <w:jc w:val="left"/>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575" w:right="1024"/>
        <w:jc w:val="left"/>
      </w:pPr>
      <w:r>
        <w:rPr>
          <w:rFonts w:ascii="宋体" w:hAnsi="宋体" w:cs="宋体" w:eastAsia="宋体" w:hint="default"/>
        </w:rPr>
        <w:t>2</w:t>
      </w:r>
      <w:r>
        <w:rPr/>
        <w:t>）因利润分享计划所产生的应付职工薪酬义务金额能够可靠估计。</w:t>
      </w:r>
    </w:p>
    <w:p>
      <w:pPr>
        <w:spacing w:line="240" w:lineRule="auto" w:before="8"/>
        <w:rPr>
          <w:rFonts w:ascii="宋体" w:hAnsi="宋体" w:cs="宋体" w:eastAsia="宋体" w:hint="default"/>
          <w:sz w:val="14"/>
          <w:szCs w:val="14"/>
        </w:rPr>
      </w:pPr>
    </w:p>
    <w:p>
      <w:pPr>
        <w:spacing w:line="410" w:lineRule="auto" w:before="0"/>
        <w:ind w:left="575" w:right="7694" w:hanging="423"/>
        <w:jc w:val="left"/>
        <w:rPr>
          <w:rFonts w:ascii="宋体" w:hAnsi="宋体" w:cs="宋体" w:eastAsia="宋体" w:hint="default"/>
          <w:sz w:val="21"/>
          <w:szCs w:val="21"/>
        </w:rPr>
      </w:pPr>
      <w:bookmarkStart w:name="（2）离职后福利的会计处理方法" w:id="262"/>
      <w:bookmarkEnd w:id="262"/>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spacing w:val="-101"/>
          <w:sz w:val="21"/>
          <w:szCs w:val="21"/>
        </w:rPr>
        <w:t> </w:t>
      </w:r>
      <w:r>
        <w:rPr>
          <w:rFonts w:ascii="宋体" w:hAnsi="宋体" w:cs="宋体" w:eastAsia="宋体" w:hint="default"/>
          <w:sz w:val="21"/>
          <w:szCs w:val="21"/>
        </w:rPr>
        <w:t>1</w:t>
      </w:r>
      <w:r>
        <w:rPr>
          <w:rFonts w:ascii="宋体" w:hAnsi="宋体" w:cs="宋体" w:eastAsia="宋体" w:hint="default"/>
          <w:sz w:val="21"/>
          <w:szCs w:val="21"/>
        </w:rPr>
        <w:t>、设定提存计划</w:t>
      </w:r>
    </w:p>
    <w:p>
      <w:pPr>
        <w:pStyle w:val="BodyText"/>
        <w:spacing w:line="408" w:lineRule="auto" w:before="41"/>
        <w:ind w:right="1123" w:firstLine="422"/>
        <w:jc w:val="both"/>
      </w:pPr>
      <w:r>
        <w:rPr>
          <w:spacing w:val="-2"/>
        </w:rPr>
        <w:t>公司在职工为其提供服务的会计期间，将根据设定提存计划计算的应缴存金额确认为负债，并计入当</w:t>
      </w:r>
      <w:r>
        <w:rPr>
          <w:w w:val="100"/>
        </w:rPr>
        <w:t> </w:t>
      </w:r>
      <w:r>
        <w:rPr>
          <w:spacing w:val="-2"/>
        </w:rPr>
        <w:t>期损益或相关资产成本。根据设定提存计划，预期不会在职工提供相关服务的年度报告期结束后十二个月</w:t>
      </w:r>
      <w:r>
        <w:rPr>
          <w:spacing w:val="-31"/>
        </w:rPr>
        <w:t> </w:t>
      </w:r>
      <w:r>
        <w:rPr>
          <w:spacing w:val="-31"/>
        </w:rPr>
      </w:r>
      <w:r>
        <w:rPr/>
        <w:t>内支付全部应缴存金额的，公司将全部应缴存金额以折现后的金额计量应付职工薪酬。</w:t>
      </w:r>
    </w:p>
    <w:p>
      <w:pPr>
        <w:pStyle w:val="BodyText"/>
        <w:spacing w:line="405" w:lineRule="auto" w:before="49"/>
        <w:ind w:left="575" w:right="4644"/>
        <w:jc w:val="left"/>
      </w:pPr>
      <w:r>
        <w:rPr>
          <w:rFonts w:ascii="宋体" w:hAnsi="宋体" w:cs="宋体" w:eastAsia="宋体" w:hint="default"/>
        </w:rPr>
        <w:t>2 </w:t>
      </w:r>
      <w:r>
        <w:rPr/>
        <w:t>、设定受益计划</w:t>
      </w:r>
      <w:r>
        <w:rPr>
          <w:spacing w:val="-101"/>
        </w:rPr>
        <w:t> </w:t>
      </w:r>
      <w:r>
        <w:rPr>
          <w:spacing w:val="-101"/>
        </w:rPr>
      </w:r>
      <w:r>
        <w:rPr>
          <w:spacing w:val="-2"/>
        </w:rPr>
        <w:t>公司对设定受益计划的会计处理包括下列四个步骤：</w:t>
      </w:r>
    </w:p>
    <w:p>
      <w:pPr>
        <w:pStyle w:val="BodyText"/>
        <w:spacing w:line="408" w:lineRule="auto" w:before="50"/>
        <w:ind w:right="1024" w:firstLine="422"/>
        <w:jc w:val="left"/>
      </w:pPr>
      <w:r>
        <w:rPr>
          <w:rFonts w:ascii="宋体" w:hAnsi="宋体" w:cs="宋体" w:eastAsia="宋体" w:hint="default"/>
        </w:rPr>
        <w:t>1</w:t>
      </w:r>
      <w:r>
        <w:rPr/>
        <w:t>）根据预期累计福利单位法，采用无偏且相互一致的精算假设对有关人口统计变量和财务变量等做</w:t>
      </w:r>
      <w:r>
        <w:rPr>
          <w:w w:val="100"/>
        </w:rPr>
        <w:t> </w:t>
      </w:r>
      <w:r>
        <w:rPr>
          <w:spacing w:val="-2"/>
        </w:rPr>
        <w:t>出估计，计量设定受益计划所产生的义务，并确定相关义务的归属期间。公司将设定受益计划所产生的义</w:t>
      </w:r>
      <w:r>
        <w:rPr>
          <w:spacing w:val="-33"/>
        </w:rPr>
        <w:t> </w:t>
      </w:r>
      <w:r>
        <w:rPr>
          <w:spacing w:val="-33"/>
        </w:rPr>
      </w:r>
      <w:r>
        <w:rPr/>
        <w:t>务予以折现，以确定设定受益计划义务的现值和当期服务成本。</w:t>
      </w:r>
    </w:p>
    <w:p>
      <w:pPr>
        <w:pStyle w:val="BodyText"/>
        <w:spacing w:line="408" w:lineRule="auto" w:before="43"/>
        <w:ind w:right="1125" w:firstLine="422"/>
        <w:jc w:val="both"/>
      </w:pPr>
      <w:r>
        <w:rPr>
          <w:rFonts w:ascii="宋体" w:hAnsi="宋体" w:cs="宋体" w:eastAsia="宋体" w:hint="default"/>
        </w:rPr>
        <w:t>2</w:t>
      </w:r>
      <w:r>
        <w:rPr/>
        <w:t>）设定受益计划存在资产的，公司将设定受益计划义务现值减去设定受益计划资产公允价值所形成</w:t>
      </w:r>
      <w:r>
        <w:rPr>
          <w:w w:val="100"/>
        </w:rPr>
        <w:t> </w:t>
      </w:r>
      <w:r>
        <w:rPr>
          <w:spacing w:val="-2"/>
        </w:rPr>
        <w:t>的赤字或盈余确认为一项设定受益计划净负债或净资产。设定受益计划存在盈余的，公司以设定受益计划</w:t>
      </w:r>
      <w:r>
        <w:rPr>
          <w:spacing w:val="-33"/>
        </w:rPr>
        <w:t> </w:t>
      </w:r>
      <w:r>
        <w:rPr>
          <w:spacing w:val="-33"/>
        </w:rPr>
      </w:r>
      <w:r>
        <w:rPr/>
        <w:t>的盈余和资产上限两项的孰低者计量设定受益计划净资产。</w:t>
      </w:r>
    </w:p>
    <w:p>
      <w:pPr>
        <w:pStyle w:val="BodyText"/>
        <w:spacing w:line="240" w:lineRule="auto" w:before="48"/>
        <w:ind w:left="575" w:right="1024"/>
        <w:jc w:val="left"/>
      </w:pPr>
      <w:r>
        <w:rPr>
          <w:rFonts w:ascii="宋体" w:hAnsi="宋体" w:cs="宋体" w:eastAsia="宋体" w:hint="default"/>
        </w:rPr>
        <w:t>3</w:t>
      </w:r>
      <w:r>
        <w:rPr/>
        <w:t>）确定计入当期损益的金额。</w:t>
      </w:r>
    </w:p>
    <w:p>
      <w:pPr>
        <w:spacing w:line="240" w:lineRule="auto" w:before="8"/>
        <w:rPr>
          <w:rFonts w:ascii="宋体" w:hAnsi="宋体" w:cs="宋体" w:eastAsia="宋体" w:hint="default"/>
          <w:sz w:val="14"/>
          <w:szCs w:val="14"/>
        </w:rPr>
      </w:pPr>
    </w:p>
    <w:p>
      <w:pPr>
        <w:pStyle w:val="BodyText"/>
        <w:spacing w:line="410" w:lineRule="auto"/>
        <w:ind w:left="575" w:right="1024"/>
        <w:jc w:val="left"/>
      </w:pPr>
      <w:r>
        <w:rPr>
          <w:rFonts w:ascii="宋体" w:hAnsi="宋体" w:cs="宋体" w:eastAsia="宋体" w:hint="default"/>
        </w:rPr>
        <w:t>4</w:t>
      </w:r>
      <w:r>
        <w:rPr/>
        <w:t>）确定计入其他综合收益的金额。</w:t>
      </w:r>
      <w:r>
        <w:rPr>
          <w:spacing w:val="-102"/>
        </w:rPr>
        <w:t> </w:t>
      </w:r>
      <w:r>
        <w:rPr>
          <w:spacing w:val="-102"/>
        </w:rPr>
      </w:r>
      <w:r>
        <w:rPr>
          <w:spacing w:val="-2"/>
        </w:rPr>
        <w:t>公司根据预期累计福利单位法确定的公式将设定受益计划产生的福利义务归属于职工提供服务的期</w:t>
      </w:r>
    </w:p>
    <w:p>
      <w:pPr>
        <w:pStyle w:val="BodyText"/>
        <w:spacing w:line="408" w:lineRule="auto" w:before="42"/>
        <w:ind w:right="1125"/>
        <w:jc w:val="both"/>
      </w:pPr>
      <w:r>
        <w:rPr>
          <w:spacing w:val="-2"/>
        </w:rPr>
        <w:t>间，并计入当期损益或相关资产成本。当职工后续年度的服务将导致其享有的设定受益计划福利水平显著</w:t>
      </w:r>
      <w:r>
        <w:rPr>
          <w:spacing w:val="-33"/>
        </w:rPr>
        <w:t> </w:t>
      </w:r>
      <w:r>
        <w:rPr>
          <w:spacing w:val="-33"/>
        </w:rPr>
      </w:r>
      <w:r>
        <w:rPr>
          <w:spacing w:val="-2"/>
        </w:rPr>
        <w:t>高于以前年度时，按照直线法将累计设定受益计划义务分摊确认于职工提供服务而导致企业第一次产生设</w:t>
      </w:r>
      <w:r>
        <w:rPr>
          <w:spacing w:val="-33"/>
        </w:rPr>
        <w:t> </w:t>
      </w:r>
      <w:r>
        <w:rPr>
          <w:spacing w:val="-33"/>
        </w:rPr>
      </w:r>
      <w:r>
        <w:rPr/>
        <w:t>定受益计划福利义务至职工提供服务不再导致该福利义务显著增加的期间。</w:t>
      </w:r>
    </w:p>
    <w:p>
      <w:pPr>
        <w:pStyle w:val="BodyText"/>
        <w:spacing w:line="405" w:lineRule="auto" w:before="49"/>
        <w:ind w:right="1120" w:firstLine="422"/>
        <w:jc w:val="both"/>
      </w:pPr>
      <w:r>
        <w:rPr>
          <w:spacing w:val="-2"/>
        </w:rPr>
        <w:t>报告期末，公司将设定受益计划产生的职工薪酬成本确认为：服务成本、设定受益计划净负债或净资</w:t>
      </w:r>
      <w:r>
        <w:rPr>
          <w:w w:val="100"/>
        </w:rPr>
        <w:t> </w:t>
      </w:r>
      <w:r>
        <w:rPr/>
        <w:t>产的利息净额，以及重新计量设定受益计划净负债或净资产所产生的变动。</w:t>
      </w:r>
    </w:p>
    <w:p>
      <w:pPr>
        <w:pStyle w:val="BodyText"/>
        <w:spacing w:line="405" w:lineRule="auto" w:before="50"/>
        <w:ind w:left="575" w:right="1024"/>
        <w:jc w:val="left"/>
      </w:pPr>
      <w:r>
        <w:rPr>
          <w:spacing w:val="-2"/>
        </w:rPr>
        <w:t>在设定受益计划下，公司在下列日期孰早日将过去服务成本确认为当期费用：</w:t>
      </w:r>
      <w:r>
        <w:rPr>
          <w:spacing w:val="-37"/>
        </w:rPr>
        <w:t> </w:t>
      </w:r>
      <w:r>
        <w:rPr>
          <w:spacing w:val="-37"/>
        </w:rPr>
      </w:r>
      <w:r>
        <w:rPr>
          <w:rFonts w:ascii="宋体" w:hAnsi="宋体" w:cs="宋体" w:eastAsia="宋体" w:hint="default"/>
        </w:rPr>
        <w:t>1</w:t>
      </w:r>
      <w:r>
        <w:rPr/>
        <w:t>）修改设定受益计划时。</w:t>
      </w:r>
    </w:p>
    <w:p>
      <w:pPr>
        <w:pStyle w:val="BodyText"/>
        <w:spacing w:line="405" w:lineRule="auto" w:before="51"/>
        <w:ind w:left="575" w:right="2353"/>
        <w:jc w:val="left"/>
      </w:pPr>
      <w:r>
        <w:rPr>
          <w:rFonts w:ascii="宋体" w:hAnsi="宋体" w:cs="宋体" w:eastAsia="宋体" w:hint="default"/>
        </w:rPr>
        <w:t>2</w:t>
      </w:r>
      <w:r>
        <w:rPr/>
        <w:t>）企业确认相关重组费用或辞退福利时。</w:t>
      </w:r>
      <w:r>
        <w:rPr>
          <w:spacing w:val="-103"/>
        </w:rPr>
        <w:t> </w:t>
      </w:r>
      <w:r>
        <w:rPr>
          <w:spacing w:val="-103"/>
        </w:rPr>
      </w:r>
      <w:r>
        <w:rPr>
          <w:spacing w:val="-2"/>
        </w:rPr>
        <w:t>公司在设定受益计划结算时，确认一项结算利得或损失。</w:t>
      </w:r>
    </w:p>
    <w:p>
      <w:pPr>
        <w:pStyle w:val="BodyText"/>
        <w:spacing w:line="408" w:lineRule="auto" w:before="50"/>
        <w:ind w:left="575" w:right="1024" w:hanging="423"/>
        <w:jc w:val="left"/>
      </w:pPr>
      <w:bookmarkStart w:name="（3）辞退福利的会计处理方法" w:id="263"/>
      <w:bookmarkEnd w:id="263"/>
      <w:r>
        <w:rPr/>
      </w: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）辞退福利的会计处理方法</w:t>
      </w:r>
      <w:r>
        <w:rPr>
          <w:rFonts w:ascii="宋体" w:hAnsi="宋体" w:cs="宋体" w:eastAsia="宋体" w:hint="default"/>
          <w:b/>
          <w:bCs/>
          <w:spacing w:val="-102"/>
        </w:rPr>
        <w:t> </w:t>
      </w:r>
      <w:r>
        <w:rPr>
          <w:spacing w:val="-5"/>
        </w:rPr>
        <w:t>公司向职工提供辞退福利的，在下列两者孰早日确认辞退福利产生的职工薪酬负债，并计入当期损益：</w:t>
      </w:r>
      <w:r>
        <w:rPr>
          <w:w w:val="100"/>
        </w:rPr>
        <w:t> </w:t>
      </w:r>
      <w:r>
        <w:rPr>
          <w:rFonts w:ascii="宋体" w:hAnsi="宋体" w:cs="宋体" w:eastAsia="宋体" w:hint="default"/>
        </w:rPr>
        <w:t>1</w:t>
      </w:r>
      <w:r>
        <w:rPr/>
        <w:t>）公司不能单方面撤回因解除劳动关系计划或裁减建议所提供的辞退福利时。</w:t>
      </w:r>
    </w:p>
    <w:p>
      <w:pPr>
        <w:pStyle w:val="BodyText"/>
        <w:spacing w:line="240" w:lineRule="auto" w:before="43"/>
        <w:ind w:left="575" w:right="1024"/>
        <w:jc w:val="left"/>
      </w:pPr>
      <w:r>
        <w:rPr>
          <w:rFonts w:ascii="宋体" w:hAnsi="宋体" w:cs="宋体" w:eastAsia="宋体" w:hint="default"/>
        </w:rPr>
        <w:t>2</w:t>
      </w:r>
      <w:r>
        <w:rPr/>
        <w:t>）公司确认与涉及支付辞退福利的重组相关的成本或费用时。</w:t>
      </w:r>
    </w:p>
    <w:p>
      <w:pPr>
        <w:spacing w:after="0" w:line="240" w:lineRule="auto"/>
        <w:jc w:val="left"/>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575" w:right="1024"/>
        <w:jc w:val="left"/>
      </w:pPr>
      <w:r>
        <w:rPr/>
        <w:t>公司按照辞退计划条款的规定，合理预计并确认辞退福利产生的应付职工薪酬。</w:t>
      </w:r>
    </w:p>
    <w:p>
      <w:pPr>
        <w:spacing w:line="240" w:lineRule="auto" w:before="8"/>
        <w:rPr>
          <w:rFonts w:ascii="宋体" w:hAnsi="宋体" w:cs="宋体" w:eastAsia="宋体" w:hint="default"/>
          <w:sz w:val="14"/>
          <w:szCs w:val="14"/>
        </w:rPr>
      </w:pPr>
    </w:p>
    <w:p>
      <w:pPr>
        <w:spacing w:line="410" w:lineRule="auto" w:before="0"/>
        <w:ind w:left="575" w:right="1024" w:hanging="423"/>
        <w:jc w:val="left"/>
        <w:rPr>
          <w:rFonts w:ascii="宋体" w:hAnsi="宋体" w:cs="宋体" w:eastAsia="宋体" w:hint="default"/>
          <w:sz w:val="21"/>
          <w:szCs w:val="21"/>
        </w:rPr>
      </w:pPr>
      <w:bookmarkStart w:name="（4）其他长期职工福利的会计处理方法" w:id="264"/>
      <w:bookmarkEnd w:id="264"/>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spacing w:val="-100"/>
          <w:sz w:val="21"/>
          <w:szCs w:val="21"/>
        </w:rPr>
        <w:t> </w:t>
      </w:r>
      <w:r>
        <w:rPr>
          <w:rFonts w:ascii="宋体" w:hAnsi="宋体" w:cs="宋体" w:eastAsia="宋体" w:hint="default"/>
          <w:spacing w:val="-2"/>
          <w:sz w:val="21"/>
          <w:szCs w:val="21"/>
        </w:rPr>
        <w:t>公司向职工提供的其他长期职工福利，符合设定提存计划条件的，按照关于设定提存计划的有关政策</w:t>
      </w:r>
    </w:p>
    <w:p>
      <w:pPr>
        <w:pStyle w:val="BodyText"/>
        <w:spacing w:line="240" w:lineRule="auto" w:before="41"/>
        <w:ind w:right="1024"/>
        <w:jc w:val="left"/>
      </w:pPr>
      <w:r>
        <w:rPr/>
        <w:t>进行处理。</w:t>
      </w:r>
    </w:p>
    <w:p>
      <w:pPr>
        <w:spacing w:line="240" w:lineRule="auto" w:before="12"/>
        <w:rPr>
          <w:rFonts w:ascii="宋体" w:hAnsi="宋体" w:cs="宋体" w:eastAsia="宋体" w:hint="default"/>
          <w:sz w:val="14"/>
          <w:szCs w:val="14"/>
        </w:rPr>
      </w:pPr>
    </w:p>
    <w:p>
      <w:pPr>
        <w:pStyle w:val="BodyText"/>
        <w:spacing w:line="405" w:lineRule="auto"/>
        <w:ind w:right="1024" w:firstLine="422"/>
        <w:jc w:val="left"/>
      </w:pPr>
      <w:r>
        <w:rPr>
          <w:spacing w:val="-2"/>
        </w:rPr>
        <w:t>除上述情形外，公司按照关于设定受益计划的有关政策，确认和计量其他长期职工福利净负债或净资</w:t>
      </w:r>
      <w:r>
        <w:rPr>
          <w:w w:val="100"/>
        </w:rPr>
        <w:t> </w:t>
      </w:r>
      <w:r>
        <w:rPr/>
        <w:t>产。在报告期末，将其他长期职工福利产生的职工薪酬成本确认为下列组成部分：</w:t>
      </w:r>
    </w:p>
    <w:p>
      <w:pPr>
        <w:pStyle w:val="BodyText"/>
        <w:spacing w:line="240" w:lineRule="auto" w:before="51"/>
        <w:ind w:left="575" w:right="1024"/>
        <w:jc w:val="left"/>
      </w:pPr>
      <w:r>
        <w:rPr>
          <w:rFonts w:ascii="宋体" w:hAnsi="宋体" w:cs="宋体" w:eastAsia="宋体" w:hint="default"/>
        </w:rPr>
        <w:t>1</w:t>
      </w:r>
      <w:r>
        <w:rPr/>
        <w:t>）服务成本。</w:t>
      </w:r>
    </w:p>
    <w:p>
      <w:pPr>
        <w:spacing w:line="240" w:lineRule="auto" w:before="8"/>
        <w:rPr>
          <w:rFonts w:ascii="宋体" w:hAnsi="宋体" w:cs="宋体" w:eastAsia="宋体" w:hint="default"/>
          <w:sz w:val="14"/>
          <w:szCs w:val="14"/>
        </w:rPr>
      </w:pPr>
    </w:p>
    <w:p>
      <w:pPr>
        <w:pStyle w:val="BodyText"/>
        <w:spacing w:line="240" w:lineRule="auto"/>
        <w:ind w:left="575" w:right="1024"/>
        <w:jc w:val="left"/>
      </w:pPr>
      <w:r>
        <w:rPr>
          <w:rFonts w:ascii="宋体" w:hAnsi="宋体" w:cs="宋体" w:eastAsia="宋体" w:hint="default"/>
        </w:rPr>
        <w:t>2</w:t>
      </w:r>
      <w:r>
        <w:rPr/>
        <w:t>）其他长期职工福利净负债或净资产的利息净额。</w:t>
      </w:r>
    </w:p>
    <w:p>
      <w:pPr>
        <w:spacing w:line="240" w:lineRule="auto" w:before="12"/>
        <w:rPr>
          <w:rFonts w:ascii="宋体" w:hAnsi="宋体" w:cs="宋体" w:eastAsia="宋体" w:hint="default"/>
          <w:sz w:val="14"/>
          <w:szCs w:val="14"/>
        </w:rPr>
      </w:pPr>
    </w:p>
    <w:p>
      <w:pPr>
        <w:pStyle w:val="BodyText"/>
        <w:spacing w:line="408" w:lineRule="auto"/>
        <w:ind w:left="575" w:right="1024"/>
        <w:jc w:val="left"/>
      </w:pPr>
      <w:r>
        <w:rPr>
          <w:rFonts w:ascii="宋体" w:hAnsi="宋体" w:cs="宋体" w:eastAsia="宋体" w:hint="default"/>
        </w:rPr>
        <w:t>3</w:t>
      </w:r>
      <w:r>
        <w:rPr/>
        <w:t>）重新计量其他长期职工福利净负债或净资产所产生的变动。</w:t>
      </w:r>
      <w:r>
        <w:rPr>
          <w:spacing w:val="-102"/>
        </w:rPr>
        <w:t> </w:t>
      </w:r>
      <w:r>
        <w:rPr>
          <w:spacing w:val="-102"/>
        </w:rPr>
      </w:r>
      <w:r>
        <w:rPr/>
        <w:t>为简化相关会计处理，上述项目的总净额应计入当期损益或相关资产成本。</w:t>
      </w:r>
      <w:r>
        <w:rPr>
          <w:w w:val="100"/>
        </w:rPr>
        <w:t> </w:t>
      </w:r>
      <w:r>
        <w:rPr>
          <w:spacing w:val="-2"/>
        </w:rPr>
        <w:t>长期残疾福利水平取决于职工提供服务期间长短的，公司在职工提供服务的期间确认应付长期残疾福</w:t>
      </w:r>
    </w:p>
    <w:p>
      <w:pPr>
        <w:pStyle w:val="BodyText"/>
        <w:spacing w:line="410" w:lineRule="auto" w:before="43"/>
        <w:ind w:right="1024"/>
        <w:jc w:val="left"/>
      </w:pPr>
      <w:r>
        <w:rPr>
          <w:spacing w:val="-2"/>
        </w:rPr>
        <w:t>利义务；长期残疾福利与职工提供服务期间长短无关的，公司在导致职工长期残疾的事件发生的当期确认</w:t>
      </w:r>
      <w:r>
        <w:rPr>
          <w:spacing w:val="-33"/>
        </w:rPr>
        <w:t> </w:t>
      </w:r>
      <w:r>
        <w:rPr>
          <w:spacing w:val="-33"/>
        </w:rPr>
      </w:r>
      <w:r>
        <w:rPr/>
        <w:t>应付长期残疾福利义务。</w:t>
      </w:r>
    </w:p>
    <w:p>
      <w:pPr>
        <w:pStyle w:val="Heading4"/>
        <w:spacing w:line="240" w:lineRule="auto" w:before="42"/>
        <w:ind w:right="1024"/>
        <w:jc w:val="left"/>
        <w:rPr>
          <w:b w:val="0"/>
          <w:bCs w:val="0"/>
        </w:rPr>
      </w:pPr>
      <w:bookmarkStart w:name="31、预计负债" w:id="265"/>
      <w:bookmarkEnd w:id="265"/>
      <w:r>
        <w:rPr>
          <w:b w:val="0"/>
          <w:bCs w:val="0"/>
        </w:rPr>
      </w:r>
      <w:r>
        <w:rPr>
          <w:rFonts w:ascii="宋体" w:hAnsi="宋体" w:cs="宋体" w:eastAsia="宋体" w:hint="default"/>
        </w:rPr>
        <w:t>31</w:t>
      </w:r>
      <w:r>
        <w:rPr/>
        <w:t>、预计负债</w:t>
      </w:r>
      <w:r>
        <w:rPr>
          <w:b w:val="0"/>
          <w:bCs w:val="0"/>
        </w:rPr>
      </w:r>
    </w:p>
    <w:p>
      <w:pPr>
        <w:spacing w:line="240" w:lineRule="auto" w:before="12"/>
        <w:rPr>
          <w:rFonts w:ascii="宋体" w:hAnsi="宋体" w:cs="宋体" w:eastAsia="宋体" w:hint="default"/>
          <w:b/>
          <w:bCs/>
          <w:sz w:val="14"/>
          <w:szCs w:val="14"/>
        </w:rPr>
      </w:pPr>
    </w:p>
    <w:p>
      <w:pPr>
        <w:pStyle w:val="BodyText"/>
        <w:spacing w:line="405" w:lineRule="auto"/>
        <w:ind w:right="1024" w:firstLine="422"/>
        <w:jc w:val="left"/>
      </w:pPr>
      <w:r>
        <w:rPr>
          <w:spacing w:val="-2"/>
        </w:rPr>
        <w:t>对因产品质量保证、亏损合同等形成的现时义务，其履行很可能导致经济利益的流出，在该义务的金</w:t>
      </w:r>
      <w:r>
        <w:rPr>
          <w:w w:val="100"/>
        </w:rPr>
        <w:t> </w:t>
      </w:r>
      <w:r>
        <w:rPr/>
        <w:t>额能够可靠计量时，确认为预计负债。对于未来经营亏损，不确认预计负债。</w:t>
      </w:r>
    </w:p>
    <w:p>
      <w:pPr>
        <w:pStyle w:val="BodyText"/>
        <w:spacing w:line="408" w:lineRule="auto" w:before="50"/>
        <w:ind w:right="1125" w:firstLine="422"/>
        <w:jc w:val="both"/>
      </w:pPr>
      <w:r>
        <w:rPr>
          <w:spacing w:val="-2"/>
        </w:rPr>
        <w:t>预计负债按照履行相关现时义务所需支出的最佳估计数进行初始计量，并综合考虑与或有事项有关的</w:t>
      </w:r>
      <w:r>
        <w:rPr>
          <w:w w:val="100"/>
        </w:rPr>
        <w:t> </w:t>
      </w:r>
      <w:r>
        <w:rPr>
          <w:spacing w:val="-2"/>
        </w:rPr>
        <w:t>风险、不确定性和货币时间价值等因素。货币时间价值影响重大的，通过对相关未来现金流出进行折现后</w:t>
      </w:r>
      <w:r>
        <w:rPr>
          <w:spacing w:val="-33"/>
        </w:rPr>
        <w:t> </w:t>
      </w:r>
      <w:r>
        <w:rPr>
          <w:spacing w:val="-33"/>
        </w:rPr>
      </w:r>
      <w:r>
        <w:rPr>
          <w:spacing w:val="-2"/>
        </w:rPr>
        <w:t>确定最佳估计数；因随着时间推移所进行的折现还原而导致的预计负债账面价值的增加金额，确认为利息</w:t>
      </w:r>
      <w:r>
        <w:rPr>
          <w:spacing w:val="-33"/>
        </w:rPr>
        <w:t> </w:t>
      </w:r>
      <w:r>
        <w:rPr>
          <w:spacing w:val="-33"/>
        </w:rPr>
      </w:r>
      <w:r>
        <w:rPr/>
        <w:t>费用。</w:t>
      </w:r>
    </w:p>
    <w:p>
      <w:pPr>
        <w:pStyle w:val="BodyText"/>
        <w:spacing w:line="405" w:lineRule="auto" w:before="49"/>
        <w:ind w:right="1024" w:firstLine="422"/>
        <w:jc w:val="left"/>
        <w:rPr>
          <w:rFonts w:ascii="宋体" w:hAnsi="宋体" w:cs="宋体" w:eastAsia="宋体" w:hint="default"/>
        </w:rPr>
      </w:pPr>
      <w:r>
        <w:rPr>
          <w:spacing w:val="-2"/>
        </w:rPr>
        <w:t>于资产负债表日，对预计负债的账面价值进行复核并作适当调整，以反映当前的最佳估计数。</w:t>
      </w:r>
      <w:r>
        <w:rPr>
          <w:w w:val="100"/>
        </w:rPr>
        <w:t> </w:t>
      </w:r>
      <w:bookmarkStart w:name="32、股份支付" w:id="266"/>
      <w:bookmarkEnd w:id="266"/>
      <w:r>
        <w:rPr>
          <w:w w:val="100"/>
        </w:rPr>
      </w:r>
      <w:r>
        <w:rPr>
          <w:rFonts w:ascii="宋体" w:hAnsi="宋体" w:cs="宋体" w:eastAsia="宋体" w:hint="default"/>
          <w:b/>
          <w:bCs/>
        </w:rPr>
        <w:t>32</w:t>
      </w:r>
      <w:r>
        <w:rPr>
          <w:rFonts w:ascii="宋体" w:hAnsi="宋体" w:cs="宋体" w:eastAsia="宋体" w:hint="default"/>
          <w:b/>
          <w:bCs/>
        </w:rPr>
        <w:t>、股份支付</w:t>
      </w:r>
      <w:r>
        <w:rPr>
          <w:rFonts w:ascii="宋体" w:hAnsi="宋体" w:cs="宋体" w:eastAsia="宋体" w:hint="default"/>
        </w:rPr>
      </w:r>
    </w:p>
    <w:p>
      <w:pPr>
        <w:pStyle w:val="BodyText"/>
        <w:spacing w:line="408" w:lineRule="auto" w:before="50"/>
        <w:ind w:left="575" w:right="1837"/>
        <w:jc w:val="left"/>
      </w:pPr>
      <w:r>
        <w:rPr>
          <w:rFonts w:ascii="宋体" w:hAnsi="宋体" w:cs="宋体" w:eastAsia="宋体" w:hint="default"/>
        </w:rPr>
        <w:t>37.1 </w:t>
      </w:r>
      <w:r>
        <w:rPr/>
        <w:t>股份支付的种类</w:t>
      </w:r>
      <w:r>
        <w:rPr>
          <w:spacing w:val="-99"/>
        </w:rPr>
        <w:t> </w:t>
      </w:r>
      <w:r>
        <w:rPr>
          <w:spacing w:val="-99"/>
        </w:rPr>
      </w:r>
      <w:r>
        <w:rPr>
          <w:spacing w:val="-2"/>
        </w:rPr>
        <w:t>根据结算方式分为以权益结算的涉及职工的股份支付、以现金结算的涉及职工的股份支付</w:t>
      </w:r>
      <w:r>
        <w:rPr>
          <w:spacing w:val="-26"/>
        </w:rPr>
        <w:t> </w:t>
      </w:r>
      <w:r>
        <w:rPr>
          <w:spacing w:val="-26"/>
        </w:rPr>
      </w:r>
      <w:r>
        <w:rPr>
          <w:rFonts w:ascii="宋体" w:hAnsi="宋体" w:cs="宋体" w:eastAsia="宋体" w:hint="default"/>
        </w:rPr>
        <w:t>37.2 </w:t>
      </w:r>
      <w:r>
        <w:rPr/>
        <w:t>权益工具公允价值的确定方法</w:t>
      </w:r>
      <w:r>
        <w:rPr>
          <w:spacing w:val="-101"/>
        </w:rPr>
        <w:t> </w:t>
      </w:r>
      <w:r>
        <w:rPr>
          <w:spacing w:val="-101"/>
        </w:rPr>
      </w:r>
      <w:r>
        <w:rPr/>
        <w:t>本公司</w:t>
      </w:r>
      <w:r>
        <w:rPr>
          <w:rFonts w:ascii="宋体" w:hAnsi="宋体" w:cs="宋体" w:eastAsia="宋体" w:hint="default"/>
        </w:rPr>
        <w:t>2016</w:t>
      </w:r>
      <w:r>
        <w:rPr/>
        <w:t>年授予的限制性股票采用期权定价模型等确定其公允价值。</w:t>
      </w:r>
    </w:p>
    <w:p>
      <w:pPr>
        <w:pStyle w:val="BodyText"/>
        <w:spacing w:line="408" w:lineRule="auto" w:before="48"/>
        <w:ind w:left="575" w:right="1024"/>
        <w:jc w:val="left"/>
      </w:pPr>
      <w:r>
        <w:rPr>
          <w:rFonts w:ascii="宋体" w:hAnsi="宋体" w:cs="宋体" w:eastAsia="宋体" w:hint="default"/>
        </w:rPr>
        <w:t>37.3</w:t>
      </w:r>
      <w:r>
        <w:rPr>
          <w:rFonts w:ascii="宋体" w:hAnsi="宋体" w:cs="宋体" w:eastAsia="宋体" w:hint="default"/>
          <w:spacing w:val="1"/>
        </w:rPr>
        <w:t> </w:t>
      </w:r>
      <w:r>
        <w:rPr/>
        <w:t>确认可行权权益工具最佳估计的依据</w:t>
      </w:r>
      <w:r>
        <w:rPr>
          <w:w w:val="100"/>
        </w:rPr>
        <w:t> </w:t>
      </w:r>
      <w:r>
        <w:rPr>
          <w:spacing w:val="-2"/>
        </w:rPr>
        <w:t>等待期内每个资产负债表日，根据最新取得的可行权职工人数变动等后续信息作出最佳估计，修正预</w:t>
      </w:r>
    </w:p>
    <w:p>
      <w:pPr>
        <w:pStyle w:val="BodyText"/>
        <w:spacing w:line="405" w:lineRule="auto" w:before="48"/>
        <w:ind w:left="575" w:right="1428" w:hanging="423"/>
        <w:jc w:val="left"/>
      </w:pPr>
      <w:r>
        <w:rPr>
          <w:spacing w:val="-2"/>
        </w:rPr>
        <w:t>计可行权的权益工具数量。在可行权日，最终预计可行权权益工具的数量与实际可行权数量一致。</w:t>
      </w:r>
      <w:r>
        <w:rPr>
          <w:spacing w:val="-18"/>
        </w:rPr>
        <w:t> </w:t>
      </w:r>
      <w:r>
        <w:rPr>
          <w:spacing w:val="-18"/>
        </w:rPr>
      </w:r>
      <w:r>
        <w:rPr>
          <w:rFonts w:ascii="宋体" w:hAnsi="宋体" w:cs="宋体" w:eastAsia="宋体" w:hint="default"/>
        </w:rPr>
        <w:t>37.4</w:t>
      </w:r>
      <w:r>
        <w:rPr>
          <w:rFonts w:ascii="宋体" w:hAnsi="宋体" w:cs="宋体" w:eastAsia="宋体" w:hint="default"/>
          <w:spacing w:val="-2"/>
        </w:rPr>
        <w:t> </w:t>
      </w:r>
      <w:r>
        <w:rPr/>
        <w:t>实施、修改、终止股份支付计划的相关会计处理</w:t>
      </w:r>
    </w:p>
    <w:p>
      <w:pPr>
        <w:spacing w:after="0" w:line="405" w:lineRule="auto"/>
        <w:jc w:val="left"/>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408" w:lineRule="auto"/>
        <w:ind w:right="1125" w:firstLine="422"/>
        <w:jc w:val="both"/>
      </w:pPr>
      <w:r>
        <w:rPr>
          <w:spacing w:val="-2"/>
        </w:rPr>
        <w:t>以权益结算的涉及职工的股份支付，授予后立即可行权的，按照授予日权益工具的公允价值计入成本</w:t>
      </w:r>
      <w:r>
        <w:rPr>
          <w:w w:val="100"/>
        </w:rPr>
        <w:t> </w:t>
      </w:r>
      <w:r>
        <w:rPr>
          <w:spacing w:val="-2"/>
        </w:rPr>
        <w:t>费用和资本公积；授予后须完成等待期内的服务或达到规定业绩条件才可行权的，在等待期内的每个资产</w:t>
      </w:r>
      <w:r>
        <w:rPr>
          <w:spacing w:val="-33"/>
        </w:rPr>
        <w:t> </w:t>
      </w:r>
      <w:r>
        <w:rPr>
          <w:spacing w:val="-33"/>
        </w:rPr>
      </w:r>
      <w:r>
        <w:rPr>
          <w:spacing w:val="-2"/>
        </w:rPr>
        <w:t>负债表日，以对可行权权益工具数量的最佳估计为基础，按照权益工具授予日的公允价值，将当期取得的</w:t>
      </w:r>
      <w:r>
        <w:rPr>
          <w:spacing w:val="-33"/>
        </w:rPr>
        <w:t> </w:t>
      </w:r>
      <w:r>
        <w:rPr>
          <w:spacing w:val="-33"/>
        </w:rPr>
      </w:r>
      <w:r>
        <w:rPr/>
        <w:t>服务计入相关成本或费用和资本公积。</w:t>
      </w:r>
    </w:p>
    <w:p>
      <w:pPr>
        <w:pStyle w:val="BodyText"/>
        <w:spacing w:line="408" w:lineRule="auto" w:before="48"/>
        <w:ind w:right="1124" w:firstLine="422"/>
        <w:jc w:val="both"/>
      </w:pPr>
      <w:r>
        <w:rPr>
          <w:spacing w:val="-2"/>
        </w:rPr>
        <w:t>以现金结算的涉及职工的股份支付，授予后立即可行权的，按照授予日本公司承担负债的公允价值计</w:t>
      </w:r>
      <w:r>
        <w:rPr>
          <w:w w:val="100"/>
        </w:rPr>
        <w:t> </w:t>
      </w:r>
      <w:r>
        <w:rPr>
          <w:spacing w:val="-2"/>
        </w:rPr>
        <w:t>入相关成本或费用和相应负债；授予后须完成等待期内的服务或达到规定业绩条件才可行权的，在等待期</w:t>
      </w:r>
      <w:r>
        <w:rPr>
          <w:spacing w:val="-33"/>
        </w:rPr>
        <w:t> </w:t>
      </w:r>
      <w:r>
        <w:rPr>
          <w:spacing w:val="-33"/>
        </w:rPr>
      </w:r>
      <w:r>
        <w:rPr>
          <w:spacing w:val="-2"/>
        </w:rPr>
        <w:t>内的每个资产负债表日，以对可行权情况的最佳估计为基础，按照本公司承担负债的公允价值金额，将当</w:t>
      </w:r>
      <w:r>
        <w:rPr>
          <w:spacing w:val="-33"/>
        </w:rPr>
        <w:t> </w:t>
      </w:r>
      <w:r>
        <w:rPr>
          <w:spacing w:val="-33"/>
        </w:rPr>
      </w:r>
      <w:r>
        <w:rPr/>
        <w:t>期取得的服务计入相关成本或费用和相应负债。</w:t>
      </w:r>
    </w:p>
    <w:p>
      <w:pPr>
        <w:spacing w:line="408" w:lineRule="auto" w:before="48"/>
        <w:ind w:left="153" w:right="8661" w:firstLine="0"/>
        <w:jc w:val="left"/>
        <w:rPr>
          <w:rFonts w:ascii="宋体" w:hAnsi="宋体" w:cs="宋体" w:eastAsia="宋体" w:hint="default"/>
          <w:sz w:val="21"/>
          <w:szCs w:val="21"/>
        </w:rPr>
      </w:pPr>
      <w:bookmarkStart w:name="33、收入" w:id="267"/>
      <w:bookmarkEnd w:id="267"/>
      <w:r>
        <w:rPr/>
      </w:r>
      <w:r>
        <w:rPr>
          <w:rFonts w:ascii="宋体" w:hAnsi="宋体" w:cs="宋体" w:eastAsia="宋体" w:hint="default"/>
          <w:b/>
          <w:bCs/>
          <w:sz w:val="21"/>
          <w:szCs w:val="21"/>
        </w:rPr>
        <w:t>33</w:t>
      </w:r>
      <w:r>
        <w:rPr>
          <w:rFonts w:ascii="宋体" w:hAnsi="宋体" w:cs="宋体" w:eastAsia="宋体" w:hint="default"/>
          <w:b/>
          <w:bCs/>
          <w:sz w:val="21"/>
          <w:szCs w:val="21"/>
        </w:rPr>
        <w:t>、收入</w:t>
      </w:r>
      <w:r>
        <w:rPr>
          <w:rFonts w:ascii="宋体" w:hAnsi="宋体" w:cs="宋体" w:eastAsia="宋体" w:hint="default"/>
          <w:b/>
          <w:bCs/>
          <w:w w:val="100"/>
          <w:sz w:val="21"/>
          <w:szCs w:val="21"/>
        </w:rPr>
        <w:t> </w:t>
      </w:r>
      <w:r>
        <w:rPr>
          <w:rFonts w:ascii="宋体" w:hAnsi="宋体" w:cs="宋体" w:eastAsia="宋体" w:hint="default"/>
          <w:spacing w:val="-1"/>
          <w:sz w:val="21"/>
          <w:szCs w:val="21"/>
        </w:rPr>
        <w:t>是否已执行新收入准则</w:t>
      </w:r>
    </w:p>
    <w:p>
      <w:pPr>
        <w:pStyle w:val="BodyText"/>
        <w:spacing w:line="240" w:lineRule="auto" w:before="48"/>
        <w:ind w:right="1024"/>
        <w:jc w:val="left"/>
      </w:pPr>
      <w:r>
        <w:rPr/>
        <w:t>√ 是 □</w:t>
      </w:r>
      <w:r>
        <w:rPr>
          <w:spacing w:val="5"/>
        </w:rPr>
        <w:t> </w:t>
      </w:r>
      <w:r>
        <w:rPr/>
        <w:t>否</w:t>
      </w:r>
    </w:p>
    <w:p>
      <w:pPr>
        <w:spacing w:line="240" w:lineRule="auto" w:before="8"/>
        <w:rPr>
          <w:rFonts w:ascii="宋体" w:hAnsi="宋体" w:cs="宋体" w:eastAsia="宋体" w:hint="default"/>
          <w:sz w:val="14"/>
          <w:szCs w:val="14"/>
        </w:rPr>
      </w:pPr>
    </w:p>
    <w:p>
      <w:pPr>
        <w:pStyle w:val="BodyText"/>
        <w:spacing w:line="410" w:lineRule="auto"/>
        <w:ind w:left="575" w:right="1024"/>
        <w:jc w:val="left"/>
      </w:pPr>
      <w:r>
        <w:rPr/>
        <w:t>收入确认和计量所采用的会计政策</w:t>
      </w:r>
      <w:r>
        <w:rPr>
          <w:spacing w:val="-102"/>
        </w:rPr>
        <w:t> </w:t>
      </w:r>
      <w:r>
        <w:rPr>
          <w:spacing w:val="-102"/>
        </w:rPr>
      </w:r>
      <w:r>
        <w:rPr>
          <w:spacing w:val="-2"/>
        </w:rPr>
        <w:t>收入的金额按照本公司在日常经营活动中销售商品和提供劳务时，已收或应收合同或协议价款的公允</w:t>
      </w:r>
    </w:p>
    <w:p>
      <w:pPr>
        <w:pStyle w:val="BodyText"/>
        <w:spacing w:line="410" w:lineRule="auto" w:before="42"/>
        <w:ind w:left="575" w:right="1024" w:hanging="423"/>
        <w:jc w:val="left"/>
      </w:pPr>
      <w:r>
        <w:rPr/>
        <w:t>价值确定。收入按扣除增值税、商业折扣、销售折让及销售退回的净额列示。</w:t>
      </w:r>
      <w:r>
        <w:rPr>
          <w:w w:val="100"/>
        </w:rPr>
        <w:t> </w:t>
      </w:r>
      <w:r>
        <w:rPr>
          <w:spacing w:val="-2"/>
        </w:rPr>
        <w:t>与交易相关的经济利益能够流入本公司，相关的收入能够可靠计量且满足下列各项经营活动的特定收</w:t>
      </w:r>
    </w:p>
    <w:p>
      <w:pPr>
        <w:pStyle w:val="BodyText"/>
        <w:spacing w:line="410" w:lineRule="auto" w:before="41"/>
        <w:ind w:right="7271"/>
        <w:jc w:val="left"/>
      </w:pPr>
      <w:r>
        <w:rPr>
          <w:spacing w:val="-1"/>
        </w:rPr>
        <w:t>入确认标准时，确认相关的收入。</w:t>
      </w:r>
      <w:r>
        <w:rPr>
          <w:spacing w:val="-87"/>
        </w:rPr>
        <w:t> </w:t>
      </w:r>
      <w:r>
        <w:rPr>
          <w:spacing w:val="-87"/>
        </w:rPr>
      </w:r>
      <w:r>
        <w:rPr>
          <w:rFonts w:ascii="宋体" w:hAnsi="宋体" w:cs="宋体" w:eastAsia="宋体" w:hint="default"/>
        </w:rPr>
        <w:t>33.1</w:t>
      </w:r>
      <w:r>
        <w:rPr>
          <w:rFonts w:ascii="宋体" w:hAnsi="宋体" w:cs="宋体" w:eastAsia="宋体" w:hint="default"/>
          <w:spacing w:val="2"/>
        </w:rPr>
        <w:t> </w:t>
      </w:r>
      <w:r>
        <w:rPr/>
        <w:t>销售商品</w:t>
      </w:r>
    </w:p>
    <w:p>
      <w:pPr>
        <w:pStyle w:val="BodyText"/>
        <w:spacing w:line="410" w:lineRule="auto" w:before="42"/>
        <w:ind w:right="1125" w:firstLine="422"/>
        <w:jc w:val="both"/>
      </w:pPr>
      <w:r>
        <w:rPr>
          <w:spacing w:val="-2"/>
        </w:rPr>
        <w:t>商品销售在商品所有权上的主要风险和报酬已转移给买方，本公司不再对该商品实施继续管理权和实</w:t>
      </w:r>
      <w:r>
        <w:rPr>
          <w:w w:val="100"/>
        </w:rPr>
        <w:t> </w:t>
      </w:r>
      <w:r>
        <w:rPr>
          <w:spacing w:val="-2"/>
        </w:rPr>
        <w:t>际控制权，与交易相关的经济利益很可能流入企业，并且与销售该商品相关的收入和成本能够可靠地计量</w:t>
      </w:r>
      <w:r>
        <w:rPr>
          <w:spacing w:val="-33"/>
        </w:rPr>
        <w:t> </w:t>
      </w:r>
      <w:r>
        <w:rPr>
          <w:spacing w:val="-33"/>
        </w:rPr>
      </w:r>
      <w:r>
        <w:rPr>
          <w:spacing w:val="-2"/>
        </w:rPr>
        <w:t>时，确认营业收入的实现。收入的金额按照本公司在日常经营活动中销售商品和提供劳务时，已收或应收</w:t>
      </w:r>
      <w:r>
        <w:rPr>
          <w:spacing w:val="-33"/>
        </w:rPr>
        <w:t> </w:t>
      </w:r>
      <w:r>
        <w:rPr>
          <w:spacing w:val="-33"/>
        </w:rPr>
      </w:r>
      <w:r>
        <w:rPr/>
        <w:t>合同或协议价款的公允价值确定。收入按扣除增值税、商业折扣、销售折让及销售退回的净额列示。</w:t>
      </w:r>
    </w:p>
    <w:p>
      <w:pPr>
        <w:pStyle w:val="BodyText"/>
        <w:spacing w:line="410" w:lineRule="auto" w:before="41"/>
        <w:ind w:right="3709" w:firstLine="422"/>
        <w:jc w:val="left"/>
      </w:pPr>
      <w:r>
        <w:rPr>
          <w:spacing w:val="-2"/>
        </w:rPr>
        <w:t>产品销售收入一般在按合同生产、发货，并经客户验收时确认收入。</w:t>
      </w:r>
      <w:r>
        <w:rPr>
          <w:w w:val="100"/>
        </w:rPr>
        <w:t> </w:t>
      </w:r>
      <w:r>
        <w:rPr>
          <w:rFonts w:ascii="宋体" w:hAnsi="宋体" w:cs="宋体" w:eastAsia="宋体" w:hint="default"/>
        </w:rPr>
        <w:t>33.2</w:t>
      </w:r>
      <w:r>
        <w:rPr>
          <w:rFonts w:ascii="宋体" w:hAnsi="宋体" w:cs="宋体" w:eastAsia="宋体" w:hint="default"/>
          <w:spacing w:val="2"/>
        </w:rPr>
        <w:t> </w:t>
      </w:r>
      <w:r>
        <w:rPr/>
        <w:t>提供劳务</w:t>
      </w:r>
    </w:p>
    <w:p>
      <w:pPr>
        <w:pStyle w:val="BodyText"/>
        <w:spacing w:line="408" w:lineRule="auto" w:before="41"/>
        <w:ind w:right="1120" w:firstLine="422"/>
        <w:jc w:val="both"/>
      </w:pPr>
      <w:r>
        <w:rPr>
          <w:spacing w:val="-2"/>
        </w:rPr>
        <w:t>提供的劳务在同一会计年度开始并完成的，在劳务已经提供，收到价款或取得收取价款的证据时，确</w:t>
      </w:r>
      <w:r>
        <w:rPr>
          <w:w w:val="100"/>
        </w:rPr>
        <w:t> </w:t>
      </w:r>
      <w:r>
        <w:rPr>
          <w:spacing w:val="-2"/>
        </w:rPr>
        <w:t>认营业收入的实现；劳务的开始和完成分属不同会计年度的，在劳务合同的总收入、劳务的完成程度能够</w:t>
      </w:r>
      <w:r>
        <w:rPr>
          <w:spacing w:val="-33"/>
        </w:rPr>
        <w:t> </w:t>
      </w:r>
      <w:r>
        <w:rPr>
          <w:spacing w:val="-33"/>
        </w:rPr>
      </w:r>
      <w:r>
        <w:rPr>
          <w:spacing w:val="-2"/>
        </w:rPr>
        <w:t>可靠地确定，与交易相关的价款能够流入，已经发生的成本和为完成劳务将要发生的成本能够可靠地计量</w:t>
      </w:r>
      <w:r>
        <w:rPr>
          <w:spacing w:val="-33"/>
        </w:rPr>
        <w:t> </w:t>
      </w:r>
      <w:r>
        <w:rPr>
          <w:spacing w:val="-33"/>
        </w:rPr>
      </w:r>
      <w:r>
        <w:rPr>
          <w:spacing w:val="-2"/>
        </w:rPr>
        <w:t>时，按完工百分比法确认营业收入的实现；长期合同工程在合同结果已经能够合理地预见时，按结账时已</w:t>
      </w:r>
      <w:r>
        <w:rPr>
          <w:spacing w:val="-33"/>
        </w:rPr>
        <w:t> </w:t>
      </w:r>
      <w:r>
        <w:rPr>
          <w:spacing w:val="-33"/>
        </w:rPr>
      </w:r>
      <w:r>
        <w:rPr/>
        <w:t>完成工程进度的百分比法确认营业收入的实现。</w:t>
      </w:r>
    </w:p>
    <w:p>
      <w:pPr>
        <w:pStyle w:val="BodyText"/>
        <w:spacing w:line="405" w:lineRule="auto" w:before="48"/>
        <w:ind w:right="1135" w:firstLine="422"/>
        <w:jc w:val="both"/>
      </w:pPr>
      <w:r>
        <w:rPr>
          <w:rFonts w:ascii="宋体" w:hAnsi="宋体" w:cs="宋体" w:eastAsia="宋体" w:hint="default"/>
        </w:rPr>
        <w:t>1</w:t>
      </w:r>
      <w:r>
        <w:rPr/>
        <w:t>）软件开发等技术服务收入确认的方法：公司为客户提供的软件开发等技术服务收入通常在开发完</w:t>
      </w:r>
      <w:r>
        <w:rPr>
          <w:w w:val="100"/>
        </w:rPr>
        <w:t> </w:t>
      </w:r>
      <w:r>
        <w:rPr/>
        <w:t>成，客户验收后确认收入。</w:t>
      </w:r>
    </w:p>
    <w:p>
      <w:pPr>
        <w:spacing w:after="0" w:line="405" w:lineRule="auto"/>
        <w:jc w:val="both"/>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405" w:lineRule="auto"/>
        <w:ind w:right="1024" w:firstLine="422"/>
        <w:jc w:val="left"/>
      </w:pPr>
      <w:r>
        <w:rPr>
          <w:rFonts w:ascii="宋体" w:hAnsi="宋体" w:cs="宋体" w:eastAsia="宋体" w:hint="default"/>
        </w:rPr>
        <w:t>2</w:t>
      </w:r>
      <w:r>
        <w:rPr/>
        <w:t>）电力工程施工收入确认的方法：对于电力工程施工收入合同，公司按照完工百分比法确认收入。</w:t>
      </w:r>
      <w:r>
        <w:rPr>
          <w:w w:val="100"/>
        </w:rPr>
        <w:t> </w:t>
      </w:r>
      <w:r>
        <w:rPr/>
        <w:t>完工百分比由施工验收签单所确定的工程量占合同要求及安装设备总量的比例来确定。</w:t>
      </w:r>
    </w:p>
    <w:p>
      <w:pPr>
        <w:pStyle w:val="BodyText"/>
        <w:spacing w:line="405" w:lineRule="auto" w:before="51"/>
        <w:ind w:left="575" w:right="1024"/>
        <w:jc w:val="left"/>
      </w:pPr>
      <w:r>
        <w:rPr>
          <w:rFonts w:ascii="宋体" w:hAnsi="宋体" w:cs="宋体" w:eastAsia="宋体" w:hint="default"/>
        </w:rPr>
        <w:t>3</w:t>
      </w:r>
      <w:r>
        <w:rPr/>
        <w:t>）电力设计收入确认的方法</w:t>
      </w:r>
      <w:r>
        <w:rPr>
          <w:spacing w:val="-100"/>
        </w:rPr>
        <w:t> </w:t>
      </w:r>
      <w:r>
        <w:rPr>
          <w:spacing w:val="-100"/>
        </w:rPr>
      </w:r>
      <w:r>
        <w:rPr>
          <w:spacing w:val="-2"/>
        </w:rPr>
        <w:t>公司为客户提供的电力设计服务收入通常在按合同约定设计完成交付图纸，客户完成设计成果验收后</w:t>
      </w:r>
    </w:p>
    <w:p>
      <w:pPr>
        <w:pStyle w:val="BodyText"/>
        <w:spacing w:line="240" w:lineRule="auto" w:before="50"/>
        <w:ind w:right="1024"/>
        <w:jc w:val="left"/>
      </w:pPr>
      <w:r>
        <w:rPr/>
        <w:t>确认收入。</w:t>
      </w:r>
    </w:p>
    <w:p>
      <w:pPr>
        <w:spacing w:line="240" w:lineRule="auto" w:before="8"/>
        <w:rPr>
          <w:rFonts w:ascii="宋体" w:hAnsi="宋体" w:cs="宋体" w:eastAsia="宋体" w:hint="default"/>
          <w:sz w:val="14"/>
          <w:szCs w:val="14"/>
        </w:rPr>
      </w:pPr>
    </w:p>
    <w:p>
      <w:pPr>
        <w:pStyle w:val="BodyText"/>
        <w:spacing w:line="410" w:lineRule="auto"/>
        <w:ind w:left="575" w:right="1024" w:hanging="423"/>
        <w:jc w:val="left"/>
      </w:pPr>
      <w:r>
        <w:rPr>
          <w:rFonts w:ascii="宋体" w:hAnsi="宋体" w:cs="宋体" w:eastAsia="宋体" w:hint="default"/>
        </w:rPr>
        <w:t>33.3 </w:t>
      </w:r>
      <w:r>
        <w:rPr/>
        <w:t>让渡资产使用权</w:t>
      </w:r>
      <w:r>
        <w:rPr>
          <w:spacing w:val="-100"/>
        </w:rPr>
        <w:t> </w:t>
      </w:r>
      <w:r>
        <w:rPr>
          <w:spacing w:val="-100"/>
        </w:rPr>
      </w:r>
      <w:r>
        <w:rPr>
          <w:spacing w:val="-2"/>
        </w:rPr>
        <w:t>让渡资产使用权取得的利息收入和使用费收入，在与交易相关的经济利益能够流入企业，且收入的金</w:t>
      </w:r>
    </w:p>
    <w:p>
      <w:pPr>
        <w:spacing w:line="410" w:lineRule="auto" w:before="41"/>
        <w:ind w:left="153" w:right="5885" w:firstLine="0"/>
        <w:jc w:val="left"/>
        <w:rPr>
          <w:rFonts w:ascii="宋体" w:hAnsi="宋体" w:cs="宋体" w:eastAsia="宋体" w:hint="default"/>
          <w:sz w:val="21"/>
          <w:szCs w:val="21"/>
        </w:rPr>
      </w:pPr>
      <w:r>
        <w:rPr>
          <w:rFonts w:ascii="宋体" w:hAnsi="宋体" w:cs="宋体" w:eastAsia="宋体" w:hint="default"/>
          <w:spacing w:val="-2"/>
          <w:sz w:val="21"/>
          <w:szCs w:val="21"/>
        </w:rPr>
        <w:t>额能够可靠地计量时，确认收入的实现。</w:t>
      </w:r>
      <w:r>
        <w:rPr>
          <w:rFonts w:ascii="宋体" w:hAnsi="宋体" w:cs="宋体" w:eastAsia="宋体" w:hint="default"/>
          <w:spacing w:val="-68"/>
          <w:sz w:val="21"/>
          <w:szCs w:val="21"/>
        </w:rPr>
        <w:t> </w:t>
      </w:r>
      <w:r>
        <w:rPr>
          <w:rFonts w:ascii="宋体" w:hAnsi="宋体" w:cs="宋体" w:eastAsia="宋体" w:hint="default"/>
          <w:spacing w:val="-68"/>
          <w:sz w:val="21"/>
          <w:szCs w:val="21"/>
        </w:rPr>
      </w:r>
      <w:bookmarkStart w:name="34、政府补助" w:id="268"/>
      <w:bookmarkEnd w:id="268"/>
      <w:r>
        <w:rPr>
          <w:rFonts w:ascii="宋体" w:hAnsi="宋体" w:cs="宋体" w:eastAsia="宋体" w:hint="default"/>
          <w:spacing w:val="-68"/>
          <w:sz w:val="21"/>
          <w:szCs w:val="21"/>
        </w:rPr>
      </w:r>
      <w:r>
        <w:rPr>
          <w:rFonts w:ascii="宋体" w:hAnsi="宋体" w:cs="宋体" w:eastAsia="宋体" w:hint="default"/>
          <w:b/>
          <w:bCs/>
          <w:sz w:val="21"/>
          <w:szCs w:val="21"/>
        </w:rPr>
        <w:t>34</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BodyText"/>
        <w:spacing w:line="410" w:lineRule="auto" w:before="42"/>
        <w:ind w:left="575" w:right="1024" w:hanging="423"/>
        <w:jc w:val="left"/>
      </w:pPr>
      <w:r>
        <w:rPr>
          <w:rFonts w:ascii="宋体" w:hAnsi="宋体" w:cs="宋体" w:eastAsia="宋体" w:hint="default"/>
        </w:rPr>
        <w:t>34.1</w:t>
      </w:r>
      <w:r>
        <w:rPr>
          <w:rFonts w:ascii="宋体" w:hAnsi="宋体" w:cs="宋体" w:eastAsia="宋体" w:hint="default"/>
          <w:spacing w:val="-1"/>
        </w:rPr>
        <w:t> </w:t>
      </w:r>
      <w:r>
        <w:rPr/>
        <w:t>与资产相关的政府补助判断依据及会计处理方法</w:t>
      </w:r>
      <w:r>
        <w:rPr>
          <w:w w:val="100"/>
        </w:rPr>
        <w:t> </w:t>
      </w:r>
      <w:r>
        <w:rPr>
          <w:spacing w:val="-2"/>
        </w:rPr>
        <w:t>与资产相关的政府补助，冲减相关资产的账面价值或确认为递延收益。与资产相关的政府补助确认为</w:t>
      </w:r>
    </w:p>
    <w:p>
      <w:pPr>
        <w:pStyle w:val="BodyText"/>
        <w:spacing w:line="410" w:lineRule="auto" w:before="41"/>
        <w:ind w:right="1024"/>
        <w:jc w:val="left"/>
      </w:pPr>
      <w:r>
        <w:rPr>
          <w:spacing w:val="-7"/>
        </w:rPr>
        <w:t>递延收益的，在相关资产使用寿命内按照合理、系统的方法分期计入损益。按照名义金额计量的政府补助，</w:t>
      </w:r>
      <w:r>
        <w:rPr>
          <w:spacing w:val="-6"/>
        </w:rPr>
        <w:t> </w:t>
      </w:r>
      <w:r>
        <w:rPr>
          <w:spacing w:val="-6"/>
        </w:rPr>
      </w:r>
      <w:r>
        <w:rPr/>
        <w:t>直接计入当期损益。</w:t>
      </w:r>
    </w:p>
    <w:p>
      <w:pPr>
        <w:pStyle w:val="BodyText"/>
        <w:spacing w:line="410" w:lineRule="auto" w:before="42"/>
        <w:ind w:right="1024" w:firstLine="422"/>
        <w:jc w:val="left"/>
      </w:pPr>
      <w:r>
        <w:rPr>
          <w:spacing w:val="-2"/>
        </w:rPr>
        <w:t>相关资产在使用寿命结束前被出售、转让、报废或发生毁损的，将尚未分配的相关递延收益余额转入</w:t>
      </w:r>
      <w:r>
        <w:rPr>
          <w:w w:val="100"/>
        </w:rPr>
        <w:t> </w:t>
      </w:r>
      <w:r>
        <w:rPr/>
        <w:t>资产处置当期的损益。</w:t>
      </w:r>
    </w:p>
    <w:p>
      <w:pPr>
        <w:pStyle w:val="BodyText"/>
        <w:spacing w:line="410" w:lineRule="auto" w:before="41"/>
        <w:ind w:left="575" w:right="1024" w:hanging="423"/>
        <w:jc w:val="left"/>
      </w:pPr>
      <w:r>
        <w:rPr>
          <w:rFonts w:ascii="宋体" w:hAnsi="宋体" w:cs="宋体" w:eastAsia="宋体" w:hint="default"/>
        </w:rPr>
        <w:t>34.2</w:t>
      </w:r>
      <w:r>
        <w:rPr>
          <w:rFonts w:ascii="宋体" w:hAnsi="宋体" w:cs="宋体" w:eastAsia="宋体" w:hint="default"/>
          <w:spacing w:val="-1"/>
        </w:rPr>
        <w:t> </w:t>
      </w:r>
      <w:r>
        <w:rPr/>
        <w:t>与收益相关的政府补助判断依据及会计处理方法</w:t>
      </w:r>
      <w:r>
        <w:rPr>
          <w:w w:val="100"/>
        </w:rPr>
        <w:t> </w:t>
      </w:r>
      <w:r>
        <w:rPr>
          <w:spacing w:val="-2"/>
        </w:rPr>
        <w:t>用于补偿企业以后期间的相关成本费用或损失的，确认为递延收益，并在确认相关成本费用或损失的</w:t>
      </w:r>
    </w:p>
    <w:p>
      <w:pPr>
        <w:pStyle w:val="BodyText"/>
        <w:spacing w:line="410" w:lineRule="auto" w:before="42"/>
        <w:ind w:right="1024"/>
        <w:jc w:val="left"/>
      </w:pPr>
      <w:r>
        <w:rPr>
          <w:spacing w:val="-2"/>
        </w:rPr>
        <w:t>期间，计入当期损益或冲减相关成本；用于补偿企业已发生的相关成本费用或损失的，直接计入当期损益</w:t>
      </w:r>
      <w:r>
        <w:rPr>
          <w:spacing w:val="-32"/>
        </w:rPr>
        <w:t> </w:t>
      </w:r>
      <w:r>
        <w:rPr>
          <w:spacing w:val="-32"/>
        </w:rPr>
      </w:r>
      <w:r>
        <w:rPr/>
        <w:t>或冲减相关成本。</w:t>
      </w:r>
    </w:p>
    <w:p>
      <w:pPr>
        <w:pStyle w:val="BodyText"/>
        <w:spacing w:line="410" w:lineRule="auto" w:before="41"/>
        <w:ind w:left="575" w:right="1024" w:hanging="423"/>
        <w:jc w:val="left"/>
      </w:pPr>
      <w:r>
        <w:rPr>
          <w:rFonts w:ascii="宋体" w:hAnsi="宋体" w:cs="宋体" w:eastAsia="宋体" w:hint="default"/>
        </w:rPr>
        <w:t>34.3</w:t>
      </w:r>
      <w:r>
        <w:rPr/>
        <w:t>同时包含与资产相关部分和与收益相关部分的政府补助</w:t>
      </w:r>
      <w:r>
        <w:rPr>
          <w:w w:val="100"/>
        </w:rPr>
        <w:t> </w:t>
      </w:r>
      <w:r>
        <w:rPr>
          <w:spacing w:val="-2"/>
        </w:rPr>
        <w:t>对于同时包含与资产相关部分和与收益相关部分的政府补助，区分不同部分分别进行会计处理；难以</w:t>
      </w:r>
    </w:p>
    <w:p>
      <w:pPr>
        <w:pStyle w:val="BodyText"/>
        <w:spacing w:line="410" w:lineRule="auto" w:before="41"/>
        <w:ind w:right="6217"/>
        <w:jc w:val="left"/>
      </w:pPr>
      <w:r>
        <w:rPr>
          <w:spacing w:val="-1"/>
        </w:rPr>
        <w:t>区分的，整体归类为与收益相关的政府补助。</w:t>
      </w:r>
      <w:r>
        <w:rPr>
          <w:spacing w:val="-81"/>
        </w:rPr>
        <w:t> </w:t>
      </w:r>
      <w:r>
        <w:rPr>
          <w:spacing w:val="-81"/>
        </w:rPr>
      </w:r>
      <w:r>
        <w:rPr>
          <w:rFonts w:ascii="宋体" w:hAnsi="宋体" w:cs="宋体" w:eastAsia="宋体" w:hint="default"/>
        </w:rPr>
        <w:t>34.4</w:t>
      </w:r>
      <w:r>
        <w:rPr>
          <w:rFonts w:ascii="宋体" w:hAnsi="宋体" w:cs="宋体" w:eastAsia="宋体" w:hint="default"/>
          <w:spacing w:val="1"/>
        </w:rPr>
        <w:t> </w:t>
      </w:r>
      <w:r>
        <w:rPr/>
        <w:t>政府补助在利润表中的核算</w:t>
      </w:r>
    </w:p>
    <w:p>
      <w:pPr>
        <w:pStyle w:val="BodyText"/>
        <w:spacing w:line="410" w:lineRule="auto" w:before="41"/>
        <w:ind w:right="1024" w:firstLine="422"/>
        <w:jc w:val="left"/>
      </w:pPr>
      <w:r>
        <w:rPr>
          <w:spacing w:val="-2"/>
        </w:rPr>
        <w:t>与企业日常活动相关的政府补助，按照经济业务实质，计入其他收益或冲减相关成本费用。与企业日</w:t>
      </w:r>
      <w:r>
        <w:rPr>
          <w:w w:val="100"/>
        </w:rPr>
        <w:t> </w:t>
      </w:r>
      <w:r>
        <w:rPr/>
        <w:t>常活动无关的政府补助，计入营业外收支。</w:t>
      </w:r>
    </w:p>
    <w:p>
      <w:pPr>
        <w:pStyle w:val="BodyText"/>
        <w:spacing w:line="408" w:lineRule="auto" w:before="41"/>
        <w:ind w:left="575" w:right="1024" w:hanging="423"/>
        <w:jc w:val="left"/>
      </w:pPr>
      <w:r>
        <w:rPr>
          <w:rFonts w:ascii="宋体" w:hAnsi="宋体" w:cs="宋体" w:eastAsia="宋体" w:hint="default"/>
        </w:rPr>
        <w:t>34.5 </w:t>
      </w:r>
      <w:r>
        <w:rPr/>
        <w:t>政府补助退回的处理</w:t>
      </w:r>
      <w:r>
        <w:rPr>
          <w:spacing w:val="-102"/>
        </w:rPr>
        <w:t> </w:t>
      </w:r>
      <w:r>
        <w:rPr>
          <w:spacing w:val="-102"/>
        </w:rPr>
      </w:r>
      <w:r>
        <w:rPr>
          <w:spacing w:val="-2"/>
        </w:rPr>
        <w:t>已确认的政府补助需要退回的，在需要退回的当期分情况按照以下规定进行会计处理：</w:t>
      </w:r>
      <w:r>
        <w:rPr>
          <w:w w:val="100"/>
        </w:rPr>
        <w:t> </w:t>
      </w:r>
      <w:r>
        <w:rPr/>
        <w:t>初始确认时冲减相关资产账面价值的，调整资产账面价值；</w:t>
      </w:r>
      <w:r>
        <w:rPr>
          <w:w w:val="100"/>
        </w:rPr>
        <w:t> </w:t>
      </w:r>
      <w:r>
        <w:rPr/>
        <w:t>存在相关递延收益的，冲减相关递延收益账面余额，超出部分计入当期损益；</w:t>
      </w:r>
      <w:r>
        <w:rPr>
          <w:w w:val="100"/>
        </w:rPr>
        <w:t> </w:t>
      </w:r>
      <w:r>
        <w:rPr/>
        <w:t>属于其他情况的，直接计入当期损益。</w:t>
      </w:r>
    </w:p>
    <w:p>
      <w:pPr>
        <w:spacing w:after="0" w:line="408" w:lineRule="auto"/>
        <w:jc w:val="left"/>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405" w:lineRule="auto"/>
        <w:ind w:left="575" w:right="1024" w:hanging="423"/>
        <w:jc w:val="left"/>
      </w:pPr>
      <w:r>
        <w:rPr>
          <w:rFonts w:ascii="宋体" w:hAnsi="宋体" w:cs="宋体" w:eastAsia="宋体" w:hint="default"/>
        </w:rPr>
        <w:t>34.6 </w:t>
      </w:r>
      <w:r>
        <w:rPr/>
        <w:t>政策性优惠贷款贴息的处理</w:t>
      </w:r>
      <w:r>
        <w:rPr>
          <w:w w:val="100"/>
        </w:rPr>
        <w:t> </w:t>
      </w:r>
      <w:r>
        <w:rPr>
          <w:spacing w:val="-2"/>
        </w:rPr>
        <w:t>财政将贴息资金拨付给贷款银行，由贷款银行以政策性优惠利率向企业提供贷款的，按以下方法进行</w:t>
      </w:r>
    </w:p>
    <w:p>
      <w:pPr>
        <w:pStyle w:val="BodyText"/>
        <w:spacing w:line="240" w:lineRule="auto" w:before="51"/>
        <w:ind w:right="1024"/>
        <w:jc w:val="left"/>
      </w:pPr>
      <w:r>
        <w:rPr/>
        <w:t>会计处理：</w:t>
      </w:r>
    </w:p>
    <w:p>
      <w:pPr>
        <w:spacing w:line="240" w:lineRule="auto" w:before="8"/>
        <w:rPr>
          <w:rFonts w:ascii="宋体" w:hAnsi="宋体" w:cs="宋体" w:eastAsia="宋体" w:hint="default"/>
          <w:sz w:val="14"/>
          <w:szCs w:val="14"/>
        </w:rPr>
      </w:pPr>
    </w:p>
    <w:p>
      <w:pPr>
        <w:pStyle w:val="BodyText"/>
        <w:spacing w:line="410" w:lineRule="auto"/>
        <w:ind w:left="575" w:right="1024"/>
        <w:jc w:val="left"/>
      </w:pPr>
      <w:r>
        <w:rPr/>
        <w:t>以实际收到的借款金额作为借款的入账价值，按照借款本金和该政策性优惠利率计算相关借款费用。</w:t>
      </w:r>
      <w:r>
        <w:rPr>
          <w:spacing w:val="-35"/>
        </w:rPr>
        <w:t> </w:t>
      </w:r>
      <w:r>
        <w:rPr>
          <w:spacing w:val="-35"/>
        </w:rPr>
      </w:r>
      <w:r>
        <w:rPr/>
        <w:t>财政将贴息资金直接拨付给企业，企业应当将对应的贴息冲减相关借款费用。</w:t>
      </w:r>
    </w:p>
    <w:p>
      <w:pPr>
        <w:spacing w:line="410" w:lineRule="auto" w:before="41"/>
        <w:ind w:left="575" w:right="1024" w:hanging="423"/>
        <w:jc w:val="left"/>
        <w:rPr>
          <w:rFonts w:ascii="宋体" w:hAnsi="宋体" w:cs="宋体" w:eastAsia="宋体" w:hint="default"/>
          <w:sz w:val="21"/>
          <w:szCs w:val="21"/>
        </w:rPr>
      </w:pPr>
      <w:bookmarkStart w:name="35、递延所得税资产/递延所得税负债" w:id="269"/>
      <w:bookmarkEnd w:id="269"/>
      <w:r>
        <w:rPr/>
      </w:r>
      <w:r>
        <w:rPr>
          <w:rFonts w:ascii="宋体" w:hAnsi="宋体" w:cs="宋体" w:eastAsia="宋体" w:hint="default"/>
          <w:b/>
          <w:bCs/>
          <w:sz w:val="21"/>
          <w:szCs w:val="21"/>
        </w:rPr>
        <w:t>35</w:t>
      </w:r>
      <w:r>
        <w:rPr>
          <w:rFonts w:ascii="宋体" w:hAnsi="宋体" w:cs="宋体" w:eastAsia="宋体" w:hint="default"/>
          <w:b/>
          <w:bCs/>
          <w:sz w:val="21"/>
          <w:szCs w:val="21"/>
        </w:rPr>
        <w:t>、递延所得税资产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spacing w:val="-101"/>
          <w:sz w:val="21"/>
          <w:szCs w:val="21"/>
        </w:rPr>
        <w:t> </w:t>
      </w:r>
      <w:r>
        <w:rPr>
          <w:rFonts w:ascii="宋体" w:hAnsi="宋体" w:cs="宋体" w:eastAsia="宋体" w:hint="default"/>
          <w:spacing w:val="-2"/>
          <w:sz w:val="21"/>
          <w:szCs w:val="21"/>
        </w:rPr>
        <w:t>递延所得税资产和递延所得税负债根据资产和负债的计税基础与其账面价值的差额</w:t>
      </w:r>
      <w:r>
        <w:rPr>
          <w:rFonts w:ascii="宋体" w:hAnsi="宋体" w:cs="宋体" w:eastAsia="宋体" w:hint="default"/>
          <w:spacing w:val="-2"/>
          <w:sz w:val="21"/>
          <w:szCs w:val="21"/>
        </w:rPr>
        <w:t>(</w:t>
      </w:r>
      <w:r>
        <w:rPr>
          <w:rFonts w:ascii="宋体" w:hAnsi="宋体" w:cs="宋体" w:eastAsia="宋体" w:hint="default"/>
          <w:spacing w:val="-2"/>
          <w:sz w:val="21"/>
          <w:szCs w:val="21"/>
        </w:rPr>
        <w:t>包括应纳税暂时</w:t>
      </w:r>
    </w:p>
    <w:p>
      <w:pPr>
        <w:pStyle w:val="BodyText"/>
        <w:spacing w:line="408" w:lineRule="auto" w:before="41"/>
        <w:ind w:right="1024"/>
        <w:jc w:val="left"/>
      </w:pPr>
      <w:r>
        <w:rPr/>
        <w:t>性差异和可抵扣暂时性差异</w:t>
      </w:r>
      <w:r>
        <w:rPr>
          <w:rFonts w:ascii="宋体" w:hAnsi="宋体" w:cs="宋体" w:eastAsia="宋体" w:hint="default"/>
        </w:rPr>
        <w:t>)</w:t>
      </w:r>
      <w:r>
        <w:rPr/>
        <w:t>计算确认。对于按照税法规定能够于以后年度抵减应纳税所得额的可抵扣亏</w:t>
      </w:r>
      <w:r>
        <w:rPr>
          <w:w w:val="100"/>
        </w:rPr>
        <w:t> </w:t>
      </w:r>
      <w:r>
        <w:rPr>
          <w:spacing w:val="-2"/>
        </w:rPr>
        <w:t>损，视同可抵扣暂时性差异。对于商誉的初始确认产生的暂时性差异，不确认相应的递延所得税负债。对</w:t>
      </w:r>
      <w:r>
        <w:rPr>
          <w:spacing w:val="-33"/>
        </w:rPr>
        <w:t> </w:t>
      </w:r>
      <w:r>
        <w:rPr>
          <w:spacing w:val="-33"/>
        </w:rPr>
      </w:r>
      <w:r>
        <w:rPr/>
        <w:t>于既不影响会计利润也不影响应纳税所得额</w:t>
      </w:r>
      <w:r>
        <w:rPr>
          <w:rFonts w:ascii="宋体" w:hAnsi="宋体" w:cs="宋体" w:eastAsia="宋体" w:hint="default"/>
        </w:rPr>
        <w:t>(</w:t>
      </w:r>
      <w:r>
        <w:rPr/>
        <w:t>或可抵扣亏损</w:t>
      </w:r>
      <w:r>
        <w:rPr>
          <w:rFonts w:ascii="宋体" w:hAnsi="宋体" w:cs="宋体" w:eastAsia="宋体" w:hint="default"/>
        </w:rPr>
        <w:t>)</w:t>
      </w:r>
      <w:r>
        <w:rPr/>
        <w:t>的非企业合并的交易中产生的资产或负债的</w:t>
      </w:r>
      <w:r>
        <w:rPr>
          <w:w w:val="100"/>
        </w:rPr>
        <w:t> </w:t>
      </w:r>
      <w:r>
        <w:rPr>
          <w:spacing w:val="-2"/>
        </w:rPr>
        <w:t>初始确认形成的暂时性差异，不确认相应的递延所得税资产和递延所得税负债。于资产负债表日，递延所</w:t>
      </w:r>
      <w:r>
        <w:rPr>
          <w:spacing w:val="-33"/>
        </w:rPr>
        <w:t> </w:t>
      </w:r>
      <w:r>
        <w:rPr>
          <w:spacing w:val="-33"/>
        </w:rPr>
      </w:r>
      <w:r>
        <w:rPr/>
        <w:t>得税资产和递延所得税负债，按照预期收回该资产或清偿该负债期间的适用税率计量。</w:t>
      </w:r>
    </w:p>
    <w:p>
      <w:pPr>
        <w:pStyle w:val="BodyText"/>
        <w:spacing w:line="408" w:lineRule="auto" w:before="48"/>
        <w:ind w:right="1126" w:firstLine="422"/>
        <w:jc w:val="both"/>
      </w:pPr>
      <w:r>
        <w:rPr>
          <w:spacing w:val="-2"/>
        </w:rPr>
        <w:t>递延所得税资产的确认以本公司很可能取得用来抵扣可抵扣暂时性差异、可抵扣亏损和税款抵减的应</w:t>
      </w:r>
      <w:r>
        <w:rPr>
          <w:w w:val="100"/>
        </w:rPr>
        <w:t> </w:t>
      </w:r>
      <w:r>
        <w:rPr/>
        <w:t>纳税所得额为限。</w:t>
      </w:r>
    </w:p>
    <w:p>
      <w:pPr>
        <w:pStyle w:val="BodyText"/>
        <w:spacing w:line="408" w:lineRule="auto" w:before="48"/>
        <w:ind w:right="1125" w:firstLine="422"/>
        <w:jc w:val="both"/>
      </w:pPr>
      <w:r>
        <w:rPr>
          <w:spacing w:val="-2"/>
        </w:rPr>
        <w:t>对子公司、联营企业及合营企业投资相关的暂时性差异产生的递延所得税资产和递延所得税负债，予</w:t>
      </w:r>
      <w:r>
        <w:rPr>
          <w:w w:val="100"/>
        </w:rPr>
        <w:t> </w:t>
      </w:r>
      <w:r>
        <w:rPr>
          <w:spacing w:val="-2"/>
        </w:rPr>
        <w:t>以确认。但本公司能够控制暂时性差异转回的时间且该暂时性差异在可预见的未来很可能不会转回的，不</w:t>
      </w:r>
      <w:r>
        <w:rPr>
          <w:spacing w:val="-33"/>
        </w:rPr>
        <w:t> </w:t>
      </w:r>
      <w:r>
        <w:rPr>
          <w:spacing w:val="-33"/>
        </w:rPr>
      </w:r>
      <w:r>
        <w:rPr/>
        <w:t>予确认。</w:t>
      </w:r>
    </w:p>
    <w:p>
      <w:pPr>
        <w:pStyle w:val="Heading4"/>
        <w:spacing w:line="240" w:lineRule="auto" w:before="44"/>
        <w:ind w:right="1024"/>
        <w:jc w:val="left"/>
        <w:rPr>
          <w:b w:val="0"/>
          <w:bCs w:val="0"/>
        </w:rPr>
      </w:pPr>
      <w:bookmarkStart w:name="36、租赁" w:id="270"/>
      <w:bookmarkEnd w:id="270"/>
      <w:r>
        <w:rPr>
          <w:b w:val="0"/>
          <w:bCs w:val="0"/>
        </w:rPr>
      </w:r>
      <w:r>
        <w:rPr>
          <w:rFonts w:ascii="宋体" w:hAnsi="宋体" w:cs="宋体" w:eastAsia="宋体" w:hint="default"/>
        </w:rPr>
        <w:t>36</w:t>
      </w:r>
      <w:r>
        <w:rPr/>
        <w:t>、租赁</w:t>
      </w:r>
      <w:r>
        <w:rPr>
          <w:b w:val="0"/>
          <w:bCs w:val="0"/>
        </w:rPr>
      </w:r>
    </w:p>
    <w:p>
      <w:pPr>
        <w:spacing w:line="240" w:lineRule="auto" w:before="12"/>
        <w:rPr>
          <w:rFonts w:ascii="宋体" w:hAnsi="宋体" w:cs="宋体" w:eastAsia="宋体" w:hint="default"/>
          <w:b/>
          <w:bCs/>
          <w:sz w:val="14"/>
          <w:szCs w:val="14"/>
        </w:rPr>
      </w:pPr>
    </w:p>
    <w:p>
      <w:pPr>
        <w:spacing w:line="405" w:lineRule="auto" w:before="0"/>
        <w:ind w:left="575" w:right="1109" w:hanging="423"/>
        <w:jc w:val="left"/>
        <w:rPr>
          <w:rFonts w:ascii="宋体" w:hAnsi="宋体" w:cs="宋体" w:eastAsia="宋体" w:hint="default"/>
          <w:sz w:val="21"/>
          <w:szCs w:val="21"/>
        </w:rPr>
      </w:pPr>
      <w:bookmarkStart w:name="（1）经营租赁的会计处理方法" w:id="271"/>
      <w:bookmarkEnd w:id="271"/>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经营租赁的租金支出在租赁期内按照直线法计入相关资产成本或当期损益。</w:t>
      </w:r>
    </w:p>
    <w:p>
      <w:pPr>
        <w:spacing w:line="405" w:lineRule="auto" w:before="51"/>
        <w:ind w:left="575" w:right="1024" w:hanging="423"/>
        <w:jc w:val="left"/>
        <w:rPr>
          <w:rFonts w:ascii="宋体" w:hAnsi="宋体" w:cs="宋体" w:eastAsia="宋体" w:hint="default"/>
          <w:sz w:val="21"/>
          <w:szCs w:val="21"/>
        </w:rPr>
      </w:pPr>
      <w:bookmarkStart w:name="（2）融资租赁的会计处理方法" w:id="272"/>
      <w:bookmarkEnd w:id="272"/>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spacing w:val="-102"/>
          <w:sz w:val="21"/>
          <w:szCs w:val="21"/>
        </w:rPr>
        <w:t> </w:t>
      </w:r>
      <w:r>
        <w:rPr>
          <w:rFonts w:ascii="宋体" w:hAnsi="宋体" w:cs="宋体" w:eastAsia="宋体" w:hint="default"/>
          <w:spacing w:val="-2"/>
          <w:sz w:val="21"/>
          <w:szCs w:val="21"/>
        </w:rPr>
        <w:t>按租赁资产的公允价值与最低租赁付款额的现值两者中较低者作为租入资产的入账价值，租入资产的</w:t>
      </w:r>
    </w:p>
    <w:p>
      <w:pPr>
        <w:pStyle w:val="BodyText"/>
        <w:spacing w:line="405" w:lineRule="auto" w:before="50"/>
        <w:ind w:right="1024"/>
        <w:jc w:val="left"/>
      </w:pPr>
      <w:r>
        <w:rPr>
          <w:spacing w:val="-2"/>
        </w:rPr>
        <w:t>入账价值与最低租赁付款额之间的差额为未确认融资费用，在租赁期内按实际利率法摊销。最低租赁付款</w:t>
      </w:r>
      <w:r>
        <w:rPr>
          <w:spacing w:val="-33"/>
        </w:rPr>
        <w:t> </w:t>
      </w:r>
      <w:r>
        <w:rPr>
          <w:spacing w:val="-33"/>
        </w:rPr>
      </w:r>
      <w:r>
        <w:rPr/>
        <w:t>额扣除未确认融资费用后的余额以长期应付款列示。</w:t>
      </w:r>
    </w:p>
    <w:p>
      <w:pPr>
        <w:spacing w:line="405" w:lineRule="auto" w:before="51"/>
        <w:ind w:left="575" w:right="1024" w:hanging="423"/>
        <w:jc w:val="left"/>
        <w:rPr>
          <w:rFonts w:ascii="宋体" w:hAnsi="宋体" w:cs="宋体" w:eastAsia="宋体" w:hint="default"/>
          <w:sz w:val="21"/>
          <w:szCs w:val="21"/>
        </w:rPr>
      </w:pPr>
      <w:bookmarkStart w:name="37、其他重要的会计政策和会计估计" w:id="273"/>
      <w:bookmarkEnd w:id="273"/>
      <w:r>
        <w:rPr/>
      </w:r>
      <w:r>
        <w:rPr>
          <w:rFonts w:ascii="宋体" w:hAnsi="宋体" w:cs="宋体" w:eastAsia="宋体" w:hint="default"/>
          <w:b/>
          <w:bCs/>
          <w:sz w:val="21"/>
          <w:szCs w:val="21"/>
        </w:rPr>
        <w:t>37</w:t>
      </w:r>
      <w:r>
        <w:rPr>
          <w:rFonts w:ascii="宋体" w:hAnsi="宋体" w:cs="宋体" w:eastAsia="宋体" w:hint="default"/>
          <w:b/>
          <w:bCs/>
          <w:sz w:val="21"/>
          <w:szCs w:val="21"/>
        </w:rPr>
        <w:t>、其他重要的会计政策和会计估计</w:t>
      </w:r>
      <w:r>
        <w:rPr>
          <w:rFonts w:ascii="宋体" w:hAnsi="宋体" w:cs="宋体" w:eastAsia="宋体" w:hint="default"/>
          <w:b/>
          <w:bCs/>
          <w:spacing w:val="-101"/>
          <w:sz w:val="21"/>
          <w:szCs w:val="21"/>
        </w:rPr>
        <w:t> </w:t>
      </w:r>
      <w:r>
        <w:rPr>
          <w:rFonts w:ascii="宋体" w:hAnsi="宋体" w:cs="宋体" w:eastAsia="宋体" w:hint="default"/>
          <w:spacing w:val="-2"/>
          <w:sz w:val="21"/>
          <w:szCs w:val="21"/>
        </w:rPr>
        <w:t>商誉为股权投资成本超过应享有的被投资单位于投资取得日的公允价值份额的差额，或者为非同一控</w:t>
      </w:r>
    </w:p>
    <w:p>
      <w:pPr>
        <w:pStyle w:val="BodyText"/>
        <w:spacing w:line="408" w:lineRule="auto" w:before="50"/>
        <w:ind w:left="575" w:right="1024" w:hanging="423"/>
        <w:jc w:val="left"/>
      </w:pPr>
      <w:r>
        <w:rPr/>
        <w:t>制下企业合并成本超过企业合并中取得的被购买方可辨认净资产于购买日的公允价值份额的差额。</w:t>
      </w:r>
      <w:r>
        <w:rPr>
          <w:w w:val="100"/>
        </w:rPr>
        <w:t> </w:t>
      </w:r>
      <w:r>
        <w:rPr>
          <w:spacing w:val="-2"/>
        </w:rPr>
        <w:t>企业合并形成的商誉在合并财务报表上单独列示。购买联营企业和合营企业股权投资成本超过投资时</w:t>
      </w:r>
    </w:p>
    <w:p>
      <w:pPr>
        <w:pStyle w:val="BodyText"/>
        <w:spacing w:line="240" w:lineRule="auto" w:before="48"/>
        <w:ind w:right="1024"/>
        <w:jc w:val="left"/>
      </w:pPr>
      <w:r>
        <w:rPr/>
        <w:t>应享有被投资单位的公允价值份额的差额，包含于长期股权投资。</w:t>
      </w:r>
    </w:p>
    <w:p>
      <w:pPr>
        <w:spacing w:after="0" w:line="240" w:lineRule="auto"/>
        <w:jc w:val="left"/>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4"/>
        <w:spacing w:line="240" w:lineRule="auto" w:before="0"/>
        <w:ind w:right="1024"/>
        <w:jc w:val="left"/>
        <w:rPr>
          <w:b w:val="0"/>
          <w:bCs w:val="0"/>
        </w:rPr>
      </w:pPr>
      <w:bookmarkStart w:name="38、重要会计政策和会计估计变更" w:id="274"/>
      <w:bookmarkEnd w:id="274"/>
      <w:r>
        <w:rPr>
          <w:b w:val="0"/>
          <w:bCs w:val="0"/>
        </w:rPr>
      </w:r>
      <w:r>
        <w:rPr>
          <w:rFonts w:ascii="宋体" w:hAnsi="宋体" w:cs="宋体" w:eastAsia="宋体" w:hint="default"/>
        </w:rPr>
        <w:t>38</w:t>
      </w:r>
      <w:r>
        <w:rPr/>
        <w:t>、重要会计政策和会计估计变更</w:t>
      </w:r>
      <w:r>
        <w:rPr>
          <w:b w:val="0"/>
          <w:bCs w:val="0"/>
        </w:rPr>
      </w:r>
    </w:p>
    <w:p>
      <w:pPr>
        <w:spacing w:line="240" w:lineRule="auto" w:before="8"/>
        <w:rPr>
          <w:rFonts w:ascii="宋体" w:hAnsi="宋体" w:cs="宋体" w:eastAsia="宋体" w:hint="default"/>
          <w:b/>
          <w:bCs/>
          <w:sz w:val="14"/>
          <w:szCs w:val="14"/>
        </w:rPr>
      </w:pPr>
    </w:p>
    <w:p>
      <w:pPr>
        <w:pStyle w:val="Heading4"/>
        <w:spacing w:line="240" w:lineRule="auto" w:before="0"/>
        <w:ind w:right="1024"/>
        <w:jc w:val="left"/>
        <w:rPr>
          <w:b w:val="0"/>
          <w:bCs w:val="0"/>
        </w:rPr>
      </w:pPr>
      <w:bookmarkStart w:name="（1）重要会计政策变更" w:id="275"/>
      <w:bookmarkEnd w:id="275"/>
      <w:r>
        <w:rPr>
          <w:b w:val="0"/>
          <w:bCs w:val="0"/>
        </w:rPr>
      </w:r>
      <w:r>
        <w:rPr/>
        <w:t>（</w:t>
      </w:r>
      <w:r>
        <w:rPr>
          <w:rFonts w:ascii="宋体" w:hAnsi="宋体" w:cs="宋体" w:eastAsia="宋体" w:hint="default"/>
        </w:rPr>
        <w:t>1</w:t>
      </w:r>
      <w:r>
        <w:rPr/>
        <w:t>）重要会计政策变更</w:t>
      </w:r>
      <w:r>
        <w:rPr>
          <w:b w:val="0"/>
          <w:bCs w:val="0"/>
        </w:rPr>
      </w:r>
    </w:p>
    <w:p>
      <w:pPr>
        <w:spacing w:line="240" w:lineRule="auto" w:before="12"/>
        <w:rPr>
          <w:rFonts w:ascii="宋体" w:hAnsi="宋体" w:cs="宋体" w:eastAsia="宋体" w:hint="default"/>
          <w:b/>
          <w:bCs/>
          <w:sz w:val="16"/>
          <w:szCs w:val="16"/>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3193"/>
        <w:gridCol w:w="3189"/>
        <w:gridCol w:w="3193"/>
      </w:tblGrid>
      <w:tr>
        <w:trPr>
          <w:trHeight w:val="410" w:hRule="exact"/>
        </w:trPr>
        <w:tc>
          <w:tcPr>
            <w:tcW w:w="319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left="504"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18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1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4" w:hRule="exact"/>
        </w:trPr>
        <w:tc>
          <w:tcPr>
            <w:tcW w:w="3193"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98"/>
              <w:jc w:val="both"/>
              <w:rPr>
                <w:rFonts w:ascii="宋体" w:hAnsi="宋体" w:cs="宋体" w:eastAsia="宋体" w:hint="default"/>
                <w:sz w:val="18"/>
                <w:szCs w:val="18"/>
              </w:rPr>
            </w:pPr>
            <w:r>
              <w:rPr>
                <w:rFonts w:ascii="宋体" w:hAnsi="宋体" w:cs="宋体" w:eastAsia="宋体" w:hint="default"/>
                <w:spacing w:val="-3"/>
                <w:sz w:val="18"/>
                <w:szCs w:val="18"/>
              </w:rPr>
              <w:t>根据财政部《关于修订印发</w:t>
            </w:r>
            <w:r>
              <w:rPr>
                <w:rFonts w:ascii="宋体" w:hAnsi="宋体" w:cs="宋体" w:eastAsia="宋体" w:hint="default"/>
                <w:spacing w:val="-28"/>
                <w:sz w:val="18"/>
                <w:szCs w:val="18"/>
              </w:rPr>
              <w:t> </w:t>
            </w:r>
            <w:r>
              <w:rPr>
                <w:rFonts w:ascii="宋体" w:hAnsi="宋体" w:cs="宋体" w:eastAsia="宋体" w:hint="default"/>
                <w:sz w:val="18"/>
                <w:szCs w:val="18"/>
              </w:rPr>
              <w:t>2019</w:t>
            </w:r>
            <w:r>
              <w:rPr>
                <w:rFonts w:ascii="宋体" w:hAnsi="宋体" w:cs="宋体" w:eastAsia="宋体" w:hint="default"/>
                <w:spacing w:val="-35"/>
                <w:sz w:val="18"/>
                <w:szCs w:val="18"/>
              </w:rPr>
              <w:t> </w:t>
            </w:r>
            <w:r>
              <w:rPr>
                <w:rFonts w:ascii="宋体" w:hAnsi="宋体" w:cs="宋体" w:eastAsia="宋体" w:hint="default"/>
                <w:sz w:val="18"/>
                <w:szCs w:val="18"/>
              </w:rPr>
              <w:t>年度</w:t>
            </w:r>
            <w:r>
              <w:rPr>
                <w:rFonts w:ascii="宋体" w:hAnsi="宋体" w:cs="宋体" w:eastAsia="宋体" w:hint="default"/>
                <w:spacing w:val="-79"/>
                <w:sz w:val="18"/>
                <w:szCs w:val="18"/>
              </w:rPr>
              <w:t> </w:t>
            </w:r>
            <w:r>
              <w:rPr>
                <w:rFonts w:ascii="宋体" w:hAnsi="宋体" w:cs="宋体" w:eastAsia="宋体" w:hint="default"/>
                <w:spacing w:val="-8"/>
                <w:w w:val="101"/>
                <w:sz w:val="18"/>
                <w:szCs w:val="18"/>
              </w:rPr>
              <w:t>一般企业财务报表格式的通知》（财会</w:t>
            </w:r>
            <w:r>
              <w:rPr>
                <w:rFonts w:ascii="宋体" w:hAnsi="宋体" w:cs="宋体" w:eastAsia="宋体" w:hint="default"/>
                <w:spacing w:val="-8"/>
                <w:sz w:val="18"/>
                <w:szCs w:val="18"/>
              </w:rPr>
            </w:r>
          </w:p>
          <w:p>
            <w:pPr>
              <w:pStyle w:val="TableParagraph"/>
              <w:spacing w:line="319" w:lineRule="auto" w:before="19"/>
              <w:ind w:left="95" w:right="94"/>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2019</w:t>
            </w:r>
            <w:r>
              <w:rPr>
                <w:rFonts w:ascii="宋体" w:hAnsi="宋体" w:cs="宋体" w:eastAsia="宋体" w:hint="default"/>
                <w:spacing w:val="-3"/>
                <w:sz w:val="18"/>
                <w:szCs w:val="18"/>
              </w:rPr>
              <w:t>〕</w:t>
            </w:r>
            <w:r>
              <w:rPr>
                <w:rFonts w:ascii="宋体" w:hAnsi="宋体" w:cs="宋体" w:eastAsia="宋体" w:hint="default"/>
                <w:spacing w:val="-3"/>
                <w:sz w:val="18"/>
                <w:szCs w:val="18"/>
              </w:rPr>
              <w:t>6</w:t>
            </w:r>
            <w:r>
              <w:rPr>
                <w:rFonts w:ascii="宋体" w:hAnsi="宋体" w:cs="宋体" w:eastAsia="宋体" w:hint="default"/>
                <w:spacing w:val="-19"/>
                <w:sz w:val="18"/>
                <w:szCs w:val="18"/>
              </w:rPr>
              <w:t> </w:t>
            </w:r>
            <w:r>
              <w:rPr>
                <w:rFonts w:ascii="宋体" w:hAnsi="宋体" w:cs="宋体" w:eastAsia="宋体" w:hint="default"/>
                <w:spacing w:val="-5"/>
                <w:sz w:val="18"/>
                <w:szCs w:val="18"/>
              </w:rPr>
              <w:t>号）和《关于修订印发合并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w w:val="101"/>
                <w:sz w:val="18"/>
                <w:szCs w:val="18"/>
              </w:rPr>
              <w:t>财务报表格式（</w:t>
            </w:r>
            <w:r>
              <w:rPr>
                <w:rFonts w:ascii="宋体" w:hAnsi="宋体" w:cs="宋体" w:eastAsia="宋体" w:hint="default"/>
                <w:spacing w:val="-3"/>
                <w:w w:val="101"/>
                <w:sz w:val="18"/>
                <w:szCs w:val="18"/>
              </w:rPr>
              <w:t>2019</w:t>
            </w:r>
            <w:r>
              <w:rPr>
                <w:rFonts w:ascii="宋体" w:hAnsi="宋体" w:cs="宋体" w:eastAsia="宋体" w:hint="default"/>
                <w:spacing w:val="-47"/>
                <w:w w:val="101"/>
                <w:sz w:val="18"/>
                <w:szCs w:val="18"/>
              </w:rPr>
              <w:t> </w:t>
            </w:r>
            <w:r>
              <w:rPr>
                <w:rFonts w:ascii="宋体" w:hAnsi="宋体" w:cs="宋体" w:eastAsia="宋体" w:hint="default"/>
                <w:spacing w:val="-17"/>
                <w:w w:val="101"/>
                <w:sz w:val="18"/>
                <w:szCs w:val="18"/>
              </w:rPr>
              <w:t>版）的通知》（财</w:t>
            </w:r>
            <w:r>
              <w:rPr>
                <w:rFonts w:ascii="宋体" w:hAnsi="宋体" w:cs="宋体" w:eastAsia="宋体" w:hint="default"/>
                <w:w w:val="101"/>
                <w:sz w:val="18"/>
                <w:szCs w:val="18"/>
              </w:rPr>
              <w:t> </w:t>
            </w:r>
            <w:r>
              <w:rPr>
                <w:rFonts w:ascii="宋体" w:hAnsi="宋体" w:cs="宋体" w:eastAsia="宋体" w:hint="default"/>
                <w:spacing w:val="-1"/>
                <w:w w:val="101"/>
                <w:sz w:val="18"/>
                <w:szCs w:val="18"/>
              </w:rPr>
              <w:t>会</w:t>
            </w:r>
            <w:r>
              <w:rPr>
                <w:rFonts w:ascii="宋体" w:hAnsi="宋体" w:cs="宋体" w:eastAsia="宋体" w:hint="default"/>
                <w:spacing w:val="-1"/>
                <w:w w:val="101"/>
                <w:sz w:val="18"/>
                <w:szCs w:val="18"/>
              </w:rPr>
              <w:t>[2019]16</w:t>
            </w:r>
            <w:r>
              <w:rPr>
                <w:rFonts w:ascii="宋体" w:hAnsi="宋体" w:cs="宋体" w:eastAsia="宋体" w:hint="default"/>
                <w:spacing w:val="-51"/>
                <w:w w:val="101"/>
                <w:sz w:val="18"/>
                <w:szCs w:val="18"/>
              </w:rPr>
              <w:t> </w:t>
            </w:r>
            <w:r>
              <w:rPr>
                <w:rFonts w:ascii="宋体" w:hAnsi="宋体" w:cs="宋体" w:eastAsia="宋体" w:hint="default"/>
                <w:spacing w:val="-13"/>
                <w:w w:val="101"/>
                <w:sz w:val="18"/>
                <w:szCs w:val="18"/>
              </w:rPr>
              <w:t>号），本公司对财务报表格</w:t>
            </w:r>
            <w:r>
              <w:rPr>
                <w:rFonts w:ascii="宋体" w:hAnsi="宋体" w:cs="宋体" w:eastAsia="宋体" w:hint="default"/>
                <w:w w:val="101"/>
                <w:sz w:val="18"/>
                <w:szCs w:val="18"/>
              </w:rPr>
              <w:t> </w:t>
            </w:r>
            <w:r>
              <w:rPr>
                <w:rFonts w:ascii="宋体" w:hAnsi="宋体" w:cs="宋体" w:eastAsia="宋体" w:hint="default"/>
                <w:spacing w:val="-3"/>
                <w:sz w:val="18"/>
                <w:szCs w:val="18"/>
              </w:rPr>
              <w:t>式进行了相应调整。</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4" w:lineRule="auto"/>
              <w:ind w:left="106" w:right="185"/>
              <w:jc w:val="left"/>
              <w:rPr>
                <w:rFonts w:ascii="宋体" w:hAnsi="宋体" w:cs="宋体" w:eastAsia="宋体" w:hint="default"/>
                <w:sz w:val="18"/>
                <w:szCs w:val="18"/>
              </w:rPr>
            </w:pPr>
            <w:r>
              <w:rPr>
                <w:rFonts w:ascii="宋体" w:hAnsi="宋体" w:cs="宋体" w:eastAsia="宋体" w:hint="default"/>
                <w:spacing w:val="-3"/>
                <w:sz w:val="18"/>
                <w:szCs w:val="18"/>
              </w:rPr>
              <w:t>经本公司第四届董事会第七次会议审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议通过</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316" w:lineRule="auto" w:before="53"/>
              <w:ind w:left="105" w:right="89"/>
              <w:jc w:val="both"/>
              <w:rPr>
                <w:rFonts w:ascii="宋体" w:hAnsi="宋体" w:cs="宋体" w:eastAsia="宋体" w:hint="default"/>
                <w:sz w:val="18"/>
                <w:szCs w:val="18"/>
              </w:rPr>
            </w:pPr>
            <w:r>
              <w:rPr>
                <w:rFonts w:ascii="宋体" w:hAnsi="宋体" w:cs="宋体" w:eastAsia="宋体" w:hint="default"/>
                <w:spacing w:val="-3"/>
                <w:sz w:val="18"/>
                <w:szCs w:val="18"/>
              </w:rPr>
              <w:t>“应收票据及应收账款”分拆为</w:t>
            </w:r>
            <w:r>
              <w:rPr>
                <w:rFonts w:ascii="宋体" w:hAnsi="宋体" w:cs="宋体" w:eastAsia="宋体" w:hint="default"/>
                <w:spacing w:val="36"/>
                <w:sz w:val="18"/>
                <w:szCs w:val="18"/>
              </w:rPr>
              <w:t> </w:t>
            </w:r>
            <w:r>
              <w:rPr>
                <w:rFonts w:ascii="宋体" w:hAnsi="宋体" w:cs="宋体" w:eastAsia="宋体" w:hint="default"/>
                <w:sz w:val="18"/>
                <w:szCs w:val="18"/>
              </w:rPr>
              <w:t>“应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w w:val="101"/>
                <w:sz w:val="18"/>
                <w:szCs w:val="18"/>
              </w:rPr>
              <w:t>收票据”和“应收账款”，应收票据本</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z w:val="18"/>
                <w:szCs w:val="18"/>
              </w:rPr>
              <w:t>期余额</w:t>
            </w:r>
            <w:r>
              <w:rPr>
                <w:rFonts w:ascii="宋体" w:hAnsi="宋体" w:cs="宋体" w:eastAsia="宋体" w:hint="default"/>
                <w:spacing w:val="-41"/>
                <w:sz w:val="18"/>
                <w:szCs w:val="18"/>
              </w:rPr>
              <w:t> </w:t>
            </w:r>
            <w:r>
              <w:rPr>
                <w:rFonts w:ascii="宋体" w:hAnsi="宋体" w:cs="宋体" w:eastAsia="宋体" w:hint="default"/>
                <w:sz w:val="18"/>
                <w:szCs w:val="18"/>
              </w:rPr>
              <w:t>12,696,407.27</w:t>
            </w:r>
            <w:r>
              <w:rPr>
                <w:rFonts w:ascii="宋体" w:hAnsi="宋体" w:cs="宋体" w:eastAsia="宋体" w:hint="default"/>
                <w:spacing w:val="-47"/>
                <w:sz w:val="18"/>
                <w:szCs w:val="18"/>
              </w:rPr>
              <w:t> </w:t>
            </w:r>
            <w:r>
              <w:rPr>
                <w:rFonts w:ascii="宋体" w:hAnsi="宋体" w:cs="宋体" w:eastAsia="宋体" w:hint="default"/>
                <w:sz w:val="18"/>
                <w:szCs w:val="18"/>
              </w:rPr>
              <w:t>元，上期余额</w:t>
            </w:r>
          </w:p>
          <w:p>
            <w:pPr>
              <w:pStyle w:val="TableParagraph"/>
              <w:spacing w:line="240" w:lineRule="auto" w:before="19"/>
              <w:ind w:left="105" w:right="0"/>
              <w:jc w:val="both"/>
              <w:rPr>
                <w:rFonts w:ascii="宋体" w:hAnsi="宋体" w:cs="宋体" w:eastAsia="宋体" w:hint="default"/>
                <w:sz w:val="18"/>
                <w:szCs w:val="18"/>
              </w:rPr>
            </w:pPr>
            <w:r>
              <w:rPr>
                <w:rFonts w:ascii="宋体" w:hAnsi="宋体" w:cs="宋体" w:eastAsia="宋体" w:hint="default"/>
                <w:sz w:val="18"/>
                <w:szCs w:val="18"/>
              </w:rPr>
              <w:t>24,697,342.41</w:t>
            </w:r>
            <w:r>
              <w:rPr>
                <w:rFonts w:ascii="宋体" w:hAnsi="宋体" w:cs="宋体" w:eastAsia="宋体" w:hint="default"/>
                <w:spacing w:val="-17"/>
                <w:sz w:val="18"/>
                <w:szCs w:val="18"/>
              </w:rPr>
              <w:t> </w:t>
            </w:r>
            <w:r>
              <w:rPr>
                <w:rFonts w:ascii="宋体" w:hAnsi="宋体" w:cs="宋体" w:eastAsia="宋体" w:hint="default"/>
                <w:spacing w:val="-7"/>
                <w:sz w:val="18"/>
                <w:szCs w:val="18"/>
              </w:rPr>
              <w:t>元；应收账款本期余额</w:t>
            </w:r>
          </w:p>
          <w:p>
            <w:pPr>
              <w:pStyle w:val="TableParagraph"/>
              <w:spacing w:line="240" w:lineRule="auto" w:before="76"/>
              <w:ind w:left="105" w:right="0"/>
              <w:jc w:val="both"/>
              <w:rPr>
                <w:rFonts w:ascii="宋体" w:hAnsi="宋体" w:cs="宋体" w:eastAsia="宋体" w:hint="default"/>
                <w:sz w:val="18"/>
                <w:szCs w:val="18"/>
              </w:rPr>
            </w:pPr>
            <w:r>
              <w:rPr>
                <w:rFonts w:ascii="宋体" w:hAnsi="宋体" w:cs="宋体" w:eastAsia="宋体" w:hint="default"/>
                <w:sz w:val="18"/>
                <w:szCs w:val="18"/>
              </w:rPr>
              <w:t>359,520,129.15</w:t>
            </w:r>
            <w:r>
              <w:rPr>
                <w:rFonts w:ascii="宋体" w:hAnsi="宋体" w:cs="宋体" w:eastAsia="宋体" w:hint="default"/>
                <w:spacing w:val="-41"/>
                <w:sz w:val="18"/>
                <w:szCs w:val="18"/>
              </w:rPr>
              <w:t> </w:t>
            </w:r>
            <w:r>
              <w:rPr>
                <w:rFonts w:ascii="宋体" w:hAnsi="宋体" w:cs="宋体" w:eastAsia="宋体" w:hint="default"/>
                <w:sz w:val="18"/>
                <w:szCs w:val="18"/>
              </w:rPr>
              <w:t>元，上期余额</w:t>
            </w:r>
          </w:p>
          <w:p>
            <w:pPr>
              <w:pStyle w:val="TableParagraph"/>
              <w:spacing w:line="240" w:lineRule="auto" w:before="81"/>
              <w:ind w:left="105" w:right="0"/>
              <w:jc w:val="both"/>
              <w:rPr>
                <w:rFonts w:ascii="宋体" w:hAnsi="宋体" w:cs="宋体" w:eastAsia="宋体" w:hint="default"/>
                <w:sz w:val="18"/>
                <w:szCs w:val="18"/>
              </w:rPr>
            </w:pPr>
            <w:r>
              <w:rPr>
                <w:rFonts w:ascii="宋体" w:hAnsi="宋体" w:cs="宋体" w:eastAsia="宋体" w:hint="default"/>
                <w:sz w:val="18"/>
                <w:szCs w:val="18"/>
              </w:rPr>
              <w:t>515,144,895.26</w:t>
            </w:r>
            <w:r>
              <w:rPr>
                <w:rFonts w:ascii="宋体" w:hAnsi="宋体" w:cs="宋体" w:eastAsia="宋体" w:hint="default"/>
                <w:spacing w:val="-41"/>
                <w:sz w:val="18"/>
                <w:szCs w:val="18"/>
              </w:rPr>
              <w:t> </w:t>
            </w:r>
            <w:r>
              <w:rPr>
                <w:rFonts w:ascii="宋体" w:hAnsi="宋体" w:cs="宋体" w:eastAsia="宋体" w:hint="default"/>
                <w:sz w:val="18"/>
                <w:szCs w:val="18"/>
              </w:rPr>
              <w:t>元；</w:t>
            </w:r>
          </w:p>
        </w:tc>
      </w:tr>
      <w:tr>
        <w:trPr>
          <w:trHeight w:val="3222" w:hRule="exact"/>
        </w:trPr>
        <w:tc>
          <w:tcPr>
            <w:tcW w:w="319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0"/>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年颁布了修订后的《企</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sz w:val="18"/>
                <w:szCs w:val="18"/>
              </w:rPr>
              <w:t>业会计准则第 </w:t>
            </w:r>
            <w:r>
              <w:rPr>
                <w:rFonts w:ascii="宋体" w:hAnsi="宋体" w:cs="宋体" w:eastAsia="宋体" w:hint="default"/>
                <w:sz w:val="18"/>
                <w:szCs w:val="18"/>
              </w:rPr>
              <w:t>22</w:t>
            </w:r>
            <w:r>
              <w:rPr>
                <w:rFonts w:ascii="宋体" w:hAnsi="宋体" w:cs="宋体" w:eastAsia="宋体" w:hint="default"/>
                <w:spacing w:val="-59"/>
                <w:sz w:val="18"/>
                <w:szCs w:val="18"/>
              </w:rPr>
              <w:t> </w:t>
            </w:r>
            <w:r>
              <w:rPr>
                <w:rFonts w:ascii="宋体" w:hAnsi="宋体" w:cs="宋体" w:eastAsia="宋体" w:hint="default"/>
                <w:spacing w:val="-3"/>
                <w:sz w:val="18"/>
                <w:szCs w:val="18"/>
              </w:rPr>
              <w:t>号——金融工具确认</w:t>
            </w:r>
          </w:p>
          <w:p>
            <w:pPr>
              <w:pStyle w:val="TableParagraph"/>
              <w:spacing w:line="240" w:lineRule="auto" w:before="77"/>
              <w:ind w:left="95" w:right="0"/>
              <w:jc w:val="left"/>
              <w:rPr>
                <w:rFonts w:ascii="宋体" w:hAnsi="宋体" w:cs="宋体" w:eastAsia="宋体" w:hint="default"/>
                <w:sz w:val="18"/>
                <w:szCs w:val="18"/>
              </w:rPr>
            </w:pPr>
            <w:r>
              <w:rPr>
                <w:rFonts w:ascii="宋体" w:hAnsi="宋体" w:cs="宋体" w:eastAsia="宋体" w:hint="default"/>
                <w:w w:val="101"/>
                <w:sz w:val="18"/>
                <w:szCs w:val="18"/>
              </w:rPr>
              <w:t>和</w:t>
            </w:r>
            <w:r>
              <w:rPr>
                <w:rFonts w:ascii="宋体" w:hAnsi="宋体" w:cs="宋体" w:eastAsia="宋体" w:hint="default"/>
                <w:spacing w:val="-5"/>
                <w:w w:val="101"/>
                <w:sz w:val="18"/>
                <w:szCs w:val="18"/>
              </w:rPr>
              <w:t>计</w:t>
            </w:r>
            <w:r>
              <w:rPr>
                <w:rFonts w:ascii="宋体" w:hAnsi="宋体" w:cs="宋体" w:eastAsia="宋体" w:hint="default"/>
                <w:w w:val="101"/>
                <w:sz w:val="18"/>
                <w:szCs w:val="18"/>
              </w:rPr>
              <w:t>量</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5"/>
                <w:w w:val="101"/>
                <w:sz w:val="18"/>
                <w:szCs w:val="18"/>
              </w:rPr>
              <w:t>准</w:t>
            </w:r>
            <w:r>
              <w:rPr>
                <w:rFonts w:ascii="宋体" w:hAnsi="宋体" w:cs="宋体" w:eastAsia="宋体" w:hint="default"/>
                <w:w w:val="101"/>
                <w:sz w:val="18"/>
                <w:szCs w:val="18"/>
              </w:rPr>
              <w:t>则第</w:t>
            </w:r>
            <w:r>
              <w:rPr>
                <w:rFonts w:ascii="宋体" w:hAnsi="宋体" w:cs="宋体" w:eastAsia="宋体" w:hint="default"/>
                <w:spacing w:val="-47"/>
                <w:sz w:val="18"/>
                <w:szCs w:val="18"/>
              </w:rPr>
              <w:t> </w:t>
            </w:r>
            <w:r>
              <w:rPr>
                <w:rFonts w:ascii="宋体" w:hAnsi="宋体" w:cs="宋体" w:eastAsia="宋体" w:hint="default"/>
                <w:w w:val="101"/>
                <w:sz w:val="18"/>
                <w:szCs w:val="18"/>
              </w:rPr>
              <w:t>23</w:t>
            </w:r>
            <w:r>
              <w:rPr>
                <w:rFonts w:ascii="宋体" w:hAnsi="宋体" w:cs="宋体" w:eastAsia="宋体" w:hint="default"/>
                <w:spacing w:val="-47"/>
                <w:sz w:val="18"/>
                <w:szCs w:val="18"/>
              </w:rPr>
              <w:t> </w:t>
            </w:r>
            <w:r>
              <w:rPr>
                <w:rFonts w:ascii="宋体" w:hAnsi="宋体" w:cs="宋体" w:eastAsia="宋体" w:hint="default"/>
                <w:spacing w:val="-5"/>
                <w:w w:val="101"/>
                <w:sz w:val="18"/>
                <w:szCs w:val="18"/>
              </w:rPr>
              <w:t>号</w:t>
            </w: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316" w:lineRule="auto" w:before="76"/>
              <w:ind w:left="95" w:right="94"/>
              <w:jc w:val="both"/>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pacing w:val="-5"/>
                <w:w w:val="101"/>
                <w:sz w:val="18"/>
                <w:szCs w:val="18"/>
              </w:rPr>
              <w:t>融</w:t>
            </w: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转移</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企</w:t>
            </w:r>
            <w:r>
              <w:rPr>
                <w:rFonts w:ascii="宋体" w:hAnsi="宋体" w:cs="宋体" w:eastAsia="宋体" w:hint="default"/>
                <w:spacing w:val="-5"/>
                <w:w w:val="101"/>
                <w:sz w:val="18"/>
                <w:szCs w:val="18"/>
              </w:rPr>
              <w:t>业</w:t>
            </w:r>
            <w:r>
              <w:rPr>
                <w:rFonts w:ascii="宋体" w:hAnsi="宋体" w:cs="宋体" w:eastAsia="宋体" w:hint="default"/>
                <w:w w:val="101"/>
                <w:sz w:val="18"/>
                <w:szCs w:val="18"/>
              </w:rPr>
              <w:t>会</w:t>
            </w:r>
            <w:r>
              <w:rPr>
                <w:rFonts w:ascii="宋体" w:hAnsi="宋体" w:cs="宋体" w:eastAsia="宋体" w:hint="default"/>
                <w:spacing w:val="-5"/>
                <w:w w:val="101"/>
                <w:sz w:val="18"/>
                <w:szCs w:val="18"/>
              </w:rPr>
              <w:t>计</w:t>
            </w:r>
            <w:r>
              <w:rPr>
                <w:rFonts w:ascii="宋体" w:hAnsi="宋体" w:cs="宋体" w:eastAsia="宋体" w:hint="default"/>
                <w:w w:val="101"/>
                <w:sz w:val="18"/>
                <w:szCs w:val="18"/>
              </w:rPr>
              <w:t>准则第</w:t>
            </w:r>
            <w:r>
              <w:rPr>
                <w:rFonts w:ascii="宋体" w:hAnsi="宋体" w:cs="宋体" w:eastAsia="宋体" w:hint="default"/>
                <w:spacing w:val="-47"/>
                <w:sz w:val="18"/>
                <w:szCs w:val="18"/>
              </w:rPr>
              <w:t> </w:t>
            </w:r>
            <w:r>
              <w:rPr>
                <w:rFonts w:ascii="宋体" w:hAnsi="宋体" w:cs="宋体" w:eastAsia="宋体" w:hint="default"/>
                <w:spacing w:val="-5"/>
                <w:w w:val="101"/>
                <w:sz w:val="18"/>
                <w:szCs w:val="18"/>
              </w:rPr>
              <w:t>24 </w:t>
            </w:r>
            <w:r>
              <w:rPr>
                <w:rFonts w:ascii="宋体" w:hAnsi="宋体" w:cs="宋体" w:eastAsia="宋体" w:hint="default"/>
                <w:w w:val="101"/>
                <w:sz w:val="18"/>
                <w:szCs w:val="18"/>
              </w:rPr>
              <w:t>号</w:t>
            </w:r>
            <w:r>
              <w:rPr>
                <w:rFonts w:ascii="宋体" w:hAnsi="宋体" w:cs="宋体" w:eastAsia="宋体" w:hint="default"/>
                <w:spacing w:val="-5"/>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套</w:t>
            </w:r>
            <w:r>
              <w:rPr>
                <w:rFonts w:ascii="宋体" w:hAnsi="宋体" w:cs="宋体" w:eastAsia="宋体" w:hint="default"/>
                <w:w w:val="101"/>
                <w:sz w:val="18"/>
                <w:szCs w:val="18"/>
              </w:rPr>
              <w:t>期</w:t>
            </w:r>
            <w:r>
              <w:rPr>
                <w:rFonts w:ascii="宋体" w:hAnsi="宋体" w:cs="宋体" w:eastAsia="宋体" w:hint="default"/>
                <w:spacing w:val="-5"/>
                <w:w w:val="101"/>
                <w:sz w:val="18"/>
                <w:szCs w:val="18"/>
              </w:rPr>
              <w:t>会</w:t>
            </w:r>
            <w:r>
              <w:rPr>
                <w:rFonts w:ascii="宋体" w:hAnsi="宋体" w:cs="宋体" w:eastAsia="宋体" w:hint="default"/>
                <w:w w:val="101"/>
                <w:sz w:val="18"/>
                <w:szCs w:val="18"/>
              </w:rPr>
              <w:t>计</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以</w:t>
            </w:r>
            <w:r>
              <w:rPr>
                <w:rFonts w:ascii="宋体" w:hAnsi="宋体" w:cs="宋体" w:eastAsia="宋体" w:hint="default"/>
                <w:spacing w:val="-5"/>
                <w:w w:val="101"/>
                <w:sz w:val="18"/>
                <w:szCs w:val="18"/>
              </w:rPr>
              <w:t>及</w:t>
            </w:r>
            <w:r>
              <w:rPr>
                <w:rFonts w:ascii="宋体" w:hAnsi="宋体" w:cs="宋体" w:eastAsia="宋体" w:hint="default"/>
                <w:w w:val="101"/>
                <w:sz w:val="18"/>
                <w:szCs w:val="18"/>
              </w:rPr>
              <w:t>《</w:t>
            </w:r>
            <w:r>
              <w:rPr>
                <w:rFonts w:ascii="宋体" w:hAnsi="宋体" w:cs="宋体" w:eastAsia="宋体" w:hint="default"/>
                <w:spacing w:val="-5"/>
                <w:w w:val="101"/>
                <w:sz w:val="18"/>
                <w:szCs w:val="18"/>
              </w:rPr>
              <w:t>企</w:t>
            </w:r>
            <w:r>
              <w:rPr>
                <w:rFonts w:ascii="宋体" w:hAnsi="宋体" w:cs="宋体" w:eastAsia="宋体" w:hint="default"/>
                <w:w w:val="101"/>
                <w:sz w:val="18"/>
                <w:szCs w:val="18"/>
              </w:rPr>
              <w:t>业</w:t>
            </w:r>
            <w:r>
              <w:rPr>
                <w:rFonts w:ascii="宋体" w:hAnsi="宋体" w:cs="宋体" w:eastAsia="宋体" w:hint="default"/>
                <w:spacing w:val="-5"/>
                <w:w w:val="101"/>
                <w:sz w:val="18"/>
                <w:szCs w:val="18"/>
              </w:rPr>
              <w:t>会</w:t>
            </w:r>
            <w:r>
              <w:rPr>
                <w:rFonts w:ascii="宋体" w:hAnsi="宋体" w:cs="宋体" w:eastAsia="宋体" w:hint="default"/>
                <w:w w:val="101"/>
                <w:sz w:val="18"/>
                <w:szCs w:val="18"/>
              </w:rPr>
              <w:t>计准</w:t>
            </w:r>
            <w:r>
              <w:rPr>
                <w:rFonts w:ascii="宋体" w:hAnsi="宋体" w:cs="宋体" w:eastAsia="宋体" w:hint="default"/>
                <w:w w:val="101"/>
                <w:sz w:val="18"/>
                <w:szCs w:val="18"/>
              </w:rPr>
              <w:t> 则第</w:t>
            </w:r>
            <w:r>
              <w:rPr>
                <w:rFonts w:ascii="宋体" w:hAnsi="宋体" w:cs="宋体" w:eastAsia="宋体" w:hint="default"/>
                <w:spacing w:val="-47"/>
                <w:sz w:val="18"/>
                <w:szCs w:val="18"/>
              </w:rPr>
              <w:t> </w:t>
            </w:r>
            <w:r>
              <w:rPr>
                <w:rFonts w:ascii="宋体" w:hAnsi="宋体" w:cs="宋体" w:eastAsia="宋体" w:hint="default"/>
                <w:w w:val="101"/>
                <w:sz w:val="18"/>
                <w:szCs w:val="18"/>
              </w:rPr>
              <w:t>37</w:t>
            </w:r>
            <w:r>
              <w:rPr>
                <w:rFonts w:ascii="宋体" w:hAnsi="宋体" w:cs="宋体" w:eastAsia="宋体" w:hint="default"/>
                <w:spacing w:val="-47"/>
                <w:sz w:val="18"/>
                <w:szCs w:val="18"/>
              </w:rPr>
              <w:t> </w:t>
            </w:r>
            <w:r>
              <w:rPr>
                <w:rFonts w:ascii="宋体" w:hAnsi="宋体" w:cs="宋体" w:eastAsia="宋体" w:hint="default"/>
                <w:spacing w:val="-5"/>
                <w:w w:val="101"/>
                <w:sz w:val="18"/>
                <w:szCs w:val="18"/>
              </w:rPr>
              <w:t>号</w:t>
            </w:r>
            <w:r>
              <w:rPr>
                <w:rFonts w:ascii="宋体" w:hAnsi="宋体" w:cs="宋体" w:eastAsia="宋体" w:hint="default"/>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金</w:t>
            </w:r>
            <w:r>
              <w:rPr>
                <w:rFonts w:ascii="宋体" w:hAnsi="宋体" w:cs="宋体" w:eastAsia="宋体" w:hint="default"/>
                <w:spacing w:val="-5"/>
                <w:w w:val="101"/>
                <w:sz w:val="18"/>
                <w:szCs w:val="18"/>
              </w:rPr>
              <w:t>融</w:t>
            </w:r>
            <w:r>
              <w:rPr>
                <w:rFonts w:ascii="宋体" w:hAnsi="宋体" w:cs="宋体" w:eastAsia="宋体" w:hint="default"/>
                <w:w w:val="101"/>
                <w:sz w:val="18"/>
                <w:szCs w:val="18"/>
              </w:rPr>
              <w:t>工</w:t>
            </w:r>
            <w:r>
              <w:rPr>
                <w:rFonts w:ascii="宋体" w:hAnsi="宋体" w:cs="宋体" w:eastAsia="宋体" w:hint="default"/>
                <w:spacing w:val="-5"/>
                <w:w w:val="101"/>
                <w:sz w:val="18"/>
                <w:szCs w:val="18"/>
              </w:rPr>
              <w:t>具</w:t>
            </w:r>
            <w:r>
              <w:rPr>
                <w:rFonts w:ascii="宋体" w:hAnsi="宋体" w:cs="宋体" w:eastAsia="宋体" w:hint="default"/>
                <w:w w:val="101"/>
                <w:sz w:val="18"/>
                <w:szCs w:val="18"/>
              </w:rPr>
              <w:t>列</w:t>
            </w:r>
            <w:r>
              <w:rPr>
                <w:rFonts w:ascii="宋体" w:hAnsi="宋体" w:cs="宋体" w:eastAsia="宋体" w:hint="default"/>
                <w:spacing w:val="-5"/>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本</w:t>
            </w:r>
            <w:r>
              <w:rPr>
                <w:rFonts w:ascii="宋体" w:hAnsi="宋体" w:cs="宋体" w:eastAsia="宋体" w:hint="default"/>
                <w:w w:val="101"/>
                <w:sz w:val="18"/>
                <w:szCs w:val="18"/>
              </w:rPr>
              <w:t>公司</w:t>
            </w:r>
            <w:r>
              <w:rPr>
                <w:rFonts w:ascii="宋体" w:hAnsi="宋体" w:cs="宋体" w:eastAsia="宋体" w:hint="default"/>
                <w:sz w:val="18"/>
                <w:szCs w:val="18"/>
              </w:rPr>
            </w:r>
          </w:p>
          <w:p>
            <w:pPr>
              <w:pStyle w:val="TableParagraph"/>
              <w:spacing w:line="319" w:lineRule="auto" w:before="19"/>
              <w:ind w:left="95" w:right="98"/>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1"/>
                <w:sz w:val="18"/>
                <w:szCs w:val="18"/>
              </w:rPr>
              <w:t>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1</w:t>
            </w:r>
            <w:r>
              <w:rPr>
                <w:rFonts w:ascii="宋体" w:hAnsi="宋体" w:cs="宋体" w:eastAsia="宋体" w:hint="default"/>
                <w:spacing w:val="-41"/>
                <w:sz w:val="18"/>
                <w:szCs w:val="18"/>
              </w:rPr>
              <w:t> </w:t>
            </w:r>
            <w:r>
              <w:rPr>
                <w:rFonts w:ascii="宋体" w:hAnsi="宋体" w:cs="宋体" w:eastAsia="宋体" w:hint="default"/>
                <w:spacing w:val="-3"/>
                <w:sz w:val="18"/>
                <w:szCs w:val="18"/>
              </w:rPr>
              <w:t>日起施行前述准则，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并根据前述准则关于衔接的规定，于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w:t>
            </w:r>
            <w:r>
              <w:rPr>
                <w:rFonts w:ascii="宋体" w:hAnsi="宋体" w:cs="宋体" w:eastAsia="宋体" w:hint="default"/>
                <w:spacing w:val="-41"/>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宋体" w:hAnsi="宋体" w:cs="宋体" w:eastAsia="宋体" w:hint="default"/>
                <w:sz w:val="18"/>
                <w:szCs w:val="18"/>
              </w:rPr>
              <w:t>1</w:t>
            </w:r>
            <w:r>
              <w:rPr>
                <w:rFonts w:ascii="宋体" w:hAnsi="宋体" w:cs="宋体" w:eastAsia="宋体" w:hint="default"/>
                <w:spacing w:val="-41"/>
                <w:sz w:val="18"/>
                <w:szCs w:val="18"/>
              </w:rPr>
              <w:t> </w:t>
            </w:r>
            <w:r>
              <w:rPr>
                <w:rFonts w:ascii="宋体" w:hAnsi="宋体" w:cs="宋体" w:eastAsia="宋体" w:hint="default"/>
                <w:spacing w:val="-3"/>
                <w:sz w:val="18"/>
                <w:szCs w:val="18"/>
              </w:rPr>
              <w:t>日对财务报表进行了相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应的调整。</w:t>
            </w:r>
          </w:p>
        </w:tc>
        <w:tc>
          <w:tcPr>
            <w:tcW w:w="31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4"/>
              <w:ind w:left="106" w:right="185"/>
              <w:jc w:val="left"/>
              <w:rPr>
                <w:rFonts w:ascii="宋体" w:hAnsi="宋体" w:cs="宋体" w:eastAsia="宋体" w:hint="default"/>
                <w:sz w:val="18"/>
                <w:szCs w:val="18"/>
              </w:rPr>
            </w:pPr>
            <w:r>
              <w:rPr>
                <w:rFonts w:ascii="宋体" w:hAnsi="宋体" w:cs="宋体" w:eastAsia="宋体" w:hint="default"/>
                <w:spacing w:val="-3"/>
                <w:sz w:val="18"/>
                <w:szCs w:val="18"/>
              </w:rPr>
              <w:t>经本公司第四届董事会第七次会议审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议通过</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5" w:right="89"/>
              <w:jc w:val="left"/>
              <w:rPr>
                <w:rFonts w:ascii="宋体" w:hAnsi="宋体" w:cs="宋体" w:eastAsia="宋体" w:hint="default"/>
                <w:sz w:val="18"/>
                <w:szCs w:val="18"/>
              </w:rPr>
            </w:pPr>
            <w:r>
              <w:rPr>
                <w:rFonts w:ascii="宋体" w:hAnsi="宋体" w:cs="宋体" w:eastAsia="宋体" w:hint="default"/>
                <w:sz w:val="18"/>
                <w:szCs w:val="18"/>
              </w:rPr>
              <w:t>详见</w:t>
            </w:r>
            <w:r>
              <w:rPr>
                <w:rFonts w:ascii="宋体" w:hAnsi="宋体" w:cs="宋体" w:eastAsia="宋体" w:hint="default"/>
                <w:spacing w:val="-31"/>
                <w:sz w:val="18"/>
                <w:szCs w:val="18"/>
              </w:rPr>
              <w:t> </w:t>
            </w:r>
            <w:r>
              <w:rPr>
                <w:rFonts w:ascii="宋体" w:hAnsi="宋体" w:cs="宋体" w:eastAsia="宋体" w:hint="default"/>
                <w:sz w:val="18"/>
                <w:szCs w:val="18"/>
              </w:rPr>
              <w:t>3.33.2</w:t>
            </w:r>
            <w:r>
              <w:rPr>
                <w:rFonts w:ascii="宋体" w:hAnsi="宋体" w:cs="宋体" w:eastAsia="宋体" w:hint="default"/>
                <w:spacing w:val="-31"/>
                <w:sz w:val="18"/>
                <w:szCs w:val="18"/>
              </w:rPr>
              <w:t> </w:t>
            </w:r>
            <w:r>
              <w:rPr>
                <w:rFonts w:ascii="宋体" w:hAnsi="宋体" w:cs="宋体" w:eastAsia="宋体" w:hint="default"/>
                <w:spacing w:val="-3"/>
                <w:sz w:val="18"/>
                <w:szCs w:val="18"/>
              </w:rPr>
              <w:t>首次执行新金融工具准则</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调整首次执行当年年初财务报表相关</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项目情况</w:t>
            </w:r>
          </w:p>
        </w:tc>
      </w:tr>
    </w:tbl>
    <w:p>
      <w:pPr>
        <w:pStyle w:val="BodyText"/>
        <w:spacing w:line="410" w:lineRule="auto" w:before="66"/>
        <w:ind w:right="1123" w:firstLine="422"/>
        <w:jc w:val="both"/>
      </w:pPr>
      <w:r>
        <w:rPr>
          <w:spacing w:val="-2"/>
        </w:rPr>
        <w:t>新金融工具准则将金融资产分为三类：以摊余成本计量的金融资产、以公允价值计量且其变动计入其</w:t>
      </w:r>
      <w:r>
        <w:rPr>
          <w:w w:val="100"/>
        </w:rPr>
        <w:t> </w:t>
      </w:r>
      <w:r>
        <w:rPr>
          <w:spacing w:val="-2"/>
        </w:rPr>
        <w:t>他综合收益的金融资产，以及以公允价值计量且其变动计入当期损益的金融资产。在新金融工具首次施行</w:t>
      </w:r>
      <w:r>
        <w:rPr>
          <w:spacing w:val="-33"/>
        </w:rPr>
        <w:t> </w:t>
      </w:r>
      <w:r>
        <w:rPr>
          <w:spacing w:val="-33"/>
        </w:rPr>
      </w:r>
      <w:r>
        <w:rPr>
          <w:spacing w:val="-2"/>
        </w:rPr>
        <w:t>日，本公司以管理金融资产的业务模式以及该资产的合同现金流量特征对金融资产进行重新分类。新金融</w:t>
      </w:r>
      <w:r>
        <w:rPr>
          <w:spacing w:val="-33"/>
        </w:rPr>
        <w:t> </w:t>
      </w:r>
      <w:r>
        <w:rPr>
          <w:spacing w:val="-33"/>
        </w:rPr>
      </w:r>
      <w:r>
        <w:rPr>
          <w:spacing w:val="-5"/>
          <w:w w:val="100"/>
        </w:rPr>
        <w:t>工具准则以“预期信用损失法”替代了原金融工具准则中的“已发生损失法”。</w:t>
      </w:r>
    </w:p>
    <w:p>
      <w:pPr>
        <w:pStyle w:val="BodyText"/>
        <w:spacing w:line="410" w:lineRule="auto" w:before="41"/>
        <w:ind w:left="575" w:right="1024"/>
        <w:jc w:val="left"/>
      </w:pPr>
      <w:r>
        <w:rPr/>
        <w:t>本公司按照新金融工具准则相关规定，于准则施行日，对金融工具进行以下调整：</w:t>
      </w:r>
      <w:r>
        <w:rPr>
          <w:spacing w:val="-102"/>
        </w:rPr>
        <w:t> </w:t>
      </w:r>
      <w:r>
        <w:rPr>
          <w:spacing w:val="-102"/>
        </w:rPr>
      </w:r>
      <w:r>
        <w:rPr>
          <w:spacing w:val="2"/>
        </w:rPr>
        <w:t>本公司将以前年度分类为可供出售金融资产的权益投资重新分类为以公允价值计量且其变动计入当</w:t>
      </w:r>
    </w:p>
    <w:p>
      <w:pPr>
        <w:pStyle w:val="BodyText"/>
        <w:spacing w:line="410" w:lineRule="auto" w:before="41"/>
        <w:ind w:right="1024"/>
        <w:jc w:val="left"/>
      </w:pPr>
      <w:r>
        <w:rPr>
          <w:spacing w:val="-2"/>
        </w:rPr>
        <w:t>期损益的金融资产（交易性金融资产或其他非流动金融资产）和不可撤销地指定为以公允价值计量且其变</w:t>
      </w:r>
      <w:r>
        <w:rPr>
          <w:spacing w:val="-30"/>
        </w:rPr>
        <w:t> </w:t>
      </w:r>
      <w:r>
        <w:rPr>
          <w:spacing w:val="-30"/>
        </w:rPr>
      </w:r>
      <w:r>
        <w:rPr>
          <w:spacing w:val="-6"/>
          <w:w w:val="100"/>
        </w:rPr>
        <w:t>动计入其他综合收益的金融资产（其他权益工具投资）。</w:t>
      </w:r>
    </w:p>
    <w:p>
      <w:pPr>
        <w:pStyle w:val="BodyText"/>
        <w:spacing w:line="408" w:lineRule="auto" w:before="41"/>
        <w:ind w:right="1125" w:firstLine="422"/>
        <w:jc w:val="both"/>
      </w:pPr>
      <w:r>
        <w:rPr>
          <w:spacing w:val="2"/>
        </w:rPr>
        <w:t>本公司将以前年度分类为可供出售金融资产的金融工具重新分类为以公允价值计量且其变动计入当</w:t>
      </w:r>
      <w:r>
        <w:rPr>
          <w:w w:val="100"/>
        </w:rPr>
        <w:t> </w:t>
      </w:r>
      <w:r>
        <w:rPr>
          <w:spacing w:val="-2"/>
        </w:rPr>
        <w:t>期损益的金融资产（交易性金融资产或者其他非流动金融资产）以及分类为以公允价值计量且其变动计入</w:t>
      </w:r>
      <w:r>
        <w:rPr>
          <w:spacing w:val="-33"/>
        </w:rPr>
        <w:t> </w:t>
      </w:r>
      <w:r>
        <w:rPr>
          <w:spacing w:val="-33"/>
        </w:rPr>
      </w:r>
      <w:r>
        <w:rPr/>
        <w:t>其他综合收益的金融资产。</w:t>
      </w:r>
    </w:p>
    <w:p>
      <w:pPr>
        <w:pStyle w:val="BodyText"/>
        <w:spacing w:line="408" w:lineRule="auto" w:before="48"/>
        <w:ind w:right="1126" w:firstLine="422"/>
        <w:jc w:val="both"/>
      </w:pPr>
      <w:r>
        <w:rPr>
          <w:spacing w:val="-2"/>
        </w:rPr>
        <w:t>本公司根据“预期信用损失法”对金融工具的减值情况进行了评估，经本公司评估，新金融工具准则</w:t>
      </w:r>
      <w:r>
        <w:rPr>
          <w:w w:val="100"/>
        </w:rPr>
        <w:t> </w:t>
      </w:r>
      <w:r>
        <w:rPr/>
        <w:t>要求下的预期信用损失法对本年合并及公司财务报表所列示的金额或披露并无重大影响。</w:t>
      </w:r>
    </w:p>
    <w:p>
      <w:pPr>
        <w:pStyle w:val="BodyText"/>
        <w:spacing w:line="405" w:lineRule="auto" w:before="48"/>
        <w:ind w:right="1024" w:firstLine="422"/>
        <w:jc w:val="left"/>
      </w:pPr>
      <w:r>
        <w:rPr>
          <w:spacing w:val="-1"/>
        </w:rPr>
        <w:t>本公司因执行新金融工具准则对</w:t>
      </w:r>
      <w:r>
        <w:rPr>
          <w:rFonts w:ascii="宋体" w:hAnsi="宋体" w:cs="宋体" w:eastAsia="宋体" w:hint="default"/>
          <w:spacing w:val="-1"/>
        </w:rPr>
        <w:t>2019</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1</w:t>
      </w:r>
      <w:r>
        <w:rPr>
          <w:spacing w:val="-1"/>
        </w:rPr>
        <w:t>日合并及公司资产负债表各项目的影响请见</w:t>
      </w:r>
      <w:r>
        <w:rPr>
          <w:rFonts w:ascii="宋体" w:hAnsi="宋体" w:cs="宋体" w:eastAsia="宋体" w:hint="default"/>
          <w:spacing w:val="-1"/>
        </w:rPr>
        <w:t>3.33.2</w:t>
      </w:r>
      <w:r>
        <w:rPr>
          <w:spacing w:val="-1"/>
        </w:rPr>
        <w:t>首次</w:t>
      </w:r>
      <w:r>
        <w:rPr>
          <w:w w:val="100"/>
        </w:rPr>
        <w:t> </w:t>
      </w:r>
      <w:r>
        <w:rPr/>
        <w:t>执行新金融工具准则调整首次执行当年年初财务报表相关项目情况。</w:t>
      </w:r>
    </w:p>
    <w:p>
      <w:pPr>
        <w:spacing w:after="0" w:line="405" w:lineRule="auto"/>
        <w:jc w:val="left"/>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4"/>
        <w:spacing w:line="240" w:lineRule="auto" w:before="0"/>
        <w:ind w:right="1024"/>
        <w:jc w:val="left"/>
        <w:rPr>
          <w:b w:val="0"/>
          <w:bCs w:val="0"/>
        </w:rPr>
      </w:pPr>
      <w:bookmarkStart w:name="（2）重要会计估计变更" w:id="276"/>
      <w:bookmarkEnd w:id="276"/>
      <w:r>
        <w:rPr>
          <w:b w:val="0"/>
          <w:bCs w:val="0"/>
        </w:rPr>
      </w:r>
      <w:r>
        <w:rPr/>
        <w:t>（</w:t>
      </w:r>
      <w:r>
        <w:rPr>
          <w:rFonts w:ascii="宋体" w:hAnsi="宋体" w:cs="宋体" w:eastAsia="宋体" w:hint="default"/>
        </w:rPr>
        <w:t>2</w:t>
      </w:r>
      <w:r>
        <w:rPr/>
        <w:t>）重要会计估计变更</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right="1024"/>
        <w:jc w:val="left"/>
      </w:pPr>
      <w:r>
        <w:rPr/>
        <w:t>□ 适用 √</w:t>
      </w:r>
      <w:r>
        <w:rPr>
          <w:spacing w:val="4"/>
        </w:rPr>
        <w:t> </w:t>
      </w:r>
      <w:r>
        <w:rPr/>
        <w:t>不适用</w:t>
      </w:r>
    </w:p>
    <w:p>
      <w:pPr>
        <w:spacing w:line="240" w:lineRule="auto" w:before="13"/>
        <w:rPr>
          <w:rFonts w:ascii="宋体" w:hAnsi="宋体" w:cs="宋体" w:eastAsia="宋体" w:hint="default"/>
          <w:sz w:val="14"/>
          <w:szCs w:val="14"/>
        </w:rPr>
      </w:pPr>
    </w:p>
    <w:p>
      <w:pPr>
        <w:pStyle w:val="Heading4"/>
        <w:spacing w:line="240" w:lineRule="auto" w:before="0"/>
        <w:ind w:right="1024"/>
        <w:jc w:val="left"/>
        <w:rPr>
          <w:b w:val="0"/>
          <w:bCs w:val="0"/>
        </w:rPr>
      </w:pPr>
      <w:bookmarkStart w:name="（3）2019年起执行新金融工具准则、新收入准则或新租赁准则调整执行当年年初财务" w:id="277"/>
      <w:bookmarkEnd w:id="277"/>
      <w:r>
        <w:rPr>
          <w:b w:val="0"/>
          <w:bCs w:val="0"/>
        </w:rPr>
      </w:r>
      <w:r>
        <w:rPr/>
        <w:t>（</w:t>
      </w: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58"/>
        </w:rPr>
        <w:t> </w:t>
      </w:r>
      <w:r>
        <w:rPr/>
        <w:t>年起执行新金融工具准则、新收入准则或新租赁准则调整执行当年年初财务报表相关项目情况</w:t>
      </w:r>
      <w:r>
        <w:rPr>
          <w:b w:val="0"/>
          <w:bCs w:val="0"/>
        </w:rPr>
      </w:r>
    </w:p>
    <w:p>
      <w:pPr>
        <w:spacing w:line="240" w:lineRule="auto" w:before="8"/>
        <w:rPr>
          <w:rFonts w:ascii="宋体" w:hAnsi="宋体" w:cs="宋体" w:eastAsia="宋体" w:hint="default"/>
          <w:b/>
          <w:bCs/>
          <w:sz w:val="14"/>
          <w:szCs w:val="14"/>
        </w:rPr>
      </w:pPr>
    </w:p>
    <w:p>
      <w:pPr>
        <w:pStyle w:val="BodyText"/>
        <w:spacing w:line="410" w:lineRule="auto"/>
        <w:ind w:right="8962"/>
        <w:jc w:val="left"/>
      </w:pPr>
      <w:r>
        <w:rPr/>
        <w:t>√ 适用 □</w:t>
      </w:r>
      <w:r>
        <w:rPr>
          <w:spacing w:val="4"/>
        </w:rPr>
        <w:t> </w:t>
      </w:r>
      <w:r>
        <w:rPr/>
        <w:t>不适用</w:t>
      </w:r>
      <w:r>
        <w:rPr>
          <w:w w:val="100"/>
        </w:rPr>
        <w:t> </w:t>
      </w:r>
      <w:r>
        <w:rPr/>
        <w:t>合并资产负债表</w:t>
      </w:r>
    </w:p>
    <w:p>
      <w:pPr>
        <w:spacing w:before="28"/>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209"/>
        <w:gridCol w:w="2454"/>
        <w:gridCol w:w="2454"/>
        <w:gridCol w:w="2453"/>
      </w:tblGrid>
      <w:tr>
        <w:trPr>
          <w:trHeight w:val="413" w:hRule="exact"/>
        </w:trPr>
        <w:tc>
          <w:tcPr>
            <w:tcW w:w="220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24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245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18"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92,805,590.08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92,805,590.08</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22,300,000.00</w:t>
            </w:r>
          </w:p>
        </w:tc>
        <w:tc>
          <w:tcPr>
            <w:tcW w:w="24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22,300,000.00</w:t>
            </w:r>
          </w:p>
        </w:tc>
      </w:tr>
      <w:tr>
        <w:trPr>
          <w:trHeight w:val="102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09"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24,697,342.41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24,697,342.41</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515,144,895.26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515,144,895.26</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20,920,297.99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20,920,297.99</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36,411,903.65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36,411,903.65</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117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113,873,231.28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113,873,231.28</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09"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4,900,293.91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4,900,293.91</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220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808,753,554.58</w:t>
            </w:r>
          </w:p>
        </w:tc>
        <w:tc>
          <w:tcPr>
            <w:tcW w:w="2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831,053,554.58</w:t>
            </w:r>
          </w:p>
        </w:tc>
        <w:tc>
          <w:tcPr>
            <w:tcW w:w="245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22,300,000.00</w:t>
            </w:r>
          </w:p>
        </w:tc>
      </w:tr>
    </w:tbl>
    <w:p>
      <w:pPr>
        <w:spacing w:after="0" w:line="240" w:lineRule="auto"/>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2209"/>
        <w:gridCol w:w="2454"/>
        <w:gridCol w:w="2454"/>
        <w:gridCol w:w="2453"/>
      </w:tblGrid>
      <w:tr>
        <w:trPr>
          <w:trHeight w:val="413" w:hRule="exact"/>
        </w:trPr>
        <w:tc>
          <w:tcPr>
            <w:tcW w:w="220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24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245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81,303,000.00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-81,303,000.00</w:t>
            </w: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357,176,593.26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357,176,593.26</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55,000,000.00</w:t>
            </w:r>
          </w:p>
        </w:tc>
        <w:tc>
          <w:tcPr>
            <w:tcW w:w="24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55,000,000.00</w:t>
            </w:r>
          </w:p>
        </w:tc>
      </w:tr>
      <w:tr>
        <w:trPr>
          <w:trHeight w:val="39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4,003,000.00</w:t>
            </w:r>
          </w:p>
        </w:tc>
        <w:tc>
          <w:tcPr>
            <w:tcW w:w="24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4,003,000.00</w:t>
            </w: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22,841,423.85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22,841,423.85</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360,590,903.02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360,590,903.02</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103,327,810.58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103,327,810.58</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58,385,842.33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58,385,842.33</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3,438,138.12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3,438,138.12</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10,958,795.34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10,958,795.34</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17,012,133.62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17,012,133.62</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1,015,034,640.12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992,734,640.12</w:t>
            </w:r>
          </w:p>
        </w:tc>
        <w:tc>
          <w:tcPr>
            <w:tcW w:w="24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2"/>
                <w:sz w:val="18"/>
              </w:rPr>
              <w:t>-22,300,000.00</w:t>
            </w: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1,823,788,194.70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1,823,788,194.70</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39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144,875,000.00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144,875,000.00</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102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5" w:right="109"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220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12" w:space="0" w:color="000000"/>
              <w:right w:val="single" w:sz="4" w:space="0" w:color="000000"/>
            </w:tcBorders>
          </w:tcPr>
          <w:p>
            <w:pPr/>
          </w:p>
        </w:tc>
        <w:tc>
          <w:tcPr>
            <w:tcW w:w="2454" w:type="dxa"/>
            <w:tcBorders>
              <w:top w:val="single" w:sz="4" w:space="0" w:color="000000"/>
              <w:left w:val="single" w:sz="4" w:space="0" w:color="000000"/>
              <w:bottom w:val="single" w:sz="12" w:space="0" w:color="000000"/>
              <w:right w:val="single" w:sz="4" w:space="0" w:color="000000"/>
            </w:tcBorders>
          </w:tcPr>
          <w:p>
            <w:pPr/>
          </w:p>
        </w:tc>
        <w:tc>
          <w:tcPr>
            <w:tcW w:w="2453"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040" w:bottom="12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2209"/>
        <w:gridCol w:w="2454"/>
        <w:gridCol w:w="2454"/>
        <w:gridCol w:w="2453"/>
      </w:tblGrid>
      <w:tr>
        <w:trPr>
          <w:trHeight w:val="413" w:hRule="exact"/>
        </w:trPr>
        <w:tc>
          <w:tcPr>
            <w:tcW w:w="220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24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245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136,470,754.72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136,470,754.72</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10,137,763.66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10,137,763.66</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109"/>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109"/>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12,022,324.94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12,022,324.94</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9,010,414.27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9,010,414.27</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55,772,381.52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55,772,381.52</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638"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117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2,926,382.00</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09"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96,047,029.20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96,047,029.20</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1,000,000.00</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465,335,668.31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465,335,668.31</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78,860,000.00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78,860,000.00</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117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211,923,287.67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211,923,287.67</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7,189,326.62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7,189,326.62</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3,550,855.33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3,550,855.33</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220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301,523,469.62</w:t>
            </w:r>
          </w:p>
        </w:tc>
        <w:tc>
          <w:tcPr>
            <w:tcW w:w="2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301,523,469.62</w:t>
            </w:r>
          </w:p>
        </w:tc>
        <w:tc>
          <w:tcPr>
            <w:tcW w:w="2453"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040" w:bottom="12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2209"/>
        <w:gridCol w:w="2454"/>
        <w:gridCol w:w="2454"/>
        <w:gridCol w:w="2453"/>
      </w:tblGrid>
      <w:tr>
        <w:trPr>
          <w:trHeight w:val="413" w:hRule="exact"/>
        </w:trPr>
        <w:tc>
          <w:tcPr>
            <w:tcW w:w="220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24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245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766,859,137.93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766,859,137.93</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411,118,370.00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411,118,370.00</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117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739,285,789.70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739,285,789.70</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25,041,540.00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25,041,540.00</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21,281,039.35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21,281,039.35</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-93,456,318.93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-93,456,318.93</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711"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5" w:right="109"/>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1,053,187,340.12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1,053,187,340.12</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3,741,716.65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3,741,716.65</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1,056,929,056.77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1,056,929,056.77</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220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1,823,788,194.70</w:t>
            </w:r>
          </w:p>
        </w:tc>
        <w:tc>
          <w:tcPr>
            <w:tcW w:w="2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1,823,788,194.70</w:t>
            </w:r>
          </w:p>
        </w:tc>
        <w:tc>
          <w:tcPr>
            <w:tcW w:w="2453" w:type="dxa"/>
            <w:tcBorders>
              <w:top w:val="single" w:sz="4" w:space="0" w:color="000000"/>
              <w:left w:val="single" w:sz="4" w:space="0" w:color="000000"/>
              <w:bottom w:val="single" w:sz="12" w:space="0" w:color="000000"/>
              <w:right w:val="single" w:sz="12" w:space="0" w:color="000000"/>
            </w:tcBorders>
          </w:tcPr>
          <w:p>
            <w:pPr/>
          </w:p>
        </w:tc>
      </w:tr>
    </w:tbl>
    <w:p>
      <w:pPr>
        <w:spacing w:line="475" w:lineRule="auto" w:before="92"/>
        <w:ind w:left="513" w:right="1024" w:hanging="360"/>
        <w:jc w:val="left"/>
        <w:rPr>
          <w:rFonts w:ascii="宋体" w:hAnsi="宋体" w:cs="宋体" w:eastAsia="宋体" w:hint="default"/>
          <w:sz w:val="18"/>
          <w:szCs w:val="18"/>
        </w:rPr>
      </w:pPr>
      <w:r>
        <w:rPr>
          <w:rFonts w:ascii="宋体" w:hAnsi="宋体" w:cs="宋体" w:eastAsia="宋体" w:hint="default"/>
          <w:spacing w:val="-3"/>
          <w:sz w:val="18"/>
          <w:szCs w:val="18"/>
        </w:rPr>
        <w:t>调整情况说明：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本公司根据新金融工具准则的要求，自</w:t>
      </w:r>
      <w:r>
        <w:rPr>
          <w:rFonts w:ascii="宋体" w:hAnsi="宋体" w:cs="宋体" w:eastAsia="宋体" w:hint="default"/>
          <w:spacing w:val="-4"/>
          <w:sz w:val="18"/>
          <w:szCs w:val="18"/>
        </w:rPr>
        <w:t>2019</w:t>
      </w:r>
      <w:r>
        <w:rPr>
          <w:rFonts w:ascii="宋体" w:hAnsi="宋体" w:cs="宋体" w:eastAsia="宋体" w:hint="default"/>
          <w:spacing w:val="-4"/>
          <w:sz w:val="18"/>
          <w:szCs w:val="18"/>
        </w:rPr>
        <w:t>年</w:t>
      </w:r>
      <w:r>
        <w:rPr>
          <w:rFonts w:ascii="宋体" w:hAnsi="宋体" w:cs="宋体" w:eastAsia="宋体" w:hint="default"/>
          <w:spacing w:val="-4"/>
          <w:sz w:val="18"/>
          <w:szCs w:val="18"/>
        </w:rPr>
        <w:t>1</w:t>
      </w:r>
      <w:r>
        <w:rPr>
          <w:rFonts w:ascii="宋体" w:hAnsi="宋体" w:cs="宋体" w:eastAsia="宋体" w:hint="default"/>
          <w:spacing w:val="-4"/>
          <w:sz w:val="18"/>
          <w:szCs w:val="18"/>
        </w:rPr>
        <w:t>月</w:t>
      </w:r>
      <w:r>
        <w:rPr>
          <w:rFonts w:ascii="宋体" w:hAnsi="宋体" w:cs="宋体" w:eastAsia="宋体" w:hint="default"/>
          <w:spacing w:val="-4"/>
          <w:sz w:val="18"/>
          <w:szCs w:val="18"/>
        </w:rPr>
        <w:t>1</w:t>
      </w:r>
      <w:r>
        <w:rPr>
          <w:rFonts w:ascii="宋体" w:hAnsi="宋体" w:cs="宋体" w:eastAsia="宋体" w:hint="default"/>
          <w:spacing w:val="-4"/>
          <w:sz w:val="18"/>
          <w:szCs w:val="18"/>
        </w:rPr>
        <w:t>日起执行，本公司将原列示在可供出售金融资产的权益性投资，重新</w:t>
      </w:r>
    </w:p>
    <w:p>
      <w:pPr>
        <w:spacing w:before="58"/>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分类为交易性金融资产、其他权益工具投资以及其他非流动金融资产。</w:t>
      </w:r>
    </w:p>
    <w:p>
      <w:pPr>
        <w:spacing w:line="240" w:lineRule="auto" w:before="12"/>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71" w:footer="1037" w:top="1040" w:bottom="1220" w:left="980" w:right="0"/>
        </w:sectPr>
      </w:pPr>
    </w:p>
    <w:p>
      <w:pPr>
        <w:pStyle w:val="BodyText"/>
        <w:spacing w:line="240" w:lineRule="auto" w:before="36"/>
        <w:ind w:right="-7"/>
        <w:jc w:val="left"/>
      </w:pPr>
      <w:r>
        <w:rPr>
          <w:spacing w:val="-1"/>
        </w:rPr>
        <w:t>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580" w:bottom="1220" w:left="980" w:right="0"/>
          <w:cols w:num="2" w:equalWidth="0">
            <w:col w:w="1839" w:space="7083"/>
            <w:col w:w="2008"/>
          </w:cols>
        </w:sectPr>
      </w:pPr>
    </w:p>
    <w:p>
      <w:pPr>
        <w:spacing w:line="240" w:lineRule="auto" w:before="1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209"/>
        <w:gridCol w:w="2454"/>
        <w:gridCol w:w="2454"/>
        <w:gridCol w:w="2453"/>
      </w:tblGrid>
      <w:tr>
        <w:trPr>
          <w:trHeight w:val="410" w:hRule="exact"/>
        </w:trPr>
        <w:tc>
          <w:tcPr>
            <w:tcW w:w="220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7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24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7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245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18"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41,640,127.73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41,640,127.73</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22,300,000.00</w:t>
            </w:r>
          </w:p>
        </w:tc>
        <w:tc>
          <w:tcPr>
            <w:tcW w:w="24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left="1171" w:right="0"/>
              <w:jc w:val="left"/>
              <w:rPr>
                <w:rFonts w:ascii="宋体" w:hAnsi="宋体" w:cs="宋体" w:eastAsia="宋体" w:hint="default"/>
                <w:sz w:val="18"/>
                <w:szCs w:val="18"/>
              </w:rPr>
            </w:pPr>
            <w:r>
              <w:rPr>
                <w:rFonts w:ascii="宋体"/>
                <w:sz w:val="18"/>
              </w:rPr>
              <w:t>22,300,000.00</w:t>
            </w:r>
          </w:p>
        </w:tc>
      </w:tr>
      <w:tr>
        <w:trPr>
          <w:trHeight w:val="1022"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09"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3,407,400.00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3,407,400.00</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220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200,371,602.75</w:t>
            </w:r>
          </w:p>
        </w:tc>
        <w:tc>
          <w:tcPr>
            <w:tcW w:w="2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176,729,591.48</w:t>
            </w:r>
          </w:p>
        </w:tc>
        <w:tc>
          <w:tcPr>
            <w:tcW w:w="2453" w:type="dxa"/>
            <w:tcBorders>
              <w:top w:val="single" w:sz="4" w:space="0" w:color="000000"/>
              <w:left w:val="single" w:sz="4" w:space="0" w:color="000000"/>
              <w:bottom w:val="single" w:sz="12" w:space="0" w:color="000000"/>
              <w:right w:val="single" w:sz="12" w:space="0" w:color="000000"/>
            </w:tcBorders>
          </w:tcPr>
          <w:p>
            <w:pPr/>
          </w:p>
        </w:tc>
      </w:tr>
    </w:tbl>
    <w:p>
      <w:pPr>
        <w:spacing w:after="0"/>
        <w:sectPr>
          <w:type w:val="continuous"/>
          <w:pgSz w:w="11910" w:h="16840"/>
          <w:pgMar w:top="1580" w:bottom="12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2209"/>
        <w:gridCol w:w="2454"/>
        <w:gridCol w:w="2454"/>
        <w:gridCol w:w="2453"/>
      </w:tblGrid>
      <w:tr>
        <w:trPr>
          <w:trHeight w:val="413" w:hRule="exact"/>
        </w:trPr>
        <w:tc>
          <w:tcPr>
            <w:tcW w:w="220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24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245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10,993,955.77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10,993,955.77</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21,705,453.54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21,705,453.54</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117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10,764,100.00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10,764,100.00</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51,300,762.22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51,300,762.22</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09"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524,336.56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524,336.56</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329,943,638.57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352,243,638.57</w:t>
            </w:r>
          </w:p>
        </w:tc>
        <w:tc>
          <w:tcPr>
            <w:tcW w:w="24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22,300,000.00</w:t>
            </w: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77,300,000.00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2"/>
                <w:sz w:val="18"/>
              </w:rPr>
              <w:t>-77,300,000.00</w:t>
            </w: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805,464,022.35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805,464,022.35</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55,000,000.00</w:t>
            </w:r>
          </w:p>
        </w:tc>
        <w:tc>
          <w:tcPr>
            <w:tcW w:w="24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55,000,000.00</w:t>
            </w: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16,614,798.30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16,614,798.30</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279,541,108.04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279,541,108.04</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39,595,130.80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39,595,130.80</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25,316,270.49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25,316,270.49</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3,350,739.52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3,350,739.52</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220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7,654,692.02</w:t>
            </w:r>
          </w:p>
        </w:tc>
        <w:tc>
          <w:tcPr>
            <w:tcW w:w="2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7,654,692.02</w:t>
            </w:r>
          </w:p>
        </w:tc>
        <w:tc>
          <w:tcPr>
            <w:tcW w:w="2453"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040" w:bottom="12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2209"/>
        <w:gridCol w:w="2454"/>
        <w:gridCol w:w="2454"/>
        <w:gridCol w:w="2453"/>
      </w:tblGrid>
      <w:tr>
        <w:trPr>
          <w:trHeight w:val="413" w:hRule="exact"/>
        </w:trPr>
        <w:tc>
          <w:tcPr>
            <w:tcW w:w="220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24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245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1,254,836,761.52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1,232,536,761.52</w:t>
            </w:r>
          </w:p>
        </w:tc>
        <w:tc>
          <w:tcPr>
            <w:tcW w:w="245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84" w:right="0"/>
              <w:jc w:val="left"/>
              <w:rPr>
                <w:rFonts w:ascii="宋体" w:hAnsi="宋体" w:cs="宋体" w:eastAsia="宋体" w:hint="default"/>
                <w:sz w:val="18"/>
                <w:szCs w:val="18"/>
              </w:rPr>
            </w:pPr>
            <w:r>
              <w:rPr>
                <w:rFonts w:ascii="宋体"/>
                <w:sz w:val="18"/>
              </w:rPr>
              <w:t>-22,300,000.00</w:t>
            </w: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1,584,780,400.09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1,584,780,400.09</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104,875,000.00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104,875,000.00</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102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5" w:right="109"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98,292,389.91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98,292,389.91</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8,812,027.35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8,812,027.35</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5,719,954.55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5,719,954.55</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4,228,452.08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4,228,452.08</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187,578,798.22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187,578,798.22</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286"/>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286"/>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09"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96,047,029.20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96,047,029.20</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505,553,651.31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505,553,651.31</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39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78,860,000.00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78,860,000.00</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117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286"/>
              <w:jc w:val="right"/>
              <w:rPr>
                <w:rFonts w:ascii="宋体" w:hAnsi="宋体" w:cs="宋体" w:eastAsia="宋体" w:hint="default"/>
                <w:sz w:val="18"/>
                <w:szCs w:val="18"/>
              </w:rPr>
            </w:pPr>
            <w:r>
              <w:rPr>
                <w:rFonts w:ascii="宋体" w:hAnsi="宋体" w:cs="宋体" w:eastAsia="宋体" w:hint="default"/>
                <w:spacing w:val="-2"/>
                <w:sz w:val="18"/>
                <w:szCs w:val="18"/>
              </w:rPr>
              <w:t>长期应付职工薪酬</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5,950,330.89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5,950,330.89</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220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54" w:type="dxa"/>
            <w:tcBorders>
              <w:top w:val="single" w:sz="4" w:space="0" w:color="000000"/>
              <w:left w:val="single" w:sz="4" w:space="0" w:color="000000"/>
              <w:bottom w:val="single" w:sz="12" w:space="0" w:color="000000"/>
              <w:right w:val="single" w:sz="4" w:space="0" w:color="000000"/>
            </w:tcBorders>
          </w:tcPr>
          <w:p>
            <w:pPr/>
          </w:p>
        </w:tc>
        <w:tc>
          <w:tcPr>
            <w:tcW w:w="2454" w:type="dxa"/>
            <w:tcBorders>
              <w:top w:val="single" w:sz="4" w:space="0" w:color="000000"/>
              <w:left w:val="single" w:sz="4" w:space="0" w:color="000000"/>
              <w:bottom w:val="single" w:sz="12" w:space="0" w:color="000000"/>
              <w:right w:val="single" w:sz="4" w:space="0" w:color="000000"/>
            </w:tcBorders>
          </w:tcPr>
          <w:p>
            <w:pPr/>
          </w:p>
        </w:tc>
        <w:tc>
          <w:tcPr>
            <w:tcW w:w="2453"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040" w:bottom="12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2209"/>
        <w:gridCol w:w="2454"/>
        <w:gridCol w:w="2454"/>
        <w:gridCol w:w="2453"/>
      </w:tblGrid>
      <w:tr>
        <w:trPr>
          <w:trHeight w:val="413" w:hRule="exact"/>
        </w:trPr>
        <w:tc>
          <w:tcPr>
            <w:tcW w:w="220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245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245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84,810,330.89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84,810,330.89</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590,363,982.20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590,363,982.20</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411,118,370.00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411,118,370.00</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117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759,666,154.68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759,666,154.68</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25,041,540.00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25,041,540.00</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21,281,039.35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21,281,039.35</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-172,607,606.14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-172,607,606.14</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20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994,416,417.89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994,416,417.89</w:t>
            </w:r>
          </w:p>
        </w:tc>
        <w:tc>
          <w:tcPr>
            <w:tcW w:w="245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220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1,584,780,400.09</w:t>
            </w:r>
          </w:p>
        </w:tc>
        <w:tc>
          <w:tcPr>
            <w:tcW w:w="2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1,584,780,400.09</w:t>
            </w:r>
          </w:p>
        </w:tc>
        <w:tc>
          <w:tcPr>
            <w:tcW w:w="2453" w:type="dxa"/>
            <w:tcBorders>
              <w:top w:val="single" w:sz="4" w:space="0" w:color="000000"/>
              <w:left w:val="single" w:sz="4" w:space="0" w:color="000000"/>
              <w:bottom w:val="single" w:sz="12" w:space="0" w:color="000000"/>
              <w:right w:val="single" w:sz="12" w:space="0" w:color="000000"/>
            </w:tcBorders>
          </w:tcPr>
          <w:p>
            <w:pPr/>
          </w:p>
        </w:tc>
      </w:tr>
    </w:tbl>
    <w:p>
      <w:pPr>
        <w:spacing w:line="480" w:lineRule="auto" w:before="92"/>
        <w:ind w:left="513" w:right="1024" w:hanging="360"/>
        <w:jc w:val="left"/>
        <w:rPr>
          <w:rFonts w:ascii="宋体" w:hAnsi="宋体" w:cs="宋体" w:eastAsia="宋体" w:hint="default"/>
          <w:sz w:val="18"/>
          <w:szCs w:val="18"/>
        </w:rPr>
      </w:pPr>
      <w:r>
        <w:rPr>
          <w:rFonts w:ascii="宋体" w:hAnsi="宋体" w:cs="宋体" w:eastAsia="宋体" w:hint="default"/>
          <w:spacing w:val="-3"/>
          <w:sz w:val="18"/>
          <w:szCs w:val="18"/>
        </w:rPr>
        <w:t>调整情况说明：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本公司根据新金融工具准则的要求，自</w:t>
      </w:r>
      <w:r>
        <w:rPr>
          <w:rFonts w:ascii="宋体" w:hAnsi="宋体" w:cs="宋体" w:eastAsia="宋体" w:hint="default"/>
          <w:spacing w:val="-4"/>
          <w:sz w:val="18"/>
          <w:szCs w:val="18"/>
        </w:rPr>
        <w:t>2019</w:t>
      </w:r>
      <w:r>
        <w:rPr>
          <w:rFonts w:ascii="宋体" w:hAnsi="宋体" w:cs="宋体" w:eastAsia="宋体" w:hint="default"/>
          <w:spacing w:val="-4"/>
          <w:sz w:val="18"/>
          <w:szCs w:val="18"/>
        </w:rPr>
        <w:t>年</w:t>
      </w:r>
      <w:r>
        <w:rPr>
          <w:rFonts w:ascii="宋体" w:hAnsi="宋体" w:cs="宋体" w:eastAsia="宋体" w:hint="default"/>
          <w:spacing w:val="-4"/>
          <w:sz w:val="18"/>
          <w:szCs w:val="18"/>
        </w:rPr>
        <w:t>1</w:t>
      </w:r>
      <w:r>
        <w:rPr>
          <w:rFonts w:ascii="宋体" w:hAnsi="宋体" w:cs="宋体" w:eastAsia="宋体" w:hint="default"/>
          <w:spacing w:val="-4"/>
          <w:sz w:val="18"/>
          <w:szCs w:val="18"/>
        </w:rPr>
        <w:t>月</w:t>
      </w:r>
      <w:r>
        <w:rPr>
          <w:rFonts w:ascii="宋体" w:hAnsi="宋体" w:cs="宋体" w:eastAsia="宋体" w:hint="default"/>
          <w:spacing w:val="-4"/>
          <w:sz w:val="18"/>
          <w:szCs w:val="18"/>
        </w:rPr>
        <w:t>1</w:t>
      </w:r>
      <w:r>
        <w:rPr>
          <w:rFonts w:ascii="宋体" w:hAnsi="宋体" w:cs="宋体" w:eastAsia="宋体" w:hint="default"/>
          <w:spacing w:val="-4"/>
          <w:sz w:val="18"/>
          <w:szCs w:val="18"/>
        </w:rPr>
        <w:t>日起执行，本公司将原列示在可供出售金融资产的权益性投资，重新</w:t>
      </w:r>
    </w:p>
    <w:p>
      <w:pPr>
        <w:spacing w:before="5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分类为交易性金融资产以及其他权益工具投资。</w:t>
      </w:r>
    </w:p>
    <w:p>
      <w:pPr>
        <w:spacing w:line="240" w:lineRule="auto" w:before="0"/>
        <w:rPr>
          <w:rFonts w:ascii="宋体" w:hAnsi="宋体" w:cs="宋体" w:eastAsia="宋体" w:hint="default"/>
          <w:sz w:val="16"/>
          <w:szCs w:val="16"/>
        </w:rPr>
      </w:pPr>
    </w:p>
    <w:p>
      <w:pPr>
        <w:pStyle w:val="Heading4"/>
        <w:spacing w:line="240" w:lineRule="auto" w:before="0"/>
        <w:ind w:right="1024"/>
        <w:jc w:val="left"/>
        <w:rPr>
          <w:b w:val="0"/>
          <w:bCs w:val="0"/>
        </w:rPr>
      </w:pPr>
      <w:bookmarkStart w:name="（4）2019年起执行新金融工具准则或新租赁准则追溯调整前期比较数据说明" w:id="278"/>
      <w:bookmarkEnd w:id="278"/>
      <w:r>
        <w:rPr>
          <w:b w:val="0"/>
          <w:bCs w:val="0"/>
        </w:rPr>
      </w:r>
      <w:r>
        <w:rPr/>
        <w:t>（</w:t>
      </w:r>
      <w:r>
        <w:rPr>
          <w:rFonts w:ascii="宋体" w:hAnsi="宋体" w:cs="宋体" w:eastAsia="宋体" w:hint="default"/>
        </w:rPr>
        <w:t>4</w:t>
      </w:r>
      <w:r>
        <w:rPr/>
        <w:t>）</w:t>
      </w:r>
      <w:r>
        <w:rPr>
          <w:rFonts w:ascii="宋体" w:hAnsi="宋体" w:cs="宋体" w:eastAsia="宋体" w:hint="default"/>
        </w:rPr>
        <w:t>2019</w:t>
      </w:r>
      <w:r>
        <w:rPr>
          <w:rFonts w:ascii="宋体" w:hAnsi="宋体" w:cs="宋体" w:eastAsia="宋体" w:hint="default"/>
          <w:spacing w:val="-53"/>
        </w:rPr>
        <w:t> </w:t>
      </w:r>
      <w:r>
        <w:rPr/>
        <w:t>年起执行新金融工具准则或新租赁准则追溯调整前期比较数据说明</w:t>
      </w:r>
      <w:r>
        <w:rPr>
          <w:b w:val="0"/>
          <w:bCs w:val="0"/>
        </w:rPr>
      </w:r>
    </w:p>
    <w:p>
      <w:pPr>
        <w:spacing w:line="240" w:lineRule="auto" w:before="8"/>
        <w:rPr>
          <w:rFonts w:ascii="宋体" w:hAnsi="宋体" w:cs="宋体" w:eastAsia="宋体" w:hint="default"/>
          <w:b/>
          <w:bCs/>
          <w:sz w:val="14"/>
          <w:szCs w:val="14"/>
        </w:rPr>
      </w:pPr>
    </w:p>
    <w:p>
      <w:pPr>
        <w:pStyle w:val="BodyText"/>
        <w:spacing w:line="410" w:lineRule="auto"/>
        <w:ind w:left="575" w:right="1024" w:hanging="423"/>
        <w:jc w:val="left"/>
      </w:pPr>
      <w:r>
        <w:rPr/>
        <w:t>√ 适用 □ 不适用</w:t>
      </w:r>
      <w:r>
        <w:rPr>
          <w:spacing w:val="-101"/>
        </w:rPr>
        <w:t> </w:t>
      </w:r>
      <w:r>
        <w:rPr>
          <w:spacing w:val="-101"/>
        </w:rPr>
      </w:r>
      <w:r>
        <w:rPr>
          <w:spacing w:val="-2"/>
        </w:rPr>
        <w:t>本公司根据新金融工具准则的要求，自</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日起执行，本公司将原列示在可供出售金融资产的</w:t>
      </w:r>
    </w:p>
    <w:p>
      <w:pPr>
        <w:pStyle w:val="BodyText"/>
        <w:spacing w:line="408" w:lineRule="auto" w:before="41"/>
        <w:ind w:right="1024"/>
        <w:jc w:val="left"/>
      </w:pPr>
      <w:r>
        <w:rPr>
          <w:spacing w:val="-2"/>
        </w:rPr>
        <w:t>权益性投资，重新分类为交易性金融资产以及其他权益工具投资，对</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日合并资产负债表中交易</w:t>
      </w:r>
      <w:r>
        <w:rPr>
          <w:spacing w:val="-25"/>
        </w:rPr>
        <w:t> </w:t>
      </w:r>
      <w:r>
        <w:rPr>
          <w:spacing w:val="-25"/>
        </w:rPr>
      </w:r>
      <w:r>
        <w:rPr/>
        <w:t>性金融资产调增</w:t>
      </w:r>
      <w:r>
        <w:rPr>
          <w:rFonts w:ascii="宋体" w:hAnsi="宋体" w:cs="宋体" w:eastAsia="宋体" w:hint="default"/>
        </w:rPr>
        <w:t>22,300,000.00</w:t>
      </w:r>
      <w:r>
        <w:rPr/>
        <w:t>元，其他权益工具投资调增</w:t>
      </w:r>
      <w:r>
        <w:rPr>
          <w:rFonts w:ascii="宋体" w:hAnsi="宋体" w:cs="宋体" w:eastAsia="宋体" w:hint="default"/>
        </w:rPr>
        <w:t>55,000,000.00</w:t>
      </w:r>
      <w:r>
        <w:rPr/>
        <w:t>元，其他非流动金融资产调增</w:t>
      </w:r>
      <w:r>
        <w:rPr>
          <w:w w:val="100"/>
        </w:rPr>
        <w:t> </w:t>
      </w:r>
      <w:r>
        <w:rPr>
          <w:rFonts w:ascii="宋体" w:hAnsi="宋体" w:cs="宋体" w:eastAsia="宋体" w:hint="default"/>
        </w:rPr>
        <w:t>4,003,000.00</w:t>
      </w:r>
      <w:r>
        <w:rPr/>
        <w:t>元，调减</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日列示可供出售金融资产</w:t>
      </w:r>
      <w:r>
        <w:rPr>
          <w:rFonts w:ascii="宋体" w:hAnsi="宋体" w:cs="宋体" w:eastAsia="宋体" w:hint="default"/>
        </w:rPr>
        <w:t>81,303,000.00</w:t>
      </w:r>
      <w:r>
        <w:rPr/>
        <w:t>元；对</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日公司资</w:t>
      </w:r>
      <w:r>
        <w:rPr>
          <w:w w:val="100"/>
        </w:rPr>
        <w:t> </w:t>
      </w:r>
      <w:r>
        <w:rPr>
          <w:spacing w:val="-2"/>
        </w:rPr>
        <w:t>产负债表中交易性金融资产调增</w:t>
      </w:r>
      <w:r>
        <w:rPr>
          <w:rFonts w:ascii="宋体" w:hAnsi="宋体" w:cs="宋体" w:eastAsia="宋体" w:hint="default"/>
          <w:spacing w:val="-2"/>
        </w:rPr>
        <w:t>22,300,000.00</w:t>
      </w:r>
      <w:r>
        <w:rPr>
          <w:spacing w:val="-2"/>
        </w:rPr>
        <w:t>元，其他权益工具调增</w:t>
      </w:r>
      <w:r>
        <w:rPr>
          <w:rFonts w:ascii="宋体" w:hAnsi="宋体" w:cs="宋体" w:eastAsia="宋体" w:hint="default"/>
          <w:spacing w:val="-2"/>
        </w:rPr>
        <w:t>55,000,000.00</w:t>
      </w:r>
      <w:r>
        <w:rPr>
          <w:spacing w:val="-2"/>
        </w:rPr>
        <w:t>元，调减</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spacing w:val="-5"/>
        </w:rPr>
        <w:t> </w:t>
      </w:r>
      <w:r>
        <w:rPr>
          <w:rFonts w:ascii="宋体" w:hAnsi="宋体" w:cs="宋体" w:eastAsia="宋体" w:hint="default"/>
        </w:rPr>
        <w:t>31</w:t>
      </w:r>
      <w:r>
        <w:rPr/>
        <w:t>日列示可供出售金融资产</w:t>
      </w:r>
      <w:r>
        <w:rPr>
          <w:rFonts w:ascii="宋体" w:hAnsi="宋体" w:cs="宋体" w:eastAsia="宋体" w:hint="default"/>
        </w:rPr>
        <w:t>77,300,000.00</w:t>
      </w:r>
      <w:r>
        <w:rPr/>
        <w:t>元。</w:t>
      </w:r>
    </w:p>
    <w:p>
      <w:pPr>
        <w:pStyle w:val="Heading4"/>
        <w:spacing w:line="405" w:lineRule="auto" w:before="48"/>
        <w:ind w:right="8958"/>
        <w:jc w:val="left"/>
        <w:rPr>
          <w:b w:val="0"/>
          <w:bCs w:val="0"/>
        </w:rPr>
      </w:pPr>
      <w:bookmarkStart w:name="六、税项" w:id="279"/>
      <w:bookmarkEnd w:id="279"/>
      <w:r>
        <w:rPr>
          <w:b w:val="0"/>
          <w:bCs w:val="0"/>
        </w:rPr>
      </w:r>
      <w:r>
        <w:rPr/>
        <w:t>六、税项</w:t>
      </w:r>
      <w:r>
        <w:rPr>
          <w:w w:val="100"/>
        </w:rPr>
        <w:t> </w:t>
      </w:r>
      <w:bookmarkStart w:name="1、主要税种及税率" w:id="280"/>
      <w:bookmarkEnd w:id="280"/>
      <w:r>
        <w:rPr>
          <w:w w:val="100"/>
        </w:rPr>
      </w:r>
      <w:r>
        <w:rPr>
          <w:rFonts w:ascii="宋体" w:hAnsi="宋体" w:cs="宋体" w:eastAsia="宋体" w:hint="default"/>
        </w:rPr>
        <w:t>1</w:t>
      </w:r>
      <w:r>
        <w:rPr/>
        <w:t>、主要税种及税率</w:t>
      </w:r>
      <w:r>
        <w:rPr>
          <w:b w:val="0"/>
          <w:bCs w:val="0"/>
        </w:rPr>
      </w: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9"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8"/>
              <w:ind w:left="1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38"/>
              <w:ind w:left="9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7"/>
              <w:ind w:left="4" w:right="0"/>
              <w:jc w:val="center"/>
              <w:rPr>
                <w:rFonts w:ascii="宋体" w:hAnsi="宋体" w:cs="宋体" w:eastAsia="宋体" w:hint="default"/>
                <w:sz w:val="18"/>
                <w:szCs w:val="18"/>
              </w:rPr>
            </w:pPr>
            <w:r>
              <w:rPr>
                <w:rFonts w:ascii="宋体" w:hAnsi="宋体" w:cs="宋体" w:eastAsia="宋体" w:hint="default"/>
                <w:spacing w:val="-3"/>
                <w:sz w:val="18"/>
                <w:szCs w:val="18"/>
              </w:rPr>
              <w:t>应纳税增值额</w:t>
            </w:r>
            <w:r>
              <w:rPr>
                <w:rFonts w:ascii="宋体" w:hAnsi="宋体" w:cs="宋体" w:eastAsia="宋体" w:hint="default"/>
                <w:spacing w:val="-3"/>
                <w:sz w:val="18"/>
                <w:szCs w:val="18"/>
              </w:rPr>
              <w:t>(</w:t>
            </w:r>
            <w:r>
              <w:rPr>
                <w:rFonts w:ascii="宋体" w:hAnsi="宋体" w:cs="宋体" w:eastAsia="宋体" w:hint="default"/>
                <w:spacing w:val="-3"/>
                <w:sz w:val="18"/>
                <w:szCs w:val="18"/>
              </w:rPr>
              <w:t>应纳税额按应纳税销售</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8"/>
              <w:ind w:left="105" w:right="0"/>
              <w:jc w:val="left"/>
              <w:rPr>
                <w:rFonts w:ascii="宋体" w:hAnsi="宋体" w:cs="宋体" w:eastAsia="宋体" w:hint="default"/>
                <w:sz w:val="18"/>
                <w:szCs w:val="18"/>
              </w:rPr>
            </w:pPr>
            <w:r>
              <w:rPr>
                <w:rFonts w:ascii="宋体" w:hAnsi="宋体" w:cs="宋体" w:eastAsia="宋体" w:hint="default"/>
                <w:sz w:val="18"/>
                <w:szCs w:val="18"/>
              </w:rPr>
              <w:t>16%</w:t>
            </w: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z w:val="18"/>
                <w:szCs w:val="18"/>
              </w:rPr>
              <w:t>、</w:t>
            </w:r>
            <w:r>
              <w:rPr>
                <w:rFonts w:ascii="宋体" w:hAnsi="宋体" w:cs="宋体" w:eastAsia="宋体" w:hint="default"/>
                <w:sz w:val="18"/>
                <w:szCs w:val="18"/>
              </w:rPr>
              <w:t>6%</w:t>
            </w:r>
          </w:p>
        </w:tc>
      </w:tr>
    </w:tbl>
    <w:p>
      <w:pPr>
        <w:spacing w:after="0" w:line="240" w:lineRule="auto"/>
        <w:jc w:val="left"/>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b/>
          <w:bCs/>
          <w:sz w:val="29"/>
          <w:szCs w:val="29"/>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686"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3193" w:type="dxa"/>
            <w:tcBorders>
              <w:top w:val="single" w:sz="12" w:space="0" w:color="000000"/>
              <w:left w:val="single" w:sz="4" w:space="0" w:color="000000"/>
              <w:bottom w:val="single" w:sz="4" w:space="0" w:color="000000"/>
              <w:right w:val="single" w:sz="4" w:space="0" w:color="000000"/>
            </w:tcBorders>
          </w:tcPr>
          <w:p>
            <w:pPr>
              <w:pStyle w:val="TableParagraph"/>
              <w:spacing w:line="321" w:lineRule="auto" w:before="10"/>
              <w:ind w:left="106" w:right="190"/>
              <w:jc w:val="left"/>
              <w:rPr>
                <w:rFonts w:ascii="宋体" w:hAnsi="宋体" w:cs="宋体" w:eastAsia="宋体" w:hint="default"/>
                <w:sz w:val="18"/>
                <w:szCs w:val="18"/>
              </w:rPr>
            </w:pPr>
            <w:r>
              <w:rPr>
                <w:rFonts w:ascii="宋体" w:hAnsi="宋体" w:cs="宋体" w:eastAsia="宋体" w:hint="default"/>
                <w:spacing w:val="-3"/>
                <w:sz w:val="18"/>
                <w:szCs w:val="18"/>
              </w:rPr>
              <w:t>额乘以适用税率扣除当期允计抵扣的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进项税后的余额计算</w:t>
            </w:r>
            <w:r>
              <w:rPr>
                <w:rFonts w:ascii="宋体" w:hAnsi="宋体" w:cs="宋体" w:eastAsia="宋体" w:hint="default"/>
                <w:sz w:val="18"/>
                <w:szCs w:val="18"/>
              </w:rPr>
              <w:t>)</w:t>
            </w:r>
          </w:p>
        </w:tc>
        <w:tc>
          <w:tcPr>
            <w:tcW w:w="3193" w:type="dxa"/>
            <w:tcBorders>
              <w:top w:val="single" w:sz="12" w:space="0" w:color="000000"/>
              <w:left w:val="single" w:sz="4" w:space="0" w:color="000000"/>
              <w:bottom w:val="single" w:sz="4" w:space="0" w:color="000000"/>
              <w:right w:val="single" w:sz="12" w:space="0" w:color="000000"/>
            </w:tcBorders>
          </w:tcPr>
          <w:p>
            <w:pPr/>
          </w:p>
        </w:tc>
      </w:tr>
      <w:tr>
        <w:trPr>
          <w:trHeight w:val="399"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7%</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z w:val="18"/>
                <w:szCs w:val="18"/>
              </w:rPr>
              <w:t>、</w:t>
            </w:r>
            <w:r>
              <w:rPr>
                <w:rFonts w:ascii="宋体" w:hAnsi="宋体" w:cs="宋体" w:eastAsia="宋体" w:hint="default"/>
                <w:sz w:val="18"/>
                <w:szCs w:val="18"/>
              </w:rPr>
              <w:t>15%</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应纳增值税</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sz w:val="18"/>
              </w:rPr>
              <w:t>5%</w:t>
            </w:r>
          </w:p>
        </w:tc>
      </w:tr>
    </w:tbl>
    <w:p>
      <w:pPr>
        <w:spacing w:before="53"/>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存在不同企业所得税税率纳税主体的，披露情况说明</w:t>
      </w:r>
    </w:p>
    <w:p>
      <w:pPr>
        <w:spacing w:line="240" w:lineRule="auto" w:before="1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783"/>
        <w:gridCol w:w="4787"/>
      </w:tblGrid>
      <w:tr>
        <w:trPr>
          <w:trHeight w:val="411" w:hRule="exact"/>
        </w:trPr>
        <w:tc>
          <w:tcPr>
            <w:tcW w:w="478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13"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光一科技股份有限公司</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15%</w:t>
            </w:r>
          </w:p>
        </w:tc>
      </w:tr>
      <w:tr>
        <w:trPr>
          <w:trHeight w:val="403"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江苏苏源光一科技有限公司</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15%</w:t>
            </w:r>
          </w:p>
        </w:tc>
      </w:tr>
      <w:tr>
        <w:trPr>
          <w:trHeight w:val="403"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南京云商天下信息技术有限公司</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15%</w:t>
            </w:r>
          </w:p>
        </w:tc>
      </w:tr>
      <w:tr>
        <w:trPr>
          <w:trHeight w:val="399"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南京智友尚云信息技术有限公司</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z w:val="18"/>
              </w:rPr>
              <w:t>25%</w:t>
            </w:r>
          </w:p>
        </w:tc>
      </w:tr>
      <w:tr>
        <w:trPr>
          <w:trHeight w:val="403"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江苏光一贵仁股权投资基金管理有限公司</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25%</w:t>
            </w:r>
          </w:p>
        </w:tc>
      </w:tr>
      <w:tr>
        <w:trPr>
          <w:trHeight w:val="403"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江苏光一德能电气工程有限公司</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25%</w:t>
            </w:r>
          </w:p>
        </w:tc>
      </w:tr>
      <w:tr>
        <w:trPr>
          <w:trHeight w:val="403"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江苏德能电力设计咨询有限公司</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15%</w:t>
            </w:r>
          </w:p>
        </w:tc>
      </w:tr>
      <w:tr>
        <w:trPr>
          <w:trHeight w:val="399"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z w:val="18"/>
              </w:rPr>
              <w:t>15%</w:t>
            </w:r>
          </w:p>
        </w:tc>
      </w:tr>
      <w:tr>
        <w:trPr>
          <w:trHeight w:val="403"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湖北鼎瑞科技有限公司</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25%</w:t>
            </w:r>
          </w:p>
        </w:tc>
      </w:tr>
      <w:tr>
        <w:trPr>
          <w:trHeight w:val="403"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武汉睿博电气有限责任公司</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25%</w:t>
            </w:r>
          </w:p>
        </w:tc>
      </w:tr>
      <w:tr>
        <w:trPr>
          <w:trHeight w:val="403"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荆州市山源科技有限公司</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25%</w:t>
            </w:r>
          </w:p>
        </w:tc>
      </w:tr>
      <w:tr>
        <w:trPr>
          <w:trHeight w:val="399"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湖北瑞云软件科技有限公司</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z w:val="18"/>
              </w:rPr>
              <w:t>25%</w:t>
            </w:r>
          </w:p>
        </w:tc>
      </w:tr>
      <w:tr>
        <w:trPr>
          <w:trHeight w:val="403"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贵州健康云科技有限公司</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25%</w:t>
            </w:r>
          </w:p>
        </w:tc>
      </w:tr>
      <w:tr>
        <w:trPr>
          <w:trHeight w:val="403"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南京勤能科技有限公司</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25%</w:t>
            </w:r>
          </w:p>
        </w:tc>
      </w:tr>
      <w:tr>
        <w:trPr>
          <w:trHeight w:val="403"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光一数道</w:t>
            </w:r>
            <w:r>
              <w:rPr>
                <w:rFonts w:ascii="宋体" w:hAnsi="宋体" w:cs="宋体" w:eastAsia="宋体" w:hint="default"/>
                <w:spacing w:val="-3"/>
                <w:sz w:val="18"/>
                <w:szCs w:val="18"/>
              </w:rPr>
              <w:t>(</w:t>
            </w:r>
            <w:r>
              <w:rPr>
                <w:rFonts w:ascii="宋体" w:hAnsi="宋体" w:cs="宋体" w:eastAsia="宋体" w:hint="default"/>
                <w:spacing w:val="-3"/>
                <w:sz w:val="18"/>
                <w:szCs w:val="18"/>
              </w:rPr>
              <w:t>北京</w:t>
            </w:r>
            <w:r>
              <w:rPr>
                <w:rFonts w:ascii="宋体" w:hAnsi="宋体" w:cs="宋体" w:eastAsia="宋体" w:hint="default"/>
                <w:spacing w:val="-3"/>
                <w:sz w:val="18"/>
                <w:szCs w:val="18"/>
              </w:rPr>
              <w:t>)</w:t>
            </w:r>
            <w:r>
              <w:rPr>
                <w:rFonts w:ascii="宋体" w:hAnsi="宋体" w:cs="宋体" w:eastAsia="宋体" w:hint="default"/>
                <w:spacing w:val="-3"/>
                <w:sz w:val="18"/>
                <w:szCs w:val="18"/>
              </w:rPr>
              <w:t>科技有限公司</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25%</w:t>
            </w:r>
          </w:p>
        </w:tc>
      </w:tr>
      <w:tr>
        <w:trPr>
          <w:trHeight w:val="413" w:hRule="exact"/>
        </w:trPr>
        <w:tc>
          <w:tcPr>
            <w:tcW w:w="478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南京领航光一科技产业投资合伙企业（有限合伙）</w:t>
            </w:r>
          </w:p>
        </w:tc>
        <w:tc>
          <w:tcPr>
            <w:tcW w:w="478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25%</w:t>
            </w:r>
          </w:p>
        </w:tc>
      </w:tr>
    </w:tbl>
    <w:p>
      <w:pPr>
        <w:pStyle w:val="Heading4"/>
        <w:spacing w:line="240" w:lineRule="auto" w:before="66"/>
        <w:ind w:right="1024"/>
        <w:jc w:val="left"/>
        <w:rPr>
          <w:b w:val="0"/>
          <w:bCs w:val="0"/>
        </w:rPr>
      </w:pPr>
      <w:bookmarkStart w:name="2、税收优惠" w:id="281"/>
      <w:bookmarkEnd w:id="281"/>
      <w:r>
        <w:rPr>
          <w:b w:val="0"/>
          <w:bCs w:val="0"/>
        </w:rPr>
      </w:r>
      <w:r>
        <w:rPr>
          <w:rFonts w:ascii="宋体" w:hAnsi="宋体" w:cs="宋体" w:eastAsia="宋体" w:hint="default"/>
        </w:rPr>
        <w:t>2</w:t>
      </w:r>
      <w:r>
        <w:rPr/>
        <w:t>、税收优惠</w:t>
      </w:r>
      <w:r>
        <w:rPr>
          <w:b w:val="0"/>
          <w:bCs w:val="0"/>
        </w:rPr>
      </w:r>
    </w:p>
    <w:p>
      <w:pPr>
        <w:spacing w:line="240" w:lineRule="auto" w:before="8"/>
        <w:rPr>
          <w:rFonts w:ascii="宋体" w:hAnsi="宋体" w:cs="宋体" w:eastAsia="宋体" w:hint="default"/>
          <w:b/>
          <w:bCs/>
          <w:sz w:val="14"/>
          <w:szCs w:val="14"/>
        </w:rPr>
      </w:pPr>
    </w:p>
    <w:p>
      <w:pPr>
        <w:pStyle w:val="BodyText"/>
        <w:spacing w:line="410" w:lineRule="auto"/>
        <w:ind w:right="1120" w:firstLine="422"/>
        <w:jc w:val="both"/>
      </w:pPr>
      <w:r>
        <w:rPr>
          <w:spacing w:val="-2"/>
        </w:rPr>
        <w:t>本公司于</w:t>
      </w:r>
      <w:r>
        <w:rPr>
          <w:rFonts w:ascii="宋体" w:hAnsi="宋体" w:cs="宋体" w:eastAsia="宋体" w:hint="default"/>
          <w:spacing w:val="-2"/>
        </w:rPr>
        <w:t>2018</w:t>
      </w:r>
      <w:r>
        <w:rPr>
          <w:spacing w:val="-2"/>
        </w:rPr>
        <w:t>年通过高新技术企业认定，享受高新技术企业所得税优惠政策，有效期三年。在此期间</w:t>
      </w:r>
      <w:r>
        <w:rPr>
          <w:w w:val="100"/>
        </w:rPr>
        <w:t> </w:t>
      </w:r>
      <w:r>
        <w:rPr/>
        <w:t>内按</w:t>
      </w:r>
      <w:r>
        <w:rPr>
          <w:rFonts w:ascii="宋体" w:hAnsi="宋体" w:cs="宋体" w:eastAsia="宋体" w:hint="default"/>
        </w:rPr>
        <w:t>15%</w:t>
      </w:r>
      <w:r>
        <w:rPr/>
        <w:t>的税率缴纳企业所得税。</w:t>
      </w:r>
    </w:p>
    <w:p>
      <w:pPr>
        <w:pStyle w:val="BodyText"/>
        <w:spacing w:line="408" w:lineRule="auto" w:before="42"/>
        <w:ind w:right="1203" w:firstLine="422"/>
        <w:jc w:val="both"/>
      </w:pPr>
      <w:r>
        <w:rPr>
          <w:spacing w:val="-4"/>
          <w:w w:val="100"/>
        </w:rPr>
        <w:t>本公司子公司湖北索瑞电气有限公司（以下简称“索瑞电气”或“湖北索瑞”）于</w:t>
      </w:r>
      <w:r>
        <w:rPr>
          <w:rFonts w:ascii="宋体" w:hAnsi="宋体" w:cs="宋体" w:eastAsia="宋体" w:hint="default"/>
          <w:spacing w:val="-4"/>
          <w:w w:val="100"/>
        </w:rPr>
        <w:t>2017</w:t>
      </w:r>
      <w:r>
        <w:rPr>
          <w:spacing w:val="-4"/>
          <w:w w:val="100"/>
        </w:rPr>
        <w:t>年</w:t>
      </w:r>
      <w:r>
        <w:rPr>
          <w:rFonts w:ascii="宋体" w:hAnsi="宋体" w:cs="宋体" w:eastAsia="宋体" w:hint="default"/>
          <w:spacing w:val="-4"/>
          <w:w w:val="100"/>
        </w:rPr>
        <w:t>11</w:t>
      </w:r>
      <w:r>
        <w:rPr>
          <w:spacing w:val="-4"/>
          <w:w w:val="100"/>
        </w:rPr>
        <w:t>月</w:t>
      </w:r>
      <w:r>
        <w:rPr>
          <w:rFonts w:ascii="宋体" w:hAnsi="宋体" w:cs="宋体" w:eastAsia="宋体" w:hint="default"/>
          <w:spacing w:val="-4"/>
          <w:w w:val="100"/>
        </w:rPr>
        <w:t>28</w:t>
      </w:r>
      <w:r>
        <w:rPr>
          <w:spacing w:val="-4"/>
          <w:w w:val="100"/>
        </w:rPr>
        <w:t>日通</w:t>
      </w:r>
      <w:r>
        <w:rPr>
          <w:w w:val="100"/>
        </w:rPr>
        <w:t> </w:t>
      </w:r>
      <w:r>
        <w:rPr>
          <w:spacing w:val="-4"/>
          <w:w w:val="100"/>
        </w:rPr>
        <w:t>过高新技术企业评审，取得《高新技术企业证书》，享受高新技术企业所得税优惠政策，有效期三年。在</w:t>
      </w:r>
      <w:r>
        <w:rPr>
          <w:spacing w:val="-83"/>
          <w:w w:val="100"/>
        </w:rPr>
        <w:t> </w:t>
      </w:r>
      <w:r>
        <w:rPr>
          <w:spacing w:val="-83"/>
          <w:w w:val="100"/>
        </w:rPr>
      </w:r>
      <w:r>
        <w:rPr/>
        <w:t>此期间内按</w:t>
      </w:r>
      <w:r>
        <w:rPr>
          <w:rFonts w:ascii="宋体" w:hAnsi="宋体" w:cs="宋体" w:eastAsia="宋体" w:hint="default"/>
        </w:rPr>
        <w:t>15%</w:t>
      </w:r>
      <w:r>
        <w:rPr/>
        <w:t>的税率缴纳企业所得税。</w:t>
      </w:r>
    </w:p>
    <w:p>
      <w:pPr>
        <w:pStyle w:val="BodyText"/>
        <w:spacing w:line="408" w:lineRule="auto" w:before="48"/>
        <w:ind w:right="1122" w:firstLine="422"/>
        <w:jc w:val="both"/>
      </w:pPr>
      <w:r>
        <w:rPr>
          <w:spacing w:val="-2"/>
        </w:rPr>
        <w:t>本公司子公司江苏苏源光一科技有限公司于</w:t>
      </w:r>
      <w:r>
        <w:rPr>
          <w:rFonts w:ascii="宋体" w:hAnsi="宋体" w:cs="宋体" w:eastAsia="宋体" w:hint="default"/>
          <w:spacing w:val="-2"/>
        </w:rPr>
        <w:t>2016</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20</w:t>
      </w:r>
      <w:r>
        <w:rPr>
          <w:spacing w:val="-2"/>
        </w:rPr>
        <w:t>日取得证书编号为</w:t>
      </w:r>
      <w:r>
        <w:rPr>
          <w:rFonts w:ascii="宋体" w:hAnsi="宋体" w:cs="宋体" w:eastAsia="宋体" w:hint="default"/>
          <w:spacing w:val="-2"/>
        </w:rPr>
        <w:t>GR201632000383</w:t>
      </w:r>
      <w:r>
        <w:rPr>
          <w:spacing w:val="-2"/>
        </w:rPr>
        <w:t>的《高新</w:t>
      </w:r>
      <w:r>
        <w:rPr>
          <w:w w:val="100"/>
        </w:rPr>
        <w:t> </w:t>
      </w:r>
      <w:r>
        <w:rPr>
          <w:spacing w:val="-4"/>
          <w:w w:val="100"/>
        </w:rPr>
        <w:t>技术企业证书》，享受高新技术企业所得税优惠政策，有效期三年。在此期间内按</w:t>
      </w:r>
      <w:r>
        <w:rPr>
          <w:rFonts w:ascii="宋体" w:hAnsi="宋体" w:cs="宋体" w:eastAsia="宋体" w:hint="default"/>
          <w:spacing w:val="-4"/>
          <w:w w:val="100"/>
        </w:rPr>
        <w:t>15%</w:t>
      </w:r>
      <w:r>
        <w:rPr>
          <w:spacing w:val="-4"/>
          <w:w w:val="100"/>
        </w:rPr>
        <w:t>的税率缴纳企业所得</w:t>
      </w:r>
      <w:r>
        <w:rPr>
          <w:spacing w:val="-97"/>
          <w:w w:val="100"/>
        </w:rPr>
        <w:t> </w:t>
      </w:r>
      <w:r>
        <w:rPr>
          <w:spacing w:val="-97"/>
          <w:w w:val="100"/>
        </w:rPr>
      </w:r>
      <w:r>
        <w:rPr/>
        <w:t>税。</w:t>
      </w:r>
    </w:p>
    <w:p>
      <w:pPr>
        <w:spacing w:after="0" w:line="408" w:lineRule="auto"/>
        <w:jc w:val="both"/>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575" w:right="1024"/>
        <w:jc w:val="left"/>
      </w:pPr>
      <w:r>
        <w:rPr/>
        <w:t>本公司子公司南京云商天下信息技术有限公司于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30</w:t>
      </w:r>
      <w:r>
        <w:rPr/>
        <w:t>日取得证书编号为</w:t>
      </w:r>
      <w:r>
        <w:rPr>
          <w:rFonts w:ascii="宋体" w:hAnsi="宋体" w:cs="宋体" w:eastAsia="宋体" w:hint="default"/>
        </w:rPr>
        <w:t>GR201832005781</w:t>
      </w:r>
      <w:r>
        <w:rPr/>
        <w:t>的</w:t>
      </w:r>
    </w:p>
    <w:p>
      <w:pPr>
        <w:spacing w:line="240" w:lineRule="auto" w:before="8"/>
        <w:rPr>
          <w:rFonts w:ascii="宋体" w:hAnsi="宋体" w:cs="宋体" w:eastAsia="宋体" w:hint="default"/>
          <w:sz w:val="14"/>
          <w:szCs w:val="14"/>
        </w:rPr>
      </w:pPr>
    </w:p>
    <w:p>
      <w:pPr>
        <w:pStyle w:val="BodyText"/>
        <w:spacing w:line="410" w:lineRule="auto"/>
        <w:ind w:right="1122"/>
        <w:jc w:val="left"/>
      </w:pPr>
      <w:r>
        <w:rPr>
          <w:spacing w:val="-4"/>
          <w:w w:val="100"/>
        </w:rPr>
        <w:t>《高新技术企业证书》，享受高新技术企业所得税优惠政策，有效期三年。在此期间内按</w:t>
      </w:r>
      <w:r>
        <w:rPr>
          <w:rFonts w:ascii="宋体" w:hAnsi="宋体" w:cs="宋体" w:eastAsia="宋体" w:hint="default"/>
          <w:spacing w:val="-4"/>
          <w:w w:val="100"/>
        </w:rPr>
        <w:t>15%</w:t>
      </w:r>
      <w:r>
        <w:rPr>
          <w:spacing w:val="-4"/>
          <w:w w:val="100"/>
        </w:rPr>
        <w:t>的税率缴纳企</w:t>
      </w:r>
      <w:r>
        <w:rPr>
          <w:spacing w:val="-97"/>
          <w:w w:val="100"/>
        </w:rPr>
        <w:t> </w:t>
      </w:r>
      <w:r>
        <w:rPr>
          <w:spacing w:val="-97"/>
          <w:w w:val="100"/>
        </w:rPr>
      </w:r>
      <w:r>
        <w:rPr/>
        <w:t>业所得税。</w:t>
      </w:r>
    </w:p>
    <w:p>
      <w:pPr>
        <w:pStyle w:val="Heading4"/>
        <w:spacing w:line="240" w:lineRule="auto" w:before="41"/>
        <w:ind w:right="1024"/>
        <w:jc w:val="left"/>
        <w:rPr>
          <w:b w:val="0"/>
          <w:bCs w:val="0"/>
        </w:rPr>
      </w:pPr>
      <w:bookmarkStart w:name="3、其他" w:id="282"/>
      <w:bookmarkEnd w:id="282"/>
      <w:r>
        <w:rPr>
          <w:b w:val="0"/>
          <w:bCs w:val="0"/>
        </w:rPr>
      </w:r>
      <w:r>
        <w:rPr>
          <w:rFonts w:ascii="宋体" w:hAnsi="宋体" w:cs="宋体" w:eastAsia="宋体" w:hint="default"/>
        </w:rPr>
        <w:t>3</w:t>
      </w:r>
      <w:r>
        <w:rPr/>
        <w:t>、其他</w:t>
      </w:r>
      <w:r>
        <w:rPr>
          <w:b w:val="0"/>
          <w:bCs w:val="0"/>
        </w:rPr>
      </w:r>
    </w:p>
    <w:p>
      <w:pPr>
        <w:spacing w:line="240" w:lineRule="auto" w:before="12"/>
        <w:rPr>
          <w:rFonts w:ascii="宋体" w:hAnsi="宋体" w:cs="宋体" w:eastAsia="宋体" w:hint="default"/>
          <w:b/>
          <w:bCs/>
          <w:sz w:val="14"/>
          <w:szCs w:val="14"/>
        </w:rPr>
      </w:pPr>
    </w:p>
    <w:p>
      <w:pPr>
        <w:pStyle w:val="BodyText"/>
        <w:spacing w:line="408" w:lineRule="auto"/>
        <w:ind w:right="1204" w:firstLine="422"/>
        <w:jc w:val="both"/>
      </w:pPr>
      <w:r>
        <w:rPr>
          <w:spacing w:val="-1"/>
        </w:rPr>
        <w:t>公司及各子公司根据国务院</w:t>
      </w:r>
      <w:r>
        <w:rPr>
          <w:rFonts w:ascii="宋体" w:hAnsi="宋体" w:cs="宋体" w:eastAsia="宋体" w:hint="default"/>
          <w:spacing w:val="-1"/>
        </w:rPr>
        <w:t>2011</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28</w:t>
      </w:r>
      <w:r>
        <w:rPr>
          <w:spacing w:val="-1"/>
        </w:rPr>
        <w:t>日下发的《国务院关于印发进一步鼓励软件产业和集成电路</w:t>
      </w:r>
      <w:r>
        <w:rPr>
          <w:w w:val="100"/>
        </w:rPr>
        <w:t> </w:t>
      </w:r>
      <w:r>
        <w:rPr>
          <w:spacing w:val="-2"/>
        </w:rPr>
        <w:t>产业发展若干政策的通知》国发</w:t>
      </w:r>
      <w:r>
        <w:rPr>
          <w:rFonts w:ascii="宋体" w:hAnsi="宋体" w:cs="宋体" w:eastAsia="宋体" w:hint="default"/>
          <w:spacing w:val="-2"/>
        </w:rPr>
        <w:t>[2011]4</w:t>
      </w:r>
      <w:r>
        <w:rPr>
          <w:spacing w:val="-2"/>
        </w:rPr>
        <w:t>号文件，对增值税一般纳税人销售其自行开发生产的软件产品，</w:t>
      </w:r>
      <w:r>
        <w:rPr>
          <w:spacing w:val="-7"/>
        </w:rPr>
        <w:t> </w:t>
      </w:r>
      <w:r>
        <w:rPr>
          <w:spacing w:val="-7"/>
        </w:rPr>
      </w:r>
      <w:r>
        <w:rPr/>
        <w:t>按</w:t>
      </w:r>
      <w:r>
        <w:rPr>
          <w:rFonts w:ascii="宋体" w:hAnsi="宋体" w:cs="宋体" w:eastAsia="宋体" w:hint="default"/>
        </w:rPr>
        <w:t>17%</w:t>
      </w:r>
      <w:r>
        <w:rPr/>
        <w:t>的法定税率征收增值税后，对其增值税实际税负超过</w:t>
      </w:r>
      <w:r>
        <w:rPr>
          <w:rFonts w:ascii="宋体" w:hAnsi="宋体" w:cs="宋体" w:eastAsia="宋体" w:hint="default"/>
        </w:rPr>
        <w:t>3%</w:t>
      </w:r>
      <w:r>
        <w:rPr/>
        <w:t>的部分实行即征即退的增值税优惠政策。</w:t>
      </w:r>
    </w:p>
    <w:p>
      <w:pPr>
        <w:spacing w:line="240" w:lineRule="auto" w:before="3"/>
        <w:rPr>
          <w:rFonts w:ascii="宋体" w:hAnsi="宋体" w:cs="宋体" w:eastAsia="宋体" w:hint="default"/>
          <w:sz w:val="20"/>
          <w:szCs w:val="20"/>
        </w:rPr>
      </w:pPr>
    </w:p>
    <w:p>
      <w:pPr>
        <w:pStyle w:val="Heading4"/>
        <w:spacing w:line="537" w:lineRule="auto" w:before="0"/>
        <w:ind w:right="8221"/>
        <w:jc w:val="left"/>
        <w:rPr>
          <w:b w:val="0"/>
          <w:bCs w:val="0"/>
        </w:rPr>
      </w:pPr>
      <w:bookmarkStart w:name="七、合并财务报表项目注释" w:id="283"/>
      <w:bookmarkEnd w:id="283"/>
      <w:r>
        <w:rPr>
          <w:b w:val="0"/>
          <w:bCs w:val="0"/>
        </w:rPr>
      </w:r>
      <w:r>
        <w:rPr/>
        <w:t>七、合并财务报表项目注释</w:t>
      </w:r>
      <w:r>
        <w:rPr>
          <w:spacing w:val="-102"/>
        </w:rPr>
        <w:t> </w:t>
      </w:r>
      <w:bookmarkStart w:name="1、货币资金" w:id="284"/>
      <w:bookmarkEnd w:id="284"/>
      <w:r>
        <w:rPr>
          <w:spacing w:val="-102"/>
        </w:rPr>
      </w:r>
      <w:r>
        <w:rPr>
          <w:rFonts w:ascii="宋体" w:hAnsi="宋体" w:cs="宋体" w:eastAsia="宋体" w:hint="default"/>
        </w:rPr>
        <w:t>1</w:t>
      </w:r>
      <w:r>
        <w:rPr/>
        <w:t>、货币资金</w:t>
      </w:r>
      <w:r>
        <w:rPr>
          <w:b w:val="0"/>
          <w:bCs w:val="0"/>
        </w:rPr>
      </w:r>
    </w:p>
    <w:p>
      <w:pPr>
        <w:spacing w:before="11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311,335.46</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258,185.05</w:t>
            </w:r>
          </w:p>
        </w:tc>
      </w:tr>
      <w:tr>
        <w:trPr>
          <w:trHeight w:val="399"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2"/>
                <w:sz w:val="18"/>
              </w:rPr>
              <w:t>165,330,600.35</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83,962,903.90</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10,418,573.26</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8,584,501.13</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176,060,509.07</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92,805,590.08</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pacing w:val="-3"/>
                <w:sz w:val="18"/>
                <w:szCs w:val="18"/>
              </w:rPr>
              <w:t>其中：存放在境外的款项总额</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725"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4"/>
              <w:ind w:left="95" w:right="94" w:firstLine="720"/>
              <w:jc w:val="left"/>
              <w:rPr>
                <w:rFonts w:ascii="宋体" w:hAnsi="宋体" w:cs="宋体" w:eastAsia="宋体" w:hint="default"/>
                <w:sz w:val="18"/>
                <w:szCs w:val="18"/>
              </w:rPr>
            </w:pPr>
            <w:r>
              <w:rPr>
                <w:rFonts w:ascii="宋体" w:hAnsi="宋体" w:cs="宋体" w:eastAsia="宋体" w:hint="default"/>
                <w:spacing w:val="-9"/>
                <w:w w:val="101"/>
                <w:sz w:val="18"/>
                <w:szCs w:val="18"/>
              </w:rPr>
              <w:t>因抵押、质押或冻结等对使用</w:t>
            </w:r>
            <w:r>
              <w:rPr>
                <w:rFonts w:ascii="宋体" w:hAnsi="宋体" w:cs="宋体" w:eastAsia="宋体" w:hint="default"/>
                <w:w w:val="101"/>
                <w:sz w:val="18"/>
                <w:szCs w:val="18"/>
              </w:rPr>
              <w:t> </w:t>
            </w:r>
            <w:r>
              <w:rPr>
                <w:rFonts w:ascii="宋体" w:hAnsi="宋体" w:cs="宋体" w:eastAsia="宋体" w:hint="default"/>
                <w:sz w:val="18"/>
                <w:szCs w:val="18"/>
              </w:rPr>
              <w:t>有限制的款项总额</w:t>
            </w:r>
          </w:p>
        </w:tc>
        <w:tc>
          <w:tcPr>
            <w:tcW w:w="3193" w:type="dxa"/>
            <w:tcBorders>
              <w:top w:val="single" w:sz="4" w:space="0" w:color="000000"/>
              <w:left w:val="single" w:sz="4" w:space="0" w:color="000000"/>
              <w:bottom w:val="single" w:sz="12" w:space="0" w:color="000000"/>
              <w:right w:val="single" w:sz="4" w:space="0" w:color="000000"/>
            </w:tcBorders>
          </w:tcPr>
          <w:p>
            <w:pPr/>
          </w:p>
        </w:tc>
        <w:tc>
          <w:tcPr>
            <w:tcW w:w="3193" w:type="dxa"/>
            <w:tcBorders>
              <w:top w:val="single" w:sz="4" w:space="0" w:color="000000"/>
              <w:left w:val="single" w:sz="4" w:space="0" w:color="000000"/>
              <w:bottom w:val="single" w:sz="12" w:space="0" w:color="000000"/>
              <w:right w:val="single" w:sz="12" w:space="0" w:color="000000"/>
            </w:tcBorders>
          </w:tcPr>
          <w:p>
            <w:pPr/>
          </w:p>
        </w:tc>
      </w:tr>
    </w:tbl>
    <w:p>
      <w:pPr>
        <w:spacing w:line="475" w:lineRule="auto" w:before="92"/>
        <w:ind w:left="153" w:right="2353" w:firstLine="0"/>
        <w:jc w:val="left"/>
        <w:rPr>
          <w:rFonts w:ascii="宋体" w:hAnsi="宋体" w:cs="宋体" w:eastAsia="宋体" w:hint="default"/>
          <w:sz w:val="18"/>
          <w:szCs w:val="18"/>
        </w:rPr>
      </w:pPr>
      <w:r>
        <w:rPr>
          <w:rFonts w:ascii="宋体" w:hAnsi="宋体" w:cs="宋体" w:eastAsia="宋体" w:hint="default"/>
          <w:sz w:val="18"/>
          <w:szCs w:val="18"/>
        </w:rPr>
        <w:t>其他说明：</w:t>
      </w:r>
      <w:r>
        <w:rPr>
          <w:rFonts w:ascii="宋体" w:hAnsi="宋体" w:cs="宋体" w:eastAsia="宋体" w:hint="default"/>
          <w:w w:val="101"/>
          <w:sz w:val="18"/>
          <w:szCs w:val="18"/>
        </w:rPr>
        <w:t> </w:t>
      </w:r>
      <w:r>
        <w:rPr>
          <w:rFonts w:ascii="宋体" w:hAnsi="宋体" w:cs="宋体" w:eastAsia="宋体" w:hint="default"/>
          <w:spacing w:val="-2"/>
          <w:sz w:val="18"/>
          <w:szCs w:val="18"/>
        </w:rPr>
        <w:t>货币资金本期期末较上期期末增加了</w:t>
      </w:r>
      <w:r>
        <w:rPr>
          <w:rFonts w:ascii="宋体" w:hAnsi="宋体" w:cs="宋体" w:eastAsia="宋体" w:hint="default"/>
          <w:spacing w:val="-2"/>
          <w:sz w:val="18"/>
          <w:szCs w:val="18"/>
        </w:rPr>
        <w:t>83,254,918.99</w:t>
      </w:r>
      <w:r>
        <w:rPr>
          <w:rFonts w:ascii="宋体" w:hAnsi="宋体" w:cs="宋体" w:eastAsia="宋体" w:hint="default"/>
          <w:spacing w:val="-2"/>
          <w:sz w:val="18"/>
          <w:szCs w:val="18"/>
        </w:rPr>
        <w:t>元，增加比例为</w:t>
      </w:r>
      <w:r>
        <w:rPr>
          <w:rFonts w:ascii="宋体" w:hAnsi="宋体" w:cs="宋体" w:eastAsia="宋体" w:hint="default"/>
          <w:spacing w:val="-2"/>
          <w:sz w:val="18"/>
          <w:szCs w:val="18"/>
        </w:rPr>
        <w:t>89.71%</w:t>
      </w:r>
      <w:r>
        <w:rPr>
          <w:rFonts w:ascii="宋体" w:hAnsi="宋体" w:cs="宋体" w:eastAsia="宋体" w:hint="default"/>
          <w:spacing w:val="-2"/>
          <w:sz w:val="18"/>
          <w:szCs w:val="18"/>
        </w:rPr>
        <w:t>，系报告期货款回笼增加所致。</w:t>
      </w:r>
    </w:p>
    <w:p>
      <w:pPr>
        <w:spacing w:line="240" w:lineRule="auto" w:before="6"/>
        <w:rPr>
          <w:rFonts w:ascii="宋体" w:hAnsi="宋体" w:cs="宋体" w:eastAsia="宋体" w:hint="default"/>
          <w:sz w:val="19"/>
          <w:szCs w:val="19"/>
        </w:rPr>
      </w:pPr>
    </w:p>
    <w:p>
      <w:pPr>
        <w:pStyle w:val="Heading4"/>
        <w:spacing w:line="240" w:lineRule="auto" w:before="0"/>
        <w:ind w:right="1024"/>
        <w:jc w:val="left"/>
        <w:rPr>
          <w:b w:val="0"/>
          <w:bCs w:val="0"/>
        </w:rPr>
      </w:pPr>
      <w:bookmarkStart w:name="2、交易性金融资产" w:id="285"/>
      <w:bookmarkEnd w:id="285"/>
      <w:r>
        <w:rPr>
          <w:b w:val="0"/>
          <w:bCs w:val="0"/>
        </w:rPr>
      </w:r>
      <w:r>
        <w:rPr>
          <w:rFonts w:ascii="宋体" w:hAnsi="宋体" w:cs="宋体" w:eastAsia="宋体" w:hint="default"/>
        </w:rPr>
        <w:t>2</w:t>
      </w:r>
      <w:r>
        <w:rPr/>
        <w:t>、交易性金融资产</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34" w:type="dxa"/>
        <w:tblLayout w:type="fixed"/>
        <w:tblCellMar>
          <w:top w:w="0" w:type="dxa"/>
          <w:left w:w="0" w:type="dxa"/>
          <w:bottom w:w="0" w:type="dxa"/>
          <w:right w:w="0" w:type="dxa"/>
        </w:tblCellMar>
        <w:tblLook w:val="01E0"/>
      </w:tblPr>
      <w:tblGrid>
        <w:gridCol w:w="3193"/>
        <w:gridCol w:w="3189"/>
        <w:gridCol w:w="3193"/>
      </w:tblGrid>
      <w:tr>
        <w:trPr>
          <w:trHeight w:val="410" w:hRule="exact"/>
        </w:trPr>
        <w:tc>
          <w:tcPr>
            <w:tcW w:w="319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1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6" w:right="19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益的金融资产</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22,300,000.00</w:t>
            </w:r>
          </w:p>
        </w:tc>
      </w:tr>
      <w:tr>
        <w:trPr>
          <w:trHeight w:val="413" w:hRule="exact"/>
        </w:trPr>
        <w:tc>
          <w:tcPr>
            <w:tcW w:w="319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12" w:space="0" w:color="000000"/>
              <w:right w:val="single" w:sz="4" w:space="0" w:color="000000"/>
            </w:tcBorders>
          </w:tcPr>
          <w:p>
            <w:pP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22,300,000.00</w:t>
            </w:r>
          </w:p>
        </w:tc>
      </w:tr>
    </w:tbl>
    <w:p>
      <w:pPr>
        <w:spacing w:before="54"/>
        <w:ind w:left="153" w:right="102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1" w:footer="1037" w:top="1040" w:bottom="1220" w:left="980" w:right="0"/>
        </w:sectPr>
      </w:pPr>
    </w:p>
    <w:p>
      <w:pPr>
        <w:spacing w:line="240" w:lineRule="auto" w:before="9"/>
        <w:rPr>
          <w:rFonts w:ascii="宋体" w:hAnsi="宋体" w:cs="宋体" w:eastAsia="宋体" w:hint="default"/>
          <w:sz w:val="25"/>
          <w:szCs w:val="25"/>
        </w:rPr>
      </w:pPr>
    </w:p>
    <w:p>
      <w:pPr>
        <w:pStyle w:val="Heading4"/>
        <w:spacing w:line="240" w:lineRule="auto"/>
        <w:ind w:left="493" w:right="4269"/>
        <w:jc w:val="left"/>
        <w:rPr>
          <w:b w:val="0"/>
          <w:bCs w:val="0"/>
        </w:rPr>
      </w:pPr>
      <w:bookmarkStart w:name="3、应收票据" w:id="286"/>
      <w:bookmarkEnd w:id="286"/>
      <w:r>
        <w:rPr>
          <w:b w:val="0"/>
          <w:bCs w:val="0"/>
        </w:rPr>
      </w:r>
      <w:r>
        <w:rPr>
          <w:rFonts w:ascii="宋体" w:hAnsi="宋体" w:cs="宋体" w:eastAsia="宋体" w:hint="default"/>
        </w:rPr>
        <w:t>3</w:t>
      </w:r>
      <w:r>
        <w:rPr/>
        <w:t>、应收票据</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before="0"/>
        <w:ind w:left="493" w:right="4269"/>
        <w:jc w:val="left"/>
        <w:rPr>
          <w:b w:val="0"/>
          <w:bCs w:val="0"/>
        </w:rPr>
      </w:pPr>
      <w:bookmarkStart w:name="（1）应收票据分类列示" w:id="287"/>
      <w:bookmarkEnd w:id="287"/>
      <w:r>
        <w:rPr>
          <w:b w:val="0"/>
          <w:bCs w:val="0"/>
        </w:rPr>
      </w:r>
      <w:r>
        <w:rPr/>
        <w:t>（</w:t>
      </w:r>
      <w:r>
        <w:rPr>
          <w:rFonts w:ascii="宋体" w:hAnsi="宋体" w:cs="宋体" w:eastAsia="宋体" w:hint="default"/>
        </w:rPr>
        <w:t>1</w:t>
      </w:r>
      <w:r>
        <w:rPr/>
        <w:t>）应收票据分类列示</w:t>
      </w:r>
      <w:r>
        <w:rPr>
          <w:b w:val="0"/>
          <w:bCs w:val="0"/>
        </w:rPr>
      </w:r>
    </w:p>
    <w:p>
      <w:pPr>
        <w:spacing w:line="240" w:lineRule="auto" w:before="1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47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9,010,407.27</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13,077,795.07</w:t>
            </w:r>
          </w:p>
        </w:tc>
      </w:tr>
      <w:tr>
        <w:trPr>
          <w:trHeight w:val="399"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3,686,000.00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11,619,547.34</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12,696,407.27</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24,697,342.41</w:t>
            </w: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561"/>
        <w:gridCol w:w="1205"/>
        <w:gridCol w:w="758"/>
        <w:gridCol w:w="1009"/>
        <w:gridCol w:w="663"/>
        <w:gridCol w:w="1200"/>
        <w:gridCol w:w="1201"/>
        <w:gridCol w:w="806"/>
        <w:gridCol w:w="634"/>
        <w:gridCol w:w="538"/>
        <w:gridCol w:w="110"/>
        <w:gridCol w:w="1090"/>
      </w:tblGrid>
      <w:tr>
        <w:trPr>
          <w:trHeight w:val="408" w:hRule="exact"/>
        </w:trPr>
        <w:tc>
          <w:tcPr>
            <w:tcW w:w="1561"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类别</w:t>
            </w:r>
          </w:p>
        </w:tc>
        <w:tc>
          <w:tcPr>
            <w:tcW w:w="4835" w:type="dxa"/>
            <w:gridSpan w:val="5"/>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2"/>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379" w:type="dxa"/>
            <w:gridSpan w:val="6"/>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79"/>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9" w:hRule="exact"/>
        </w:trPr>
        <w:tc>
          <w:tcPr>
            <w:tcW w:w="1561" w:type="dxa"/>
            <w:vMerge/>
            <w:tcBorders>
              <w:left w:val="single" w:sz="12" w:space="0" w:color="000000"/>
              <w:right w:val="single" w:sz="4" w:space="0" w:color="000000"/>
            </w:tcBorders>
            <w:shd w:val="clear" w:color="auto" w:fill="D2D2D2"/>
          </w:tcPr>
          <w:p>
            <w:pPr/>
          </w:p>
        </w:tc>
        <w:tc>
          <w:tcPr>
            <w:tcW w:w="1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3"/>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6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52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20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8"/>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1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28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01" w:type="dxa"/>
            <w:gridSpan w:val="2"/>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97"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710" w:hRule="exact"/>
        </w:trPr>
        <w:tc>
          <w:tcPr>
            <w:tcW w:w="1561" w:type="dxa"/>
            <w:vMerge/>
            <w:tcBorders>
              <w:left w:val="single" w:sz="12"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9"/>
              <w:ind w:left="177" w:right="177"/>
              <w:jc w:val="left"/>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w w:val="99"/>
                <w:sz w:val="15"/>
                <w:szCs w:val="15"/>
              </w:rPr>
              <w:t> </w:t>
            </w:r>
            <w:r>
              <w:rPr>
                <w:rFonts w:ascii="宋体" w:hAnsi="宋体" w:cs="宋体" w:eastAsia="宋体" w:hint="default"/>
                <w:sz w:val="15"/>
                <w:szCs w:val="15"/>
              </w:rPr>
              <w:t>比例</w:t>
            </w: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8"/>
              <w:jc w:val="center"/>
              <w:rPr>
                <w:rFonts w:ascii="宋体" w:hAnsi="宋体" w:cs="宋体" w:eastAsia="宋体" w:hint="default"/>
                <w:sz w:val="15"/>
                <w:szCs w:val="15"/>
              </w:rPr>
            </w:pPr>
            <w:r>
              <w:rPr>
                <w:rFonts w:ascii="宋体" w:hAnsi="宋体" w:cs="宋体" w:eastAsia="宋体" w:hint="default"/>
                <w:sz w:val="15"/>
                <w:szCs w:val="15"/>
              </w:rPr>
              <w:t>金额</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9"/>
              <w:ind w:left="110" w:right="119"/>
              <w:jc w:val="left"/>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w w:val="99"/>
                <w:sz w:val="15"/>
                <w:szCs w:val="15"/>
              </w:rPr>
              <w:t> </w:t>
            </w:r>
            <w:r>
              <w:rPr>
                <w:rFonts w:ascii="宋体" w:hAnsi="宋体" w:cs="宋体" w:eastAsia="宋体" w:hint="default"/>
                <w:sz w:val="15"/>
                <w:szCs w:val="15"/>
              </w:rPr>
              <w:t>比例</w:t>
            </w:r>
          </w:p>
        </w:tc>
        <w:tc>
          <w:tcPr>
            <w:tcW w:w="1201" w:type="dxa"/>
            <w:gridSpan w:val="2"/>
            <w:vMerge/>
            <w:tcBorders>
              <w:left w:val="single" w:sz="4" w:space="0" w:color="000000"/>
              <w:bottom w:val="single" w:sz="4" w:space="0" w:color="000000"/>
              <w:right w:val="single" w:sz="12" w:space="0" w:color="000000"/>
            </w:tcBorders>
            <w:shd w:val="clear" w:color="auto" w:fill="D2D2D2"/>
          </w:tcPr>
          <w:p>
            <w:pPr/>
          </w:p>
        </w:tc>
      </w:tr>
      <w:tr>
        <w:trPr>
          <w:trHeight w:val="715" w:hRule="exact"/>
        </w:trPr>
        <w:tc>
          <w:tcPr>
            <w:tcW w:w="156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6" w:lineRule="auto" w:before="79"/>
              <w:ind w:left="96" w:right="248"/>
              <w:jc w:val="left"/>
              <w:rPr>
                <w:rFonts w:ascii="宋体" w:hAnsi="宋体" w:cs="宋体" w:eastAsia="宋体" w:hint="default"/>
                <w:sz w:val="15"/>
                <w:szCs w:val="15"/>
              </w:rPr>
            </w:pPr>
            <w:r>
              <w:rPr>
                <w:rFonts w:ascii="宋体" w:hAnsi="宋体" w:cs="宋体" w:eastAsia="宋体" w:hint="default"/>
                <w:sz w:val="15"/>
                <w:szCs w:val="15"/>
              </w:rPr>
              <w:t>按单项计提坏账准</w:t>
            </w:r>
            <w:r>
              <w:rPr>
                <w:rFonts w:ascii="宋体" w:hAnsi="宋体" w:cs="宋体" w:eastAsia="宋体" w:hint="default"/>
                <w:w w:val="99"/>
                <w:sz w:val="15"/>
                <w:szCs w:val="15"/>
              </w:rPr>
              <w:t> </w:t>
            </w:r>
            <w:r>
              <w:rPr>
                <w:rFonts w:ascii="宋体" w:hAnsi="宋体" w:cs="宋体" w:eastAsia="宋体" w:hint="default"/>
                <w:sz w:val="15"/>
                <w:szCs w:val="15"/>
              </w:rPr>
              <w:t>备的应收票据</w:t>
            </w:r>
          </w:p>
        </w:tc>
        <w:tc>
          <w:tcPr>
            <w:tcW w:w="1205"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201" w:type="dxa"/>
            <w:gridSpan w:val="2"/>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56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244"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0" w:type="dxa"/>
            <w:tcBorders>
              <w:top w:val="single" w:sz="4" w:space="0" w:color="000000"/>
              <w:left w:val="single" w:sz="4" w:space="0" w:color="000000"/>
              <w:bottom w:val="single" w:sz="4" w:space="0" w:color="000000"/>
              <w:right w:val="nil" w:sz="6" w:space="0" w:color="auto"/>
            </w:tcBorders>
          </w:tcPr>
          <w:p>
            <w:pPr/>
          </w:p>
        </w:tc>
        <w:tc>
          <w:tcPr>
            <w:tcW w:w="1090" w:type="dxa"/>
            <w:tcBorders>
              <w:top w:val="single" w:sz="4" w:space="0" w:color="000000"/>
              <w:left w:val="nil" w:sz="6" w:space="0" w:color="auto"/>
              <w:bottom w:val="single" w:sz="4" w:space="0" w:color="000000"/>
              <w:right w:val="single" w:sz="12" w:space="0" w:color="000000"/>
            </w:tcBorders>
            <w:shd w:val="clear" w:color="auto" w:fill="D2D2D2"/>
          </w:tcPr>
          <w:p>
            <w:pPr/>
          </w:p>
        </w:tc>
      </w:tr>
      <w:tr>
        <w:trPr>
          <w:trHeight w:val="403" w:hRule="exact"/>
        </w:trPr>
        <w:tc>
          <w:tcPr>
            <w:tcW w:w="1561" w:type="dxa"/>
            <w:tcBorders>
              <w:top w:val="single" w:sz="4" w:space="0" w:color="000000"/>
              <w:left w:val="single" w:sz="12"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201" w:type="dxa"/>
            <w:gridSpan w:val="2"/>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156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6" w:right="248"/>
              <w:jc w:val="left"/>
              <w:rPr>
                <w:rFonts w:ascii="宋体" w:hAnsi="宋体" w:cs="宋体" w:eastAsia="宋体" w:hint="default"/>
                <w:sz w:val="15"/>
                <w:szCs w:val="15"/>
              </w:rPr>
            </w:pPr>
            <w:r>
              <w:rPr>
                <w:rFonts w:ascii="宋体" w:hAnsi="宋体" w:cs="宋体" w:eastAsia="宋体" w:hint="default"/>
                <w:sz w:val="15"/>
                <w:szCs w:val="15"/>
              </w:rPr>
              <w:t>按组合计提坏账准</w:t>
            </w:r>
            <w:r>
              <w:rPr>
                <w:rFonts w:ascii="宋体" w:hAnsi="宋体" w:cs="宋体" w:eastAsia="宋体" w:hint="default"/>
                <w:w w:val="99"/>
                <w:sz w:val="15"/>
                <w:szCs w:val="15"/>
              </w:rPr>
              <w:t> </w:t>
            </w:r>
            <w:r>
              <w:rPr>
                <w:rFonts w:ascii="宋体" w:hAnsi="宋体" w:cs="宋体" w:eastAsia="宋体" w:hint="default"/>
                <w:sz w:val="15"/>
                <w:szCs w:val="15"/>
              </w:rPr>
              <w:t>备的应收票据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7" w:right="0"/>
              <w:jc w:val="center"/>
              <w:rPr>
                <w:rFonts w:ascii="宋体" w:hAnsi="宋体" w:cs="宋体" w:eastAsia="宋体" w:hint="default"/>
                <w:sz w:val="15"/>
                <w:szCs w:val="15"/>
              </w:rPr>
            </w:pPr>
            <w:r>
              <w:rPr>
                <w:rFonts w:ascii="宋体"/>
                <w:sz w:val="15"/>
              </w:rPr>
              <w:t>3,800,000.00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 w:right="0"/>
              <w:jc w:val="center"/>
              <w:rPr>
                <w:rFonts w:ascii="宋体" w:hAnsi="宋体" w:cs="宋体" w:eastAsia="宋体" w:hint="default"/>
                <w:sz w:val="15"/>
                <w:szCs w:val="15"/>
              </w:rPr>
            </w:pPr>
            <w:r>
              <w:rPr>
                <w:rFonts w:ascii="宋体"/>
                <w:sz w:val="15"/>
              </w:rPr>
              <w:t>100.00%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 w:right="0"/>
              <w:jc w:val="center"/>
              <w:rPr>
                <w:rFonts w:ascii="宋体" w:hAnsi="宋体" w:cs="宋体" w:eastAsia="宋体" w:hint="default"/>
                <w:sz w:val="15"/>
                <w:szCs w:val="15"/>
              </w:rPr>
            </w:pPr>
            <w:r>
              <w:rPr>
                <w:rFonts w:ascii="宋体"/>
                <w:sz w:val="15"/>
              </w:rPr>
              <w:t>114,000.00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8" w:right="0"/>
              <w:jc w:val="center"/>
              <w:rPr>
                <w:rFonts w:ascii="宋体" w:hAnsi="宋体" w:cs="宋体" w:eastAsia="宋体" w:hint="default"/>
                <w:sz w:val="15"/>
                <w:szCs w:val="15"/>
              </w:rPr>
            </w:pPr>
            <w:r>
              <w:rPr>
                <w:rFonts w:ascii="宋体"/>
                <w:sz w:val="15"/>
              </w:rPr>
              <w:t>3.00%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82" w:right="0"/>
              <w:jc w:val="center"/>
              <w:rPr>
                <w:rFonts w:ascii="宋体" w:hAnsi="宋体" w:cs="宋体" w:eastAsia="宋体" w:hint="default"/>
                <w:sz w:val="15"/>
                <w:szCs w:val="15"/>
              </w:rPr>
            </w:pPr>
            <w:r>
              <w:rPr>
                <w:rFonts w:ascii="宋体"/>
                <w:sz w:val="15"/>
              </w:rPr>
              <w:t>3,686,000.00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15"/>
                <w:szCs w:val="15"/>
              </w:rPr>
            </w:pPr>
            <w:r>
              <w:rPr>
                <w:rFonts w:ascii="宋体"/>
                <w:sz w:val="15"/>
              </w:rPr>
              <w:t>11,619,547.34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3" w:right="0"/>
              <w:jc w:val="center"/>
              <w:rPr>
                <w:rFonts w:ascii="宋体" w:hAnsi="宋体" w:cs="宋体" w:eastAsia="宋体" w:hint="default"/>
                <w:sz w:val="15"/>
                <w:szCs w:val="15"/>
              </w:rPr>
            </w:pPr>
            <w:r>
              <w:rPr>
                <w:rFonts w:ascii="宋体"/>
                <w:sz w:val="15"/>
              </w:rPr>
              <w:t>100.00%</w:t>
            </w:r>
          </w:p>
        </w:tc>
        <w:tc>
          <w:tcPr>
            <w:tcW w:w="634"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201"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15"/>
                <w:szCs w:val="15"/>
              </w:rPr>
            </w:pPr>
            <w:r>
              <w:rPr>
                <w:rFonts w:ascii="宋体"/>
                <w:sz w:val="15"/>
              </w:rPr>
              <w:t>11,619,547.34</w:t>
            </w:r>
          </w:p>
        </w:tc>
      </w:tr>
      <w:tr>
        <w:trPr>
          <w:trHeight w:val="403" w:hRule="exact"/>
        </w:trPr>
        <w:tc>
          <w:tcPr>
            <w:tcW w:w="156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244"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10" w:type="dxa"/>
            <w:tcBorders>
              <w:top w:val="single" w:sz="4" w:space="0" w:color="000000"/>
              <w:left w:val="single" w:sz="4" w:space="0" w:color="000000"/>
              <w:bottom w:val="single" w:sz="4" w:space="0" w:color="000000"/>
              <w:right w:val="nil" w:sz="6" w:space="0" w:color="auto"/>
            </w:tcBorders>
          </w:tcPr>
          <w:p>
            <w:pPr/>
          </w:p>
        </w:tc>
        <w:tc>
          <w:tcPr>
            <w:tcW w:w="1090" w:type="dxa"/>
            <w:tcBorders>
              <w:top w:val="single" w:sz="4" w:space="0" w:color="000000"/>
              <w:left w:val="nil" w:sz="6" w:space="0" w:color="auto"/>
              <w:bottom w:val="single" w:sz="4" w:space="0" w:color="000000"/>
              <w:right w:val="single" w:sz="12" w:space="0" w:color="000000"/>
            </w:tcBorders>
            <w:shd w:val="clear" w:color="auto" w:fill="D2D2D2"/>
          </w:tcPr>
          <w:p>
            <w:pPr/>
          </w:p>
        </w:tc>
      </w:tr>
      <w:tr>
        <w:trPr>
          <w:trHeight w:val="404" w:hRule="exact"/>
        </w:trPr>
        <w:tc>
          <w:tcPr>
            <w:tcW w:w="15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9"/>
              <w:ind w:left="96" w:right="0"/>
              <w:jc w:val="left"/>
              <w:rPr>
                <w:rFonts w:ascii="宋体" w:hAnsi="宋体" w:cs="宋体" w:eastAsia="宋体" w:hint="default"/>
                <w:sz w:val="15"/>
                <w:szCs w:val="15"/>
              </w:rPr>
            </w:pPr>
            <w:r>
              <w:rPr>
                <w:rFonts w:ascii="宋体" w:hAnsi="宋体" w:cs="宋体" w:eastAsia="宋体" w:hint="default"/>
                <w:sz w:val="15"/>
                <w:szCs w:val="15"/>
              </w:rPr>
              <w:t>应收票据组合</w:t>
            </w:r>
            <w:r>
              <w:rPr>
                <w:rFonts w:ascii="宋体" w:hAnsi="宋体" w:cs="宋体" w:eastAsia="宋体" w:hint="default"/>
                <w:spacing w:val="-45"/>
                <w:sz w:val="15"/>
                <w:szCs w:val="15"/>
              </w:rPr>
              <w:t> </w:t>
            </w:r>
            <w:r>
              <w:rPr>
                <w:rFonts w:ascii="宋体" w:hAnsi="宋体" w:cs="宋体" w:eastAsia="宋体" w:hint="default"/>
                <w:sz w:val="15"/>
                <w:szCs w:val="15"/>
              </w:rPr>
              <w:t>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7" w:right="0"/>
              <w:jc w:val="center"/>
              <w:rPr>
                <w:rFonts w:ascii="宋体" w:hAnsi="宋体" w:cs="宋体" w:eastAsia="宋体" w:hint="default"/>
                <w:sz w:val="15"/>
                <w:szCs w:val="15"/>
              </w:rPr>
            </w:pPr>
            <w:r>
              <w:rPr>
                <w:rFonts w:ascii="宋体"/>
                <w:sz w:val="15"/>
              </w:rPr>
              <w:t>3,800,000.00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5" w:right="0"/>
              <w:jc w:val="center"/>
              <w:rPr>
                <w:rFonts w:ascii="宋体" w:hAnsi="宋体" w:cs="宋体" w:eastAsia="宋体" w:hint="default"/>
                <w:sz w:val="15"/>
                <w:szCs w:val="15"/>
              </w:rPr>
            </w:pPr>
            <w:r>
              <w:rPr>
                <w:rFonts w:ascii="宋体"/>
                <w:sz w:val="15"/>
              </w:rPr>
              <w:t>100.00%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0" w:right="0"/>
              <w:jc w:val="center"/>
              <w:rPr>
                <w:rFonts w:ascii="宋体" w:hAnsi="宋体" w:cs="宋体" w:eastAsia="宋体" w:hint="default"/>
                <w:sz w:val="15"/>
                <w:szCs w:val="15"/>
              </w:rPr>
            </w:pPr>
            <w:r>
              <w:rPr>
                <w:rFonts w:ascii="宋体"/>
                <w:sz w:val="15"/>
              </w:rPr>
              <w:t>114,000.00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8" w:right="0"/>
              <w:jc w:val="center"/>
              <w:rPr>
                <w:rFonts w:ascii="宋体" w:hAnsi="宋体" w:cs="宋体" w:eastAsia="宋体" w:hint="default"/>
                <w:sz w:val="15"/>
                <w:szCs w:val="15"/>
              </w:rPr>
            </w:pPr>
            <w:r>
              <w:rPr>
                <w:rFonts w:ascii="宋体"/>
                <w:sz w:val="15"/>
              </w:rPr>
              <w:t>3.00%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82" w:right="0"/>
              <w:jc w:val="center"/>
              <w:rPr>
                <w:rFonts w:ascii="宋体" w:hAnsi="宋体" w:cs="宋体" w:eastAsia="宋体" w:hint="default"/>
                <w:sz w:val="15"/>
                <w:szCs w:val="15"/>
              </w:rPr>
            </w:pPr>
            <w:r>
              <w:rPr>
                <w:rFonts w:ascii="宋体"/>
                <w:sz w:val="15"/>
              </w:rPr>
              <w:t>3,686,000.00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 w:right="0"/>
              <w:jc w:val="center"/>
              <w:rPr>
                <w:rFonts w:ascii="宋体" w:hAnsi="宋体" w:cs="宋体" w:eastAsia="宋体" w:hint="default"/>
                <w:sz w:val="15"/>
                <w:szCs w:val="15"/>
              </w:rPr>
            </w:pPr>
            <w:r>
              <w:rPr>
                <w:rFonts w:ascii="宋体"/>
                <w:sz w:val="15"/>
              </w:rPr>
              <w:t>11,619,547.34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73" w:right="0"/>
              <w:jc w:val="center"/>
              <w:rPr>
                <w:rFonts w:ascii="宋体" w:hAnsi="宋体" w:cs="宋体" w:eastAsia="宋体" w:hint="default"/>
                <w:sz w:val="15"/>
                <w:szCs w:val="15"/>
              </w:rPr>
            </w:pPr>
            <w:r>
              <w:rPr>
                <w:rFonts w:ascii="宋体"/>
                <w:sz w:val="15"/>
              </w:rPr>
              <w:t>100.00%</w:t>
            </w:r>
          </w:p>
        </w:tc>
        <w:tc>
          <w:tcPr>
            <w:tcW w:w="634"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201"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79"/>
              <w:ind w:left="115" w:right="0"/>
              <w:jc w:val="left"/>
              <w:rPr>
                <w:rFonts w:ascii="宋体" w:hAnsi="宋体" w:cs="宋体" w:eastAsia="宋体" w:hint="default"/>
                <w:sz w:val="15"/>
                <w:szCs w:val="15"/>
              </w:rPr>
            </w:pPr>
            <w:r>
              <w:rPr>
                <w:rFonts w:ascii="宋体"/>
                <w:sz w:val="15"/>
              </w:rPr>
              <w:t>11,619,547.34</w:t>
            </w:r>
          </w:p>
        </w:tc>
      </w:tr>
      <w:tr>
        <w:trPr>
          <w:trHeight w:val="413" w:hRule="exact"/>
        </w:trPr>
        <w:tc>
          <w:tcPr>
            <w:tcW w:w="156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87" w:right="0"/>
              <w:jc w:val="center"/>
              <w:rPr>
                <w:rFonts w:ascii="宋体" w:hAnsi="宋体" w:cs="宋体" w:eastAsia="宋体" w:hint="default"/>
                <w:sz w:val="15"/>
                <w:szCs w:val="15"/>
              </w:rPr>
            </w:pPr>
            <w:r>
              <w:rPr>
                <w:rFonts w:ascii="宋体"/>
                <w:sz w:val="15"/>
              </w:rPr>
              <w:t>3,800,000.00</w:t>
            </w:r>
          </w:p>
        </w:tc>
        <w:tc>
          <w:tcPr>
            <w:tcW w:w="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25" w:right="0"/>
              <w:jc w:val="center"/>
              <w:rPr>
                <w:rFonts w:ascii="宋体" w:hAnsi="宋体" w:cs="宋体" w:eastAsia="宋体" w:hint="default"/>
                <w:sz w:val="15"/>
                <w:szCs w:val="15"/>
              </w:rPr>
            </w:pPr>
            <w:r>
              <w:rPr>
                <w:rFonts w:ascii="宋体"/>
                <w:sz w:val="15"/>
              </w:rPr>
              <w:t>100.00%</w:t>
            </w:r>
          </w:p>
        </w:tc>
        <w:tc>
          <w:tcPr>
            <w:tcW w:w="10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50" w:right="0"/>
              <w:jc w:val="center"/>
              <w:rPr>
                <w:rFonts w:ascii="宋体" w:hAnsi="宋体" w:cs="宋体" w:eastAsia="宋体" w:hint="default"/>
                <w:sz w:val="15"/>
                <w:szCs w:val="15"/>
              </w:rPr>
            </w:pPr>
            <w:r>
              <w:rPr>
                <w:rFonts w:ascii="宋体"/>
                <w:sz w:val="15"/>
              </w:rPr>
              <w:t>114,000.00</w:t>
            </w:r>
          </w:p>
        </w:tc>
        <w:tc>
          <w:tcPr>
            <w:tcW w:w="6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68" w:right="0"/>
              <w:jc w:val="center"/>
              <w:rPr>
                <w:rFonts w:ascii="宋体" w:hAnsi="宋体" w:cs="宋体" w:eastAsia="宋体" w:hint="default"/>
                <w:sz w:val="15"/>
                <w:szCs w:val="15"/>
              </w:rPr>
            </w:pPr>
            <w:r>
              <w:rPr>
                <w:rFonts w:ascii="宋体"/>
                <w:sz w:val="15"/>
              </w:rPr>
              <w:t>3.00%</w:t>
            </w:r>
          </w:p>
        </w:tc>
        <w:tc>
          <w:tcPr>
            <w:tcW w:w="12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82" w:right="0"/>
              <w:jc w:val="center"/>
              <w:rPr>
                <w:rFonts w:ascii="宋体" w:hAnsi="宋体" w:cs="宋体" w:eastAsia="宋体" w:hint="default"/>
                <w:sz w:val="15"/>
                <w:szCs w:val="15"/>
              </w:rPr>
            </w:pPr>
            <w:r>
              <w:rPr>
                <w:rFonts w:ascii="宋体"/>
                <w:sz w:val="15"/>
              </w:rPr>
              <w:t>3,686,000.00</w:t>
            </w:r>
          </w:p>
        </w:tc>
        <w:tc>
          <w:tcPr>
            <w:tcW w:w="12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5" w:right="0"/>
              <w:jc w:val="center"/>
              <w:rPr>
                <w:rFonts w:ascii="宋体" w:hAnsi="宋体" w:cs="宋体" w:eastAsia="宋体" w:hint="default"/>
                <w:sz w:val="15"/>
                <w:szCs w:val="15"/>
              </w:rPr>
            </w:pPr>
            <w:r>
              <w:rPr>
                <w:rFonts w:ascii="宋体"/>
                <w:sz w:val="15"/>
              </w:rPr>
              <w:t>11,619,547.34</w:t>
            </w:r>
          </w:p>
        </w:tc>
        <w:tc>
          <w:tcPr>
            <w:tcW w:w="8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73" w:right="0"/>
              <w:jc w:val="center"/>
              <w:rPr>
                <w:rFonts w:ascii="宋体" w:hAnsi="宋体" w:cs="宋体" w:eastAsia="宋体" w:hint="default"/>
                <w:sz w:val="15"/>
                <w:szCs w:val="15"/>
              </w:rPr>
            </w:pPr>
            <w:r>
              <w:rPr>
                <w:rFonts w:ascii="宋体"/>
                <w:sz w:val="15"/>
              </w:rPr>
              <w:t>100.00%</w:t>
            </w:r>
          </w:p>
        </w:tc>
        <w:tc>
          <w:tcPr>
            <w:tcW w:w="634" w:type="dxa"/>
            <w:tcBorders>
              <w:top w:val="single" w:sz="4" w:space="0" w:color="000000"/>
              <w:left w:val="single" w:sz="4" w:space="0" w:color="000000"/>
              <w:bottom w:val="single" w:sz="12" w:space="0" w:color="000000"/>
              <w:right w:val="single" w:sz="4" w:space="0" w:color="000000"/>
            </w:tcBorders>
          </w:tcPr>
          <w:p>
            <w:pPr/>
          </w:p>
        </w:tc>
        <w:tc>
          <w:tcPr>
            <w:tcW w:w="538" w:type="dxa"/>
            <w:tcBorders>
              <w:top w:val="single" w:sz="4" w:space="0" w:color="000000"/>
              <w:left w:val="single" w:sz="4" w:space="0" w:color="000000"/>
              <w:bottom w:val="single" w:sz="12" w:space="0" w:color="000000"/>
              <w:right w:val="single" w:sz="4" w:space="0" w:color="000000"/>
            </w:tcBorders>
          </w:tcPr>
          <w:p>
            <w:pPr/>
          </w:p>
        </w:tc>
        <w:tc>
          <w:tcPr>
            <w:tcW w:w="1201" w:type="dxa"/>
            <w:gridSpan w:val="2"/>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9"/>
              <w:ind w:left="115" w:right="0"/>
              <w:jc w:val="left"/>
              <w:rPr>
                <w:rFonts w:ascii="宋体" w:hAnsi="宋体" w:cs="宋体" w:eastAsia="宋体" w:hint="default"/>
                <w:sz w:val="15"/>
                <w:szCs w:val="15"/>
              </w:rPr>
            </w:pPr>
            <w:r>
              <w:rPr>
                <w:rFonts w:ascii="宋体"/>
                <w:sz w:val="15"/>
              </w:rPr>
              <w:t>11,619,547.34</w:t>
            </w:r>
          </w:p>
        </w:tc>
      </w:tr>
    </w:tbl>
    <w:p>
      <w:pPr>
        <w:spacing w:after="0" w:line="240" w:lineRule="auto"/>
        <w:jc w:val="left"/>
        <w:rPr>
          <w:rFonts w:ascii="宋体" w:hAnsi="宋体" w:cs="宋体" w:eastAsia="宋体" w:hint="default"/>
          <w:sz w:val="15"/>
          <w:szCs w:val="15"/>
        </w:rPr>
        <w:sectPr>
          <w:pgSz w:w="11910" w:h="16840"/>
          <w:pgMar w:header="871" w:footer="1037" w:top="1040" w:bottom="1220" w:left="640" w:right="0"/>
        </w:sectPr>
      </w:pPr>
    </w:p>
    <w:p>
      <w:pPr>
        <w:pStyle w:val="BodyText"/>
        <w:spacing w:line="240" w:lineRule="auto" w:before="28"/>
        <w:ind w:left="493" w:right="0"/>
        <w:jc w:val="left"/>
      </w:pPr>
      <w:r>
        <w:rPr/>
        <w:pict>
          <v:shape style="position:absolute;margin-left:490.51001pt;margin-top:-61.476334pt;width:31.865854pt;height:19.5pt;mso-position-horizontal-relative:page;mso-position-vertical-relative:paragraph;z-index:-1024072" type="#_x0000_t75" stroked="false">
            <v:imagedata r:id="rId16" o:title=""/>
          </v:shape>
        </w:pict>
      </w:r>
      <w:r>
        <w:rPr>
          <w:spacing w:val="-1"/>
        </w:rPr>
        <w:t>按组合计提坏账准备：商业承兑汇票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3"/>
          <w:szCs w:val="13"/>
        </w:rPr>
      </w:pPr>
    </w:p>
    <w:p>
      <w:pPr>
        <w:spacing w:before="0"/>
        <w:ind w:left="646"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1220" w:left="640" w:right="0"/>
          <w:cols w:num="2" w:equalWidth="0">
            <w:col w:w="3858" w:space="4819"/>
            <w:col w:w="2593"/>
          </w:cols>
        </w:sectPr>
      </w:pPr>
    </w:p>
    <w:p>
      <w:pPr>
        <w:spacing w:line="240" w:lineRule="auto" w:before="8"/>
        <w:rPr>
          <w:rFonts w:ascii="宋体" w:hAnsi="宋体" w:cs="宋体" w:eastAsia="宋体" w:hint="default"/>
          <w:sz w:val="7"/>
          <w:szCs w:val="7"/>
        </w:rPr>
      </w:pPr>
      <w:r>
        <w:rPr/>
        <w:pict>
          <v:shape style="position:absolute;margin-left:490.51001pt;margin-top:366.575989pt;width:32.439099pt;height:19.875pt;mso-position-horizontal-relative:page;mso-position-vertical-relative:page;z-index:-1024096" type="#_x0000_t75" stroked="false">
            <v:imagedata r:id="rId17" o:title=""/>
          </v:shape>
        </w:pict>
      </w:r>
    </w:p>
    <w:tbl>
      <w:tblPr>
        <w:tblW w:w="0" w:type="auto"/>
        <w:jc w:val="left"/>
        <w:tblInd w:w="478" w:type="dxa"/>
        <w:tblLayout w:type="fixed"/>
        <w:tblCellMar>
          <w:top w:w="0" w:type="dxa"/>
          <w:left w:w="0" w:type="dxa"/>
          <w:bottom w:w="0" w:type="dxa"/>
          <w:right w:w="0" w:type="dxa"/>
        </w:tblCellMar>
        <w:tblLook w:val="01E0"/>
      </w:tblPr>
      <w:tblGrid>
        <w:gridCol w:w="2391"/>
        <w:gridCol w:w="2396"/>
        <w:gridCol w:w="2391"/>
        <w:gridCol w:w="2391"/>
      </w:tblGrid>
      <w:tr>
        <w:trPr>
          <w:trHeight w:val="413" w:hRule="exact"/>
        </w:trPr>
        <w:tc>
          <w:tcPr>
            <w:tcW w:w="2391"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9" w:type="dxa"/>
            <w:gridSpan w:val="3"/>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1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12"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8"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商业承兑汇票组合</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3,800,000.00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114,000.00</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3.00%</w:t>
            </w:r>
          </w:p>
        </w:tc>
      </w:tr>
      <w:tr>
        <w:trPr>
          <w:trHeight w:val="413" w:hRule="exact"/>
        </w:trPr>
        <w:tc>
          <w:tcPr>
            <w:tcW w:w="239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3,800,000.00</w:t>
            </w:r>
          </w:p>
        </w:tc>
        <w:tc>
          <w:tcPr>
            <w:tcW w:w="2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114,000.00</w:t>
            </w:r>
          </w:p>
        </w:tc>
        <w:tc>
          <w:tcPr>
            <w:tcW w:w="2391"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3"/>
              <w:ind w:left="18" w:right="0"/>
              <w:jc w:val="center"/>
              <w:rPr>
                <w:rFonts w:ascii="宋体" w:hAnsi="宋体" w:cs="宋体" w:eastAsia="宋体" w:hint="default"/>
                <w:sz w:val="18"/>
                <w:szCs w:val="18"/>
              </w:rPr>
            </w:pPr>
            <w:r>
              <w:rPr>
                <w:rFonts w:ascii="宋体"/>
                <w:sz w:val="18"/>
              </w:rPr>
              <w:t>--</w:t>
            </w:r>
          </w:p>
        </w:tc>
      </w:tr>
    </w:tbl>
    <w:p>
      <w:pPr>
        <w:spacing w:line="357" w:lineRule="auto" w:before="54"/>
        <w:ind w:left="493" w:right="4269"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6"/>
          <w:w w:val="101"/>
          <w:sz w:val="18"/>
          <w:szCs w:val="18"/>
        </w:rPr>
        <w:t>应收票据账龄在</w:t>
      </w:r>
      <w:r>
        <w:rPr>
          <w:rFonts w:ascii="宋体" w:hAnsi="宋体" w:cs="宋体" w:eastAsia="宋体" w:hint="default"/>
          <w:spacing w:val="-6"/>
          <w:w w:val="101"/>
          <w:sz w:val="18"/>
          <w:szCs w:val="18"/>
        </w:rPr>
        <w:t>1</w:t>
      </w:r>
      <w:r>
        <w:rPr>
          <w:rFonts w:ascii="宋体" w:hAnsi="宋体" w:cs="宋体" w:eastAsia="宋体" w:hint="default"/>
          <w:spacing w:val="-6"/>
          <w:w w:val="101"/>
          <w:sz w:val="18"/>
          <w:szCs w:val="18"/>
        </w:rPr>
        <w:t>年以内（含</w:t>
      </w:r>
      <w:r>
        <w:rPr>
          <w:rFonts w:ascii="宋体" w:hAnsi="宋体" w:cs="宋体" w:eastAsia="宋体" w:hint="default"/>
          <w:spacing w:val="-6"/>
          <w:w w:val="101"/>
          <w:sz w:val="18"/>
          <w:szCs w:val="18"/>
        </w:rPr>
        <w:t>1</w:t>
      </w:r>
      <w:r>
        <w:rPr>
          <w:rFonts w:ascii="宋体" w:hAnsi="宋体" w:cs="宋体" w:eastAsia="宋体" w:hint="default"/>
          <w:spacing w:val="-6"/>
          <w:w w:val="101"/>
          <w:sz w:val="18"/>
          <w:szCs w:val="18"/>
        </w:rPr>
        <w:t>年），预期信用损失率为</w:t>
      </w:r>
      <w:r>
        <w:rPr>
          <w:rFonts w:ascii="宋体" w:hAnsi="宋体" w:cs="宋体" w:eastAsia="宋体" w:hint="default"/>
          <w:spacing w:val="-6"/>
          <w:w w:val="101"/>
          <w:sz w:val="18"/>
          <w:szCs w:val="18"/>
        </w:rPr>
        <w:t>3%</w:t>
      </w:r>
      <w:r>
        <w:rPr>
          <w:rFonts w:ascii="宋体" w:hAnsi="宋体" w:cs="宋体" w:eastAsia="宋体" w:hint="default"/>
          <w:spacing w:val="-6"/>
          <w:w w:val="101"/>
          <w:sz w:val="18"/>
          <w:szCs w:val="18"/>
        </w:rPr>
        <w:t>。</w:t>
      </w:r>
      <w:r>
        <w:rPr>
          <w:rFonts w:ascii="宋体" w:hAnsi="宋体" w:cs="宋体" w:eastAsia="宋体" w:hint="default"/>
          <w:spacing w:val="-6"/>
          <w:sz w:val="18"/>
          <w:szCs w:val="18"/>
        </w:rPr>
      </w:r>
    </w:p>
    <w:p>
      <w:pPr>
        <w:spacing w:line="240" w:lineRule="auto" w:before="3"/>
        <w:rPr>
          <w:rFonts w:ascii="宋体" w:hAnsi="宋体" w:cs="宋体" w:eastAsia="宋体" w:hint="default"/>
          <w:sz w:val="20"/>
          <w:szCs w:val="20"/>
        </w:rPr>
      </w:pPr>
    </w:p>
    <w:p>
      <w:pPr>
        <w:pStyle w:val="Heading4"/>
        <w:spacing w:line="240" w:lineRule="auto" w:before="0"/>
        <w:ind w:left="493" w:right="4269"/>
        <w:jc w:val="left"/>
        <w:rPr>
          <w:b w:val="0"/>
          <w:bCs w:val="0"/>
        </w:rPr>
      </w:pPr>
      <w:bookmarkStart w:name="（2）本期计提、收回或转回的坏账准备情况" w:id="288"/>
      <w:bookmarkEnd w:id="288"/>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5"/>
        <w:rPr>
          <w:rFonts w:ascii="宋体" w:hAnsi="宋体" w:cs="宋体" w:eastAsia="宋体" w:hint="default"/>
          <w:b/>
          <w:bCs/>
          <w:sz w:val="24"/>
          <w:szCs w:val="24"/>
        </w:rPr>
      </w:pPr>
    </w:p>
    <w:p>
      <w:pPr>
        <w:spacing w:before="46"/>
        <w:ind w:left="493" w:right="4269"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478" w:type="dxa"/>
        <w:tblLayout w:type="fixed"/>
        <w:tblCellMar>
          <w:top w:w="0" w:type="dxa"/>
          <w:left w:w="0" w:type="dxa"/>
          <w:bottom w:w="0" w:type="dxa"/>
          <w:right w:w="0" w:type="dxa"/>
        </w:tblCellMar>
        <w:tblLook w:val="01E0"/>
      </w:tblPr>
      <w:tblGrid>
        <w:gridCol w:w="1369"/>
        <w:gridCol w:w="1368"/>
        <w:gridCol w:w="5469"/>
        <w:gridCol w:w="1369"/>
      </w:tblGrid>
      <w:tr>
        <w:trPr>
          <w:trHeight w:val="422" w:hRule="exact"/>
        </w:trPr>
        <w:tc>
          <w:tcPr>
            <w:tcW w:w="1369"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tcBorders>
              <w:top w:val="single" w:sz="12"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type w:val="continuous"/>
          <w:pgSz w:w="11910" w:h="16840"/>
          <w:pgMar w:top="1580" w:bottom="1220" w:left="640" w:right="0"/>
        </w:sectPr>
      </w:pPr>
    </w:p>
    <w:p>
      <w:pPr>
        <w:spacing w:line="240" w:lineRule="auto" w:before="8"/>
        <w:rPr>
          <w:rFonts w:ascii="宋体" w:hAnsi="宋体" w:cs="宋体" w:eastAsia="宋体" w:hint="default"/>
          <w:sz w:val="29"/>
          <w:szCs w:val="29"/>
        </w:rPr>
      </w:pPr>
    </w:p>
    <w:tbl>
      <w:tblPr>
        <w:tblW w:w="0" w:type="auto"/>
        <w:jc w:val="left"/>
        <w:tblInd w:w="101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13" w:hRule="exact"/>
        </w:trPr>
        <w:tc>
          <w:tcPr>
            <w:tcW w:w="1369"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368"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12" w:space="0" w:color="000000"/>
              <w:left w:val="single" w:sz="4" w:space="0" w:color="000000"/>
              <w:bottom w:val="single" w:sz="4" w:space="0" w:color="000000"/>
              <w:right w:val="single" w:sz="12" w:space="0" w:color="000000"/>
            </w:tcBorders>
            <w:shd w:val="clear" w:color="auto" w:fill="D2D2D2"/>
          </w:tcPr>
          <w:p>
            <w:pPr/>
          </w:p>
        </w:tc>
      </w:tr>
      <w:tr>
        <w:trPr>
          <w:trHeight w:val="716"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66"/>
              <w:jc w:val="left"/>
              <w:rPr>
                <w:rFonts w:ascii="宋体" w:hAnsi="宋体" w:cs="宋体" w:eastAsia="宋体" w:hint="default"/>
                <w:sz w:val="18"/>
                <w:szCs w:val="18"/>
              </w:rPr>
            </w:pPr>
            <w:r>
              <w:rPr>
                <w:rFonts w:ascii="宋体" w:hAnsi="宋体" w:cs="宋体" w:eastAsia="宋体" w:hint="default"/>
                <w:sz w:val="18"/>
                <w:szCs w:val="18"/>
              </w:rPr>
              <w:t>商业承兑汇票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组合</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114,000.00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114,000.00</w:t>
            </w:r>
          </w:p>
        </w:tc>
      </w:tr>
      <w:tr>
        <w:trPr>
          <w:trHeight w:val="413" w:hRule="exact"/>
        </w:trPr>
        <w:tc>
          <w:tcPr>
            <w:tcW w:w="136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12" w:space="0" w:color="000000"/>
              <w:right w:val="single" w:sz="4" w:space="0" w:color="000000"/>
            </w:tcBorders>
          </w:tcPr>
          <w:p>
            <w:pPr/>
          </w:p>
        </w:tc>
        <w:tc>
          <w:tcPr>
            <w:tcW w:w="13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114,000.00</w:t>
            </w:r>
          </w:p>
        </w:tc>
        <w:tc>
          <w:tcPr>
            <w:tcW w:w="1368" w:type="dxa"/>
            <w:tcBorders>
              <w:top w:val="single" w:sz="4" w:space="0" w:color="000000"/>
              <w:left w:val="single" w:sz="4" w:space="0" w:color="000000"/>
              <w:bottom w:val="single" w:sz="12" w:space="0" w:color="000000"/>
              <w:right w:val="single" w:sz="4" w:space="0" w:color="000000"/>
            </w:tcBorders>
          </w:tcPr>
          <w:p>
            <w:pPr/>
          </w:p>
        </w:tc>
        <w:tc>
          <w:tcPr>
            <w:tcW w:w="1364" w:type="dxa"/>
            <w:tcBorders>
              <w:top w:val="single" w:sz="4" w:space="0" w:color="000000"/>
              <w:left w:val="single" w:sz="4" w:space="0" w:color="000000"/>
              <w:bottom w:val="single" w:sz="12" w:space="0" w:color="000000"/>
              <w:right w:val="single" w:sz="4" w:space="0" w:color="000000"/>
            </w:tcBorders>
          </w:tcPr>
          <w:p>
            <w:pPr/>
          </w:p>
        </w:tc>
        <w:tc>
          <w:tcPr>
            <w:tcW w:w="1369" w:type="dxa"/>
            <w:tcBorders>
              <w:top w:val="single" w:sz="4" w:space="0" w:color="000000"/>
              <w:left w:val="single" w:sz="4" w:space="0" w:color="000000"/>
              <w:bottom w:val="single" w:sz="12" w:space="0" w:color="000000"/>
              <w:right w:val="single" w:sz="4" w:space="0" w:color="000000"/>
            </w:tcBorders>
          </w:tcPr>
          <w:p>
            <w:pPr/>
          </w:p>
        </w:tc>
        <w:tc>
          <w:tcPr>
            <w:tcW w:w="136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114,000.00</w:t>
            </w:r>
          </w:p>
        </w:tc>
      </w:tr>
    </w:tbl>
    <w:p>
      <w:pPr>
        <w:spacing w:line="240" w:lineRule="auto" w:before="3"/>
        <w:rPr>
          <w:rFonts w:ascii="宋体" w:hAnsi="宋体" w:cs="宋体" w:eastAsia="宋体" w:hint="default"/>
          <w:sz w:val="19"/>
          <w:szCs w:val="19"/>
        </w:rPr>
      </w:pPr>
    </w:p>
    <w:p>
      <w:pPr>
        <w:pStyle w:val="Heading4"/>
        <w:spacing w:line="240" w:lineRule="auto"/>
        <w:ind w:left="1033" w:right="0"/>
        <w:jc w:val="left"/>
        <w:rPr>
          <w:b w:val="0"/>
          <w:bCs w:val="0"/>
        </w:rPr>
      </w:pPr>
      <w:bookmarkStart w:name="5、应收账款" w:id="289"/>
      <w:bookmarkEnd w:id="289"/>
      <w:r>
        <w:rPr>
          <w:b w:val="0"/>
          <w:bCs w:val="0"/>
        </w:rPr>
      </w:r>
      <w:r>
        <w:rPr>
          <w:rFonts w:ascii="宋体" w:hAnsi="宋体" w:cs="宋体" w:eastAsia="宋体" w:hint="default"/>
        </w:rPr>
        <w:t>5</w:t>
      </w:r>
      <w:r>
        <w:rPr/>
        <w:t>、应收账款</w:t>
      </w:r>
      <w:r>
        <w:rPr>
          <w:b w:val="0"/>
          <w:bCs w:val="0"/>
        </w:rPr>
      </w:r>
    </w:p>
    <w:p>
      <w:pPr>
        <w:spacing w:line="240" w:lineRule="auto" w:before="8"/>
        <w:rPr>
          <w:rFonts w:ascii="宋体" w:hAnsi="宋体" w:cs="宋体" w:eastAsia="宋体" w:hint="default"/>
          <w:b/>
          <w:bCs/>
          <w:sz w:val="25"/>
          <w:szCs w:val="25"/>
        </w:rPr>
      </w:pPr>
    </w:p>
    <w:p>
      <w:pPr>
        <w:pStyle w:val="Heading4"/>
        <w:spacing w:line="240" w:lineRule="auto" w:before="0"/>
        <w:ind w:left="1033" w:right="0"/>
        <w:jc w:val="left"/>
        <w:rPr>
          <w:b w:val="0"/>
          <w:bCs w:val="0"/>
        </w:rPr>
      </w:pPr>
      <w:bookmarkStart w:name="（1）应收账款分类披露" w:id="290"/>
      <w:bookmarkEnd w:id="290"/>
      <w:r>
        <w:rPr>
          <w:b w:val="0"/>
          <w:bCs w:val="0"/>
        </w:rPr>
      </w:r>
      <w:r>
        <w:rPr/>
        <w:t>（</w:t>
      </w:r>
      <w:r>
        <w:rPr>
          <w:rFonts w:ascii="宋体" w:hAnsi="宋体" w:cs="宋体" w:eastAsia="宋体" w:hint="default"/>
        </w:rPr>
        <w:t>1</w:t>
      </w:r>
      <w:r>
        <w:rPr/>
        <w:t>）应收账款分类披露</w:t>
      </w:r>
      <w:r>
        <w:rPr>
          <w:b w:val="0"/>
          <w:bCs w:val="0"/>
        </w:rPr>
      </w:r>
    </w:p>
    <w:p>
      <w:pPr>
        <w:spacing w:line="240" w:lineRule="auto" w:before="1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pict>
          <v:shape style="position:absolute;margin-left:10.08pt;margin-top:19.051739pt;width:585.85pt;height:250.4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92"/>
                    <w:gridCol w:w="1301"/>
                    <w:gridCol w:w="754"/>
                    <w:gridCol w:w="1244"/>
                    <w:gridCol w:w="677"/>
                    <w:gridCol w:w="1349"/>
                    <w:gridCol w:w="1364"/>
                    <w:gridCol w:w="480"/>
                    <w:gridCol w:w="110"/>
                    <w:gridCol w:w="1138"/>
                    <w:gridCol w:w="600"/>
                    <w:gridCol w:w="106"/>
                    <w:gridCol w:w="1258"/>
                  </w:tblGrid>
                  <w:tr>
                    <w:trPr>
                      <w:trHeight w:val="408" w:hRule="exact"/>
                    </w:trPr>
                    <w:tc>
                      <w:tcPr>
                        <w:tcW w:w="1292"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1"/>
                          <w:jc w:val="center"/>
                          <w:rPr>
                            <w:rFonts w:ascii="宋体" w:hAnsi="宋体" w:cs="宋体" w:eastAsia="宋体" w:hint="default"/>
                            <w:sz w:val="15"/>
                            <w:szCs w:val="15"/>
                          </w:rPr>
                        </w:pPr>
                        <w:r>
                          <w:rPr>
                            <w:rFonts w:ascii="宋体" w:hAnsi="宋体" w:cs="宋体" w:eastAsia="宋体" w:hint="default"/>
                            <w:sz w:val="15"/>
                            <w:szCs w:val="15"/>
                          </w:rPr>
                          <w:t>类别</w:t>
                        </w:r>
                      </w:p>
                    </w:tc>
                    <w:tc>
                      <w:tcPr>
                        <w:tcW w:w="5325" w:type="dxa"/>
                        <w:gridSpan w:val="5"/>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12"/>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5056" w:type="dxa"/>
                        <w:gridSpan w:val="7"/>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79"/>
                          <w:ind w:left="4"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8" w:hRule="exact"/>
                    </w:trPr>
                    <w:tc>
                      <w:tcPr>
                        <w:tcW w:w="1292" w:type="dxa"/>
                        <w:vMerge/>
                        <w:tcBorders>
                          <w:left w:val="single" w:sz="12" w:space="0" w:color="000000"/>
                          <w:right w:val="single" w:sz="4" w:space="0" w:color="000000"/>
                        </w:tcBorders>
                        <w:shd w:val="clear" w:color="auto" w:fill="D2D2D2"/>
                      </w:tcPr>
                      <w:p>
                        <w:pPr/>
                      </w:p>
                    </w:tc>
                    <w:tc>
                      <w:tcPr>
                        <w:tcW w:w="20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7"/>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8"/>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65"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84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right="3"/>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364" w:type="dxa"/>
                        <w:gridSpan w:val="2"/>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74"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711" w:hRule="exact"/>
                    </w:trPr>
                    <w:tc>
                      <w:tcPr>
                        <w:tcW w:w="1292" w:type="dxa"/>
                        <w:vMerge/>
                        <w:tcBorders>
                          <w:left w:val="single" w:sz="12" w:space="0" w:color="000000"/>
                          <w:bottom w:val="single" w:sz="4" w:space="0" w:color="000000"/>
                          <w:right w:val="single" w:sz="4" w:space="0" w:color="000000"/>
                        </w:tcBorders>
                        <w:shd w:val="clear" w:color="auto" w:fill="D2D2D2"/>
                      </w:tcPr>
                      <w:p>
                        <w:pP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金额</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比例</w:t>
                        </w:r>
                      </w:p>
                    </w:tc>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金额</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80"/>
                          <w:ind w:left="259" w:right="108" w:hanging="149"/>
                          <w:jc w:val="left"/>
                          <w:rPr>
                            <w:rFonts w:ascii="宋体" w:hAnsi="宋体" w:cs="宋体" w:eastAsia="宋体" w:hint="default"/>
                            <w:sz w:val="15"/>
                            <w:szCs w:val="15"/>
                          </w:rPr>
                        </w:pPr>
                        <w:r>
                          <w:rPr>
                            <w:rFonts w:ascii="宋体" w:hAnsi="宋体" w:cs="宋体" w:eastAsia="宋体" w:hint="default"/>
                            <w:sz w:val="15"/>
                            <w:szCs w:val="15"/>
                          </w:rPr>
                          <w:t>计提比</w:t>
                        </w:r>
                        <w:r>
                          <w:rPr>
                            <w:rFonts w:ascii="宋体" w:hAnsi="宋体" w:cs="宋体" w:eastAsia="宋体" w:hint="default"/>
                            <w:w w:val="99"/>
                            <w:sz w:val="15"/>
                            <w:szCs w:val="15"/>
                          </w:rPr>
                          <w:t> </w:t>
                        </w:r>
                        <w:r>
                          <w:rPr>
                            <w:rFonts w:ascii="宋体" w:hAnsi="宋体" w:cs="宋体" w:eastAsia="宋体" w:hint="default"/>
                            <w:sz w:val="15"/>
                            <w:szCs w:val="15"/>
                          </w:rPr>
                          <w:t>例</w:t>
                        </w: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80"/>
                          <w:ind w:left="124" w:right="120" w:firstLine="38"/>
                          <w:jc w:val="left"/>
                          <w:rPr>
                            <w:rFonts w:ascii="宋体" w:hAnsi="宋体" w:cs="宋体" w:eastAsia="宋体" w:hint="default"/>
                            <w:sz w:val="15"/>
                            <w:szCs w:val="15"/>
                          </w:rPr>
                        </w:pPr>
                        <w:r>
                          <w:rPr>
                            <w:rFonts w:ascii="宋体" w:hAnsi="宋体" w:cs="宋体" w:eastAsia="宋体" w:hint="default"/>
                            <w:sz w:val="15"/>
                            <w:szCs w:val="15"/>
                          </w:rPr>
                          <w:t>比</w:t>
                        </w:r>
                        <w:r>
                          <w:rPr>
                            <w:rFonts w:ascii="宋体" w:hAnsi="宋体" w:cs="宋体" w:eastAsia="宋体" w:hint="default"/>
                            <w:w w:val="99"/>
                            <w:sz w:val="15"/>
                            <w:szCs w:val="15"/>
                          </w:rPr>
                          <w:t> </w:t>
                        </w:r>
                        <w:r>
                          <w:rPr>
                            <w:rFonts w:ascii="宋体" w:hAnsi="宋体" w:cs="宋体" w:eastAsia="宋体" w:hint="default"/>
                            <w:sz w:val="15"/>
                            <w:szCs w:val="15"/>
                          </w:rPr>
                          <w:t>例</w:t>
                        </w:r>
                        <w:r>
                          <w:rPr>
                            <w:rFonts w:ascii="宋体" w:hAnsi="宋体" w:cs="宋体" w:eastAsia="宋体" w:hint="default"/>
                            <w:sz w:val="15"/>
                            <w:szCs w:val="15"/>
                          </w:rPr>
                          <w:t>%</w:t>
                        </w:r>
                      </w:p>
                    </w:tc>
                    <w:tc>
                      <w:tcPr>
                        <w:tcW w:w="12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80"/>
                          <w:ind w:left="105" w:right="110" w:firstLine="38"/>
                          <w:jc w:val="left"/>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w w:val="99"/>
                            <w:sz w:val="15"/>
                            <w:szCs w:val="15"/>
                          </w:rPr>
                          <w:t> </w:t>
                        </w:r>
                        <w:r>
                          <w:rPr>
                            <w:rFonts w:ascii="宋体" w:hAnsi="宋体" w:cs="宋体" w:eastAsia="宋体" w:hint="default"/>
                            <w:sz w:val="15"/>
                            <w:szCs w:val="15"/>
                          </w:rPr>
                          <w:t>比例</w:t>
                        </w:r>
                        <w:r>
                          <w:rPr>
                            <w:rFonts w:ascii="宋体" w:hAnsi="宋体" w:cs="宋体" w:eastAsia="宋体" w:hint="default"/>
                            <w:sz w:val="15"/>
                            <w:szCs w:val="15"/>
                          </w:rPr>
                          <w:t>%</w:t>
                        </w:r>
                      </w:p>
                    </w:tc>
                    <w:tc>
                      <w:tcPr>
                        <w:tcW w:w="1364" w:type="dxa"/>
                        <w:gridSpan w:val="2"/>
                        <w:vMerge/>
                        <w:tcBorders>
                          <w:left w:val="single" w:sz="4" w:space="0" w:color="000000"/>
                          <w:bottom w:val="single" w:sz="4" w:space="0" w:color="000000"/>
                          <w:right w:val="single" w:sz="12" w:space="0" w:color="000000"/>
                        </w:tcBorders>
                        <w:shd w:val="clear" w:color="auto" w:fill="D2D2D2"/>
                      </w:tcPr>
                      <w:p>
                        <w:pPr/>
                      </w:p>
                    </w:tc>
                  </w:tr>
                  <w:tr>
                    <w:trPr>
                      <w:trHeight w:val="715" w:hRule="exact"/>
                    </w:trPr>
                    <w:tc>
                      <w:tcPr>
                        <w:tcW w:w="129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84"/>
                          <w:ind w:left="91" w:right="133"/>
                          <w:jc w:val="left"/>
                          <w:rPr>
                            <w:rFonts w:ascii="宋体" w:hAnsi="宋体" w:cs="宋体" w:eastAsia="宋体" w:hint="default"/>
                            <w:sz w:val="15"/>
                            <w:szCs w:val="15"/>
                          </w:rPr>
                        </w:pPr>
                        <w:r>
                          <w:rPr>
                            <w:rFonts w:ascii="宋体" w:hAnsi="宋体" w:cs="宋体" w:eastAsia="宋体" w:hint="default"/>
                            <w:sz w:val="15"/>
                            <w:szCs w:val="15"/>
                          </w:rPr>
                          <w:t>按单项计提坏账</w:t>
                        </w:r>
                        <w:r>
                          <w:rPr>
                            <w:rFonts w:ascii="宋体" w:hAnsi="宋体" w:cs="宋体" w:eastAsia="宋体" w:hint="default"/>
                            <w:w w:val="99"/>
                            <w:sz w:val="15"/>
                            <w:szCs w:val="15"/>
                          </w:rPr>
                          <w:t> </w:t>
                        </w:r>
                        <w:r>
                          <w:rPr>
                            <w:rFonts w:ascii="宋体" w:hAnsi="宋体" w:cs="宋体" w:eastAsia="宋体" w:hint="default"/>
                            <w:sz w:val="15"/>
                            <w:szCs w:val="15"/>
                          </w:rPr>
                          <w:t>准备的应收账款</w:t>
                        </w:r>
                      </w:p>
                    </w:tc>
                    <w:tc>
                      <w:tcPr>
                        <w:tcW w:w="130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48" w:type="dxa"/>
                        <w:gridSpan w:val="2"/>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64" w:type="dxa"/>
                        <w:gridSpan w:val="2"/>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29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0" w:type="dxa"/>
                        <w:tcBorders>
                          <w:top w:val="single" w:sz="4" w:space="0" w:color="000000"/>
                          <w:left w:val="single" w:sz="4" w:space="0" w:color="000000"/>
                          <w:bottom w:val="single" w:sz="4" w:space="0" w:color="000000"/>
                          <w:right w:val="nil" w:sz="6" w:space="0" w:color="auto"/>
                        </w:tcBorders>
                      </w:tcPr>
                      <w:p>
                        <w:pPr/>
                      </w:p>
                    </w:tc>
                    <w:tc>
                      <w:tcPr>
                        <w:tcW w:w="1138" w:type="dxa"/>
                        <w:tcBorders>
                          <w:top w:val="single" w:sz="4" w:space="0" w:color="000000"/>
                          <w:left w:val="nil" w:sz="6" w:space="0" w:color="auto"/>
                          <w:bottom w:val="single" w:sz="4" w:space="0" w:color="000000"/>
                          <w:right w:val="single" w:sz="4" w:space="0" w:color="000000"/>
                        </w:tcBorders>
                        <w:shd w:val="clear" w:color="auto" w:fill="D2D2D2"/>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06" w:type="dxa"/>
                        <w:tcBorders>
                          <w:top w:val="single" w:sz="4" w:space="0" w:color="000000"/>
                          <w:left w:val="single" w:sz="4" w:space="0" w:color="000000"/>
                          <w:bottom w:val="single" w:sz="4" w:space="0" w:color="000000"/>
                          <w:right w:val="nil" w:sz="6" w:space="0" w:color="auto"/>
                        </w:tcBorders>
                      </w:tcPr>
                      <w:p>
                        <w:pPr/>
                      </w:p>
                    </w:tc>
                    <w:tc>
                      <w:tcPr>
                        <w:tcW w:w="1258" w:type="dxa"/>
                        <w:tcBorders>
                          <w:top w:val="single" w:sz="4" w:space="0" w:color="000000"/>
                          <w:left w:val="nil" w:sz="6" w:space="0" w:color="auto"/>
                          <w:bottom w:val="single" w:sz="4" w:space="0" w:color="000000"/>
                          <w:right w:val="single" w:sz="12" w:space="0" w:color="000000"/>
                        </w:tcBorders>
                        <w:shd w:val="clear" w:color="auto" w:fill="D2D2D2"/>
                      </w:tcPr>
                      <w:p>
                        <w:pPr/>
                      </w:p>
                    </w:tc>
                  </w:tr>
                  <w:tr>
                    <w:trPr>
                      <w:trHeight w:val="404" w:hRule="exact"/>
                    </w:trPr>
                    <w:tc>
                      <w:tcPr>
                        <w:tcW w:w="1292" w:type="dxa"/>
                        <w:tcBorders>
                          <w:top w:val="single" w:sz="4" w:space="0" w:color="000000"/>
                          <w:left w:val="single" w:sz="12"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248" w:type="dxa"/>
                        <w:gridSpan w:val="2"/>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64" w:type="dxa"/>
                        <w:gridSpan w:val="2"/>
                        <w:tcBorders>
                          <w:top w:val="single" w:sz="4" w:space="0" w:color="000000"/>
                          <w:left w:val="single" w:sz="4" w:space="0" w:color="000000"/>
                          <w:bottom w:val="single" w:sz="4" w:space="0" w:color="000000"/>
                          <w:right w:val="single" w:sz="12" w:space="0" w:color="000000"/>
                        </w:tcBorders>
                      </w:tcPr>
                      <w:p>
                        <w:pPr/>
                      </w:p>
                    </w:tc>
                  </w:tr>
                  <w:tr>
                    <w:trPr>
                      <w:trHeight w:val="713" w:hRule="exact"/>
                    </w:trPr>
                    <w:tc>
                      <w:tcPr>
                        <w:tcW w:w="129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1" w:right="133"/>
                          <w:jc w:val="left"/>
                          <w:rPr>
                            <w:rFonts w:ascii="宋体" w:hAnsi="宋体" w:cs="宋体" w:eastAsia="宋体" w:hint="default"/>
                            <w:sz w:val="15"/>
                            <w:szCs w:val="15"/>
                          </w:rPr>
                        </w:pPr>
                        <w:r>
                          <w:rPr>
                            <w:rFonts w:ascii="宋体" w:hAnsi="宋体" w:cs="宋体" w:eastAsia="宋体" w:hint="default"/>
                            <w:sz w:val="15"/>
                            <w:szCs w:val="15"/>
                          </w:rPr>
                          <w:t>按组合计提坏账</w:t>
                        </w:r>
                        <w:r>
                          <w:rPr>
                            <w:rFonts w:ascii="宋体" w:hAnsi="宋体" w:cs="宋体" w:eastAsia="宋体" w:hint="default"/>
                            <w:w w:val="99"/>
                            <w:sz w:val="15"/>
                            <w:szCs w:val="15"/>
                          </w:rPr>
                          <w:t> </w:t>
                        </w:r>
                        <w:r>
                          <w:rPr>
                            <w:rFonts w:ascii="宋体" w:hAnsi="宋体" w:cs="宋体" w:eastAsia="宋体" w:hint="default"/>
                            <w:sz w:val="15"/>
                            <w:szCs w:val="15"/>
                          </w:rPr>
                          <w:t>准备的应收账款</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8" w:right="0"/>
                          <w:jc w:val="center"/>
                          <w:rPr>
                            <w:rFonts w:ascii="宋体" w:hAnsi="宋体" w:cs="宋体" w:eastAsia="宋体" w:hint="default"/>
                            <w:sz w:val="15"/>
                            <w:szCs w:val="15"/>
                          </w:rPr>
                        </w:pPr>
                        <w:r>
                          <w:rPr>
                            <w:rFonts w:ascii="宋体"/>
                            <w:sz w:val="15"/>
                          </w:rPr>
                          <w:t>409,793,226.33</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 w:right="0"/>
                          <w:jc w:val="center"/>
                          <w:rPr>
                            <w:rFonts w:ascii="宋体" w:hAnsi="宋体" w:cs="宋体" w:eastAsia="宋体" w:hint="default"/>
                            <w:sz w:val="15"/>
                            <w:szCs w:val="15"/>
                          </w:rPr>
                        </w:pPr>
                        <w:r>
                          <w:rPr>
                            <w:rFonts w:ascii="宋体"/>
                            <w:sz w:val="15"/>
                          </w:rPr>
                          <w:t>100.00%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8" w:right="0"/>
                          <w:jc w:val="center"/>
                          <w:rPr>
                            <w:rFonts w:ascii="宋体" w:hAnsi="宋体" w:cs="宋体" w:eastAsia="宋体" w:hint="default"/>
                            <w:sz w:val="15"/>
                            <w:szCs w:val="15"/>
                          </w:rPr>
                        </w:pPr>
                        <w:r>
                          <w:rPr>
                            <w:rFonts w:ascii="宋体"/>
                            <w:sz w:val="15"/>
                          </w:rPr>
                          <w:t>51,285,886.55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15"/>
                            <w:szCs w:val="15"/>
                          </w:rPr>
                        </w:pPr>
                        <w:r>
                          <w:rPr>
                            <w:rFonts w:ascii="宋体"/>
                            <w:sz w:val="15"/>
                          </w:rPr>
                          <w:t>12.52%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5"/>
                            <w:szCs w:val="15"/>
                          </w:rPr>
                        </w:pPr>
                        <w:r>
                          <w:rPr>
                            <w:rFonts w:ascii="宋体"/>
                            <w:w w:val="95"/>
                            <w:sz w:val="15"/>
                          </w:rPr>
                          <w:t>358,507,339.78</w:t>
                        </w:r>
                        <w:r>
                          <w:rPr>
                            <w:rFonts w:ascii="宋体"/>
                            <w:sz w:val="15"/>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5"/>
                            <w:szCs w:val="15"/>
                          </w:rPr>
                        </w:pPr>
                        <w:r>
                          <w:rPr>
                            <w:rFonts w:ascii="宋体"/>
                            <w:w w:val="95"/>
                            <w:sz w:val="15"/>
                          </w:rPr>
                          <w:t>581,064,745.03</w:t>
                        </w:r>
                        <w:r>
                          <w:rPr>
                            <w:rFonts w:ascii="宋体"/>
                            <w:sz w:val="15"/>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5"/>
                          <w:jc w:val="right"/>
                          <w:rPr>
                            <w:rFonts w:ascii="宋体" w:hAnsi="宋体" w:cs="宋体" w:eastAsia="宋体" w:hint="default"/>
                            <w:sz w:val="15"/>
                            <w:szCs w:val="15"/>
                          </w:rPr>
                        </w:pPr>
                        <w:r>
                          <w:rPr>
                            <w:rFonts w:ascii="宋体"/>
                            <w:spacing w:val="2"/>
                            <w:w w:val="95"/>
                            <w:sz w:val="15"/>
                          </w:rPr>
                          <w:t>100</w:t>
                        </w:r>
                        <w:r>
                          <w:rPr>
                            <w:rFonts w:ascii="宋体"/>
                            <w:sz w:val="15"/>
                          </w:rPr>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58" w:right="0"/>
                          <w:jc w:val="left"/>
                          <w:rPr>
                            <w:rFonts w:ascii="宋体" w:hAnsi="宋体" w:cs="宋体" w:eastAsia="宋体" w:hint="default"/>
                            <w:sz w:val="15"/>
                            <w:szCs w:val="15"/>
                          </w:rPr>
                        </w:pPr>
                        <w:r>
                          <w:rPr>
                            <w:rFonts w:ascii="宋体"/>
                            <w:sz w:val="15"/>
                          </w:rPr>
                          <w:t>65,919,849.77</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 w:right="0"/>
                          <w:jc w:val="center"/>
                          <w:rPr>
                            <w:rFonts w:ascii="宋体" w:hAnsi="宋体" w:cs="宋体" w:eastAsia="宋体" w:hint="default"/>
                            <w:sz w:val="15"/>
                            <w:szCs w:val="15"/>
                          </w:rPr>
                        </w:pPr>
                        <w:r>
                          <w:rPr>
                            <w:rFonts w:ascii="宋体"/>
                            <w:sz w:val="15"/>
                          </w:rPr>
                          <w:t>11.34</w:t>
                        </w:r>
                      </w:p>
                    </w:tc>
                    <w:tc>
                      <w:tcPr>
                        <w:tcW w:w="1364"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97" w:right="0"/>
                          <w:jc w:val="left"/>
                          <w:rPr>
                            <w:rFonts w:ascii="宋体" w:hAnsi="宋体" w:cs="宋体" w:eastAsia="宋体" w:hint="default"/>
                            <w:sz w:val="15"/>
                            <w:szCs w:val="15"/>
                          </w:rPr>
                        </w:pPr>
                        <w:r>
                          <w:rPr>
                            <w:rFonts w:ascii="宋体"/>
                            <w:sz w:val="15"/>
                          </w:rPr>
                          <w:t>515,144,895.26</w:t>
                        </w:r>
                      </w:p>
                    </w:tc>
                  </w:tr>
                  <w:tr>
                    <w:trPr>
                      <w:trHeight w:val="401" w:hRule="exact"/>
                    </w:trPr>
                    <w:tc>
                      <w:tcPr>
                        <w:tcW w:w="129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1"/>
                          <w:ind w:left="91"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110" w:type="dxa"/>
                        <w:tcBorders>
                          <w:top w:val="single" w:sz="4" w:space="0" w:color="000000"/>
                          <w:left w:val="single" w:sz="4" w:space="0" w:color="000000"/>
                          <w:bottom w:val="single" w:sz="4" w:space="0" w:color="000000"/>
                          <w:right w:val="nil" w:sz="6" w:space="0" w:color="auto"/>
                        </w:tcBorders>
                      </w:tcPr>
                      <w:p>
                        <w:pPr/>
                      </w:p>
                    </w:tc>
                    <w:tc>
                      <w:tcPr>
                        <w:tcW w:w="1138" w:type="dxa"/>
                        <w:tcBorders>
                          <w:top w:val="single" w:sz="4" w:space="0" w:color="000000"/>
                          <w:left w:val="nil" w:sz="6" w:space="0" w:color="auto"/>
                          <w:bottom w:val="single" w:sz="4" w:space="0" w:color="000000"/>
                          <w:right w:val="single" w:sz="4" w:space="0" w:color="000000"/>
                        </w:tcBorders>
                        <w:shd w:val="clear" w:color="auto" w:fill="D2D2D2"/>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06" w:type="dxa"/>
                        <w:tcBorders>
                          <w:top w:val="single" w:sz="4" w:space="0" w:color="000000"/>
                          <w:left w:val="single" w:sz="4" w:space="0" w:color="000000"/>
                          <w:bottom w:val="single" w:sz="4" w:space="0" w:color="000000"/>
                          <w:right w:val="nil" w:sz="6" w:space="0" w:color="auto"/>
                        </w:tcBorders>
                      </w:tcPr>
                      <w:p>
                        <w:pPr/>
                      </w:p>
                    </w:tc>
                    <w:tc>
                      <w:tcPr>
                        <w:tcW w:w="1258" w:type="dxa"/>
                        <w:tcBorders>
                          <w:top w:val="single" w:sz="4" w:space="0" w:color="000000"/>
                          <w:left w:val="nil" w:sz="6" w:space="0" w:color="auto"/>
                          <w:bottom w:val="single" w:sz="4" w:space="0" w:color="000000"/>
                          <w:right w:val="single" w:sz="12" w:space="0" w:color="000000"/>
                        </w:tcBorders>
                        <w:shd w:val="clear" w:color="auto" w:fill="D2D2D2"/>
                      </w:tcPr>
                      <w:p>
                        <w:pPr/>
                      </w:p>
                    </w:tc>
                  </w:tr>
                  <w:tr>
                    <w:trPr>
                      <w:trHeight w:val="404" w:hRule="exact"/>
                    </w:trPr>
                    <w:tc>
                      <w:tcPr>
                        <w:tcW w:w="129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账龄组合</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8" w:right="0"/>
                          <w:jc w:val="center"/>
                          <w:rPr>
                            <w:rFonts w:ascii="宋体" w:hAnsi="宋体" w:cs="宋体" w:eastAsia="宋体" w:hint="default"/>
                            <w:sz w:val="15"/>
                            <w:szCs w:val="15"/>
                          </w:rPr>
                        </w:pPr>
                        <w:r>
                          <w:rPr>
                            <w:rFonts w:ascii="宋体"/>
                            <w:sz w:val="15"/>
                          </w:rPr>
                          <w:t>409,793,226.33</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 w:right="0"/>
                          <w:jc w:val="center"/>
                          <w:rPr>
                            <w:rFonts w:ascii="宋体" w:hAnsi="宋体" w:cs="宋体" w:eastAsia="宋体" w:hint="default"/>
                            <w:sz w:val="15"/>
                            <w:szCs w:val="15"/>
                          </w:rPr>
                        </w:pPr>
                        <w:r>
                          <w:rPr>
                            <w:rFonts w:ascii="宋体"/>
                            <w:sz w:val="15"/>
                          </w:rPr>
                          <w:t>100.00%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8" w:right="0"/>
                          <w:jc w:val="center"/>
                          <w:rPr>
                            <w:rFonts w:ascii="宋体" w:hAnsi="宋体" w:cs="宋体" w:eastAsia="宋体" w:hint="default"/>
                            <w:sz w:val="15"/>
                            <w:szCs w:val="15"/>
                          </w:rPr>
                        </w:pPr>
                        <w:r>
                          <w:rPr>
                            <w:rFonts w:ascii="宋体"/>
                            <w:sz w:val="15"/>
                          </w:rPr>
                          <w:t>51,285,886.55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6" w:right="0"/>
                          <w:jc w:val="center"/>
                          <w:rPr>
                            <w:rFonts w:ascii="宋体" w:hAnsi="宋体" w:cs="宋体" w:eastAsia="宋体" w:hint="default"/>
                            <w:sz w:val="15"/>
                            <w:szCs w:val="15"/>
                          </w:rPr>
                        </w:pPr>
                        <w:r>
                          <w:rPr>
                            <w:rFonts w:ascii="宋体"/>
                            <w:sz w:val="15"/>
                          </w:rPr>
                          <w:t>12.52%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w w:val="95"/>
                            <w:sz w:val="15"/>
                          </w:rPr>
                          <w:t>358,507,339.78</w:t>
                        </w:r>
                        <w:r>
                          <w:rPr>
                            <w:rFonts w:ascii="宋体"/>
                            <w:sz w:val="15"/>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宋体" w:hAnsi="宋体" w:cs="宋体" w:eastAsia="宋体" w:hint="default"/>
                            <w:sz w:val="15"/>
                            <w:szCs w:val="15"/>
                          </w:rPr>
                        </w:pPr>
                        <w:r>
                          <w:rPr>
                            <w:rFonts w:ascii="宋体"/>
                            <w:w w:val="95"/>
                            <w:sz w:val="15"/>
                          </w:rPr>
                          <w:t>581,064,745.03</w:t>
                        </w:r>
                        <w:r>
                          <w:rPr>
                            <w:rFonts w:ascii="宋体"/>
                            <w:sz w:val="15"/>
                          </w:rPr>
                        </w:r>
                      </w:p>
                    </w:tc>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5"/>
                          <w:jc w:val="right"/>
                          <w:rPr>
                            <w:rFonts w:ascii="宋体" w:hAnsi="宋体" w:cs="宋体" w:eastAsia="宋体" w:hint="default"/>
                            <w:sz w:val="15"/>
                            <w:szCs w:val="15"/>
                          </w:rPr>
                        </w:pPr>
                        <w:r>
                          <w:rPr>
                            <w:rFonts w:ascii="宋体"/>
                            <w:spacing w:val="2"/>
                            <w:w w:val="95"/>
                            <w:sz w:val="15"/>
                          </w:rPr>
                          <w:t>100</w:t>
                        </w:r>
                        <w:r>
                          <w:rPr>
                            <w:rFonts w:ascii="宋体"/>
                            <w:sz w:val="15"/>
                          </w:rPr>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58" w:right="0"/>
                          <w:jc w:val="left"/>
                          <w:rPr>
                            <w:rFonts w:ascii="宋体" w:hAnsi="宋体" w:cs="宋体" w:eastAsia="宋体" w:hint="default"/>
                            <w:sz w:val="15"/>
                            <w:szCs w:val="15"/>
                          </w:rPr>
                        </w:pPr>
                        <w:r>
                          <w:rPr>
                            <w:rFonts w:ascii="宋体"/>
                            <w:sz w:val="15"/>
                          </w:rPr>
                          <w:t>65,919,849.77</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6" w:right="0"/>
                          <w:jc w:val="center"/>
                          <w:rPr>
                            <w:rFonts w:ascii="宋体" w:hAnsi="宋体" w:cs="宋体" w:eastAsia="宋体" w:hint="default"/>
                            <w:sz w:val="15"/>
                            <w:szCs w:val="15"/>
                          </w:rPr>
                        </w:pPr>
                        <w:r>
                          <w:rPr>
                            <w:rFonts w:ascii="宋体"/>
                            <w:sz w:val="15"/>
                          </w:rPr>
                          <w:t>11.34</w:t>
                        </w:r>
                      </w:p>
                    </w:tc>
                    <w:tc>
                      <w:tcPr>
                        <w:tcW w:w="1364" w:type="dxa"/>
                        <w:gridSpan w:val="2"/>
                        <w:tcBorders>
                          <w:top w:val="single" w:sz="4" w:space="0" w:color="000000"/>
                          <w:left w:val="single" w:sz="4" w:space="0" w:color="000000"/>
                          <w:bottom w:val="single" w:sz="4" w:space="0" w:color="000000"/>
                          <w:right w:val="single" w:sz="12" w:space="0" w:color="000000"/>
                        </w:tcBorders>
                      </w:tcPr>
                      <w:p>
                        <w:pPr>
                          <w:pStyle w:val="TableParagraph"/>
                          <w:spacing w:line="240" w:lineRule="auto" w:before="79"/>
                          <w:ind w:left="197" w:right="0"/>
                          <w:jc w:val="left"/>
                          <w:rPr>
                            <w:rFonts w:ascii="宋体" w:hAnsi="宋体" w:cs="宋体" w:eastAsia="宋体" w:hint="default"/>
                            <w:sz w:val="15"/>
                            <w:szCs w:val="15"/>
                          </w:rPr>
                        </w:pPr>
                        <w:r>
                          <w:rPr>
                            <w:rFonts w:ascii="宋体"/>
                            <w:sz w:val="15"/>
                          </w:rPr>
                          <w:t>515,144,895.26</w:t>
                        </w:r>
                      </w:p>
                    </w:tc>
                  </w:tr>
                  <w:tr>
                    <w:trPr>
                      <w:trHeight w:val="413" w:hRule="exact"/>
                    </w:trPr>
                    <w:tc>
                      <w:tcPr>
                        <w:tcW w:w="129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3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38" w:right="0"/>
                          <w:jc w:val="center"/>
                          <w:rPr>
                            <w:rFonts w:ascii="宋体" w:hAnsi="宋体" w:cs="宋体" w:eastAsia="宋体" w:hint="default"/>
                            <w:sz w:val="15"/>
                            <w:szCs w:val="15"/>
                          </w:rPr>
                        </w:pPr>
                        <w:r>
                          <w:rPr>
                            <w:rFonts w:ascii="宋体"/>
                            <w:sz w:val="15"/>
                          </w:rPr>
                          <w:t>409,793,226.33</w:t>
                        </w:r>
                      </w:p>
                    </w:tc>
                    <w:tc>
                      <w:tcPr>
                        <w:tcW w:w="7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10" w:right="0"/>
                          <w:jc w:val="center"/>
                          <w:rPr>
                            <w:rFonts w:ascii="宋体" w:hAnsi="宋体" w:cs="宋体" w:eastAsia="宋体" w:hint="default"/>
                            <w:sz w:val="15"/>
                            <w:szCs w:val="15"/>
                          </w:rPr>
                        </w:pPr>
                        <w:r>
                          <w:rPr>
                            <w:rFonts w:ascii="宋体"/>
                            <w:sz w:val="15"/>
                          </w:rPr>
                          <w:t>100.00%</w:t>
                        </w:r>
                      </w:p>
                    </w:tc>
                    <w:tc>
                      <w:tcPr>
                        <w:tcW w:w="12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48" w:right="0"/>
                          <w:jc w:val="center"/>
                          <w:rPr>
                            <w:rFonts w:ascii="宋体" w:hAnsi="宋体" w:cs="宋体" w:eastAsia="宋体" w:hint="default"/>
                            <w:sz w:val="15"/>
                            <w:szCs w:val="15"/>
                          </w:rPr>
                        </w:pPr>
                        <w:r>
                          <w:rPr>
                            <w:rFonts w:ascii="宋体"/>
                            <w:sz w:val="15"/>
                          </w:rPr>
                          <w:t>51,285,886.55</w:t>
                        </w:r>
                      </w:p>
                    </w:tc>
                    <w:tc>
                      <w:tcPr>
                        <w:tcW w:w="6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16" w:right="0"/>
                          <w:jc w:val="center"/>
                          <w:rPr>
                            <w:rFonts w:ascii="宋体" w:hAnsi="宋体" w:cs="宋体" w:eastAsia="宋体" w:hint="default"/>
                            <w:sz w:val="15"/>
                            <w:szCs w:val="15"/>
                          </w:rPr>
                        </w:pPr>
                        <w:r>
                          <w:rPr>
                            <w:rFonts w:ascii="宋体"/>
                            <w:sz w:val="15"/>
                          </w:rPr>
                          <w:t>12.52%</w:t>
                        </w: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w w:val="95"/>
                            <w:sz w:val="15"/>
                          </w:rPr>
                          <w:t>358,507,339.78</w:t>
                        </w:r>
                        <w:r>
                          <w:rPr>
                            <w:rFonts w:ascii="宋体"/>
                            <w:sz w:val="15"/>
                          </w:rPr>
                        </w: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98"/>
                          <w:jc w:val="right"/>
                          <w:rPr>
                            <w:rFonts w:ascii="宋体" w:hAnsi="宋体" w:cs="宋体" w:eastAsia="宋体" w:hint="default"/>
                            <w:sz w:val="15"/>
                            <w:szCs w:val="15"/>
                          </w:rPr>
                        </w:pPr>
                        <w:r>
                          <w:rPr>
                            <w:rFonts w:ascii="宋体"/>
                            <w:w w:val="95"/>
                            <w:sz w:val="15"/>
                          </w:rPr>
                          <w:t>581,064,745.03</w:t>
                        </w:r>
                        <w:r>
                          <w:rPr>
                            <w:rFonts w:ascii="宋体"/>
                            <w:sz w:val="15"/>
                          </w:rPr>
                        </w:r>
                      </w:p>
                    </w:tc>
                    <w:tc>
                      <w:tcPr>
                        <w:tcW w:w="4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95"/>
                          <w:jc w:val="right"/>
                          <w:rPr>
                            <w:rFonts w:ascii="宋体" w:hAnsi="宋体" w:cs="宋体" w:eastAsia="宋体" w:hint="default"/>
                            <w:sz w:val="15"/>
                            <w:szCs w:val="15"/>
                          </w:rPr>
                        </w:pPr>
                        <w:r>
                          <w:rPr>
                            <w:rFonts w:ascii="宋体"/>
                            <w:spacing w:val="2"/>
                            <w:w w:val="95"/>
                            <w:sz w:val="15"/>
                          </w:rPr>
                          <w:t>100</w:t>
                        </w:r>
                        <w:r>
                          <w:rPr>
                            <w:rFonts w:ascii="宋体"/>
                            <w:sz w:val="15"/>
                          </w:rPr>
                        </w:r>
                      </w:p>
                    </w:tc>
                    <w:tc>
                      <w:tcPr>
                        <w:tcW w:w="1248" w:type="dxa"/>
                        <w:gridSpan w:val="2"/>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158" w:right="0"/>
                          <w:jc w:val="left"/>
                          <w:rPr>
                            <w:rFonts w:ascii="宋体" w:hAnsi="宋体" w:cs="宋体" w:eastAsia="宋体" w:hint="default"/>
                            <w:sz w:val="15"/>
                            <w:szCs w:val="15"/>
                          </w:rPr>
                        </w:pPr>
                        <w:r>
                          <w:rPr>
                            <w:rFonts w:ascii="宋体"/>
                            <w:sz w:val="15"/>
                          </w:rPr>
                          <w:t>65,919,849.77</w:t>
                        </w:r>
                      </w:p>
                    </w:tc>
                    <w:tc>
                      <w:tcPr>
                        <w:tcW w:w="6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6" w:right="0"/>
                          <w:jc w:val="center"/>
                          <w:rPr>
                            <w:rFonts w:ascii="宋体" w:hAnsi="宋体" w:cs="宋体" w:eastAsia="宋体" w:hint="default"/>
                            <w:sz w:val="15"/>
                            <w:szCs w:val="15"/>
                          </w:rPr>
                        </w:pPr>
                        <w:r>
                          <w:rPr>
                            <w:rFonts w:ascii="宋体"/>
                            <w:sz w:val="15"/>
                          </w:rPr>
                          <w:t>11.34</w:t>
                        </w:r>
                      </w:p>
                    </w:tc>
                    <w:tc>
                      <w:tcPr>
                        <w:tcW w:w="1364" w:type="dxa"/>
                        <w:gridSpan w:val="2"/>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9"/>
                          <w:ind w:left="197" w:right="0"/>
                          <w:jc w:val="left"/>
                          <w:rPr>
                            <w:rFonts w:ascii="宋体" w:hAnsi="宋体" w:cs="宋体" w:eastAsia="宋体" w:hint="default"/>
                            <w:sz w:val="15"/>
                            <w:szCs w:val="15"/>
                          </w:rPr>
                        </w:pPr>
                        <w:r>
                          <w:rPr>
                            <w:rFonts w:ascii="宋体"/>
                            <w:sz w:val="15"/>
                          </w:rPr>
                          <w:t>515,144,895.26</w:t>
                        </w:r>
                      </w:p>
                    </w:tc>
                  </w:tr>
                </w:tbl>
                <w:p>
                  <w:pPr/>
                </w:p>
              </w:txbxContent>
            </v:textbox>
            <w10:wrap type="none"/>
          </v:shape>
        </w:pict>
      </w: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tabs>
          <w:tab w:pos="9830" w:val="left" w:leader="none"/>
        </w:tabs>
        <w:spacing w:line="397" w:lineRule="exact"/>
        <w:ind w:left="8106" w:right="0" w:firstLine="0"/>
        <w:rPr>
          <w:rFonts w:ascii="宋体" w:hAnsi="宋体" w:cs="宋体" w:eastAsia="宋体" w:hint="default"/>
          <w:sz w:val="20"/>
          <w:szCs w:val="20"/>
        </w:rPr>
      </w:pPr>
      <w:r>
        <w:rPr>
          <w:rFonts w:ascii="宋体"/>
          <w:position w:val="-7"/>
          <w:sz w:val="20"/>
        </w:rPr>
        <w:drawing>
          <wp:inline distT="0" distB="0" distL="0" distR="0">
            <wp:extent cx="372462" cy="252412"/>
            <wp:effectExtent l="0" t="0" r="0" b="0"/>
            <wp:docPr id="7" name="image7.png" descr=""/>
            <wp:cNvGraphicFramePr>
              <a:graphicFrameLocks noChangeAspect="1"/>
            </wp:cNvGraphicFramePr>
            <a:graphic>
              <a:graphicData uri="http://schemas.openxmlformats.org/drawingml/2006/picture">
                <pic:pic>
                  <pic:nvPicPr>
                    <pic:cNvPr id="8" name="image7.png"/>
                    <pic:cNvPicPr/>
                  </pic:nvPicPr>
                  <pic:blipFill>
                    <a:blip r:embed="rId18" cstate="print"/>
                    <a:stretch>
                      <a:fillRect/>
                    </a:stretch>
                  </pic:blipFill>
                  <pic:spPr>
                    <a:xfrm>
                      <a:off x="0" y="0"/>
                      <a:ext cx="372462" cy="252412"/>
                    </a:xfrm>
                    <a:prstGeom prst="rect">
                      <a:avLst/>
                    </a:prstGeom>
                  </pic:spPr>
                </pic:pic>
              </a:graphicData>
            </a:graphic>
          </wp:inline>
        </w:drawing>
      </w:r>
      <w:r>
        <w:rPr>
          <w:rFonts w:ascii="宋体"/>
          <w:position w:val="-7"/>
          <w:sz w:val="20"/>
        </w:rPr>
      </w:r>
      <w:r>
        <w:rPr>
          <w:rFonts w:ascii="宋体"/>
          <w:position w:val="-7"/>
          <w:sz w:val="20"/>
        </w:rPr>
        <w:tab/>
      </w:r>
      <w:r>
        <w:rPr>
          <w:rFonts w:ascii="宋体"/>
          <w:position w:val="-7"/>
          <w:sz w:val="20"/>
        </w:rPr>
        <w:drawing>
          <wp:inline distT="0" distB="0" distL="0" distR="0">
            <wp:extent cx="449417" cy="252412"/>
            <wp:effectExtent l="0" t="0" r="0" b="0"/>
            <wp:docPr id="9" name="image8.png" descr=""/>
            <wp:cNvGraphicFramePr>
              <a:graphicFrameLocks noChangeAspect="1"/>
            </wp:cNvGraphicFramePr>
            <a:graphic>
              <a:graphicData uri="http://schemas.openxmlformats.org/drawingml/2006/picture">
                <pic:pic>
                  <pic:nvPicPr>
                    <pic:cNvPr id="10" name="image8.png"/>
                    <pic:cNvPicPr/>
                  </pic:nvPicPr>
                  <pic:blipFill>
                    <a:blip r:embed="rId19" cstate="print"/>
                    <a:stretch>
                      <a:fillRect/>
                    </a:stretch>
                  </pic:blipFill>
                  <pic:spPr>
                    <a:xfrm>
                      <a:off x="0" y="0"/>
                      <a:ext cx="449417" cy="252412"/>
                    </a:xfrm>
                    <a:prstGeom prst="rect">
                      <a:avLst/>
                    </a:prstGeom>
                  </pic:spPr>
                </pic:pic>
              </a:graphicData>
            </a:graphic>
          </wp:inline>
        </w:drawing>
      </w:r>
      <w:r>
        <w:rPr>
          <w:rFonts w:ascii="宋体"/>
          <w:position w:val="-7"/>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tabs>
          <w:tab w:pos="9830" w:val="left" w:leader="none"/>
        </w:tabs>
        <w:spacing w:line="390" w:lineRule="exact"/>
        <w:ind w:left="8106" w:right="0" w:firstLine="0"/>
        <w:rPr>
          <w:rFonts w:ascii="宋体" w:hAnsi="宋体" w:cs="宋体" w:eastAsia="宋体" w:hint="default"/>
          <w:sz w:val="20"/>
          <w:szCs w:val="20"/>
        </w:rPr>
      </w:pPr>
      <w:r>
        <w:rPr>
          <w:rFonts w:ascii="宋体"/>
          <w:position w:val="-7"/>
          <w:sz w:val="20"/>
        </w:rPr>
        <w:drawing>
          <wp:inline distT="0" distB="0" distL="0" distR="0">
            <wp:extent cx="369946" cy="247650"/>
            <wp:effectExtent l="0" t="0" r="0" b="0"/>
            <wp:docPr id="11" name="image9.png" descr=""/>
            <wp:cNvGraphicFramePr>
              <a:graphicFrameLocks noChangeAspect="1"/>
            </wp:cNvGraphicFramePr>
            <a:graphic>
              <a:graphicData uri="http://schemas.openxmlformats.org/drawingml/2006/picture">
                <pic:pic>
                  <pic:nvPicPr>
                    <pic:cNvPr id="12" name="image9.png"/>
                    <pic:cNvPicPr/>
                  </pic:nvPicPr>
                  <pic:blipFill>
                    <a:blip r:embed="rId20" cstate="print"/>
                    <a:stretch>
                      <a:fillRect/>
                    </a:stretch>
                  </pic:blipFill>
                  <pic:spPr>
                    <a:xfrm>
                      <a:off x="0" y="0"/>
                      <a:ext cx="369946" cy="247650"/>
                    </a:xfrm>
                    <a:prstGeom prst="rect">
                      <a:avLst/>
                    </a:prstGeom>
                  </pic:spPr>
                </pic:pic>
              </a:graphicData>
            </a:graphic>
          </wp:inline>
        </w:drawing>
      </w:r>
      <w:r>
        <w:rPr>
          <w:rFonts w:ascii="宋体"/>
          <w:position w:val="-7"/>
          <w:sz w:val="20"/>
        </w:rPr>
      </w:r>
      <w:r>
        <w:rPr>
          <w:rFonts w:ascii="宋体"/>
          <w:position w:val="-7"/>
          <w:sz w:val="20"/>
        </w:rPr>
        <w:tab/>
      </w:r>
      <w:r>
        <w:rPr>
          <w:rFonts w:ascii="宋体"/>
          <w:position w:val="-7"/>
          <w:sz w:val="20"/>
        </w:rPr>
        <w:drawing>
          <wp:inline distT="0" distB="0" distL="0" distR="0">
            <wp:extent cx="446381" cy="247650"/>
            <wp:effectExtent l="0" t="0" r="0" b="0"/>
            <wp:docPr id="13" name="image10.png" descr=""/>
            <wp:cNvGraphicFramePr>
              <a:graphicFrameLocks noChangeAspect="1"/>
            </wp:cNvGraphicFramePr>
            <a:graphic>
              <a:graphicData uri="http://schemas.openxmlformats.org/drawingml/2006/picture">
                <pic:pic>
                  <pic:nvPicPr>
                    <pic:cNvPr id="14" name="image10.png"/>
                    <pic:cNvPicPr/>
                  </pic:nvPicPr>
                  <pic:blipFill>
                    <a:blip r:embed="rId21" cstate="print"/>
                    <a:stretch>
                      <a:fillRect/>
                    </a:stretch>
                  </pic:blipFill>
                  <pic:spPr>
                    <a:xfrm>
                      <a:off x="0" y="0"/>
                      <a:ext cx="446381" cy="247650"/>
                    </a:xfrm>
                    <a:prstGeom prst="rect">
                      <a:avLst/>
                    </a:prstGeom>
                  </pic:spPr>
                </pic:pic>
              </a:graphicData>
            </a:graphic>
          </wp:inline>
        </w:drawing>
      </w:r>
      <w:r>
        <w:rPr>
          <w:rFonts w:ascii="宋体"/>
          <w:position w:val="-7"/>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46"/>
        <w:ind w:left="1033" w:right="0" w:firstLine="0"/>
        <w:jc w:val="left"/>
        <w:rPr>
          <w:rFonts w:ascii="宋体" w:hAnsi="宋体" w:cs="宋体" w:eastAsia="宋体" w:hint="default"/>
          <w:sz w:val="18"/>
          <w:szCs w:val="18"/>
        </w:rPr>
      </w:pPr>
      <w:r>
        <w:rPr>
          <w:rFonts w:ascii="宋体" w:hAnsi="宋体" w:cs="宋体" w:eastAsia="宋体" w:hint="default"/>
          <w:spacing w:val="-3"/>
          <w:sz w:val="18"/>
          <w:szCs w:val="18"/>
        </w:rPr>
        <w:t>按组合计提坏账准备：账龄组合</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18" w:type="dxa"/>
        <w:tblLayout w:type="fixed"/>
        <w:tblCellMar>
          <w:top w:w="0" w:type="dxa"/>
          <w:left w:w="0" w:type="dxa"/>
          <w:bottom w:w="0" w:type="dxa"/>
          <w:right w:w="0" w:type="dxa"/>
        </w:tblCellMar>
        <w:tblLook w:val="01E0"/>
      </w:tblPr>
      <w:tblGrid>
        <w:gridCol w:w="2391"/>
        <w:gridCol w:w="2396"/>
        <w:gridCol w:w="2391"/>
        <w:gridCol w:w="2391"/>
      </w:tblGrid>
      <w:tr>
        <w:trPr>
          <w:trHeight w:val="413" w:hRule="exact"/>
        </w:trPr>
        <w:tc>
          <w:tcPr>
            <w:tcW w:w="2391"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9" w:type="dxa"/>
            <w:gridSpan w:val="3"/>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12"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8"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239,112,112.92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7,173,363.39</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3.00%</w:t>
            </w: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94,959,512.49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9,495,951.25</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10.00%</w:t>
            </w:r>
          </w:p>
        </w:tc>
      </w:tr>
      <w:tr>
        <w:trPr>
          <w:trHeight w:val="404"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33,931,801.43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10,179,540.43</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30.00%</w:t>
            </w: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32,280,997.36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16,140,498.69</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50.00%</w:t>
            </w:r>
          </w:p>
        </w:tc>
      </w:tr>
      <w:tr>
        <w:trPr>
          <w:trHeight w:val="398"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4,040,897.82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2,828,628.48</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70.00%</w:t>
            </w: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5,467,904.31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5,467,904.31</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100.00%</w:t>
            </w:r>
          </w:p>
        </w:tc>
      </w:tr>
      <w:tr>
        <w:trPr>
          <w:trHeight w:val="413" w:hRule="exact"/>
        </w:trPr>
        <w:tc>
          <w:tcPr>
            <w:tcW w:w="239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409,793,226.33</w:t>
            </w:r>
          </w:p>
        </w:tc>
        <w:tc>
          <w:tcPr>
            <w:tcW w:w="2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51,285,886.55</w:t>
            </w:r>
          </w:p>
        </w:tc>
        <w:tc>
          <w:tcPr>
            <w:tcW w:w="2391"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3"/>
              <w:ind w:left="18" w:right="0"/>
              <w:jc w:val="center"/>
              <w:rPr>
                <w:rFonts w:ascii="宋体" w:hAnsi="宋体" w:cs="宋体" w:eastAsia="宋体" w:hint="default"/>
                <w:sz w:val="18"/>
                <w:szCs w:val="18"/>
              </w:rPr>
            </w:pPr>
            <w:r>
              <w:rPr>
                <w:rFonts w:ascii="宋体"/>
                <w:sz w:val="18"/>
              </w:rPr>
              <w:t>--</w:t>
            </w:r>
          </w:p>
        </w:tc>
      </w:tr>
    </w:tbl>
    <w:p>
      <w:pPr>
        <w:spacing w:before="54"/>
        <w:ind w:left="1033" w:right="0" w:firstLine="0"/>
        <w:jc w:val="left"/>
        <w:rPr>
          <w:rFonts w:ascii="宋体" w:hAnsi="宋体" w:cs="宋体" w:eastAsia="宋体" w:hint="default"/>
          <w:sz w:val="18"/>
          <w:szCs w:val="18"/>
        </w:rPr>
      </w:pPr>
      <w:r>
        <w:rPr>
          <w:rFonts w:ascii="宋体" w:hAnsi="宋体" w:cs="宋体" w:eastAsia="宋体" w:hint="default"/>
          <w:sz w:val="18"/>
          <w:szCs w:val="18"/>
        </w:rPr>
        <w:t>按账龄披露</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1" w:footer="1037" w:top="1040" w:bottom="1220" w:left="10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4788"/>
        <w:gridCol w:w="4782"/>
      </w:tblGrid>
      <w:tr>
        <w:trPr>
          <w:trHeight w:val="408" w:hRule="exact"/>
        </w:trPr>
        <w:tc>
          <w:tcPr>
            <w:tcW w:w="47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2"/>
                <w:sz w:val="18"/>
              </w:rPr>
              <w:t>239,112,112.92</w:t>
            </w:r>
          </w:p>
        </w:tc>
      </w:tr>
      <w:tr>
        <w:trPr>
          <w:trHeight w:val="399" w:hRule="exact"/>
        </w:trPr>
        <w:tc>
          <w:tcPr>
            <w:tcW w:w="4788" w:type="dxa"/>
            <w:tcBorders>
              <w:top w:val="single" w:sz="4" w:space="0" w:color="000000"/>
              <w:left w:val="single" w:sz="12" w:space="0" w:color="000000"/>
              <w:bottom w:val="single" w:sz="4" w:space="0" w:color="000000"/>
              <w:right w:val="single" w:sz="4" w:space="0" w:color="000000"/>
            </w:tcBorders>
          </w:tcPr>
          <w:p>
            <w:pPr/>
          </w:p>
        </w:tc>
        <w:tc>
          <w:tcPr>
            <w:tcW w:w="4782"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94,959,512.49</w:t>
            </w: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33,931,801.43</w:t>
            </w: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41,789,799.49</w:t>
            </w:r>
          </w:p>
        </w:tc>
      </w:tr>
      <w:tr>
        <w:trPr>
          <w:trHeight w:val="399"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32,280,997.36</w:t>
            </w: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4,040,897.82</w:t>
            </w: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5,467,904.31</w:t>
            </w:r>
          </w:p>
        </w:tc>
      </w:tr>
      <w:tr>
        <w:trPr>
          <w:trHeight w:val="413" w:hRule="exact"/>
        </w:trPr>
        <w:tc>
          <w:tcPr>
            <w:tcW w:w="47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409,793,226.33</w:t>
            </w:r>
          </w:p>
        </w:tc>
      </w:tr>
    </w:tbl>
    <w:p>
      <w:pPr>
        <w:pStyle w:val="Heading4"/>
        <w:spacing w:line="240" w:lineRule="auto" w:before="66"/>
        <w:ind w:right="1024"/>
        <w:jc w:val="left"/>
        <w:rPr>
          <w:b w:val="0"/>
          <w:bCs w:val="0"/>
        </w:rPr>
      </w:pPr>
      <w:bookmarkStart w:name="（2）本期计提、收回或转回的坏账准备情况" w:id="291"/>
      <w:bookmarkEnd w:id="291"/>
      <w:r>
        <w:rPr>
          <w:b w:val="0"/>
          <w:bCs w:val="0"/>
        </w:rPr>
      </w:r>
      <w:r>
        <w:rPr/>
        <w:t>（</w:t>
      </w:r>
      <w:r>
        <w:rPr>
          <w:rFonts w:ascii="宋体" w:hAnsi="宋体" w:cs="宋体" w:eastAsia="宋体" w:hint="default"/>
        </w:rPr>
        <w:t>2</w:t>
      </w:r>
      <w:r>
        <w:rPr/>
        <w:t>）本期计提、收回或转回的坏账准备情况</w:t>
      </w:r>
      <w:r>
        <w:rPr>
          <w:b w:val="0"/>
          <w:bCs w:val="0"/>
        </w:rPr>
      </w:r>
    </w:p>
    <w:p>
      <w:pPr>
        <w:spacing w:line="240" w:lineRule="auto" w:before="7"/>
        <w:rPr>
          <w:rFonts w:ascii="宋体" w:hAnsi="宋体" w:cs="宋体" w:eastAsia="宋体" w:hint="default"/>
          <w:b/>
          <w:bCs/>
          <w:sz w:val="16"/>
          <w:szCs w:val="16"/>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line="240" w:lineRule="auto" w:before="6"/>
        <w:rPr>
          <w:rFonts w:ascii="宋体" w:hAnsi="宋体" w:cs="宋体" w:eastAsia="宋体" w:hint="default"/>
          <w:sz w:val="11"/>
          <w:szCs w:val="11"/>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033"/>
        <w:gridCol w:w="1704"/>
        <w:gridCol w:w="980"/>
        <w:gridCol w:w="1757"/>
        <w:gridCol w:w="1095"/>
        <w:gridCol w:w="1426"/>
        <w:gridCol w:w="1580"/>
      </w:tblGrid>
      <w:tr>
        <w:trPr>
          <w:trHeight w:val="410" w:hRule="exact"/>
        </w:trPr>
        <w:tc>
          <w:tcPr>
            <w:tcW w:w="1033"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704"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258" w:type="dxa"/>
            <w:gridSpan w:val="4"/>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033" w:type="dxa"/>
            <w:vMerge/>
            <w:tcBorders>
              <w:left w:val="single" w:sz="12" w:space="0" w:color="000000"/>
              <w:bottom w:val="single" w:sz="4" w:space="0" w:color="000000"/>
              <w:right w:val="single" w:sz="4" w:space="0" w:color="000000"/>
            </w:tcBorders>
            <w:shd w:val="clear" w:color="auto" w:fill="D2D2D2"/>
          </w:tcPr>
          <w:p>
            <w:pPr/>
          </w:p>
        </w:tc>
        <w:tc>
          <w:tcPr>
            <w:tcW w:w="1704" w:type="dxa"/>
            <w:vMerge/>
            <w:tcBorders>
              <w:left w:val="single" w:sz="4" w:space="0" w:color="000000"/>
              <w:bottom w:val="single" w:sz="4" w:space="0" w:color="000000"/>
              <w:right w:val="single" w:sz="4" w:space="0" w:color="000000"/>
            </w:tcBorders>
            <w:shd w:val="clear" w:color="auto" w:fill="D2D2D2"/>
          </w:tcPr>
          <w:p>
            <w:pPr/>
          </w:p>
        </w:tc>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7"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12" w:space="0" w:color="000000"/>
            </w:tcBorders>
            <w:shd w:val="clear" w:color="auto" w:fill="D2D2D2"/>
          </w:tcPr>
          <w:p>
            <w:pPr/>
          </w:p>
        </w:tc>
      </w:tr>
      <w:tr>
        <w:trPr>
          <w:trHeight w:val="403" w:hRule="exact"/>
        </w:trPr>
        <w:tc>
          <w:tcPr>
            <w:tcW w:w="103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65,919,849.77</w:t>
            </w:r>
          </w:p>
        </w:tc>
        <w:tc>
          <w:tcPr>
            <w:tcW w:w="980"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11,192,696.71</w:t>
            </w:r>
          </w:p>
        </w:tc>
        <w:tc>
          <w:tcPr>
            <w:tcW w:w="1095"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7" w:right="0"/>
              <w:jc w:val="center"/>
              <w:rPr>
                <w:rFonts w:ascii="宋体" w:hAnsi="宋体" w:cs="宋体" w:eastAsia="宋体" w:hint="default"/>
                <w:sz w:val="18"/>
                <w:szCs w:val="18"/>
              </w:rPr>
            </w:pPr>
            <w:r>
              <w:rPr>
                <w:rFonts w:ascii="宋体"/>
                <w:sz w:val="18"/>
              </w:rPr>
              <w:t>-3,441,266.51</w:t>
            </w: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51,285,886.55</w:t>
            </w:r>
          </w:p>
        </w:tc>
      </w:tr>
      <w:tr>
        <w:trPr>
          <w:trHeight w:val="413" w:hRule="exact"/>
        </w:trPr>
        <w:tc>
          <w:tcPr>
            <w:tcW w:w="103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65,919,849.77</w:t>
            </w:r>
          </w:p>
        </w:tc>
        <w:tc>
          <w:tcPr>
            <w:tcW w:w="980" w:type="dxa"/>
            <w:tcBorders>
              <w:top w:val="single" w:sz="4" w:space="0" w:color="000000"/>
              <w:left w:val="single" w:sz="4" w:space="0" w:color="000000"/>
              <w:bottom w:val="single" w:sz="12" w:space="0" w:color="000000"/>
              <w:right w:val="single" w:sz="4" w:space="0" w:color="000000"/>
            </w:tcBorders>
          </w:tcPr>
          <w:p>
            <w:pPr/>
          </w:p>
        </w:tc>
        <w:tc>
          <w:tcPr>
            <w:tcW w:w="17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11,192,696.71</w:t>
            </w:r>
          </w:p>
        </w:tc>
        <w:tc>
          <w:tcPr>
            <w:tcW w:w="1095" w:type="dxa"/>
            <w:tcBorders>
              <w:top w:val="single" w:sz="4" w:space="0" w:color="000000"/>
              <w:left w:val="single" w:sz="4" w:space="0" w:color="000000"/>
              <w:bottom w:val="single" w:sz="12" w:space="0" w:color="000000"/>
              <w:right w:val="single" w:sz="4" w:space="0" w:color="000000"/>
            </w:tcBorders>
          </w:tcPr>
          <w:p>
            <w:pP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47" w:right="0"/>
              <w:jc w:val="center"/>
              <w:rPr>
                <w:rFonts w:ascii="宋体" w:hAnsi="宋体" w:cs="宋体" w:eastAsia="宋体" w:hint="default"/>
                <w:sz w:val="18"/>
                <w:szCs w:val="18"/>
              </w:rPr>
            </w:pPr>
            <w:r>
              <w:rPr>
                <w:rFonts w:ascii="宋体"/>
                <w:sz w:val="18"/>
              </w:rPr>
              <w:t>-3,441,266.51</w:t>
            </w:r>
          </w:p>
        </w:tc>
        <w:tc>
          <w:tcPr>
            <w:tcW w:w="15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51,285,886.55</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3）按欠款方归集的期末余额前五名的应收账款情况" w:id="292"/>
      <w:bookmarkEnd w:id="292"/>
      <w:r>
        <w:rPr>
          <w:b w:val="0"/>
          <w:bCs w:val="0"/>
        </w:rPr>
      </w:r>
      <w:r>
        <w:rPr/>
        <w:t>（</w:t>
      </w:r>
      <w:r>
        <w:rPr>
          <w:rFonts w:ascii="宋体" w:hAnsi="宋体" w:cs="宋体" w:eastAsia="宋体" w:hint="default"/>
        </w:rPr>
        <w:t>3</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83"/>
        <w:gridCol w:w="2531"/>
        <w:gridCol w:w="2526"/>
        <w:gridCol w:w="2531"/>
      </w:tblGrid>
      <w:tr>
        <w:trPr>
          <w:trHeight w:val="725" w:hRule="exact"/>
        </w:trPr>
        <w:tc>
          <w:tcPr>
            <w:tcW w:w="198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1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989" w:right="170"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53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19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49,798,967.49</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3"/>
              <w:jc w:val="right"/>
              <w:rPr>
                <w:rFonts w:ascii="宋体" w:hAnsi="宋体" w:cs="宋体" w:eastAsia="宋体" w:hint="default"/>
                <w:sz w:val="18"/>
                <w:szCs w:val="18"/>
              </w:rPr>
            </w:pPr>
            <w:r>
              <w:rPr>
                <w:rFonts w:ascii="宋体"/>
                <w:spacing w:val="-1"/>
                <w:sz w:val="18"/>
              </w:rPr>
              <w:t>12.15%</w:t>
            </w:r>
          </w:p>
        </w:tc>
        <w:tc>
          <w:tcPr>
            <w:tcW w:w="25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1,493,969.02</w:t>
            </w:r>
          </w:p>
        </w:tc>
      </w:tr>
      <w:tr>
        <w:trPr>
          <w:trHeight w:val="398" w:hRule="exact"/>
        </w:trPr>
        <w:tc>
          <w:tcPr>
            <w:tcW w:w="19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24,306,320.00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5.93%</w:t>
            </w:r>
          </w:p>
        </w:tc>
        <w:tc>
          <w:tcPr>
            <w:tcW w:w="25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4,118,666.19</w:t>
            </w:r>
          </w:p>
        </w:tc>
      </w:tr>
      <w:tr>
        <w:trPr>
          <w:trHeight w:val="403" w:hRule="exact"/>
        </w:trPr>
        <w:tc>
          <w:tcPr>
            <w:tcW w:w="19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22,886,705.96</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5.58%</w:t>
            </w:r>
          </w:p>
        </w:tc>
        <w:tc>
          <w:tcPr>
            <w:tcW w:w="25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1,152,458.20</w:t>
            </w:r>
          </w:p>
        </w:tc>
      </w:tr>
      <w:tr>
        <w:trPr>
          <w:trHeight w:val="403" w:hRule="exact"/>
        </w:trPr>
        <w:tc>
          <w:tcPr>
            <w:tcW w:w="19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19,847,830.00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4.84%</w:t>
            </w:r>
          </w:p>
        </w:tc>
        <w:tc>
          <w:tcPr>
            <w:tcW w:w="25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6,363,931.10</w:t>
            </w:r>
          </w:p>
        </w:tc>
      </w:tr>
      <w:tr>
        <w:trPr>
          <w:trHeight w:val="404" w:hRule="exact"/>
        </w:trPr>
        <w:tc>
          <w:tcPr>
            <w:tcW w:w="19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19,447,296.68</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5"/>
              <w:jc w:val="right"/>
              <w:rPr>
                <w:rFonts w:ascii="宋体" w:hAnsi="宋体" w:cs="宋体" w:eastAsia="宋体" w:hint="default"/>
                <w:sz w:val="18"/>
                <w:szCs w:val="18"/>
              </w:rPr>
            </w:pPr>
            <w:r>
              <w:rPr>
                <w:rFonts w:ascii="宋体"/>
                <w:sz w:val="18"/>
              </w:rPr>
              <w:t>4.75%</w:t>
            </w:r>
          </w:p>
        </w:tc>
        <w:tc>
          <w:tcPr>
            <w:tcW w:w="25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759,351.34</w:t>
            </w:r>
          </w:p>
        </w:tc>
      </w:tr>
      <w:tr>
        <w:trPr>
          <w:trHeight w:val="413" w:hRule="exact"/>
        </w:trPr>
        <w:tc>
          <w:tcPr>
            <w:tcW w:w="198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136,287,120.13</w:t>
            </w:r>
          </w:p>
        </w:tc>
        <w:tc>
          <w:tcPr>
            <w:tcW w:w="25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33.25%</w:t>
            </w:r>
          </w:p>
        </w:tc>
        <w:tc>
          <w:tcPr>
            <w:tcW w:w="2531" w:type="dxa"/>
            <w:tcBorders>
              <w:top w:val="single" w:sz="4" w:space="0" w:color="000000"/>
              <w:left w:val="single" w:sz="4" w:space="0" w:color="000000"/>
              <w:bottom w:val="single" w:sz="12" w:space="0" w:color="000000"/>
              <w:right w:val="single" w:sz="12" w:space="0" w:color="000000"/>
            </w:tcBorders>
            <w:shd w:val="clear" w:color="auto" w:fill="D2D2D2"/>
          </w:tcPr>
          <w:p>
            <w:pPr/>
          </w:p>
        </w:tc>
      </w:tr>
    </w:tbl>
    <w:p>
      <w:pPr>
        <w:pStyle w:val="Heading4"/>
        <w:spacing w:line="240" w:lineRule="auto" w:before="66"/>
        <w:ind w:right="1024"/>
        <w:jc w:val="left"/>
        <w:rPr>
          <w:b w:val="0"/>
          <w:bCs w:val="0"/>
        </w:rPr>
      </w:pPr>
      <w:bookmarkStart w:name="6、预付款项" w:id="293"/>
      <w:bookmarkEnd w:id="293"/>
      <w:r>
        <w:rPr>
          <w:b w:val="0"/>
          <w:bCs w:val="0"/>
        </w:rPr>
      </w:r>
      <w:r>
        <w:rPr>
          <w:rFonts w:ascii="宋体" w:hAnsi="宋体" w:cs="宋体" w:eastAsia="宋体" w:hint="default"/>
        </w:rPr>
        <w:t>6</w:t>
      </w:r>
      <w:r>
        <w:rPr/>
        <w:t>、预付款项</w:t>
      </w:r>
      <w:r>
        <w:rPr>
          <w:b w:val="0"/>
          <w:bCs w:val="0"/>
        </w:rPr>
      </w:r>
    </w:p>
    <w:p>
      <w:pPr>
        <w:spacing w:line="240" w:lineRule="auto" w:before="8"/>
        <w:rPr>
          <w:rFonts w:ascii="宋体" w:hAnsi="宋体" w:cs="宋体" w:eastAsia="宋体" w:hint="default"/>
          <w:b/>
          <w:bCs/>
          <w:sz w:val="14"/>
          <w:szCs w:val="14"/>
        </w:rPr>
      </w:pPr>
    </w:p>
    <w:p>
      <w:pPr>
        <w:pStyle w:val="Heading4"/>
        <w:spacing w:line="240" w:lineRule="auto" w:before="0"/>
        <w:ind w:right="1024"/>
        <w:jc w:val="left"/>
        <w:rPr>
          <w:b w:val="0"/>
          <w:bCs w:val="0"/>
        </w:rPr>
      </w:pPr>
      <w:bookmarkStart w:name="（1）预付款项按账龄列示" w:id="294"/>
      <w:bookmarkEnd w:id="294"/>
      <w:r>
        <w:rPr>
          <w:b w:val="0"/>
          <w:bCs w:val="0"/>
        </w:rPr>
      </w:r>
      <w:r>
        <w:rPr/>
        <w:t>（</w:t>
      </w:r>
      <w:r>
        <w:rPr>
          <w:rFonts w:ascii="宋体" w:hAnsi="宋体" w:cs="宋体" w:eastAsia="宋体" w:hint="default"/>
        </w:rPr>
        <w:t>1</w:t>
      </w:r>
      <w:r>
        <w:rPr/>
        <w:t>）预付款项按账龄列示</w:t>
      </w:r>
      <w:r>
        <w:rPr>
          <w:b w:val="0"/>
          <w:bCs w:val="0"/>
        </w:rPr>
      </w:r>
    </w:p>
    <w:p>
      <w:pPr>
        <w:spacing w:line="240" w:lineRule="auto" w:before="6"/>
        <w:rPr>
          <w:rFonts w:ascii="宋体" w:hAnsi="宋体" w:cs="宋体" w:eastAsia="宋体" w:hint="default"/>
          <w:b/>
          <w:bCs/>
          <w:sz w:val="10"/>
          <w:szCs w:val="10"/>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11"/>
        <w:gridCol w:w="3832"/>
        <w:gridCol w:w="3832"/>
      </w:tblGrid>
      <w:tr>
        <w:trPr>
          <w:trHeight w:val="422" w:hRule="exact"/>
        </w:trPr>
        <w:tc>
          <w:tcPr>
            <w:tcW w:w="1911"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2"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tcBorders>
              <w:top w:val="single" w:sz="12"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413" w:hRule="exact"/>
        </w:trPr>
        <w:tc>
          <w:tcPr>
            <w:tcW w:w="1911"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6,344,041.85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34.30%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12,747,057.09</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60.93%</w:t>
            </w:r>
          </w:p>
        </w:tc>
      </w:tr>
      <w:tr>
        <w:trPr>
          <w:trHeight w:val="399"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5,788,777.28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3"/>
              <w:jc w:val="right"/>
              <w:rPr>
                <w:rFonts w:ascii="宋体" w:hAnsi="宋体" w:cs="宋体" w:eastAsia="宋体" w:hint="default"/>
                <w:sz w:val="18"/>
                <w:szCs w:val="18"/>
              </w:rPr>
            </w:pPr>
            <w:r>
              <w:rPr>
                <w:rFonts w:ascii="宋体"/>
                <w:spacing w:val="-1"/>
                <w:sz w:val="18"/>
              </w:rPr>
              <w:t>31.30%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7,087,557.58</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33.88%</w:t>
            </w: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6,137,557.58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33.18%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1,054,509.15</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5.04%</w:t>
            </w: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226,062.62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1.22%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31,174.17</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0.15%</w:t>
            </w:r>
          </w:p>
        </w:tc>
      </w:tr>
      <w:tr>
        <w:trPr>
          <w:trHeight w:val="413" w:hRule="exact"/>
        </w:trPr>
        <w:tc>
          <w:tcPr>
            <w:tcW w:w="191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18,496,439.33</w:t>
            </w:r>
          </w:p>
        </w:tc>
        <w:tc>
          <w:tcPr>
            <w:tcW w:w="191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20,920,297.99</w:t>
            </w:r>
          </w:p>
        </w:tc>
        <w:tc>
          <w:tcPr>
            <w:tcW w:w="1916"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2） 按预付对象归集的期末余额前五名的预付款情况" w:id="295"/>
      <w:bookmarkEnd w:id="295"/>
      <w:r>
        <w:rPr>
          <w:b w:val="0"/>
          <w:bCs w:val="0"/>
        </w:rPr>
      </w:r>
      <w:r>
        <w:rPr/>
        <w:t>（</w:t>
      </w:r>
      <w:r>
        <w:rPr>
          <w:rFonts w:ascii="宋体" w:hAnsi="宋体" w:cs="宋体" w:eastAsia="宋体"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34" w:type="dxa"/>
        <w:tblLayout w:type="fixed"/>
        <w:tblCellMar>
          <w:top w:w="0" w:type="dxa"/>
          <w:left w:w="0" w:type="dxa"/>
          <w:bottom w:w="0" w:type="dxa"/>
          <w:right w:w="0" w:type="dxa"/>
        </w:tblCellMar>
        <w:tblLook w:val="01E0"/>
      </w:tblPr>
      <w:tblGrid>
        <w:gridCol w:w="3808"/>
        <w:gridCol w:w="1114"/>
        <w:gridCol w:w="1604"/>
        <w:gridCol w:w="1138"/>
        <w:gridCol w:w="1950"/>
      </w:tblGrid>
      <w:tr>
        <w:trPr>
          <w:trHeight w:val="662" w:hRule="exact"/>
        </w:trPr>
        <w:tc>
          <w:tcPr>
            <w:tcW w:w="380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1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2"/>
                <w:sz w:val="18"/>
                <w:szCs w:val="18"/>
              </w:rPr>
              <w:t>与本公司关系</w:t>
            </w:r>
          </w:p>
        </w:tc>
        <w:tc>
          <w:tcPr>
            <w:tcW w:w="16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50" w:type="dxa"/>
            <w:tcBorders>
              <w:top w:val="single" w:sz="12" w:space="0" w:color="000000"/>
              <w:left w:val="single" w:sz="4" w:space="0" w:color="000000"/>
              <w:bottom w:val="single" w:sz="4" w:space="0" w:color="000000"/>
              <w:right w:val="single" w:sz="12" w:space="0" w:color="000000"/>
            </w:tcBorders>
          </w:tcPr>
          <w:p>
            <w:pPr>
              <w:pStyle w:val="TableParagraph"/>
              <w:spacing w:line="316" w:lineRule="auto" w:before="20"/>
              <w:ind w:left="566" w:right="51" w:hanging="495"/>
              <w:jc w:val="left"/>
              <w:rPr>
                <w:rFonts w:ascii="宋体" w:hAnsi="宋体" w:cs="宋体" w:eastAsia="宋体" w:hint="default"/>
                <w:sz w:val="18"/>
                <w:szCs w:val="18"/>
              </w:rPr>
            </w:pPr>
            <w:r>
              <w:rPr>
                <w:rFonts w:ascii="宋体" w:hAnsi="宋体" w:cs="宋体" w:eastAsia="宋体" w:hint="default"/>
                <w:spacing w:val="-2"/>
                <w:sz w:val="18"/>
                <w:szCs w:val="18"/>
              </w:rPr>
              <w:t>占预付款项期末余额的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41" w:hRule="exact"/>
        </w:trPr>
        <w:tc>
          <w:tcPr>
            <w:tcW w:w="38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江苏集志智能科技有限公司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9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right="-14"/>
              <w:jc w:val="right"/>
              <w:rPr>
                <w:rFonts w:ascii="宋体" w:hAnsi="宋体" w:cs="宋体" w:eastAsia="宋体" w:hint="default"/>
                <w:sz w:val="18"/>
                <w:szCs w:val="18"/>
              </w:rPr>
            </w:pPr>
            <w:r>
              <w:rPr>
                <w:rFonts w:ascii="宋体"/>
                <w:sz w:val="18"/>
              </w:rPr>
              <w:t>21.63</w:t>
            </w:r>
          </w:p>
        </w:tc>
      </w:tr>
      <w:tr>
        <w:trPr>
          <w:trHeight w:val="341" w:hRule="exact"/>
        </w:trPr>
        <w:tc>
          <w:tcPr>
            <w:tcW w:w="38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北京智芯微电子科技有限公司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1,582,857.00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right="-14"/>
              <w:jc w:val="right"/>
              <w:rPr>
                <w:rFonts w:ascii="宋体" w:hAnsi="宋体" w:cs="宋体" w:eastAsia="宋体" w:hint="default"/>
                <w:sz w:val="18"/>
                <w:szCs w:val="18"/>
              </w:rPr>
            </w:pPr>
            <w:r>
              <w:rPr>
                <w:rFonts w:ascii="宋体"/>
                <w:sz w:val="18"/>
              </w:rPr>
              <w:t>8.56</w:t>
            </w:r>
          </w:p>
        </w:tc>
      </w:tr>
      <w:tr>
        <w:trPr>
          <w:trHeight w:val="346" w:hRule="exact"/>
        </w:trPr>
        <w:tc>
          <w:tcPr>
            <w:tcW w:w="38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深圳市昊景科技有限公司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1,532,928.00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19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14"/>
              <w:jc w:val="right"/>
              <w:rPr>
                <w:rFonts w:ascii="宋体" w:hAnsi="宋体" w:cs="宋体" w:eastAsia="宋体" w:hint="default"/>
                <w:sz w:val="18"/>
                <w:szCs w:val="18"/>
              </w:rPr>
            </w:pPr>
            <w:r>
              <w:rPr>
                <w:rFonts w:ascii="宋体"/>
                <w:sz w:val="18"/>
              </w:rPr>
              <w:t>8.29</w:t>
            </w:r>
          </w:p>
        </w:tc>
      </w:tr>
      <w:tr>
        <w:trPr>
          <w:trHeight w:val="341" w:hRule="exact"/>
        </w:trPr>
        <w:tc>
          <w:tcPr>
            <w:tcW w:w="38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昆山市英孚特仪器仪表厂</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1,261,260.00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z w:val="18"/>
                <w:szCs w:val="18"/>
              </w:rPr>
              <w:t>年</w:t>
            </w:r>
          </w:p>
        </w:tc>
        <w:tc>
          <w:tcPr>
            <w:tcW w:w="19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right="-14"/>
              <w:jc w:val="right"/>
              <w:rPr>
                <w:rFonts w:ascii="宋体" w:hAnsi="宋体" w:cs="宋体" w:eastAsia="宋体" w:hint="default"/>
                <w:sz w:val="18"/>
                <w:szCs w:val="18"/>
              </w:rPr>
            </w:pPr>
            <w:r>
              <w:rPr>
                <w:rFonts w:ascii="宋体"/>
                <w:sz w:val="18"/>
              </w:rPr>
              <w:t>6.82</w:t>
            </w:r>
          </w:p>
        </w:tc>
      </w:tr>
      <w:tr>
        <w:trPr>
          <w:trHeight w:val="341" w:hRule="exact"/>
        </w:trPr>
        <w:tc>
          <w:tcPr>
            <w:tcW w:w="380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湖北荆力工程总承包有限责任公司公安分公司</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1,000,000.00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95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right="-14"/>
              <w:jc w:val="right"/>
              <w:rPr>
                <w:rFonts w:ascii="宋体" w:hAnsi="宋体" w:cs="宋体" w:eastAsia="宋体" w:hint="default"/>
                <w:sz w:val="18"/>
                <w:szCs w:val="18"/>
              </w:rPr>
            </w:pPr>
            <w:r>
              <w:rPr>
                <w:rFonts w:ascii="宋体"/>
                <w:sz w:val="18"/>
              </w:rPr>
              <w:t>5.41</w:t>
            </w:r>
          </w:p>
        </w:tc>
      </w:tr>
      <w:tr>
        <w:trPr>
          <w:trHeight w:val="356" w:hRule="exact"/>
        </w:trPr>
        <w:tc>
          <w:tcPr>
            <w:tcW w:w="380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14" w:type="dxa"/>
            <w:tcBorders>
              <w:top w:val="single" w:sz="4" w:space="0" w:color="000000"/>
              <w:left w:val="single" w:sz="4" w:space="0" w:color="000000"/>
              <w:bottom w:val="single" w:sz="12" w:space="0" w:color="000000"/>
              <w:right w:val="single" w:sz="4" w:space="0" w:color="000000"/>
            </w:tcBorders>
          </w:tcPr>
          <w:p>
            <w:pPr/>
          </w:p>
        </w:tc>
        <w:tc>
          <w:tcPr>
            <w:tcW w:w="16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9,377,045.00</w:t>
            </w:r>
          </w:p>
        </w:tc>
        <w:tc>
          <w:tcPr>
            <w:tcW w:w="1138" w:type="dxa"/>
            <w:tcBorders>
              <w:top w:val="single" w:sz="4" w:space="0" w:color="000000"/>
              <w:left w:val="single" w:sz="4" w:space="0" w:color="000000"/>
              <w:bottom w:val="single" w:sz="12" w:space="0" w:color="000000"/>
              <w:right w:val="single" w:sz="4" w:space="0" w:color="000000"/>
            </w:tcBorders>
          </w:tcPr>
          <w:p>
            <w:pPr/>
          </w:p>
        </w:tc>
        <w:tc>
          <w:tcPr>
            <w:tcW w:w="195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0"/>
              <w:ind w:right="-14"/>
              <w:jc w:val="right"/>
              <w:rPr>
                <w:rFonts w:ascii="宋体" w:hAnsi="宋体" w:cs="宋体" w:eastAsia="宋体" w:hint="default"/>
                <w:sz w:val="18"/>
                <w:szCs w:val="18"/>
              </w:rPr>
            </w:pPr>
            <w:r>
              <w:rPr>
                <w:rFonts w:ascii="宋体"/>
                <w:sz w:val="18"/>
              </w:rPr>
              <w:t>50.71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ind w:right="1024"/>
        <w:jc w:val="left"/>
        <w:rPr>
          <w:b w:val="0"/>
          <w:bCs w:val="0"/>
        </w:rPr>
      </w:pPr>
      <w:bookmarkStart w:name="7、其他应收款" w:id="296"/>
      <w:bookmarkEnd w:id="296"/>
      <w:r>
        <w:rPr>
          <w:b w:val="0"/>
          <w:bCs w:val="0"/>
        </w:rPr>
      </w:r>
      <w:r>
        <w:rPr>
          <w:rFonts w:ascii="宋体" w:hAnsi="宋体" w:cs="宋体" w:eastAsia="宋体" w:hint="default"/>
        </w:rPr>
        <w:t>7</w:t>
      </w:r>
      <w:r>
        <w:rPr/>
        <w:t>、其他应收款</w:t>
      </w:r>
      <w:r>
        <w:rPr>
          <w:b w:val="0"/>
          <w:bCs w:val="0"/>
        </w:rPr>
      </w:r>
    </w:p>
    <w:p>
      <w:pPr>
        <w:spacing w:line="240" w:lineRule="auto" w:before="5"/>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0"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1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58,446,192.66</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36,411,903.65</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58,446,192.66</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36,411,903.65</w:t>
            </w:r>
          </w:p>
        </w:tc>
      </w:tr>
    </w:tbl>
    <w:p>
      <w:pPr>
        <w:spacing w:line="240" w:lineRule="auto" w:before="3"/>
        <w:rPr>
          <w:rFonts w:ascii="宋体" w:hAnsi="宋体" w:cs="宋体" w:eastAsia="宋体" w:hint="default"/>
          <w:sz w:val="19"/>
          <w:szCs w:val="19"/>
        </w:rPr>
      </w:pPr>
    </w:p>
    <w:p>
      <w:pPr>
        <w:pStyle w:val="Heading4"/>
        <w:spacing w:line="537" w:lineRule="auto"/>
        <w:ind w:left="364" w:right="7271" w:hanging="212"/>
        <w:jc w:val="left"/>
        <w:rPr>
          <w:b w:val="0"/>
          <w:bCs w:val="0"/>
        </w:rPr>
      </w:pPr>
      <w:bookmarkStart w:name="（1）其他应收款" w:id="297"/>
      <w:bookmarkEnd w:id="297"/>
      <w:r>
        <w:rPr>
          <w:b w:val="0"/>
          <w:bCs w:val="0"/>
        </w:rPr>
      </w:r>
      <w:r>
        <w:rPr/>
        <w:t>（</w:t>
      </w:r>
      <w:r>
        <w:rPr>
          <w:rFonts w:ascii="宋体" w:hAnsi="宋体" w:cs="宋体" w:eastAsia="宋体" w:hint="default"/>
        </w:rPr>
        <w:t>1</w:t>
      </w:r>
      <w:r>
        <w:rPr/>
        <w:t>）其他应收款</w:t>
      </w:r>
      <w:r>
        <w:rPr>
          <w:spacing w:val="-104"/>
        </w:rPr>
        <w:t> </w:t>
      </w:r>
      <w:bookmarkStart w:name="1）其他应收款按款项性质分类情况" w:id="298"/>
      <w:bookmarkEnd w:id="298"/>
      <w:r>
        <w:rPr>
          <w:spacing w:val="-104"/>
        </w:rPr>
      </w:r>
      <w:r>
        <w:rPr>
          <w:rFonts w:ascii="宋体" w:hAnsi="宋体" w:cs="宋体" w:eastAsia="宋体" w:hint="default"/>
        </w:rPr>
        <w:t>1</w:t>
      </w:r>
      <w:r>
        <w:rPr/>
        <w:t>）其他应收款按款项性质分类情况</w:t>
      </w:r>
      <w:r>
        <w:rPr>
          <w:b w:val="0"/>
          <w:bCs w:val="0"/>
        </w:rPr>
      </w:r>
    </w:p>
    <w:p>
      <w:pPr>
        <w:spacing w:before="104"/>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04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7,114,203.33</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18,000,000.00</w:t>
            </w:r>
          </w:p>
        </w:tc>
      </w:tr>
      <w:tr>
        <w:trPr>
          <w:trHeight w:val="404"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left="95" w:right="0"/>
              <w:jc w:val="left"/>
              <w:rPr>
                <w:rFonts w:ascii="宋体" w:hAnsi="宋体" w:cs="宋体" w:eastAsia="宋体" w:hint="default"/>
                <w:sz w:val="18"/>
                <w:szCs w:val="18"/>
              </w:rPr>
            </w:pPr>
            <w:r>
              <w:rPr>
                <w:rFonts w:ascii="宋体" w:hAnsi="宋体" w:cs="宋体" w:eastAsia="宋体" w:hint="default"/>
                <w:sz w:val="18"/>
                <w:szCs w:val="18"/>
              </w:rPr>
              <w:t>股权与债权转让款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4"/>
              <w:jc w:val="right"/>
              <w:rPr>
                <w:rFonts w:ascii="宋体" w:hAnsi="宋体" w:cs="宋体" w:eastAsia="宋体" w:hint="default"/>
                <w:sz w:val="18"/>
                <w:szCs w:val="18"/>
              </w:rPr>
            </w:pPr>
            <w:r>
              <w:rPr>
                <w:rFonts w:ascii="宋体"/>
                <w:spacing w:val="-1"/>
                <w:sz w:val="18"/>
              </w:rPr>
              <w:t>15,107,250.00</w:t>
            </w: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4,902,432.14</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8,759,940.63</w:t>
            </w:r>
          </w:p>
        </w:tc>
      </w:tr>
    </w:tbl>
    <w:p>
      <w:pPr>
        <w:spacing w:after="0" w:line="240" w:lineRule="auto"/>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业务备用金</w:t>
            </w:r>
          </w:p>
        </w:tc>
        <w:tc>
          <w:tcPr>
            <w:tcW w:w="31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22,409,990.93</w:t>
            </w:r>
          </w:p>
        </w:tc>
        <w:tc>
          <w:tcPr>
            <w:tcW w:w="319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5,683,098.27</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应收租金及保证金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556,869.74</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1,014,595.86</w:t>
            </w:r>
          </w:p>
        </w:tc>
      </w:tr>
      <w:tr>
        <w:trPr>
          <w:trHeight w:val="399"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66,896.00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spacing w:val="-1"/>
                <w:sz w:val="18"/>
              </w:rPr>
              <w:t>1,950.00</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13,220,067.92</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6,205,527.58</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4,931,517.40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3,253,208.69</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58,446,192.66</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36,411,903.65</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2）坏账准备计提情况" w:id="299"/>
      <w:bookmarkEnd w:id="299"/>
      <w:r>
        <w:rPr>
          <w:b w:val="0"/>
          <w:bCs w:val="0"/>
        </w:rPr>
      </w:r>
      <w:r>
        <w:rPr>
          <w:rFonts w:ascii="宋体" w:hAnsi="宋体" w:cs="宋体" w:eastAsia="宋体" w:hint="default"/>
        </w:rPr>
        <w:t>2</w:t>
      </w:r>
      <w:r>
        <w:rPr/>
        <w:t>）坏账准备计提情况</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022"/>
        <w:gridCol w:w="1546"/>
        <w:gridCol w:w="2098"/>
        <w:gridCol w:w="2103"/>
        <w:gridCol w:w="1801"/>
      </w:tblGrid>
      <w:tr>
        <w:trPr>
          <w:trHeight w:val="410" w:hRule="exact"/>
        </w:trPr>
        <w:tc>
          <w:tcPr>
            <w:tcW w:w="2022"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4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7"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1"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2022" w:type="dxa"/>
            <w:vMerge/>
            <w:tcBorders>
              <w:left w:val="single" w:sz="12" w:space="0" w:color="000000"/>
              <w:bottom w:val="single" w:sz="4" w:space="0" w:color="000000"/>
              <w:right w:val="single" w:sz="4" w:space="0" w:color="000000"/>
            </w:tcBorders>
            <w:shd w:val="clear" w:color="auto" w:fill="D2D2D2"/>
          </w:tcPr>
          <w:p>
            <w:pP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407" w:right="94" w:hanging="303"/>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52"/>
                <w:sz w:val="18"/>
                <w:szCs w:val="18"/>
              </w:rPr>
              <w:t> </w:t>
            </w:r>
            <w:r>
              <w:rPr>
                <w:rFonts w:ascii="宋体" w:hAnsi="宋体" w:cs="宋体" w:eastAsia="宋体" w:hint="default"/>
                <w:sz w:val="18"/>
                <w:szCs w:val="18"/>
              </w:rPr>
              <w:t>12</w:t>
            </w:r>
            <w:r>
              <w:rPr>
                <w:rFonts w:ascii="宋体" w:hAnsi="宋体" w:cs="宋体" w:eastAsia="宋体" w:hint="default"/>
                <w:spacing w:val="-58"/>
                <w:sz w:val="18"/>
                <w:szCs w:val="18"/>
              </w:rPr>
              <w:t> </w:t>
            </w:r>
            <w:r>
              <w:rPr>
                <w:rFonts w:ascii="宋体" w:hAnsi="宋体" w:cs="宋体" w:eastAsia="宋体" w:hint="default"/>
                <w:sz w:val="18"/>
                <w:szCs w:val="18"/>
              </w:rPr>
              <w:t>个月预期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35" w:right="137" w:hanging="92"/>
              <w:jc w:val="left"/>
              <w:rPr>
                <w:rFonts w:ascii="宋体" w:hAnsi="宋体" w:cs="宋体" w:eastAsia="宋体"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宋体" w:hAnsi="宋体" w:cs="宋体" w:eastAsia="宋体" w:hint="default"/>
                <w:sz w:val="18"/>
                <w:szCs w:val="18"/>
              </w:rPr>
              <w:t>(</w:t>
            </w:r>
            <w:r>
              <w:rPr>
                <w:rFonts w:ascii="宋体" w:hAnsi="宋体" w:cs="宋体" w:eastAsia="宋体" w:hint="default"/>
                <w:sz w:val="18"/>
                <w:szCs w:val="18"/>
              </w:rPr>
              <w:t>未发生信用减值</w:t>
            </w:r>
            <w:r>
              <w:rPr>
                <w:rFonts w:ascii="宋体" w:hAnsi="宋体" w:cs="宋体" w:eastAsia="宋体"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35" w:right="142" w:hanging="92"/>
              <w:jc w:val="left"/>
              <w:rPr>
                <w:rFonts w:ascii="宋体" w:hAnsi="宋体" w:cs="宋体" w:eastAsia="宋体"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宋体" w:hAnsi="宋体" w:cs="宋体" w:eastAsia="宋体" w:hint="default"/>
                <w:sz w:val="18"/>
                <w:szCs w:val="18"/>
              </w:rPr>
              <w:t>(</w:t>
            </w:r>
            <w:r>
              <w:rPr>
                <w:rFonts w:ascii="宋体" w:hAnsi="宋体" w:cs="宋体" w:eastAsia="宋体" w:hint="default"/>
                <w:sz w:val="18"/>
                <w:szCs w:val="18"/>
              </w:rPr>
              <w:t>已发生信用减值</w:t>
            </w:r>
            <w:r>
              <w:rPr>
                <w:rFonts w:ascii="宋体" w:hAnsi="宋体" w:cs="宋体" w:eastAsia="宋体" w:hint="default"/>
                <w:sz w:val="18"/>
                <w:szCs w:val="18"/>
              </w:rPr>
              <w:t>)</w:t>
            </w:r>
          </w:p>
        </w:tc>
        <w:tc>
          <w:tcPr>
            <w:tcW w:w="1801" w:type="dxa"/>
            <w:vMerge/>
            <w:tcBorders>
              <w:left w:val="single" w:sz="4" w:space="0" w:color="000000"/>
              <w:bottom w:val="single" w:sz="4" w:space="0" w:color="000000"/>
              <w:right w:val="single" w:sz="12" w:space="0" w:color="000000"/>
            </w:tcBorders>
            <w:shd w:val="clear" w:color="auto" w:fill="D2D2D2"/>
          </w:tcPr>
          <w:p>
            <w:pPr/>
          </w:p>
        </w:tc>
      </w:tr>
      <w:tr>
        <w:trPr>
          <w:trHeight w:val="403" w:hRule="exact"/>
        </w:trPr>
        <w:tc>
          <w:tcPr>
            <w:tcW w:w="20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日余额</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3,253,208.69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3,253,208.69</w:t>
            </w:r>
          </w:p>
        </w:tc>
      </w:tr>
      <w:tr>
        <w:trPr>
          <w:trHeight w:val="715" w:hRule="exact"/>
        </w:trPr>
        <w:tc>
          <w:tcPr>
            <w:tcW w:w="20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94"/>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1</w:t>
            </w:r>
            <w:r>
              <w:rPr>
                <w:rFonts w:ascii="宋体" w:hAnsi="宋体" w:cs="宋体" w:eastAsia="宋体" w:hint="default"/>
                <w:spacing w:val="-48"/>
                <w:sz w:val="18"/>
                <w:szCs w:val="18"/>
              </w:rPr>
              <w:t> </w:t>
            </w:r>
            <w:r>
              <w:rPr>
                <w:rFonts w:ascii="宋体" w:hAnsi="宋体" w:cs="宋体" w:eastAsia="宋体" w:hint="default"/>
                <w:spacing w:val="-3"/>
                <w:sz w:val="18"/>
                <w:szCs w:val="18"/>
              </w:rPr>
              <w:t>日余额在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本期</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1"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99" w:hRule="exact"/>
        </w:trPr>
        <w:tc>
          <w:tcPr>
            <w:tcW w:w="20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转入第二阶段</w:t>
            </w:r>
          </w:p>
        </w:tc>
        <w:tc>
          <w:tcPr>
            <w:tcW w:w="1546"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0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转入第三阶段</w:t>
            </w:r>
          </w:p>
        </w:tc>
        <w:tc>
          <w:tcPr>
            <w:tcW w:w="1546"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0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转回第二阶段</w:t>
            </w:r>
          </w:p>
        </w:tc>
        <w:tc>
          <w:tcPr>
            <w:tcW w:w="1546"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0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转回第一阶段</w:t>
            </w:r>
          </w:p>
        </w:tc>
        <w:tc>
          <w:tcPr>
            <w:tcW w:w="1546"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0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1,802,166.95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3"/>
              <w:jc w:val="right"/>
              <w:rPr>
                <w:rFonts w:ascii="宋体" w:hAnsi="宋体" w:cs="宋体" w:eastAsia="宋体" w:hint="default"/>
                <w:sz w:val="18"/>
                <w:szCs w:val="18"/>
              </w:rPr>
            </w:pPr>
            <w:r>
              <w:rPr>
                <w:rFonts w:ascii="宋体"/>
                <w:spacing w:val="-1"/>
                <w:sz w:val="18"/>
              </w:rPr>
              <w:t>453,217.50</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2,295,859.20</w:t>
            </w:r>
          </w:p>
        </w:tc>
      </w:tr>
      <w:tr>
        <w:trPr>
          <w:trHeight w:val="403" w:hRule="exact"/>
        </w:trPr>
        <w:tc>
          <w:tcPr>
            <w:tcW w:w="20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453,480.03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453,480.03</w:t>
            </w:r>
          </w:p>
        </w:tc>
      </w:tr>
      <w:tr>
        <w:trPr>
          <w:trHeight w:val="403" w:hRule="exact"/>
        </w:trPr>
        <w:tc>
          <w:tcPr>
            <w:tcW w:w="20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546"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0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45,597.60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45,597.60</w:t>
            </w:r>
          </w:p>
        </w:tc>
      </w:tr>
      <w:tr>
        <w:trPr>
          <w:trHeight w:val="399" w:hRule="exact"/>
        </w:trPr>
        <w:tc>
          <w:tcPr>
            <w:tcW w:w="20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-77,998.11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-77,998.11</w:t>
            </w:r>
          </w:p>
        </w:tc>
      </w:tr>
      <w:tr>
        <w:trPr>
          <w:trHeight w:val="413" w:hRule="exact"/>
        </w:trPr>
        <w:tc>
          <w:tcPr>
            <w:tcW w:w="202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pacing w:val="-3"/>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54"/>
                <w:sz w:val="18"/>
                <w:szCs w:val="18"/>
              </w:rPr>
              <w:t> </w:t>
            </w:r>
            <w:r>
              <w:rPr>
                <w:rFonts w:ascii="宋体" w:hAnsi="宋体" w:cs="宋体" w:eastAsia="宋体" w:hint="default"/>
                <w:sz w:val="18"/>
                <w:szCs w:val="18"/>
              </w:rPr>
              <w:t>日余额</w:t>
            </w:r>
          </w:p>
        </w:tc>
        <w:tc>
          <w:tcPr>
            <w:tcW w:w="15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4,478,299.90</w:t>
            </w:r>
          </w:p>
        </w:tc>
        <w:tc>
          <w:tcPr>
            <w:tcW w:w="20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right="93"/>
              <w:jc w:val="right"/>
              <w:rPr>
                <w:rFonts w:ascii="宋体" w:hAnsi="宋体" w:cs="宋体" w:eastAsia="宋体" w:hint="default"/>
                <w:sz w:val="18"/>
                <w:szCs w:val="18"/>
              </w:rPr>
            </w:pPr>
            <w:r>
              <w:rPr>
                <w:rFonts w:ascii="宋体"/>
                <w:spacing w:val="-1"/>
                <w:sz w:val="18"/>
              </w:rPr>
              <w:t>453,217.50</w:t>
            </w:r>
          </w:p>
        </w:tc>
        <w:tc>
          <w:tcPr>
            <w:tcW w:w="2103" w:type="dxa"/>
            <w:tcBorders>
              <w:top w:val="single" w:sz="4" w:space="0" w:color="000000"/>
              <w:left w:val="single" w:sz="4" w:space="0" w:color="000000"/>
              <w:bottom w:val="single" w:sz="12" w:space="0" w:color="000000"/>
              <w:right w:val="single" w:sz="4" w:space="0" w:color="000000"/>
            </w:tcBorders>
          </w:tcPr>
          <w:p>
            <w:pPr/>
          </w:p>
        </w:tc>
        <w:tc>
          <w:tcPr>
            <w:tcW w:w="180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4,931,517.40</w:t>
            </w:r>
          </w:p>
        </w:tc>
      </w:tr>
    </w:tbl>
    <w:p>
      <w:pPr>
        <w:pStyle w:val="BodyText"/>
        <w:spacing w:line="240" w:lineRule="auto" w:before="66"/>
        <w:ind w:right="1024"/>
        <w:jc w:val="left"/>
      </w:pPr>
      <w:r>
        <w:rPr/>
        <w:t>损失准备本期变动金额重大的账面余额变动情况</w:t>
      </w:r>
    </w:p>
    <w:p>
      <w:pPr>
        <w:spacing w:line="240" w:lineRule="auto" w:before="12"/>
        <w:rPr>
          <w:rFonts w:ascii="宋体" w:hAnsi="宋体" w:cs="宋体" w:eastAsia="宋体" w:hint="default"/>
          <w:sz w:val="14"/>
          <w:szCs w:val="14"/>
        </w:rPr>
      </w:pPr>
    </w:p>
    <w:p>
      <w:pPr>
        <w:pStyle w:val="BodyText"/>
        <w:spacing w:line="240" w:lineRule="auto"/>
        <w:ind w:right="1024"/>
        <w:jc w:val="left"/>
      </w:pPr>
      <w:r>
        <w:rPr/>
        <w:t>□ 适用 √</w:t>
      </w:r>
      <w:r>
        <w:rPr>
          <w:spacing w:val="4"/>
        </w:rPr>
        <w:t> </w:t>
      </w:r>
      <w:r>
        <w:rPr/>
        <w:t>不适用</w:t>
      </w:r>
    </w:p>
    <w:p>
      <w:pPr>
        <w:spacing w:line="240" w:lineRule="auto" w:before="12"/>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71" w:footer="1037" w:top="1040" w:bottom="1220" w:left="980" w:right="0"/>
        </w:sectPr>
      </w:pPr>
    </w:p>
    <w:p>
      <w:pPr>
        <w:pStyle w:val="BodyText"/>
        <w:spacing w:line="240" w:lineRule="auto" w:before="36"/>
        <w:ind w:right="-14"/>
        <w:jc w:val="left"/>
      </w:pP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1220" w:left="980" w:right="0"/>
          <w:cols w:num="2" w:equalWidth="0">
            <w:col w:w="1210" w:space="7621"/>
            <w:col w:w="2099"/>
          </w:cols>
        </w:sectPr>
      </w:pPr>
    </w:p>
    <w:p>
      <w:pPr>
        <w:spacing w:line="240" w:lineRule="auto" w:before="1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788"/>
        <w:gridCol w:w="4782"/>
      </w:tblGrid>
      <w:tr>
        <w:trPr>
          <w:trHeight w:val="406" w:hRule="exact"/>
        </w:trPr>
        <w:tc>
          <w:tcPr>
            <w:tcW w:w="47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53,856,789.19</w:t>
            </w:r>
          </w:p>
        </w:tc>
      </w:tr>
      <w:tr>
        <w:trPr>
          <w:trHeight w:val="404" w:hRule="exact"/>
        </w:trPr>
        <w:tc>
          <w:tcPr>
            <w:tcW w:w="4788" w:type="dxa"/>
            <w:tcBorders>
              <w:top w:val="single" w:sz="4" w:space="0" w:color="000000"/>
              <w:left w:val="single" w:sz="12" w:space="0" w:color="000000"/>
              <w:bottom w:val="single" w:sz="4" w:space="0" w:color="000000"/>
              <w:right w:val="single" w:sz="4" w:space="0" w:color="000000"/>
            </w:tcBorders>
          </w:tcPr>
          <w:p>
            <w:pPr/>
          </w:p>
        </w:tc>
        <w:tc>
          <w:tcPr>
            <w:tcW w:w="4782"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4,789,635.54</w:t>
            </w:r>
          </w:p>
        </w:tc>
      </w:tr>
      <w:tr>
        <w:trPr>
          <w:trHeight w:val="413" w:hRule="exact"/>
        </w:trPr>
        <w:tc>
          <w:tcPr>
            <w:tcW w:w="47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2,054,481.81</w:t>
            </w:r>
          </w:p>
        </w:tc>
      </w:tr>
    </w:tbl>
    <w:p>
      <w:pPr>
        <w:spacing w:after="0" w:line="240" w:lineRule="auto"/>
        <w:jc w:val="right"/>
        <w:rPr>
          <w:rFonts w:ascii="宋体" w:hAnsi="宋体" w:cs="宋体" w:eastAsia="宋体" w:hint="default"/>
          <w:sz w:val="18"/>
          <w:szCs w:val="18"/>
        </w:rPr>
        <w:sectPr>
          <w:type w:val="continuous"/>
          <w:pgSz w:w="11910" w:h="16840"/>
          <w:pgMar w:top="1580" w:bottom="1220" w:left="980" w:right="0"/>
        </w:sectPr>
      </w:pPr>
    </w:p>
    <w:p>
      <w:pPr>
        <w:spacing w:line="240" w:lineRule="auto" w:before="8"/>
        <w:rPr>
          <w:rFonts w:ascii="宋体" w:hAnsi="宋体" w:cs="宋体" w:eastAsia="宋体" w:hint="default"/>
          <w:sz w:val="29"/>
          <w:szCs w:val="29"/>
        </w:rPr>
      </w:pPr>
    </w:p>
    <w:tbl>
      <w:tblPr>
        <w:tblW w:w="0" w:type="auto"/>
        <w:jc w:val="left"/>
        <w:tblInd w:w="218" w:type="dxa"/>
        <w:tblLayout w:type="fixed"/>
        <w:tblCellMar>
          <w:top w:w="0" w:type="dxa"/>
          <w:left w:w="0" w:type="dxa"/>
          <w:bottom w:w="0" w:type="dxa"/>
          <w:right w:w="0" w:type="dxa"/>
        </w:tblCellMar>
        <w:tblLook w:val="01E0"/>
      </w:tblPr>
      <w:tblGrid>
        <w:gridCol w:w="4788"/>
        <w:gridCol w:w="4782"/>
      </w:tblGrid>
      <w:tr>
        <w:trPr>
          <w:trHeight w:val="413" w:hRule="exact"/>
        </w:trPr>
        <w:tc>
          <w:tcPr>
            <w:tcW w:w="47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478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2,676,803.52</w:t>
            </w: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3810"/>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300,608.94</w:t>
            </w:r>
          </w:p>
        </w:tc>
      </w:tr>
      <w:tr>
        <w:trPr>
          <w:trHeight w:val="399"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3810"/>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1,028,667.68</w:t>
            </w: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3811"/>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1,347,526.90</w:t>
            </w:r>
          </w:p>
        </w:tc>
      </w:tr>
      <w:tr>
        <w:trPr>
          <w:trHeight w:val="413" w:hRule="exact"/>
        </w:trPr>
        <w:tc>
          <w:tcPr>
            <w:tcW w:w="47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63,377,810.06</w:t>
            </w:r>
          </w:p>
        </w:tc>
      </w:tr>
    </w:tbl>
    <w:p>
      <w:pPr>
        <w:spacing w:line="240" w:lineRule="auto" w:before="3"/>
        <w:rPr>
          <w:rFonts w:ascii="宋体" w:hAnsi="宋体" w:cs="宋体" w:eastAsia="宋体" w:hint="default"/>
          <w:sz w:val="19"/>
          <w:szCs w:val="19"/>
        </w:rPr>
      </w:pPr>
    </w:p>
    <w:p>
      <w:pPr>
        <w:pStyle w:val="Heading4"/>
        <w:spacing w:line="240" w:lineRule="auto"/>
        <w:ind w:left="233" w:right="0"/>
        <w:jc w:val="left"/>
        <w:rPr>
          <w:b w:val="0"/>
          <w:bCs w:val="0"/>
        </w:rPr>
      </w:pPr>
      <w:bookmarkStart w:name="3）本期计提、收回或转回的坏账准备情况" w:id="300"/>
      <w:bookmarkEnd w:id="300"/>
      <w:r>
        <w:rPr>
          <w:b w:val="0"/>
          <w:bCs w:val="0"/>
        </w:rPr>
      </w:r>
      <w:r>
        <w:rPr>
          <w:rFonts w:ascii="宋体" w:hAnsi="宋体" w:cs="宋体" w:eastAsia="宋体" w:hint="default"/>
        </w:rPr>
        <w:t>3</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1037" w:top="1040" w:bottom="1220" w:left="900" w:right="0"/>
        </w:sectPr>
      </w:pPr>
    </w:p>
    <w:p>
      <w:pPr>
        <w:pStyle w:val="BodyText"/>
        <w:spacing w:line="240" w:lineRule="auto" w:before="36"/>
        <w:ind w:left="233" w:right="-6"/>
        <w:jc w:val="left"/>
      </w:pPr>
      <w:r>
        <w:rPr>
          <w:spacing w:val="-1"/>
        </w:rPr>
        <w:t>本期计提坏账准备情况：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3"/>
          <w:szCs w:val="13"/>
        </w:rPr>
      </w:pPr>
    </w:p>
    <w:p>
      <w:pPr>
        <w:spacing w:before="0"/>
        <w:ind w:left="23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1220" w:left="900" w:right="0"/>
          <w:cols w:num="2" w:equalWidth="0">
            <w:col w:w="2547" w:space="6283"/>
            <w:col w:w="2180"/>
          </w:cols>
        </w:sectPr>
      </w:pPr>
    </w:p>
    <w:p>
      <w:pPr>
        <w:spacing w:line="240" w:lineRule="auto" w:before="8"/>
        <w:rPr>
          <w:rFonts w:ascii="宋体" w:hAnsi="宋体" w:cs="宋体" w:eastAsia="宋体" w:hint="default"/>
          <w:sz w:val="7"/>
          <w:szCs w:val="7"/>
        </w:rPr>
      </w:pPr>
    </w:p>
    <w:tbl>
      <w:tblPr>
        <w:tblW w:w="0" w:type="auto"/>
        <w:jc w:val="left"/>
        <w:tblInd w:w="218" w:type="dxa"/>
        <w:tblLayout w:type="fixed"/>
        <w:tblCellMar>
          <w:top w:w="0" w:type="dxa"/>
          <w:left w:w="0" w:type="dxa"/>
          <w:bottom w:w="0" w:type="dxa"/>
          <w:right w:w="0" w:type="dxa"/>
        </w:tblCellMar>
        <w:tblLook w:val="01E0"/>
      </w:tblPr>
      <w:tblGrid>
        <w:gridCol w:w="1124"/>
        <w:gridCol w:w="1392"/>
        <w:gridCol w:w="1340"/>
        <w:gridCol w:w="1330"/>
        <w:gridCol w:w="1330"/>
        <w:gridCol w:w="1541"/>
        <w:gridCol w:w="1513"/>
      </w:tblGrid>
      <w:tr>
        <w:trPr>
          <w:trHeight w:val="413" w:hRule="exact"/>
        </w:trPr>
        <w:tc>
          <w:tcPr>
            <w:tcW w:w="1124"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92"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41" w:type="dxa"/>
            <w:gridSpan w:val="4"/>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13"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8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124" w:type="dxa"/>
            <w:vMerge/>
            <w:tcBorders>
              <w:left w:val="single" w:sz="12" w:space="0" w:color="000000"/>
              <w:bottom w:val="single" w:sz="4" w:space="0" w:color="000000"/>
              <w:right w:val="single" w:sz="4" w:space="0" w:color="000000"/>
            </w:tcBorders>
            <w:shd w:val="clear" w:color="auto" w:fill="D2D2D2"/>
          </w:tcPr>
          <w:p>
            <w:pPr/>
          </w:p>
        </w:tc>
        <w:tc>
          <w:tcPr>
            <w:tcW w:w="1392"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13" w:type="dxa"/>
            <w:vMerge/>
            <w:tcBorders>
              <w:left w:val="single" w:sz="4" w:space="0" w:color="000000"/>
              <w:bottom w:val="single" w:sz="4" w:space="0" w:color="000000"/>
              <w:right w:val="single" w:sz="12" w:space="0" w:color="000000"/>
            </w:tcBorders>
            <w:shd w:val="clear" w:color="auto" w:fill="D2D2D2"/>
          </w:tcPr>
          <w:p>
            <w:pPr/>
          </w:p>
        </w:tc>
      </w:tr>
      <w:tr>
        <w:trPr>
          <w:trHeight w:val="403" w:hRule="exact"/>
        </w:trPr>
        <w:tc>
          <w:tcPr>
            <w:tcW w:w="112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3,253,208.69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 w:right="0"/>
              <w:jc w:val="center"/>
              <w:rPr>
                <w:rFonts w:ascii="宋体" w:hAnsi="宋体" w:cs="宋体" w:eastAsia="宋体" w:hint="default"/>
                <w:sz w:val="18"/>
                <w:szCs w:val="18"/>
              </w:rPr>
            </w:pPr>
            <w:r>
              <w:rPr>
                <w:rFonts w:ascii="宋体"/>
                <w:sz w:val="18"/>
              </w:rPr>
              <w:t>2,255,384.45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453,480.03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45,597.60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-77,998.11</w:t>
            </w:r>
          </w:p>
        </w:tc>
        <w:tc>
          <w:tcPr>
            <w:tcW w:w="15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4,931,517.40</w:t>
            </w:r>
          </w:p>
        </w:tc>
      </w:tr>
      <w:tr>
        <w:trPr>
          <w:trHeight w:val="413" w:hRule="exact"/>
        </w:trPr>
        <w:tc>
          <w:tcPr>
            <w:tcW w:w="112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3,253,208.69</w:t>
            </w:r>
          </w:p>
        </w:tc>
        <w:tc>
          <w:tcPr>
            <w:tcW w:w="13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42" w:right="0"/>
              <w:jc w:val="center"/>
              <w:rPr>
                <w:rFonts w:ascii="宋体" w:hAnsi="宋体" w:cs="宋体" w:eastAsia="宋体" w:hint="default"/>
                <w:sz w:val="18"/>
                <w:szCs w:val="18"/>
              </w:rPr>
            </w:pPr>
            <w:r>
              <w:rPr>
                <w:rFonts w:ascii="宋体"/>
                <w:sz w:val="18"/>
              </w:rPr>
              <w:t>2,255,384.45</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453,480.03</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45,597.60</w:t>
            </w:r>
          </w:p>
        </w:tc>
        <w:tc>
          <w:tcPr>
            <w:tcW w:w="15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-77,998.11</w:t>
            </w:r>
          </w:p>
        </w:tc>
        <w:tc>
          <w:tcPr>
            <w:tcW w:w="15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4,931,517.40</w:t>
            </w:r>
          </w:p>
        </w:tc>
      </w:tr>
    </w:tbl>
    <w:p>
      <w:pPr>
        <w:spacing w:line="240" w:lineRule="auto" w:before="3"/>
        <w:rPr>
          <w:rFonts w:ascii="宋体" w:hAnsi="宋体" w:cs="宋体" w:eastAsia="宋体" w:hint="default"/>
          <w:sz w:val="19"/>
          <w:szCs w:val="19"/>
        </w:rPr>
      </w:pPr>
    </w:p>
    <w:p>
      <w:pPr>
        <w:pStyle w:val="Heading4"/>
        <w:spacing w:line="240" w:lineRule="auto"/>
        <w:ind w:left="233" w:right="0"/>
        <w:jc w:val="left"/>
        <w:rPr>
          <w:b w:val="0"/>
          <w:bCs w:val="0"/>
        </w:rPr>
      </w:pPr>
      <w:bookmarkStart w:name="4） 本期实际核销的其他应收账款情况：" w:id="301"/>
      <w:bookmarkEnd w:id="301"/>
      <w:r>
        <w:rPr>
          <w:b w:val="0"/>
          <w:bCs w:val="0"/>
        </w:rPr>
      </w:r>
      <w:r>
        <w:rPr>
          <w:rFonts w:ascii="Times New Roman" w:hAnsi="Times New Roman" w:cs="Times New Roman" w:eastAsia="Times New Roman" w:hint="default"/>
        </w:rPr>
        <w:t>4</w:t>
      </w:r>
      <w:r>
        <w:rPr/>
        <w:t>）本期实际核销的其他应收账款情况：</w:t>
      </w:r>
      <w:r>
        <w:rPr>
          <w:b w:val="0"/>
          <w:bCs w:val="0"/>
        </w:rPr>
      </w:r>
    </w:p>
    <w:p>
      <w:pPr>
        <w:spacing w:line="240" w:lineRule="auto" w:before="10"/>
        <w:rPr>
          <w:rFonts w:ascii="宋体" w:hAnsi="宋体" w:cs="宋体" w:eastAsia="宋体" w:hint="default"/>
          <w:b/>
          <w:bCs/>
          <w:sz w:val="22"/>
          <w:szCs w:val="22"/>
        </w:rPr>
      </w:pPr>
    </w:p>
    <w:p>
      <w:pPr>
        <w:spacing w:before="46"/>
        <w:ind w:left="0" w:right="1122" w:firstLine="0"/>
        <w:jc w:val="right"/>
        <w:rPr>
          <w:rFonts w:ascii="宋体" w:hAnsi="宋体" w:cs="宋体" w:eastAsia="宋体" w:hint="default"/>
          <w:sz w:val="18"/>
          <w:szCs w:val="18"/>
        </w:rPr>
      </w:pPr>
      <w:bookmarkStart w:name="单位：元" w:id="302"/>
      <w:bookmarkEnd w:id="302"/>
      <w:r>
        <w:rPr/>
      </w:r>
      <w:r>
        <w:rPr>
          <w:rFonts w:ascii="宋体" w:hAnsi="宋体" w:cs="宋体" w:eastAsia="宋体" w:hint="default"/>
          <w:b/>
          <w:bCs/>
          <w:sz w:val="18"/>
          <w:szCs w:val="18"/>
        </w:rPr>
        <w:t>单位：元</w:t>
      </w:r>
      <w:r>
        <w:rPr>
          <w:rFonts w:ascii="宋体" w:hAnsi="宋体" w:cs="宋体" w:eastAsia="宋体" w:hint="default"/>
          <w:sz w:val="18"/>
          <w:szCs w:val="18"/>
        </w:rPr>
      </w:r>
    </w:p>
    <w:p>
      <w:pPr>
        <w:spacing w:line="240" w:lineRule="auto" w:before="2"/>
        <w:rPr>
          <w:rFonts w:ascii="宋体" w:hAnsi="宋体" w:cs="宋体" w:eastAsia="宋体" w:hint="default"/>
          <w:b/>
          <w:bCs/>
          <w:sz w:val="28"/>
          <w:szCs w:val="28"/>
        </w:rPr>
      </w:pPr>
    </w:p>
    <w:tbl>
      <w:tblPr>
        <w:tblW w:w="0" w:type="auto"/>
        <w:jc w:val="left"/>
        <w:tblInd w:w="118" w:type="dxa"/>
        <w:tblLayout w:type="fixed"/>
        <w:tblCellMar>
          <w:top w:w="0" w:type="dxa"/>
          <w:left w:w="0" w:type="dxa"/>
          <w:bottom w:w="0" w:type="dxa"/>
          <w:right w:w="0" w:type="dxa"/>
        </w:tblCellMar>
        <w:tblLook w:val="01E0"/>
      </w:tblPr>
      <w:tblGrid>
        <w:gridCol w:w="4932"/>
        <w:gridCol w:w="4927"/>
      </w:tblGrid>
      <w:tr>
        <w:trPr>
          <w:trHeight w:val="922" w:hRule="exact"/>
        </w:trPr>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b/>
                <w:bCs/>
                <w:sz w:val="21"/>
                <w:szCs w:val="21"/>
              </w:rPr>
              <w:t>核销金额</w:t>
            </w:r>
            <w:r>
              <w:rPr>
                <w:rFonts w:ascii="宋体" w:hAnsi="宋体" w:cs="宋体" w:eastAsia="宋体" w:hint="default"/>
                <w:sz w:val="21"/>
                <w:szCs w:val="21"/>
              </w:rPr>
            </w:r>
          </w:p>
        </w:tc>
      </w:tr>
      <w:tr>
        <w:trPr>
          <w:trHeight w:val="922" w:hRule="exact"/>
        </w:trPr>
        <w:tc>
          <w:tcPr>
            <w:tcW w:w="4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b/>
                <w:bCs/>
                <w:sz w:val="21"/>
                <w:szCs w:val="21"/>
              </w:rPr>
              <w:t>实际核销的其他应收款</w:t>
            </w:r>
            <w:r>
              <w:rPr>
                <w:rFonts w:ascii="宋体" w:hAnsi="宋体" w:cs="宋体" w:eastAsia="宋体" w:hint="default"/>
                <w:sz w:val="21"/>
                <w:szCs w:val="21"/>
              </w:rPr>
            </w:r>
          </w:p>
        </w:tc>
        <w:tc>
          <w:tcPr>
            <w:tcW w:w="4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b/>
                <w:sz w:val="21"/>
              </w:rPr>
              <w:t>45,597.60</w:t>
            </w:r>
            <w:r>
              <w:rPr>
                <w:rFonts w:ascii="Times New Roman"/>
                <w:sz w:val="21"/>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pStyle w:val="Heading4"/>
        <w:spacing w:line="240" w:lineRule="auto"/>
        <w:ind w:left="233" w:right="0"/>
        <w:jc w:val="left"/>
        <w:rPr>
          <w:b w:val="0"/>
          <w:bCs w:val="0"/>
        </w:rPr>
      </w:pPr>
      <w:bookmarkStart w:name="5）按欠款方归集的期末余额前五名的其他应收款情况" w:id="303"/>
      <w:bookmarkEnd w:id="303"/>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21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1037" w:hRule="exact"/>
        </w:trPr>
        <w:tc>
          <w:tcPr>
            <w:tcW w:w="159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3" w:right="161"/>
              <w:jc w:val="center"/>
              <w:rPr>
                <w:rFonts w:ascii="宋体" w:hAnsi="宋体" w:cs="宋体" w:eastAsia="宋体" w:hint="default"/>
                <w:sz w:val="18"/>
                <w:szCs w:val="18"/>
              </w:rPr>
            </w:pPr>
            <w:r>
              <w:rPr>
                <w:rFonts w:ascii="宋体" w:hAnsi="宋体" w:cs="宋体" w:eastAsia="宋体" w:hint="default"/>
                <w:spacing w:val="-3"/>
                <w:sz w:val="18"/>
                <w:szCs w:val="18"/>
              </w:rPr>
              <w:t>占其他应收款期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末余额合计数的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比例</w:t>
            </w:r>
          </w:p>
        </w:tc>
        <w:tc>
          <w:tcPr>
            <w:tcW w:w="159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701" w:right="151" w:hanging="543"/>
              <w:jc w:val="left"/>
              <w:rPr>
                <w:rFonts w:ascii="宋体" w:hAnsi="宋体" w:cs="宋体" w:eastAsia="宋体" w:hint="default"/>
                <w:sz w:val="18"/>
                <w:szCs w:val="18"/>
              </w:rPr>
            </w:pPr>
            <w:r>
              <w:rPr>
                <w:rFonts w:ascii="宋体" w:hAnsi="宋体" w:cs="宋体" w:eastAsia="宋体" w:hint="default"/>
                <w:spacing w:val="-3"/>
                <w:sz w:val="18"/>
                <w:szCs w:val="18"/>
              </w:rPr>
              <w:t>坏账准备期末余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r>
      <w:tr>
        <w:trPr>
          <w:trHeight w:val="398" w:hRule="exact"/>
        </w:trPr>
        <w:tc>
          <w:tcPr>
            <w:tcW w:w="159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唐明群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股权转让款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15,107,250.00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23.84%</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453,217.50</w:t>
            </w:r>
          </w:p>
        </w:tc>
      </w:tr>
      <w:tr>
        <w:trPr>
          <w:trHeight w:val="715" w:hRule="exact"/>
        </w:trPr>
        <w:tc>
          <w:tcPr>
            <w:tcW w:w="1594" w:type="dxa"/>
            <w:tcBorders>
              <w:top w:val="single" w:sz="4" w:space="0" w:color="000000"/>
              <w:left w:val="single" w:sz="12" w:space="0" w:color="000000"/>
              <w:bottom w:val="single" w:sz="4" w:space="0" w:color="000000"/>
              <w:right w:val="single" w:sz="4" w:space="0" w:color="000000"/>
            </w:tcBorders>
          </w:tcPr>
          <w:p>
            <w:pPr>
              <w:pStyle w:val="TableParagraph"/>
              <w:spacing w:line="321" w:lineRule="auto" w:before="53"/>
              <w:ind w:left="244" w:right="156" w:hanging="92"/>
              <w:jc w:val="left"/>
              <w:rPr>
                <w:rFonts w:ascii="宋体" w:hAnsi="宋体" w:cs="宋体" w:eastAsia="宋体" w:hint="default"/>
                <w:sz w:val="18"/>
                <w:szCs w:val="18"/>
              </w:rPr>
            </w:pPr>
            <w:r>
              <w:rPr>
                <w:rFonts w:ascii="宋体" w:hAnsi="宋体" w:cs="宋体" w:eastAsia="宋体" w:hint="default"/>
                <w:spacing w:val="-3"/>
                <w:sz w:val="18"/>
                <w:szCs w:val="18"/>
              </w:rPr>
              <w:t>江苏新宇能电力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7,114,203.33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11.23%</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213,426.10</w:t>
            </w:r>
          </w:p>
        </w:tc>
      </w:tr>
      <w:tr>
        <w:trPr>
          <w:trHeight w:val="404" w:hRule="exact"/>
        </w:trPr>
        <w:tc>
          <w:tcPr>
            <w:tcW w:w="159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宋永斌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业务备用金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6,945,128.00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宋体" w:hAnsi="宋体" w:cs="宋体" w:eastAsia="宋体" w:hint="default"/>
                <w:sz w:val="18"/>
                <w:szCs w:val="18"/>
              </w:rPr>
            </w:pPr>
            <w:r>
              <w:rPr>
                <w:rFonts w:ascii="宋体"/>
                <w:spacing w:val="-1"/>
                <w:sz w:val="18"/>
              </w:rPr>
              <w:t>10.96%</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spacing w:val="-1"/>
                <w:sz w:val="18"/>
              </w:rPr>
              <w:t>208,353.84</w:t>
            </w:r>
          </w:p>
        </w:tc>
      </w:tr>
      <w:tr>
        <w:trPr>
          <w:trHeight w:val="725" w:hRule="exact"/>
        </w:trPr>
        <w:tc>
          <w:tcPr>
            <w:tcW w:w="1594"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3"/>
              <w:ind w:left="513" w:right="156" w:hanging="360"/>
              <w:jc w:val="left"/>
              <w:rPr>
                <w:rFonts w:ascii="宋体" w:hAnsi="宋体" w:cs="宋体" w:eastAsia="宋体" w:hint="default"/>
                <w:sz w:val="18"/>
                <w:szCs w:val="18"/>
              </w:rPr>
            </w:pPr>
            <w:r>
              <w:rPr>
                <w:rFonts w:ascii="宋体" w:hAnsi="宋体" w:cs="宋体" w:eastAsia="宋体" w:hint="default"/>
                <w:spacing w:val="-3"/>
                <w:sz w:val="18"/>
                <w:szCs w:val="18"/>
              </w:rPr>
              <w:t>杭州增氧投资有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4,500,000.00</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7.10%</w:t>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135,000.00</w:t>
            </w:r>
          </w:p>
        </w:tc>
      </w:tr>
    </w:tbl>
    <w:p>
      <w:pPr>
        <w:spacing w:after="0" w:line="240" w:lineRule="auto"/>
        <w:jc w:val="right"/>
        <w:rPr>
          <w:rFonts w:ascii="宋体" w:hAnsi="宋体" w:cs="宋体" w:eastAsia="宋体" w:hint="default"/>
          <w:sz w:val="18"/>
          <w:szCs w:val="18"/>
        </w:rPr>
        <w:sectPr>
          <w:type w:val="continuous"/>
          <w:pgSz w:w="11910" w:h="16840"/>
          <w:pgMar w:top="1580" w:bottom="1220" w:left="90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25" w:hRule="exact"/>
        </w:trPr>
        <w:tc>
          <w:tcPr>
            <w:tcW w:w="1594" w:type="dxa"/>
            <w:tcBorders>
              <w:top w:val="single" w:sz="12" w:space="0" w:color="000000"/>
              <w:left w:val="single" w:sz="12" w:space="0" w:color="000000"/>
              <w:bottom w:val="single" w:sz="4" w:space="0" w:color="000000"/>
              <w:right w:val="single" w:sz="4" w:space="0" w:color="000000"/>
            </w:tcBorders>
          </w:tcPr>
          <w:p>
            <w:pPr>
              <w:pStyle w:val="TableParagraph"/>
              <w:spacing w:line="321" w:lineRule="auto" w:before="53"/>
              <w:ind w:left="244" w:right="156" w:hanging="92"/>
              <w:jc w:val="left"/>
              <w:rPr>
                <w:rFonts w:ascii="宋体" w:hAnsi="宋体" w:cs="宋体" w:eastAsia="宋体" w:hint="default"/>
                <w:sz w:val="18"/>
                <w:szCs w:val="18"/>
              </w:rPr>
            </w:pPr>
            <w:r>
              <w:rPr>
                <w:rFonts w:ascii="宋体" w:hAnsi="宋体" w:cs="宋体" w:eastAsia="宋体" w:hint="default"/>
                <w:spacing w:val="-3"/>
                <w:sz w:val="18"/>
                <w:szCs w:val="18"/>
              </w:rPr>
              <w:t>江苏凯斯奇能源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5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3,073,668.26</w:t>
            </w:r>
          </w:p>
        </w:tc>
        <w:tc>
          <w:tcPr>
            <w:tcW w:w="15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59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4.85%</w:t>
            </w:r>
          </w:p>
        </w:tc>
        <w:tc>
          <w:tcPr>
            <w:tcW w:w="159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768,935.05</w:t>
            </w:r>
          </w:p>
        </w:tc>
      </w:tr>
      <w:tr>
        <w:trPr>
          <w:trHeight w:val="413" w:hRule="exact"/>
        </w:trPr>
        <w:tc>
          <w:tcPr>
            <w:tcW w:w="159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sz w:val="18"/>
              </w:rPr>
              <w:t>--</w:t>
            </w:r>
          </w:p>
        </w:tc>
        <w:tc>
          <w:tcPr>
            <w:tcW w:w="15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36,740,249.59</w:t>
            </w:r>
          </w:p>
        </w:tc>
        <w:tc>
          <w:tcPr>
            <w:tcW w:w="1594"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sz w:val="18"/>
              </w:rPr>
              <w:t>--</w:t>
            </w:r>
          </w:p>
        </w:tc>
        <w:tc>
          <w:tcPr>
            <w:tcW w:w="15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57.98%</w:t>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1,778,932.49</w:t>
            </w:r>
          </w:p>
        </w:tc>
      </w:tr>
    </w:tbl>
    <w:p>
      <w:pPr>
        <w:spacing w:line="405" w:lineRule="auto" w:before="66"/>
        <w:ind w:left="153" w:right="8661" w:firstLine="0"/>
        <w:jc w:val="left"/>
        <w:rPr>
          <w:rFonts w:ascii="宋体" w:hAnsi="宋体" w:cs="宋体" w:eastAsia="宋体" w:hint="default"/>
          <w:sz w:val="21"/>
          <w:szCs w:val="21"/>
        </w:rPr>
      </w:pPr>
      <w:bookmarkStart w:name="8、存货" w:id="304"/>
      <w:bookmarkEnd w:id="304"/>
      <w:r>
        <w:rPr/>
      </w:r>
      <w:r>
        <w:rPr>
          <w:rFonts w:ascii="宋体" w:hAnsi="宋体" w:cs="宋体" w:eastAsia="宋体" w:hint="default"/>
          <w:b/>
          <w:bCs/>
          <w:sz w:val="21"/>
          <w:szCs w:val="21"/>
        </w:rPr>
        <w:t>8</w:t>
      </w:r>
      <w:r>
        <w:rPr>
          <w:rFonts w:ascii="宋体" w:hAnsi="宋体" w:cs="宋体" w:eastAsia="宋体" w:hint="default"/>
          <w:b/>
          <w:bCs/>
          <w:sz w:val="21"/>
          <w:szCs w:val="21"/>
        </w:rPr>
        <w:t>、存货</w:t>
      </w:r>
      <w:r>
        <w:rPr>
          <w:rFonts w:ascii="宋体" w:hAnsi="宋体" w:cs="宋体" w:eastAsia="宋体" w:hint="default"/>
          <w:b/>
          <w:bCs/>
          <w:w w:val="100"/>
          <w:sz w:val="21"/>
          <w:szCs w:val="21"/>
        </w:rPr>
        <w:t> </w:t>
      </w:r>
      <w:r>
        <w:rPr>
          <w:rFonts w:ascii="宋体" w:hAnsi="宋体" w:cs="宋体" w:eastAsia="宋体" w:hint="default"/>
          <w:spacing w:val="-1"/>
          <w:sz w:val="21"/>
          <w:szCs w:val="21"/>
        </w:rPr>
        <w:t>是否已执行新收入准则</w:t>
      </w:r>
    </w:p>
    <w:p>
      <w:pPr>
        <w:spacing w:line="408" w:lineRule="auto" w:before="50"/>
        <w:ind w:left="153" w:right="9591" w:firstLine="0"/>
        <w:jc w:val="left"/>
        <w:rPr>
          <w:rFonts w:ascii="宋体" w:hAnsi="宋体" w:cs="宋体" w:eastAsia="宋体" w:hint="default"/>
          <w:sz w:val="21"/>
          <w:szCs w:val="21"/>
        </w:rPr>
      </w:pPr>
      <w:r>
        <w:rPr>
          <w:rFonts w:ascii="宋体" w:hAnsi="宋体" w:cs="宋体" w:eastAsia="宋体" w:hint="default"/>
          <w:sz w:val="21"/>
          <w:szCs w:val="21"/>
        </w:rPr>
        <w:t>□ 是 √</w:t>
      </w:r>
      <w:r>
        <w:rPr>
          <w:rFonts w:ascii="宋体" w:hAnsi="宋体" w:cs="宋体" w:eastAsia="宋体" w:hint="default"/>
          <w:spacing w:val="5"/>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bookmarkStart w:name="存货分类" w:id="305"/>
      <w:bookmarkEnd w:id="305"/>
      <w:r>
        <w:rPr>
          <w:rFonts w:ascii="宋体" w:hAnsi="宋体" w:cs="宋体" w:eastAsia="宋体" w:hint="default"/>
          <w:w w:val="100"/>
          <w:sz w:val="21"/>
          <w:szCs w:val="21"/>
        </w:rPr>
      </w:r>
      <w:r>
        <w:rPr>
          <w:rFonts w:ascii="宋体" w:hAnsi="宋体" w:cs="宋体" w:eastAsia="宋体" w:hint="default"/>
          <w:b/>
          <w:bCs/>
          <w:sz w:val="21"/>
          <w:szCs w:val="21"/>
        </w:rPr>
        <w:t>存货分类</w:t>
      </w:r>
      <w:r>
        <w:rPr>
          <w:rFonts w:ascii="宋体" w:hAnsi="宋体" w:cs="宋体" w:eastAsia="宋体" w:hint="default"/>
          <w:sz w:val="21"/>
          <w:szCs w:val="21"/>
        </w:rPr>
      </w:r>
    </w:p>
    <w:p>
      <w:pPr>
        <w:spacing w:before="3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153"/>
        <w:gridCol w:w="1584"/>
        <w:gridCol w:w="1369"/>
        <w:gridCol w:w="1503"/>
        <w:gridCol w:w="1532"/>
        <w:gridCol w:w="1426"/>
        <w:gridCol w:w="1513"/>
      </w:tblGrid>
      <w:tr>
        <w:trPr>
          <w:trHeight w:val="410" w:hRule="exact"/>
        </w:trPr>
        <w:tc>
          <w:tcPr>
            <w:tcW w:w="1153"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456" w:type="dxa"/>
            <w:gridSpan w:val="3"/>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71" w:type="dxa"/>
            <w:gridSpan w:val="3"/>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5" w:hRule="exact"/>
        </w:trPr>
        <w:tc>
          <w:tcPr>
            <w:tcW w:w="1153" w:type="dxa"/>
            <w:vMerge/>
            <w:tcBorders>
              <w:left w:val="single" w:sz="12" w:space="0" w:color="000000"/>
              <w:bottom w:val="single" w:sz="4" w:space="0" w:color="000000"/>
              <w:right w:val="single" w:sz="4" w:space="0" w:color="000000"/>
            </w:tcBorders>
            <w:shd w:val="clear" w:color="auto" w:fill="D2D2D2"/>
          </w:tcPr>
          <w:p>
            <w:pP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39" w:right="132"/>
              <w:jc w:val="both"/>
              <w:rPr>
                <w:rFonts w:ascii="宋体" w:hAnsi="宋体" w:cs="宋体" w:eastAsia="宋体" w:hint="default"/>
                <w:sz w:val="18"/>
                <w:szCs w:val="18"/>
              </w:rPr>
            </w:pPr>
            <w:r>
              <w:rPr>
                <w:rFonts w:ascii="宋体" w:hAnsi="宋体" w:cs="宋体" w:eastAsia="宋体" w:hint="default"/>
                <w:spacing w:val="-2"/>
                <w:sz w:val="18"/>
                <w:szCs w:val="18"/>
              </w:rPr>
              <w:t>存货跌价准备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或合同履约成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本减值准备</w:t>
            </w:r>
          </w:p>
        </w:tc>
        <w:tc>
          <w:tcPr>
            <w:tcW w:w="1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8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67" w:right="161"/>
              <w:jc w:val="both"/>
              <w:rPr>
                <w:rFonts w:ascii="宋体" w:hAnsi="宋体" w:cs="宋体" w:eastAsia="宋体" w:hint="default"/>
                <w:sz w:val="18"/>
                <w:szCs w:val="18"/>
              </w:rPr>
            </w:pPr>
            <w:r>
              <w:rPr>
                <w:rFonts w:ascii="宋体" w:hAnsi="宋体" w:cs="宋体" w:eastAsia="宋体" w:hint="default"/>
                <w:spacing w:val="-2"/>
                <w:sz w:val="18"/>
                <w:szCs w:val="18"/>
              </w:rPr>
              <w:t>存货跌价准备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或合同履约成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本减值准备</w:t>
            </w:r>
          </w:p>
        </w:tc>
        <w:tc>
          <w:tcPr>
            <w:tcW w:w="1513"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8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1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26,451,599.96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1,568,214.70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24,883,385.26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34,602,054.50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990,537.00</w:t>
            </w:r>
          </w:p>
        </w:tc>
        <w:tc>
          <w:tcPr>
            <w:tcW w:w="15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33,611,517.50</w:t>
            </w:r>
          </w:p>
        </w:tc>
      </w:tr>
      <w:tr>
        <w:trPr>
          <w:trHeight w:val="403" w:hRule="exact"/>
        </w:trPr>
        <w:tc>
          <w:tcPr>
            <w:tcW w:w="11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14,901,030.55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591,582.07</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14,309,448.48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32,624,172.01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666,098.83</w:t>
            </w:r>
          </w:p>
        </w:tc>
        <w:tc>
          <w:tcPr>
            <w:tcW w:w="15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31,958,073.18</w:t>
            </w:r>
          </w:p>
        </w:tc>
      </w:tr>
      <w:tr>
        <w:trPr>
          <w:trHeight w:val="398" w:hRule="exact"/>
        </w:trPr>
        <w:tc>
          <w:tcPr>
            <w:tcW w:w="11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71,412,430.07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1,102,898.59</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70,309,531.48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49,004,032.79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1,123,606.53</w:t>
            </w:r>
          </w:p>
        </w:tc>
        <w:tc>
          <w:tcPr>
            <w:tcW w:w="15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47,880,426.26</w:t>
            </w:r>
          </w:p>
        </w:tc>
      </w:tr>
      <w:tr>
        <w:trPr>
          <w:trHeight w:val="404" w:hRule="exact"/>
        </w:trPr>
        <w:tc>
          <w:tcPr>
            <w:tcW w:w="115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9"/>
              <w:ind w:left="95"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4"/>
              <w:jc w:val="right"/>
              <w:rPr>
                <w:rFonts w:ascii="宋体" w:hAnsi="宋体" w:cs="宋体" w:eastAsia="宋体" w:hint="default"/>
                <w:sz w:val="18"/>
                <w:szCs w:val="18"/>
              </w:rPr>
            </w:pPr>
            <w:r>
              <w:rPr>
                <w:rFonts w:ascii="宋体"/>
                <w:spacing w:val="-1"/>
                <w:sz w:val="18"/>
              </w:rPr>
              <w:t>428,024.42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3"/>
              <w:jc w:val="right"/>
              <w:rPr>
                <w:rFonts w:ascii="宋体" w:hAnsi="宋体" w:cs="宋体" w:eastAsia="宋体" w:hint="default"/>
                <w:sz w:val="18"/>
                <w:szCs w:val="18"/>
              </w:rPr>
            </w:pPr>
            <w:r>
              <w:rPr>
                <w:rFonts w:ascii="宋体"/>
                <w:spacing w:val="-1"/>
                <w:sz w:val="18"/>
              </w:rPr>
              <w:t>428,024.42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4"/>
              <w:jc w:val="right"/>
              <w:rPr>
                <w:rFonts w:ascii="宋体" w:hAnsi="宋体" w:cs="宋体" w:eastAsia="宋体" w:hint="default"/>
                <w:sz w:val="18"/>
                <w:szCs w:val="18"/>
              </w:rPr>
            </w:pPr>
            <w:r>
              <w:rPr>
                <w:rFonts w:ascii="宋体"/>
                <w:spacing w:val="-1"/>
                <w:sz w:val="18"/>
              </w:rPr>
              <w:t>423,214.34</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9"/>
              <w:ind w:right="84"/>
              <w:jc w:val="right"/>
              <w:rPr>
                <w:rFonts w:ascii="宋体" w:hAnsi="宋体" w:cs="宋体" w:eastAsia="宋体" w:hint="default"/>
                <w:sz w:val="18"/>
                <w:szCs w:val="18"/>
              </w:rPr>
            </w:pPr>
            <w:r>
              <w:rPr>
                <w:rFonts w:ascii="宋体"/>
                <w:spacing w:val="-1"/>
                <w:sz w:val="18"/>
              </w:rPr>
              <w:t>423,214.34</w:t>
            </w:r>
          </w:p>
        </w:tc>
      </w:tr>
      <w:tr>
        <w:trPr>
          <w:trHeight w:val="413" w:hRule="exact"/>
        </w:trPr>
        <w:tc>
          <w:tcPr>
            <w:tcW w:w="115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113,193,085.00</w:t>
            </w:r>
          </w:p>
        </w:tc>
        <w:tc>
          <w:tcPr>
            <w:tcW w:w="13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3,262,695.36</w:t>
            </w:r>
          </w:p>
        </w:tc>
        <w:tc>
          <w:tcPr>
            <w:tcW w:w="15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109,930,389.64</w:t>
            </w:r>
          </w:p>
        </w:tc>
        <w:tc>
          <w:tcPr>
            <w:tcW w:w="15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116,653,473.64</w:t>
            </w: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2,780,242.36</w:t>
            </w:r>
          </w:p>
        </w:tc>
        <w:tc>
          <w:tcPr>
            <w:tcW w:w="15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113,873,231.28</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存货跌价准备和合同履约成本减值准备" w:id="306"/>
      <w:bookmarkEnd w:id="306"/>
      <w:r>
        <w:rPr>
          <w:b w:val="0"/>
          <w:bCs w:val="0"/>
        </w:rPr>
      </w:r>
      <w:r>
        <w:rPr/>
        <w:t>存货跌价准备和合同履约成本减值准备</w:t>
      </w:r>
      <w:r>
        <w:rPr>
          <w:b w:val="0"/>
          <w:bCs w:val="0"/>
        </w:rPr>
      </w:r>
    </w:p>
    <w:p>
      <w:pPr>
        <w:spacing w:line="240" w:lineRule="auto" w:before="1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13" w:hRule="exact"/>
        </w:trPr>
        <w:tc>
          <w:tcPr>
            <w:tcW w:w="1369"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12"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12" w:space="0" w:color="000000"/>
            </w:tcBorders>
            <w:shd w:val="clear" w:color="auto" w:fill="D2D2D2"/>
          </w:tcPr>
          <w:p>
            <w:pPr/>
          </w:p>
        </w:tc>
      </w:tr>
      <w:tr>
        <w:trPr>
          <w:trHeight w:val="398" w:hRule="exact"/>
        </w:trPr>
        <w:tc>
          <w:tcPr>
            <w:tcW w:w="13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990,537.00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583,621.50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5,943.81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1,568,214.70</w:t>
            </w:r>
          </w:p>
        </w:tc>
      </w:tr>
      <w:tr>
        <w:trPr>
          <w:trHeight w:val="404" w:hRule="exact"/>
        </w:trPr>
        <w:tc>
          <w:tcPr>
            <w:tcW w:w="13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666,098.83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37,421.47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3"/>
                <w:sz w:val="18"/>
              </w:rPr>
              <w:t>111,938.23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591,582.07</w:t>
            </w:r>
          </w:p>
        </w:tc>
      </w:tr>
      <w:tr>
        <w:trPr>
          <w:trHeight w:val="403" w:hRule="exact"/>
        </w:trPr>
        <w:tc>
          <w:tcPr>
            <w:tcW w:w="13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1,123,606.53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322,520.54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343,228.47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1,102,898.59</w:t>
            </w:r>
          </w:p>
        </w:tc>
      </w:tr>
      <w:tr>
        <w:trPr>
          <w:trHeight w:val="413" w:hRule="exact"/>
        </w:trPr>
        <w:tc>
          <w:tcPr>
            <w:tcW w:w="136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2,780,242.36</w:t>
            </w:r>
          </w:p>
        </w:tc>
        <w:tc>
          <w:tcPr>
            <w:tcW w:w="13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943,563.51</w:t>
            </w:r>
          </w:p>
        </w:tc>
        <w:tc>
          <w:tcPr>
            <w:tcW w:w="1368" w:type="dxa"/>
            <w:tcBorders>
              <w:top w:val="single" w:sz="4" w:space="0" w:color="000000"/>
              <w:left w:val="single" w:sz="4" w:space="0" w:color="000000"/>
              <w:bottom w:val="single" w:sz="12" w:space="0" w:color="000000"/>
              <w:right w:val="single" w:sz="4" w:space="0" w:color="000000"/>
            </w:tcBorders>
          </w:tcPr>
          <w:p>
            <w:pP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461,110.51</w:t>
            </w:r>
          </w:p>
        </w:tc>
        <w:tc>
          <w:tcPr>
            <w:tcW w:w="1369" w:type="dxa"/>
            <w:tcBorders>
              <w:top w:val="single" w:sz="4" w:space="0" w:color="000000"/>
              <w:left w:val="single" w:sz="4" w:space="0" w:color="000000"/>
              <w:bottom w:val="single" w:sz="12" w:space="0" w:color="000000"/>
              <w:right w:val="single" w:sz="4" w:space="0" w:color="000000"/>
            </w:tcBorders>
          </w:tcPr>
          <w:p>
            <w:pPr/>
          </w:p>
        </w:tc>
        <w:tc>
          <w:tcPr>
            <w:tcW w:w="136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3,262,695.36</w:t>
            </w:r>
          </w:p>
        </w:tc>
      </w:tr>
    </w:tbl>
    <w:p>
      <w:pPr>
        <w:spacing w:line="408" w:lineRule="auto" w:before="66"/>
        <w:ind w:left="153" w:right="8661" w:firstLine="0"/>
        <w:jc w:val="left"/>
        <w:rPr>
          <w:rFonts w:ascii="宋体" w:hAnsi="宋体" w:cs="宋体" w:eastAsia="宋体" w:hint="default"/>
          <w:sz w:val="21"/>
          <w:szCs w:val="21"/>
        </w:rPr>
      </w:pPr>
      <w:bookmarkStart w:name="13、其他流动资产" w:id="307"/>
      <w:bookmarkEnd w:id="307"/>
      <w:r>
        <w:rPr/>
      </w:r>
      <w:r>
        <w:rPr>
          <w:rFonts w:ascii="宋体" w:hAnsi="宋体" w:cs="宋体" w:eastAsia="宋体" w:hint="default"/>
          <w:b/>
          <w:bCs/>
          <w:sz w:val="21"/>
          <w:szCs w:val="21"/>
        </w:rPr>
        <w:t>13</w:t>
      </w:r>
      <w:r>
        <w:rPr>
          <w:rFonts w:ascii="宋体" w:hAnsi="宋体" w:cs="宋体" w:eastAsia="宋体" w:hint="default"/>
          <w:b/>
          <w:bCs/>
          <w:sz w:val="21"/>
          <w:szCs w:val="21"/>
        </w:rPr>
        <w:t>、其他流动资产</w:t>
      </w:r>
      <w:r>
        <w:rPr>
          <w:rFonts w:ascii="宋体" w:hAnsi="宋体" w:cs="宋体" w:eastAsia="宋体" w:hint="default"/>
          <w:b/>
          <w:bCs/>
          <w:spacing w:val="-104"/>
          <w:sz w:val="21"/>
          <w:szCs w:val="21"/>
        </w:rPr>
        <w:t> </w:t>
      </w:r>
      <w:r>
        <w:rPr>
          <w:rFonts w:ascii="宋体" w:hAnsi="宋体" w:cs="宋体" w:eastAsia="宋体" w:hint="default"/>
          <w:spacing w:val="-1"/>
          <w:sz w:val="21"/>
          <w:szCs w:val="21"/>
        </w:rPr>
        <w:t>是否已执行新收入准则</w:t>
      </w:r>
    </w:p>
    <w:p>
      <w:pPr>
        <w:pStyle w:val="BodyText"/>
        <w:spacing w:line="240" w:lineRule="auto" w:before="48"/>
        <w:ind w:right="1024"/>
        <w:jc w:val="left"/>
      </w:pPr>
      <w:r>
        <w:rPr/>
        <w:t>□ 是 √</w:t>
      </w:r>
      <w:r>
        <w:rPr>
          <w:spacing w:val="5"/>
        </w:rPr>
        <w:t> </w:t>
      </w:r>
      <w:r>
        <w:rPr/>
        <w:t>否</w:t>
      </w:r>
    </w:p>
    <w:p>
      <w:pPr>
        <w:spacing w:line="240" w:lineRule="auto" w:before="13"/>
        <w:rPr>
          <w:rFonts w:ascii="宋体" w:hAnsi="宋体" w:cs="宋体" w:eastAsia="宋体" w:hint="default"/>
          <w:sz w:val="12"/>
          <w:szCs w:val="12"/>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2002" w:right="0"/>
              <w:jc w:val="left"/>
              <w:rPr>
                <w:rFonts w:ascii="宋体" w:hAnsi="宋体" w:cs="宋体" w:eastAsia="宋体" w:hint="default"/>
                <w:sz w:val="18"/>
                <w:szCs w:val="18"/>
              </w:rPr>
            </w:pPr>
            <w:r>
              <w:rPr>
                <w:rFonts w:ascii="宋体"/>
                <w:sz w:val="18"/>
              </w:rPr>
              <w:t>2,957,219.93</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2002" w:right="0"/>
              <w:jc w:val="left"/>
              <w:rPr>
                <w:rFonts w:ascii="宋体" w:hAnsi="宋体" w:cs="宋体" w:eastAsia="宋体" w:hint="default"/>
                <w:sz w:val="18"/>
                <w:szCs w:val="18"/>
              </w:rPr>
            </w:pPr>
            <w:r>
              <w:rPr>
                <w:rFonts w:ascii="宋体"/>
                <w:sz w:val="18"/>
              </w:rPr>
              <w:t>3,974,729.30</w:t>
            </w:r>
          </w:p>
        </w:tc>
      </w:tr>
    </w:tbl>
    <w:p>
      <w:pPr>
        <w:spacing w:after="0" w:line="240" w:lineRule="auto"/>
        <w:jc w:val="left"/>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67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预交的企业所得税</w:t>
            </w:r>
          </w:p>
        </w:tc>
        <w:tc>
          <w:tcPr>
            <w:tcW w:w="31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611,474.05</w:t>
            </w:r>
          </w:p>
        </w:tc>
        <w:tc>
          <w:tcPr>
            <w:tcW w:w="319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595,349.79</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50,432.43</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330,214.82</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3,619,126.41</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4,900,293.91</w:t>
            </w:r>
          </w:p>
        </w:tc>
      </w:tr>
    </w:tbl>
    <w:p>
      <w:pPr>
        <w:spacing w:line="240" w:lineRule="auto" w:before="3"/>
        <w:rPr>
          <w:rFonts w:ascii="宋体" w:hAnsi="宋体" w:cs="宋体" w:eastAsia="宋体" w:hint="default"/>
          <w:sz w:val="19"/>
          <w:szCs w:val="19"/>
        </w:rPr>
      </w:pPr>
    </w:p>
    <w:p>
      <w:pPr>
        <w:pStyle w:val="Heading4"/>
        <w:spacing w:line="240" w:lineRule="auto"/>
        <w:ind w:left="693" w:right="0"/>
        <w:jc w:val="left"/>
        <w:rPr>
          <w:b w:val="0"/>
          <w:bCs w:val="0"/>
        </w:rPr>
      </w:pPr>
      <w:bookmarkStart w:name="14、长期股权投资" w:id="308"/>
      <w:bookmarkEnd w:id="308"/>
      <w:r>
        <w:rPr>
          <w:b w:val="0"/>
          <w:bCs w:val="0"/>
        </w:rPr>
      </w:r>
      <w:r>
        <w:rPr>
          <w:rFonts w:ascii="宋体" w:hAnsi="宋体" w:cs="宋体" w:eastAsia="宋体" w:hint="default"/>
        </w:rPr>
        <w:t>14</w:t>
      </w:r>
      <w:r>
        <w:rPr/>
        <w:t>、长期股权投资</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186"/>
        <w:gridCol w:w="1349"/>
        <w:gridCol w:w="428"/>
        <w:gridCol w:w="384"/>
        <w:gridCol w:w="1210"/>
        <w:gridCol w:w="711"/>
        <w:gridCol w:w="1080"/>
        <w:gridCol w:w="605"/>
        <w:gridCol w:w="638"/>
        <w:gridCol w:w="1201"/>
        <w:gridCol w:w="1320"/>
        <w:gridCol w:w="586"/>
      </w:tblGrid>
      <w:tr>
        <w:trPr>
          <w:trHeight w:val="411" w:hRule="exact"/>
        </w:trPr>
        <w:tc>
          <w:tcPr>
            <w:tcW w:w="1186"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202"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1349"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86" w:lineRule="auto"/>
              <w:ind w:left="552" w:right="113" w:hanging="447"/>
              <w:jc w:val="left"/>
              <w:rPr>
                <w:rFonts w:ascii="宋体" w:hAnsi="宋体" w:cs="宋体" w:eastAsia="宋体" w:hint="default"/>
                <w:sz w:val="15"/>
                <w:szCs w:val="15"/>
              </w:rPr>
            </w:pPr>
            <w:r>
              <w:rPr>
                <w:rFonts w:ascii="宋体" w:hAnsi="宋体" w:cs="宋体" w:eastAsia="宋体" w:hint="default"/>
                <w:sz w:val="15"/>
                <w:szCs w:val="15"/>
              </w:rPr>
              <w:t>期初余额</w:t>
            </w:r>
            <w:r>
              <w:rPr>
                <w:rFonts w:ascii="宋体" w:hAnsi="宋体" w:cs="宋体" w:eastAsia="宋体" w:hint="default"/>
                <w:sz w:val="15"/>
                <w:szCs w:val="15"/>
              </w:rPr>
              <w:t>(</w:t>
            </w:r>
            <w:r>
              <w:rPr>
                <w:rFonts w:ascii="宋体" w:hAnsi="宋体" w:cs="宋体" w:eastAsia="宋体" w:hint="default"/>
                <w:sz w:val="15"/>
                <w:szCs w:val="15"/>
              </w:rPr>
              <w:t>账面价</w:t>
            </w:r>
            <w:r>
              <w:rPr>
                <w:rFonts w:ascii="宋体" w:hAnsi="宋体" w:cs="宋体" w:eastAsia="宋体" w:hint="default"/>
                <w:w w:val="99"/>
                <w:sz w:val="15"/>
                <w:szCs w:val="15"/>
              </w:rPr>
              <w:t> </w:t>
            </w:r>
            <w:r>
              <w:rPr>
                <w:rFonts w:ascii="宋体" w:hAnsi="宋体" w:cs="宋体" w:eastAsia="宋体" w:hint="default"/>
                <w:sz w:val="15"/>
                <w:szCs w:val="15"/>
              </w:rPr>
              <w:t>值</w:t>
            </w:r>
            <w:r>
              <w:rPr>
                <w:rFonts w:ascii="宋体" w:hAnsi="宋体" w:cs="宋体" w:eastAsia="宋体" w:hint="default"/>
                <w:sz w:val="15"/>
                <w:szCs w:val="15"/>
              </w:rPr>
              <w:t>)</w:t>
            </w:r>
          </w:p>
        </w:tc>
        <w:tc>
          <w:tcPr>
            <w:tcW w:w="6257" w:type="dxa"/>
            <w:gridSpan w:val="8"/>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13"/>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320"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86" w:lineRule="auto"/>
              <w:ind w:left="470" w:right="170" w:hanging="303"/>
              <w:jc w:val="left"/>
              <w:rPr>
                <w:rFonts w:ascii="宋体" w:hAnsi="宋体" w:cs="宋体" w:eastAsia="宋体" w:hint="default"/>
                <w:sz w:val="15"/>
                <w:szCs w:val="15"/>
              </w:rPr>
            </w:pPr>
            <w:r>
              <w:rPr>
                <w:rFonts w:ascii="宋体" w:hAnsi="宋体" w:cs="宋体" w:eastAsia="宋体" w:hint="default"/>
                <w:sz w:val="15"/>
                <w:szCs w:val="15"/>
              </w:rPr>
              <w:t>期末余额</w:t>
            </w:r>
            <w:r>
              <w:rPr>
                <w:rFonts w:ascii="宋体" w:hAnsi="宋体" w:cs="宋体" w:eastAsia="宋体" w:hint="default"/>
                <w:sz w:val="15"/>
                <w:szCs w:val="15"/>
              </w:rPr>
              <w:t>(</w:t>
            </w:r>
            <w:r>
              <w:rPr>
                <w:rFonts w:ascii="宋体" w:hAnsi="宋体" w:cs="宋体" w:eastAsia="宋体" w:hint="default"/>
                <w:sz w:val="15"/>
                <w:szCs w:val="15"/>
              </w:rPr>
              <w:t>账面</w:t>
            </w:r>
            <w:r>
              <w:rPr>
                <w:rFonts w:ascii="宋体" w:hAnsi="宋体" w:cs="宋体" w:eastAsia="宋体" w:hint="default"/>
                <w:w w:val="99"/>
                <w:sz w:val="15"/>
                <w:szCs w:val="15"/>
              </w:rPr>
              <w:t> </w:t>
            </w:r>
            <w:r>
              <w:rPr>
                <w:rFonts w:ascii="宋体" w:hAnsi="宋体" w:cs="宋体" w:eastAsia="宋体" w:hint="default"/>
                <w:sz w:val="15"/>
                <w:szCs w:val="15"/>
              </w:rPr>
              <w:t>价值</w:t>
            </w:r>
            <w:r>
              <w:rPr>
                <w:rFonts w:ascii="宋体" w:hAnsi="宋体" w:cs="宋体" w:eastAsia="宋体" w:hint="default"/>
                <w:sz w:val="15"/>
                <w:szCs w:val="15"/>
              </w:rPr>
              <w:t>)</w:t>
            </w:r>
          </w:p>
        </w:tc>
        <w:tc>
          <w:tcPr>
            <w:tcW w:w="586"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384" w:lineRule="auto"/>
              <w:ind w:left="139" w:right="127"/>
              <w:jc w:val="both"/>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w w:val="99"/>
                <w:sz w:val="15"/>
                <w:szCs w:val="15"/>
              </w:rPr>
              <w:t> </w:t>
            </w:r>
            <w:r>
              <w:rPr>
                <w:rFonts w:ascii="宋体" w:hAnsi="宋体" w:cs="宋体" w:eastAsia="宋体" w:hint="default"/>
                <w:sz w:val="15"/>
                <w:szCs w:val="15"/>
              </w:rPr>
              <w:t>准备</w:t>
            </w:r>
            <w:r>
              <w:rPr>
                <w:rFonts w:ascii="宋体" w:hAnsi="宋体" w:cs="宋体" w:eastAsia="宋体" w:hint="default"/>
                <w:w w:val="99"/>
                <w:sz w:val="15"/>
                <w:szCs w:val="15"/>
              </w:rPr>
              <w:t> </w:t>
            </w:r>
            <w:r>
              <w:rPr>
                <w:rFonts w:ascii="宋体" w:hAnsi="宋体" w:cs="宋体" w:eastAsia="宋体" w:hint="default"/>
                <w:sz w:val="15"/>
                <w:szCs w:val="15"/>
              </w:rPr>
              <w:t>期末</w:t>
            </w:r>
            <w:r>
              <w:rPr>
                <w:rFonts w:ascii="宋体" w:hAnsi="宋体" w:cs="宋体" w:eastAsia="宋体" w:hint="default"/>
                <w:w w:val="99"/>
                <w:sz w:val="15"/>
                <w:szCs w:val="15"/>
              </w:rPr>
              <w:t> </w:t>
            </w:r>
            <w:r>
              <w:rPr>
                <w:rFonts w:ascii="宋体" w:hAnsi="宋体" w:cs="宋体" w:eastAsia="宋体" w:hint="default"/>
                <w:sz w:val="15"/>
                <w:szCs w:val="15"/>
              </w:rPr>
              <w:t>余额</w:t>
            </w:r>
          </w:p>
        </w:tc>
      </w:tr>
      <w:tr>
        <w:trPr>
          <w:trHeight w:val="1964" w:hRule="exact"/>
        </w:trPr>
        <w:tc>
          <w:tcPr>
            <w:tcW w:w="1186" w:type="dxa"/>
            <w:vMerge/>
            <w:tcBorders>
              <w:left w:val="single" w:sz="12"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384" w:lineRule="auto"/>
              <w:ind w:left="129" w:right="137"/>
              <w:jc w:val="both"/>
              <w:rPr>
                <w:rFonts w:ascii="宋体" w:hAnsi="宋体" w:cs="宋体" w:eastAsia="宋体" w:hint="default"/>
                <w:sz w:val="15"/>
                <w:szCs w:val="15"/>
              </w:rPr>
            </w:pPr>
            <w:r>
              <w:rPr>
                <w:rFonts w:ascii="宋体" w:hAnsi="宋体" w:cs="宋体" w:eastAsia="宋体" w:hint="default"/>
                <w:sz w:val="15"/>
                <w:szCs w:val="15"/>
              </w:rPr>
              <w:t>追</w:t>
            </w:r>
            <w:r>
              <w:rPr>
                <w:rFonts w:ascii="宋体" w:hAnsi="宋体" w:cs="宋体" w:eastAsia="宋体" w:hint="default"/>
                <w:w w:val="99"/>
                <w:sz w:val="15"/>
                <w:szCs w:val="15"/>
              </w:rPr>
              <w:t> </w:t>
            </w:r>
            <w:r>
              <w:rPr>
                <w:rFonts w:ascii="宋体" w:hAnsi="宋体" w:cs="宋体" w:eastAsia="宋体" w:hint="default"/>
                <w:sz w:val="15"/>
                <w:szCs w:val="15"/>
              </w:rPr>
              <w:t>加</w:t>
            </w:r>
            <w:r>
              <w:rPr>
                <w:rFonts w:ascii="宋体" w:hAnsi="宋体" w:cs="宋体" w:eastAsia="宋体" w:hint="default"/>
                <w:w w:val="99"/>
                <w:sz w:val="15"/>
                <w:szCs w:val="15"/>
              </w:rPr>
              <w:t> </w:t>
            </w:r>
            <w:r>
              <w:rPr>
                <w:rFonts w:ascii="宋体" w:hAnsi="宋体" w:cs="宋体" w:eastAsia="宋体" w:hint="default"/>
                <w:sz w:val="15"/>
                <w:szCs w:val="15"/>
              </w:rPr>
              <w:t>投</w:t>
            </w:r>
            <w:r>
              <w:rPr>
                <w:rFonts w:ascii="宋体" w:hAnsi="宋体" w:cs="宋体" w:eastAsia="宋体" w:hint="default"/>
                <w:w w:val="99"/>
                <w:sz w:val="15"/>
                <w:szCs w:val="15"/>
              </w:rPr>
              <w:t> </w:t>
            </w:r>
            <w:r>
              <w:rPr>
                <w:rFonts w:ascii="宋体" w:hAnsi="宋体" w:cs="宋体" w:eastAsia="宋体" w:hint="default"/>
                <w:sz w:val="15"/>
                <w:szCs w:val="15"/>
              </w:rPr>
              <w:t>资</w:t>
            </w:r>
          </w:p>
        </w:tc>
        <w:tc>
          <w:tcPr>
            <w:tcW w:w="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384" w:lineRule="auto"/>
              <w:ind w:left="115" w:right="108"/>
              <w:jc w:val="both"/>
              <w:rPr>
                <w:rFonts w:ascii="宋体" w:hAnsi="宋体" w:cs="宋体" w:eastAsia="宋体" w:hint="default"/>
                <w:sz w:val="15"/>
                <w:szCs w:val="15"/>
              </w:rPr>
            </w:pPr>
            <w:r>
              <w:rPr>
                <w:rFonts w:ascii="宋体" w:hAnsi="宋体" w:cs="宋体" w:eastAsia="宋体" w:hint="default"/>
                <w:sz w:val="15"/>
                <w:szCs w:val="15"/>
              </w:rPr>
              <w:t>减</w:t>
            </w:r>
            <w:r>
              <w:rPr>
                <w:rFonts w:ascii="宋体" w:hAnsi="宋体" w:cs="宋体" w:eastAsia="宋体" w:hint="default"/>
                <w:w w:val="99"/>
                <w:sz w:val="15"/>
                <w:szCs w:val="15"/>
              </w:rPr>
              <w:t> </w:t>
            </w:r>
            <w:r>
              <w:rPr>
                <w:rFonts w:ascii="宋体" w:hAnsi="宋体" w:cs="宋体" w:eastAsia="宋体" w:hint="default"/>
                <w:sz w:val="15"/>
                <w:szCs w:val="15"/>
              </w:rPr>
              <w:t>少</w:t>
            </w:r>
            <w:r>
              <w:rPr>
                <w:rFonts w:ascii="宋体" w:hAnsi="宋体" w:cs="宋体" w:eastAsia="宋体" w:hint="default"/>
                <w:w w:val="99"/>
                <w:sz w:val="15"/>
                <w:szCs w:val="15"/>
              </w:rPr>
              <w:t> </w:t>
            </w:r>
            <w:r>
              <w:rPr>
                <w:rFonts w:ascii="宋体" w:hAnsi="宋体" w:cs="宋体" w:eastAsia="宋体" w:hint="default"/>
                <w:sz w:val="15"/>
                <w:szCs w:val="15"/>
              </w:rPr>
              <w:t>投</w:t>
            </w:r>
            <w:r>
              <w:rPr>
                <w:rFonts w:ascii="宋体" w:hAnsi="宋体" w:cs="宋体" w:eastAsia="宋体" w:hint="default"/>
                <w:w w:val="99"/>
                <w:sz w:val="15"/>
                <w:szCs w:val="15"/>
              </w:rPr>
              <w:t> </w:t>
            </w:r>
            <w:r>
              <w:rPr>
                <w:rFonts w:ascii="宋体" w:hAnsi="宋体" w:cs="宋体" w:eastAsia="宋体" w:hint="default"/>
                <w:sz w:val="15"/>
                <w:szCs w:val="15"/>
              </w:rPr>
              <w:t>资</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386" w:lineRule="auto"/>
              <w:ind w:left="225" w:right="158" w:hanging="77"/>
              <w:jc w:val="left"/>
              <w:rPr>
                <w:rFonts w:ascii="宋体" w:hAnsi="宋体" w:cs="宋体" w:eastAsia="宋体" w:hint="default"/>
                <w:sz w:val="15"/>
                <w:szCs w:val="15"/>
              </w:rPr>
            </w:pPr>
            <w:r>
              <w:rPr>
                <w:rFonts w:ascii="宋体" w:hAnsi="宋体" w:cs="宋体" w:eastAsia="宋体" w:hint="default"/>
                <w:sz w:val="15"/>
                <w:szCs w:val="15"/>
              </w:rPr>
              <w:t>权益法下确认</w:t>
            </w:r>
            <w:r>
              <w:rPr>
                <w:rFonts w:ascii="宋体" w:hAnsi="宋体" w:cs="宋体" w:eastAsia="宋体" w:hint="default"/>
                <w:w w:val="99"/>
                <w:sz w:val="15"/>
                <w:szCs w:val="15"/>
              </w:rPr>
              <w:t> </w:t>
            </w:r>
            <w:r>
              <w:rPr>
                <w:rFonts w:ascii="宋体" w:hAnsi="宋体" w:cs="宋体" w:eastAsia="宋体" w:hint="default"/>
                <w:sz w:val="15"/>
                <w:szCs w:val="15"/>
              </w:rPr>
              <w:t>的投资损益</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81" w:lineRule="auto"/>
              <w:ind w:left="124" w:right="129"/>
              <w:jc w:val="both"/>
              <w:rPr>
                <w:rFonts w:ascii="宋体" w:hAnsi="宋体" w:cs="宋体" w:eastAsia="宋体" w:hint="default"/>
                <w:sz w:val="15"/>
                <w:szCs w:val="15"/>
              </w:rPr>
            </w:pPr>
            <w:r>
              <w:rPr>
                <w:rFonts w:ascii="宋体" w:hAnsi="宋体" w:cs="宋体" w:eastAsia="宋体" w:hint="default"/>
                <w:sz w:val="15"/>
                <w:szCs w:val="15"/>
              </w:rPr>
              <w:t>其他综</w:t>
            </w:r>
            <w:r>
              <w:rPr>
                <w:rFonts w:ascii="宋体" w:hAnsi="宋体" w:cs="宋体" w:eastAsia="宋体" w:hint="default"/>
                <w:w w:val="99"/>
                <w:sz w:val="15"/>
                <w:szCs w:val="15"/>
              </w:rPr>
              <w:t> </w:t>
            </w:r>
            <w:r>
              <w:rPr>
                <w:rFonts w:ascii="宋体" w:hAnsi="宋体" w:cs="宋体" w:eastAsia="宋体" w:hint="default"/>
                <w:sz w:val="15"/>
                <w:szCs w:val="15"/>
              </w:rPr>
              <w:t>合收益</w:t>
            </w:r>
            <w:r>
              <w:rPr>
                <w:rFonts w:ascii="宋体" w:hAnsi="宋体" w:cs="宋体" w:eastAsia="宋体" w:hint="default"/>
                <w:w w:val="99"/>
                <w:sz w:val="15"/>
                <w:szCs w:val="15"/>
              </w:rPr>
              <w:t> </w:t>
            </w:r>
            <w:r>
              <w:rPr>
                <w:rFonts w:ascii="宋体" w:hAnsi="宋体" w:cs="宋体" w:eastAsia="宋体" w:hint="default"/>
                <w:sz w:val="15"/>
                <w:szCs w:val="15"/>
              </w:rPr>
              <w:t>调整</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386" w:lineRule="auto"/>
              <w:ind w:left="455" w:right="167" w:hanging="298"/>
              <w:jc w:val="left"/>
              <w:rPr>
                <w:rFonts w:ascii="宋体" w:hAnsi="宋体" w:cs="宋体" w:eastAsia="宋体" w:hint="default"/>
                <w:sz w:val="15"/>
                <w:szCs w:val="15"/>
              </w:rPr>
            </w:pPr>
            <w:r>
              <w:rPr>
                <w:rFonts w:ascii="宋体" w:hAnsi="宋体" w:cs="宋体" w:eastAsia="宋体" w:hint="default"/>
                <w:sz w:val="15"/>
                <w:szCs w:val="15"/>
              </w:rPr>
              <w:t>其他权益变</w:t>
            </w:r>
            <w:r>
              <w:rPr>
                <w:rFonts w:ascii="宋体" w:hAnsi="宋体" w:cs="宋体" w:eastAsia="宋体" w:hint="default"/>
                <w:w w:val="99"/>
                <w:sz w:val="15"/>
                <w:szCs w:val="15"/>
              </w:rPr>
              <w:t> </w:t>
            </w:r>
            <w:r>
              <w:rPr>
                <w:rFonts w:ascii="宋体" w:hAnsi="宋体" w:cs="宋体" w:eastAsia="宋体" w:hint="default"/>
                <w:sz w:val="15"/>
                <w:szCs w:val="15"/>
              </w:rPr>
              <w:t>动</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9"/>
              <w:ind w:left="149" w:right="146"/>
              <w:jc w:val="both"/>
              <w:rPr>
                <w:rFonts w:ascii="宋体" w:hAnsi="宋体" w:cs="宋体" w:eastAsia="宋体" w:hint="default"/>
                <w:sz w:val="15"/>
                <w:szCs w:val="15"/>
              </w:rPr>
            </w:pPr>
            <w:r>
              <w:rPr>
                <w:rFonts w:ascii="宋体" w:hAnsi="宋体" w:cs="宋体" w:eastAsia="宋体" w:hint="default"/>
                <w:sz w:val="15"/>
                <w:szCs w:val="15"/>
              </w:rPr>
              <w:t>宣告</w:t>
            </w:r>
            <w:r>
              <w:rPr>
                <w:rFonts w:ascii="宋体" w:hAnsi="宋体" w:cs="宋体" w:eastAsia="宋体" w:hint="default"/>
                <w:w w:val="99"/>
                <w:sz w:val="15"/>
                <w:szCs w:val="15"/>
              </w:rPr>
              <w:t> </w:t>
            </w:r>
            <w:r>
              <w:rPr>
                <w:rFonts w:ascii="宋体" w:hAnsi="宋体" w:cs="宋体" w:eastAsia="宋体" w:hint="default"/>
                <w:sz w:val="15"/>
                <w:szCs w:val="15"/>
              </w:rPr>
              <w:t>发放</w:t>
            </w:r>
            <w:r>
              <w:rPr>
                <w:rFonts w:ascii="宋体" w:hAnsi="宋体" w:cs="宋体" w:eastAsia="宋体" w:hint="default"/>
                <w:w w:val="99"/>
                <w:sz w:val="15"/>
                <w:szCs w:val="15"/>
              </w:rPr>
              <w:t> </w:t>
            </w:r>
            <w:r>
              <w:rPr>
                <w:rFonts w:ascii="宋体" w:hAnsi="宋体" w:cs="宋体" w:eastAsia="宋体" w:hint="default"/>
                <w:sz w:val="15"/>
                <w:szCs w:val="15"/>
              </w:rPr>
              <w:t>现金</w:t>
            </w:r>
            <w:r>
              <w:rPr>
                <w:rFonts w:ascii="宋体" w:hAnsi="宋体" w:cs="宋体" w:eastAsia="宋体" w:hint="default"/>
                <w:w w:val="99"/>
                <w:sz w:val="15"/>
                <w:szCs w:val="15"/>
              </w:rPr>
              <w:t> </w:t>
            </w:r>
            <w:r>
              <w:rPr>
                <w:rFonts w:ascii="宋体" w:hAnsi="宋体" w:cs="宋体" w:eastAsia="宋体" w:hint="default"/>
                <w:sz w:val="15"/>
                <w:szCs w:val="15"/>
              </w:rPr>
              <w:t>股利</w:t>
            </w:r>
            <w:r>
              <w:rPr>
                <w:rFonts w:ascii="宋体" w:hAnsi="宋体" w:cs="宋体" w:eastAsia="宋体" w:hint="default"/>
                <w:w w:val="99"/>
                <w:sz w:val="15"/>
                <w:szCs w:val="15"/>
              </w:rPr>
              <w:t> </w:t>
            </w:r>
            <w:r>
              <w:rPr>
                <w:rFonts w:ascii="宋体" w:hAnsi="宋体" w:cs="宋体" w:eastAsia="宋体" w:hint="default"/>
                <w:sz w:val="15"/>
                <w:szCs w:val="15"/>
              </w:rPr>
              <w:t>或利</w:t>
            </w:r>
            <w:r>
              <w:rPr>
                <w:rFonts w:ascii="宋体" w:hAnsi="宋体" w:cs="宋体" w:eastAsia="宋体" w:hint="default"/>
                <w:w w:val="99"/>
                <w:sz w:val="15"/>
                <w:szCs w:val="15"/>
              </w:rPr>
              <w:t> </w:t>
            </w:r>
            <w:r>
              <w:rPr>
                <w:rFonts w:ascii="宋体" w:hAnsi="宋体" w:cs="宋体" w:eastAsia="宋体" w:hint="default"/>
                <w:sz w:val="15"/>
                <w:szCs w:val="15"/>
              </w:rPr>
              <w:t>润</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81" w:lineRule="auto"/>
              <w:ind w:left="167" w:right="161"/>
              <w:jc w:val="both"/>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w w:val="99"/>
                <w:sz w:val="15"/>
                <w:szCs w:val="15"/>
              </w:rPr>
              <w:t> </w:t>
            </w:r>
            <w:r>
              <w:rPr>
                <w:rFonts w:ascii="宋体" w:hAnsi="宋体" w:cs="宋体" w:eastAsia="宋体" w:hint="default"/>
                <w:sz w:val="15"/>
                <w:szCs w:val="15"/>
              </w:rPr>
              <w:t>减值</w:t>
            </w:r>
            <w:r>
              <w:rPr>
                <w:rFonts w:ascii="宋体" w:hAnsi="宋体" w:cs="宋体" w:eastAsia="宋体" w:hint="default"/>
                <w:w w:val="99"/>
                <w:sz w:val="15"/>
                <w:szCs w:val="15"/>
              </w:rPr>
              <w:t> </w:t>
            </w:r>
            <w:r>
              <w:rPr>
                <w:rFonts w:ascii="宋体" w:hAnsi="宋体" w:cs="宋体" w:eastAsia="宋体" w:hint="default"/>
                <w:sz w:val="15"/>
                <w:szCs w:val="15"/>
              </w:rPr>
              <w:t>准备</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320"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12" w:space="0" w:color="000000"/>
            </w:tcBorders>
            <w:shd w:val="clear" w:color="auto" w:fill="D2D2D2"/>
          </w:tcPr>
          <w:p>
            <w:pPr/>
          </w:p>
        </w:tc>
      </w:tr>
      <w:tr>
        <w:trPr>
          <w:trHeight w:val="403" w:hRule="exact"/>
        </w:trPr>
        <w:tc>
          <w:tcPr>
            <w:tcW w:w="10699" w:type="dxa"/>
            <w:gridSpan w:val="1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398" w:hRule="exact"/>
        </w:trPr>
        <w:tc>
          <w:tcPr>
            <w:tcW w:w="1186" w:type="dxa"/>
            <w:tcBorders>
              <w:top w:val="single" w:sz="4" w:space="0" w:color="000000"/>
              <w:left w:val="single" w:sz="12"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1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4"/>
              <w:ind w:left="91"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34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0699" w:type="dxa"/>
            <w:gridSpan w:val="1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1027" w:hRule="exact"/>
        </w:trPr>
        <w:tc>
          <w:tcPr>
            <w:tcW w:w="1186" w:type="dxa"/>
            <w:tcBorders>
              <w:top w:val="single" w:sz="4" w:space="0" w:color="000000"/>
              <w:left w:val="single" w:sz="12" w:space="0" w:color="000000"/>
              <w:bottom w:val="single" w:sz="4" w:space="0" w:color="000000"/>
              <w:right w:val="single" w:sz="4" w:space="0" w:color="000000"/>
            </w:tcBorders>
          </w:tcPr>
          <w:p>
            <w:pPr>
              <w:pStyle w:val="TableParagraph"/>
              <w:spacing w:line="381" w:lineRule="auto" w:before="79"/>
              <w:ind w:left="91" w:right="180"/>
              <w:jc w:val="both"/>
              <w:rPr>
                <w:rFonts w:ascii="宋体" w:hAnsi="宋体" w:cs="宋体" w:eastAsia="宋体" w:hint="default"/>
                <w:sz w:val="15"/>
                <w:szCs w:val="15"/>
              </w:rPr>
            </w:pPr>
            <w:r>
              <w:rPr>
                <w:rFonts w:ascii="宋体" w:hAnsi="宋体" w:cs="宋体" w:eastAsia="宋体" w:hint="default"/>
                <w:sz w:val="15"/>
                <w:szCs w:val="15"/>
              </w:rPr>
              <w:t>北京海誉动想</w:t>
            </w:r>
            <w:r>
              <w:rPr>
                <w:rFonts w:ascii="宋体" w:hAnsi="宋体" w:cs="宋体" w:eastAsia="宋体" w:hint="default"/>
                <w:w w:val="99"/>
                <w:sz w:val="15"/>
                <w:szCs w:val="15"/>
              </w:rPr>
              <w:t> </w:t>
            </w:r>
            <w:r>
              <w:rPr>
                <w:rFonts w:ascii="宋体" w:hAnsi="宋体" w:cs="宋体" w:eastAsia="宋体" w:hint="default"/>
                <w:sz w:val="15"/>
                <w:szCs w:val="15"/>
              </w:rPr>
              <w:t>科技股份有限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8" w:right="0"/>
              <w:jc w:val="center"/>
              <w:rPr>
                <w:rFonts w:ascii="宋体" w:hAnsi="宋体" w:cs="宋体" w:eastAsia="宋体" w:hint="default"/>
                <w:sz w:val="15"/>
                <w:szCs w:val="15"/>
              </w:rPr>
            </w:pPr>
            <w:r>
              <w:rPr>
                <w:rFonts w:ascii="宋体"/>
                <w:sz w:val="15"/>
              </w:rPr>
              <w:t>211,065,657.67</w:t>
            </w:r>
          </w:p>
        </w:tc>
        <w:tc>
          <w:tcPr>
            <w:tcW w:w="428"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5"/>
                <w:szCs w:val="15"/>
              </w:rPr>
            </w:pPr>
            <w:r>
              <w:rPr>
                <w:rFonts w:ascii="宋体"/>
                <w:w w:val="95"/>
                <w:sz w:val="15"/>
              </w:rPr>
              <w:t>4,954,722.89</w:t>
            </w:r>
            <w:r>
              <w:rPr>
                <w:rFonts w:ascii="宋体"/>
                <w:sz w:val="15"/>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5"/>
                <w:szCs w:val="15"/>
              </w:rPr>
            </w:pPr>
            <w:r>
              <w:rPr>
                <w:rFonts w:ascii="宋体"/>
                <w:w w:val="95"/>
                <w:sz w:val="15"/>
              </w:rPr>
              <w:t>-530,953.80</w:t>
            </w:r>
            <w:r>
              <w:rPr>
                <w:rFonts w:ascii="宋体"/>
                <w:sz w:val="15"/>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5"/>
                <w:szCs w:val="15"/>
              </w:rPr>
            </w:pPr>
            <w:r>
              <w:rPr>
                <w:rFonts w:ascii="宋体"/>
                <w:w w:val="95"/>
                <w:sz w:val="15"/>
              </w:rPr>
              <w:t>215,489,426.76</w:t>
            </w:r>
            <w:r>
              <w:rPr>
                <w:rFonts w:ascii="宋体"/>
                <w:sz w:val="15"/>
              </w:rPr>
            </w:r>
          </w:p>
        </w:tc>
        <w:tc>
          <w:tcPr>
            <w:tcW w:w="586" w:type="dxa"/>
            <w:tcBorders>
              <w:top w:val="single" w:sz="4" w:space="0" w:color="000000"/>
              <w:left w:val="single" w:sz="4" w:space="0" w:color="000000"/>
              <w:bottom w:val="single" w:sz="4" w:space="0" w:color="000000"/>
              <w:right w:val="single" w:sz="12" w:space="0" w:color="000000"/>
            </w:tcBorders>
          </w:tcPr>
          <w:p>
            <w:pPr/>
          </w:p>
        </w:tc>
      </w:tr>
      <w:tr>
        <w:trPr>
          <w:trHeight w:val="1023" w:hRule="exact"/>
        </w:trPr>
        <w:tc>
          <w:tcPr>
            <w:tcW w:w="1186" w:type="dxa"/>
            <w:tcBorders>
              <w:top w:val="single" w:sz="4" w:space="0" w:color="000000"/>
              <w:left w:val="single" w:sz="12" w:space="0" w:color="000000"/>
              <w:bottom w:val="single" w:sz="4" w:space="0" w:color="000000"/>
              <w:right w:val="single" w:sz="4" w:space="0" w:color="000000"/>
            </w:tcBorders>
          </w:tcPr>
          <w:p>
            <w:pPr>
              <w:pStyle w:val="TableParagraph"/>
              <w:spacing w:line="381" w:lineRule="auto" w:before="79"/>
              <w:ind w:left="91" w:right="180"/>
              <w:jc w:val="both"/>
              <w:rPr>
                <w:rFonts w:ascii="宋体" w:hAnsi="宋体" w:cs="宋体" w:eastAsia="宋体" w:hint="default"/>
                <w:sz w:val="15"/>
                <w:szCs w:val="15"/>
              </w:rPr>
            </w:pPr>
            <w:r>
              <w:rPr>
                <w:rFonts w:ascii="宋体" w:hAnsi="宋体" w:cs="宋体" w:eastAsia="宋体" w:hint="default"/>
                <w:sz w:val="15"/>
                <w:szCs w:val="15"/>
              </w:rPr>
              <w:t>中云文化大数</w:t>
            </w:r>
            <w:r>
              <w:rPr>
                <w:rFonts w:ascii="宋体" w:hAnsi="宋体" w:cs="宋体" w:eastAsia="宋体" w:hint="default"/>
                <w:w w:val="99"/>
                <w:sz w:val="15"/>
                <w:szCs w:val="15"/>
              </w:rPr>
              <w:t> </w:t>
            </w:r>
            <w:r>
              <w:rPr>
                <w:rFonts w:ascii="宋体" w:hAnsi="宋体" w:cs="宋体" w:eastAsia="宋体" w:hint="default"/>
                <w:sz w:val="15"/>
                <w:szCs w:val="15"/>
              </w:rPr>
              <w:t>据科技有限公</w:t>
            </w:r>
            <w:r>
              <w:rPr>
                <w:rFonts w:ascii="宋体" w:hAnsi="宋体" w:cs="宋体" w:eastAsia="宋体" w:hint="default"/>
                <w:w w:val="99"/>
                <w:sz w:val="15"/>
                <w:szCs w:val="15"/>
              </w:rPr>
              <w:t> </w:t>
            </w:r>
            <w:r>
              <w:rPr>
                <w:rFonts w:ascii="宋体" w:hAnsi="宋体" w:cs="宋体" w:eastAsia="宋体" w:hint="default"/>
                <w:sz w:val="15"/>
                <w:szCs w:val="15"/>
              </w:rPr>
              <w:t>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5" w:right="0"/>
              <w:jc w:val="center"/>
              <w:rPr>
                <w:rFonts w:ascii="宋体" w:hAnsi="宋体" w:cs="宋体" w:eastAsia="宋体" w:hint="default"/>
                <w:sz w:val="15"/>
                <w:szCs w:val="15"/>
              </w:rPr>
            </w:pPr>
            <w:r>
              <w:rPr>
                <w:rFonts w:ascii="宋体"/>
                <w:sz w:val="15"/>
              </w:rPr>
              <w:t>79,664,222.05</w:t>
            </w:r>
          </w:p>
        </w:tc>
        <w:tc>
          <w:tcPr>
            <w:tcW w:w="428"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5"/>
                <w:szCs w:val="15"/>
              </w:rPr>
            </w:pPr>
            <w:r>
              <w:rPr>
                <w:rFonts w:ascii="宋体"/>
                <w:w w:val="95"/>
                <w:sz w:val="15"/>
              </w:rPr>
              <w:t>998,846.49</w:t>
            </w:r>
            <w:r>
              <w:rPr>
                <w:rFonts w:ascii="宋体"/>
                <w:sz w:val="15"/>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15"/>
                <w:szCs w:val="15"/>
              </w:rPr>
            </w:pPr>
            <w:r>
              <w:rPr>
                <w:rFonts w:ascii="宋体"/>
                <w:w w:val="95"/>
                <w:sz w:val="15"/>
              </w:rPr>
              <w:t>176,464.79</w:t>
            </w:r>
            <w:r>
              <w:rPr>
                <w:rFonts w:ascii="宋体"/>
                <w:sz w:val="15"/>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5"/>
                <w:szCs w:val="15"/>
              </w:rPr>
            </w:pPr>
            <w:r>
              <w:rPr>
                <w:rFonts w:ascii="宋体"/>
                <w:w w:val="95"/>
                <w:sz w:val="15"/>
              </w:rPr>
              <w:t>80,839,533.33</w:t>
            </w:r>
            <w:r>
              <w:rPr>
                <w:rFonts w:ascii="宋体"/>
                <w:sz w:val="15"/>
              </w:rPr>
            </w:r>
          </w:p>
        </w:tc>
        <w:tc>
          <w:tcPr>
            <w:tcW w:w="586" w:type="dxa"/>
            <w:tcBorders>
              <w:top w:val="single" w:sz="4" w:space="0" w:color="000000"/>
              <w:left w:val="single" w:sz="4" w:space="0" w:color="000000"/>
              <w:bottom w:val="single" w:sz="4" w:space="0" w:color="000000"/>
              <w:right w:val="single" w:sz="12" w:space="0" w:color="000000"/>
            </w:tcBorders>
          </w:tcPr>
          <w:p>
            <w:pPr/>
          </w:p>
        </w:tc>
      </w:tr>
      <w:tr>
        <w:trPr>
          <w:trHeight w:val="1028" w:hRule="exact"/>
        </w:trPr>
        <w:tc>
          <w:tcPr>
            <w:tcW w:w="1186" w:type="dxa"/>
            <w:tcBorders>
              <w:top w:val="single" w:sz="4" w:space="0" w:color="000000"/>
              <w:left w:val="single" w:sz="12" w:space="0" w:color="000000"/>
              <w:bottom w:val="single" w:sz="4" w:space="0" w:color="000000"/>
              <w:right w:val="single" w:sz="4" w:space="0" w:color="000000"/>
            </w:tcBorders>
          </w:tcPr>
          <w:p>
            <w:pPr>
              <w:pStyle w:val="TableParagraph"/>
              <w:spacing w:line="381" w:lineRule="auto" w:before="84"/>
              <w:ind w:left="91" w:right="180"/>
              <w:jc w:val="both"/>
              <w:rPr>
                <w:rFonts w:ascii="宋体" w:hAnsi="宋体" w:cs="宋体" w:eastAsia="宋体" w:hint="default"/>
                <w:sz w:val="15"/>
                <w:szCs w:val="15"/>
              </w:rPr>
            </w:pPr>
            <w:r>
              <w:rPr>
                <w:rFonts w:ascii="宋体" w:hAnsi="宋体" w:cs="宋体" w:eastAsia="宋体" w:hint="default"/>
                <w:sz w:val="15"/>
                <w:szCs w:val="15"/>
              </w:rPr>
              <w:t>北京中广格兰</w:t>
            </w:r>
            <w:r>
              <w:rPr>
                <w:rFonts w:ascii="宋体" w:hAnsi="宋体" w:cs="宋体" w:eastAsia="宋体" w:hint="default"/>
                <w:w w:val="99"/>
                <w:sz w:val="15"/>
                <w:szCs w:val="15"/>
              </w:rPr>
              <w:t> </w:t>
            </w:r>
            <w:r>
              <w:rPr>
                <w:rFonts w:ascii="宋体" w:hAnsi="宋体" w:cs="宋体" w:eastAsia="宋体" w:hint="default"/>
                <w:sz w:val="15"/>
                <w:szCs w:val="15"/>
              </w:rPr>
              <w:t>信息科技有限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5" w:right="0"/>
              <w:jc w:val="center"/>
              <w:rPr>
                <w:rFonts w:ascii="宋体" w:hAnsi="宋体" w:cs="宋体" w:eastAsia="宋体" w:hint="default"/>
                <w:sz w:val="15"/>
                <w:szCs w:val="15"/>
              </w:rPr>
            </w:pPr>
            <w:r>
              <w:rPr>
                <w:rFonts w:ascii="宋体"/>
                <w:sz w:val="15"/>
              </w:rPr>
              <w:t>11,075,847.18</w:t>
            </w:r>
          </w:p>
        </w:tc>
        <w:tc>
          <w:tcPr>
            <w:tcW w:w="428"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15"/>
                <w:szCs w:val="15"/>
              </w:rPr>
            </w:pPr>
            <w:r>
              <w:rPr>
                <w:rFonts w:ascii="宋体"/>
                <w:sz w:val="15"/>
              </w:rPr>
              <w:t>72,372.29</w:t>
            </w:r>
          </w:p>
        </w:tc>
        <w:tc>
          <w:tcPr>
            <w:tcW w:w="7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7"/>
              <w:jc w:val="right"/>
              <w:rPr>
                <w:rFonts w:ascii="宋体" w:hAnsi="宋体" w:cs="宋体" w:eastAsia="宋体" w:hint="default"/>
                <w:sz w:val="15"/>
                <w:szCs w:val="15"/>
              </w:rPr>
            </w:pPr>
            <w:r>
              <w:rPr>
                <w:rFonts w:ascii="宋体"/>
                <w:w w:val="95"/>
                <w:sz w:val="15"/>
              </w:rPr>
              <w:t>11,148,219.47</w:t>
            </w:r>
            <w:r>
              <w:rPr>
                <w:rFonts w:ascii="宋体"/>
                <w:sz w:val="15"/>
              </w:rPr>
            </w:r>
          </w:p>
        </w:tc>
        <w:tc>
          <w:tcPr>
            <w:tcW w:w="586"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186" w:type="dxa"/>
            <w:tcBorders>
              <w:top w:val="single" w:sz="4" w:space="0" w:color="000000"/>
              <w:left w:val="single" w:sz="12" w:space="0" w:color="000000"/>
              <w:bottom w:val="single" w:sz="4" w:space="0" w:color="000000"/>
              <w:right w:val="single" w:sz="4" w:space="0" w:color="000000"/>
            </w:tcBorders>
          </w:tcPr>
          <w:p>
            <w:pPr>
              <w:pStyle w:val="TableParagraph"/>
              <w:spacing w:line="384" w:lineRule="auto" w:before="79"/>
              <w:ind w:left="91" w:right="180"/>
              <w:jc w:val="both"/>
              <w:rPr>
                <w:rFonts w:ascii="宋体" w:hAnsi="宋体" w:cs="宋体" w:eastAsia="宋体" w:hint="default"/>
                <w:sz w:val="15"/>
                <w:szCs w:val="15"/>
              </w:rPr>
            </w:pPr>
            <w:r>
              <w:rPr>
                <w:rFonts w:ascii="宋体" w:hAnsi="宋体" w:cs="宋体" w:eastAsia="宋体" w:hint="default"/>
                <w:sz w:val="15"/>
                <w:szCs w:val="15"/>
              </w:rPr>
              <w:t>广东今程光一</w:t>
            </w:r>
            <w:r>
              <w:rPr>
                <w:rFonts w:ascii="宋体" w:hAnsi="宋体" w:cs="宋体" w:eastAsia="宋体" w:hint="default"/>
                <w:w w:val="99"/>
                <w:sz w:val="15"/>
                <w:szCs w:val="15"/>
              </w:rPr>
              <w:t> </w:t>
            </w:r>
            <w:r>
              <w:rPr>
                <w:rFonts w:ascii="宋体" w:hAnsi="宋体" w:cs="宋体" w:eastAsia="宋体" w:hint="default"/>
                <w:sz w:val="15"/>
                <w:szCs w:val="15"/>
              </w:rPr>
              <w:t>电力科技有限</w:t>
            </w:r>
            <w:r>
              <w:rPr>
                <w:rFonts w:ascii="宋体" w:hAnsi="宋体" w:cs="宋体" w:eastAsia="宋体" w:hint="default"/>
                <w:w w:val="99"/>
                <w:sz w:val="15"/>
                <w:szCs w:val="15"/>
              </w:rPr>
              <w:t> </w:t>
            </w:r>
            <w:r>
              <w:rPr>
                <w:rFonts w:ascii="宋体" w:hAnsi="宋体" w:cs="宋体" w:eastAsia="宋体" w:hint="default"/>
                <w:sz w:val="15"/>
                <w:szCs w:val="15"/>
              </w:rPr>
              <w:t>责任公司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center"/>
              <w:rPr>
                <w:rFonts w:ascii="宋体" w:hAnsi="宋体" w:cs="宋体" w:eastAsia="宋体" w:hint="default"/>
                <w:sz w:val="15"/>
                <w:szCs w:val="15"/>
              </w:rPr>
            </w:pPr>
            <w:r>
              <w:rPr>
                <w:rFonts w:ascii="宋体"/>
                <w:sz w:val="15"/>
              </w:rPr>
              <w:t>3,120,055.56</w:t>
            </w:r>
          </w:p>
        </w:tc>
        <w:tc>
          <w:tcPr>
            <w:tcW w:w="428"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5"/>
                <w:szCs w:val="15"/>
              </w:rPr>
            </w:pPr>
            <w:r>
              <w:rPr>
                <w:rFonts w:ascii="宋体"/>
                <w:w w:val="95"/>
                <w:sz w:val="15"/>
              </w:rPr>
              <w:t>-98,549.32</w:t>
            </w:r>
            <w:r>
              <w:rPr>
                <w:rFonts w:ascii="宋体"/>
                <w:sz w:val="15"/>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center"/>
              <w:rPr>
                <w:rFonts w:ascii="宋体" w:hAnsi="宋体" w:cs="宋体" w:eastAsia="宋体" w:hint="default"/>
                <w:sz w:val="15"/>
                <w:szCs w:val="15"/>
              </w:rPr>
            </w:pPr>
            <w:r>
              <w:rPr>
                <w:rFonts w:ascii="宋体"/>
                <w:sz w:val="15"/>
              </w:rPr>
              <w:t>-3,021,506.24</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12" w:space="0" w:color="000000"/>
            </w:tcBorders>
          </w:tcPr>
          <w:p>
            <w:pPr/>
          </w:p>
        </w:tc>
      </w:tr>
      <w:tr>
        <w:trPr>
          <w:trHeight w:val="1028" w:hRule="exact"/>
        </w:trPr>
        <w:tc>
          <w:tcPr>
            <w:tcW w:w="1186" w:type="dxa"/>
            <w:tcBorders>
              <w:top w:val="single" w:sz="4" w:space="0" w:color="000000"/>
              <w:left w:val="single" w:sz="12" w:space="0" w:color="000000"/>
              <w:bottom w:val="single" w:sz="4" w:space="0" w:color="000000"/>
              <w:right w:val="single" w:sz="4" w:space="0" w:color="000000"/>
            </w:tcBorders>
          </w:tcPr>
          <w:p>
            <w:pPr>
              <w:pStyle w:val="TableParagraph"/>
              <w:spacing w:line="381" w:lineRule="auto" w:before="79"/>
              <w:ind w:left="91" w:right="180"/>
              <w:jc w:val="both"/>
              <w:rPr>
                <w:rFonts w:ascii="宋体" w:hAnsi="宋体" w:cs="宋体" w:eastAsia="宋体" w:hint="default"/>
                <w:sz w:val="15"/>
                <w:szCs w:val="15"/>
              </w:rPr>
            </w:pPr>
            <w:r>
              <w:rPr>
                <w:rFonts w:ascii="宋体" w:hAnsi="宋体" w:cs="宋体" w:eastAsia="宋体" w:hint="default"/>
                <w:sz w:val="15"/>
                <w:szCs w:val="15"/>
              </w:rPr>
              <w:t>江苏其厚智能</w:t>
            </w:r>
            <w:r>
              <w:rPr>
                <w:rFonts w:ascii="宋体" w:hAnsi="宋体" w:cs="宋体" w:eastAsia="宋体" w:hint="default"/>
                <w:w w:val="99"/>
                <w:sz w:val="15"/>
                <w:szCs w:val="15"/>
              </w:rPr>
              <w:t> </w:t>
            </w:r>
            <w:r>
              <w:rPr>
                <w:rFonts w:ascii="宋体" w:hAnsi="宋体" w:cs="宋体" w:eastAsia="宋体" w:hint="default"/>
                <w:sz w:val="15"/>
                <w:szCs w:val="15"/>
              </w:rPr>
              <w:t>电气设备有限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5" w:right="0"/>
              <w:jc w:val="center"/>
              <w:rPr>
                <w:rFonts w:ascii="宋体" w:hAnsi="宋体" w:cs="宋体" w:eastAsia="宋体" w:hint="default"/>
                <w:sz w:val="15"/>
                <w:szCs w:val="15"/>
              </w:rPr>
            </w:pPr>
            <w:r>
              <w:rPr>
                <w:rFonts w:ascii="宋体"/>
                <w:sz w:val="15"/>
              </w:rPr>
              <w:t>38,222,462.23</w:t>
            </w:r>
          </w:p>
        </w:tc>
        <w:tc>
          <w:tcPr>
            <w:tcW w:w="428"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5"/>
                <w:szCs w:val="15"/>
              </w:rPr>
            </w:pPr>
            <w:r>
              <w:rPr>
                <w:rFonts w:ascii="宋体"/>
                <w:w w:val="95"/>
                <w:sz w:val="15"/>
              </w:rPr>
              <w:t>10,343,386.21</w:t>
            </w:r>
            <w:r>
              <w:rPr>
                <w:rFonts w:ascii="宋体"/>
                <w:sz w:val="15"/>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5"/>
                <w:szCs w:val="15"/>
              </w:rPr>
            </w:pPr>
            <w:r>
              <w:rPr>
                <w:rFonts w:ascii="宋体"/>
                <w:w w:val="95"/>
                <w:sz w:val="15"/>
              </w:rPr>
              <w:t>48,565,848.44</w:t>
            </w:r>
            <w:r>
              <w:rPr>
                <w:rFonts w:ascii="宋体"/>
                <w:sz w:val="15"/>
              </w:rPr>
            </w:r>
          </w:p>
        </w:tc>
        <w:tc>
          <w:tcPr>
            <w:tcW w:w="586"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1186" w:type="dxa"/>
            <w:tcBorders>
              <w:top w:val="single" w:sz="4" w:space="0" w:color="000000"/>
              <w:left w:val="single" w:sz="12" w:space="0" w:color="000000"/>
              <w:bottom w:val="single" w:sz="4" w:space="0" w:color="000000"/>
              <w:right w:val="single" w:sz="4" w:space="0" w:color="000000"/>
            </w:tcBorders>
          </w:tcPr>
          <w:p>
            <w:pPr>
              <w:pStyle w:val="TableParagraph"/>
              <w:spacing w:line="381" w:lineRule="auto" w:before="79"/>
              <w:ind w:left="91" w:right="180"/>
              <w:jc w:val="left"/>
              <w:rPr>
                <w:rFonts w:ascii="宋体" w:hAnsi="宋体" w:cs="宋体" w:eastAsia="宋体" w:hint="default"/>
                <w:sz w:val="15"/>
                <w:szCs w:val="15"/>
              </w:rPr>
            </w:pPr>
            <w:r>
              <w:rPr>
                <w:rFonts w:ascii="宋体" w:hAnsi="宋体" w:cs="宋体" w:eastAsia="宋体" w:hint="default"/>
                <w:sz w:val="15"/>
                <w:szCs w:val="15"/>
              </w:rPr>
              <w:t>北京大数有容</w:t>
            </w:r>
            <w:r>
              <w:rPr>
                <w:rFonts w:ascii="宋体" w:hAnsi="宋体" w:cs="宋体" w:eastAsia="宋体" w:hint="default"/>
                <w:w w:val="99"/>
                <w:sz w:val="15"/>
                <w:szCs w:val="15"/>
              </w:rPr>
              <w:t> </w:t>
            </w:r>
            <w:r>
              <w:rPr>
                <w:rFonts w:ascii="宋体" w:hAnsi="宋体" w:cs="宋体" w:eastAsia="宋体" w:hint="default"/>
                <w:sz w:val="15"/>
                <w:szCs w:val="15"/>
              </w:rPr>
              <w:t>科技有限公司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2" w:right="0"/>
              <w:jc w:val="center"/>
              <w:rPr>
                <w:rFonts w:ascii="宋体" w:hAnsi="宋体" w:cs="宋体" w:eastAsia="宋体" w:hint="default"/>
                <w:sz w:val="15"/>
                <w:szCs w:val="15"/>
              </w:rPr>
            </w:pPr>
            <w:r>
              <w:rPr>
                <w:rFonts w:ascii="宋体"/>
                <w:sz w:val="15"/>
              </w:rPr>
              <w:t>4,358,585.66</w:t>
            </w:r>
          </w:p>
        </w:tc>
        <w:tc>
          <w:tcPr>
            <w:tcW w:w="428"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5"/>
                <w:szCs w:val="15"/>
              </w:rPr>
            </w:pPr>
            <w:r>
              <w:rPr>
                <w:rFonts w:ascii="宋体"/>
                <w:w w:val="95"/>
                <w:sz w:val="15"/>
              </w:rPr>
              <w:t>185,000.11</w:t>
            </w:r>
            <w:r>
              <w:rPr>
                <w:rFonts w:ascii="宋体"/>
                <w:sz w:val="15"/>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5"/>
                <w:szCs w:val="15"/>
              </w:rPr>
            </w:pPr>
            <w:r>
              <w:rPr>
                <w:rFonts w:ascii="宋体"/>
                <w:w w:val="95"/>
                <w:sz w:val="15"/>
              </w:rPr>
              <w:t>4,543,585.77</w:t>
            </w:r>
            <w:r>
              <w:rPr>
                <w:rFonts w:ascii="宋体"/>
                <w:sz w:val="15"/>
              </w:rPr>
            </w:r>
          </w:p>
        </w:tc>
        <w:tc>
          <w:tcPr>
            <w:tcW w:w="586"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186" w:type="dxa"/>
            <w:tcBorders>
              <w:top w:val="single" w:sz="4" w:space="0" w:color="000000"/>
              <w:left w:val="single" w:sz="12" w:space="0" w:color="000000"/>
              <w:bottom w:val="single" w:sz="4" w:space="0" w:color="000000"/>
              <w:right w:val="single" w:sz="4" w:space="0" w:color="000000"/>
            </w:tcBorders>
          </w:tcPr>
          <w:p>
            <w:pPr>
              <w:pStyle w:val="TableParagraph"/>
              <w:spacing w:line="381" w:lineRule="auto" w:before="84"/>
              <w:ind w:left="91" w:right="180"/>
              <w:jc w:val="left"/>
              <w:rPr>
                <w:rFonts w:ascii="宋体" w:hAnsi="宋体" w:cs="宋体" w:eastAsia="宋体" w:hint="default"/>
                <w:sz w:val="15"/>
                <w:szCs w:val="15"/>
              </w:rPr>
            </w:pPr>
            <w:r>
              <w:rPr>
                <w:rFonts w:ascii="宋体" w:hAnsi="宋体" w:cs="宋体" w:eastAsia="宋体" w:hint="default"/>
                <w:sz w:val="15"/>
                <w:szCs w:val="15"/>
              </w:rPr>
              <w:t>湖北瀚瑞铜业</w:t>
            </w:r>
            <w:r>
              <w:rPr>
                <w:rFonts w:ascii="宋体" w:hAnsi="宋体" w:cs="宋体" w:eastAsia="宋体" w:hint="default"/>
                <w:w w:val="99"/>
                <w:sz w:val="15"/>
                <w:szCs w:val="15"/>
              </w:rPr>
              <w:t> </w:t>
            </w:r>
            <w:r>
              <w:rPr>
                <w:rFonts w:ascii="宋体" w:hAnsi="宋体" w:cs="宋体" w:eastAsia="宋体" w:hint="default"/>
                <w:sz w:val="15"/>
                <w:szCs w:val="15"/>
              </w:rPr>
              <w:t>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2" w:right="0"/>
              <w:jc w:val="center"/>
              <w:rPr>
                <w:rFonts w:ascii="宋体" w:hAnsi="宋体" w:cs="宋体" w:eastAsia="宋体" w:hint="default"/>
                <w:sz w:val="15"/>
                <w:szCs w:val="15"/>
              </w:rPr>
            </w:pPr>
            <w:r>
              <w:rPr>
                <w:rFonts w:ascii="宋体"/>
                <w:sz w:val="15"/>
              </w:rPr>
              <w:t>9,669,762.91</w:t>
            </w:r>
          </w:p>
        </w:tc>
        <w:tc>
          <w:tcPr>
            <w:tcW w:w="428"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5"/>
                <w:szCs w:val="15"/>
              </w:rPr>
            </w:pPr>
            <w:r>
              <w:rPr>
                <w:rFonts w:ascii="宋体"/>
                <w:w w:val="95"/>
                <w:sz w:val="15"/>
              </w:rPr>
              <w:t>320,977.52</w:t>
            </w:r>
            <w:r>
              <w:rPr>
                <w:rFonts w:ascii="宋体"/>
                <w:sz w:val="15"/>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5"/>
                <w:szCs w:val="15"/>
              </w:rPr>
            </w:pPr>
            <w:r>
              <w:rPr>
                <w:rFonts w:ascii="宋体"/>
                <w:w w:val="95"/>
                <w:sz w:val="15"/>
              </w:rPr>
              <w:t>9,990,740.43</w:t>
            </w:r>
            <w:r>
              <w:rPr>
                <w:rFonts w:ascii="宋体"/>
                <w:sz w:val="15"/>
              </w:rPr>
            </w:r>
          </w:p>
        </w:tc>
        <w:tc>
          <w:tcPr>
            <w:tcW w:w="58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18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78" w:right="0"/>
              <w:jc w:val="center"/>
              <w:rPr>
                <w:rFonts w:ascii="宋体" w:hAnsi="宋体" w:cs="宋体" w:eastAsia="宋体" w:hint="default"/>
                <w:sz w:val="15"/>
                <w:szCs w:val="15"/>
              </w:rPr>
            </w:pPr>
            <w:r>
              <w:rPr>
                <w:rFonts w:ascii="宋体"/>
                <w:sz w:val="15"/>
              </w:rPr>
              <w:t>357,176,593.26</w:t>
            </w:r>
          </w:p>
        </w:tc>
        <w:tc>
          <w:tcPr>
            <w:tcW w:w="428"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8"/>
              <w:jc w:val="right"/>
              <w:rPr>
                <w:rFonts w:ascii="宋体" w:hAnsi="宋体" w:cs="宋体" w:eastAsia="宋体" w:hint="default"/>
                <w:sz w:val="15"/>
                <w:szCs w:val="15"/>
              </w:rPr>
            </w:pPr>
            <w:r>
              <w:rPr>
                <w:rFonts w:ascii="宋体"/>
                <w:w w:val="95"/>
                <w:sz w:val="15"/>
              </w:rPr>
              <w:t>16,776,756.19</w:t>
            </w:r>
            <w:r>
              <w:rPr>
                <w:rFonts w:ascii="宋体"/>
                <w:sz w:val="15"/>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w w:val="95"/>
                <w:sz w:val="15"/>
              </w:rPr>
              <w:t>-354,489.01</w:t>
            </w:r>
            <w:r>
              <w:rPr>
                <w:rFonts w:ascii="宋体"/>
                <w:sz w:val="15"/>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6" w:right="0"/>
              <w:jc w:val="center"/>
              <w:rPr>
                <w:rFonts w:ascii="宋体" w:hAnsi="宋体" w:cs="宋体" w:eastAsia="宋体" w:hint="default"/>
                <w:sz w:val="15"/>
                <w:szCs w:val="15"/>
              </w:rPr>
            </w:pPr>
            <w:r>
              <w:rPr>
                <w:rFonts w:ascii="宋体"/>
                <w:sz w:val="15"/>
              </w:rPr>
              <w:t>-3,021,506.24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7"/>
              <w:jc w:val="right"/>
              <w:rPr>
                <w:rFonts w:ascii="宋体" w:hAnsi="宋体" w:cs="宋体" w:eastAsia="宋体" w:hint="default"/>
                <w:sz w:val="15"/>
                <w:szCs w:val="15"/>
              </w:rPr>
            </w:pPr>
            <w:r>
              <w:rPr>
                <w:rFonts w:ascii="宋体"/>
                <w:w w:val="95"/>
                <w:sz w:val="15"/>
              </w:rPr>
              <w:t>370,577,354.20</w:t>
            </w:r>
            <w:r>
              <w:rPr>
                <w:rFonts w:ascii="宋体"/>
                <w:sz w:val="15"/>
              </w:rPr>
            </w:r>
          </w:p>
        </w:tc>
        <w:tc>
          <w:tcPr>
            <w:tcW w:w="586"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118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79"/>
              <w:ind w:left="91"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3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78" w:right="0"/>
              <w:jc w:val="center"/>
              <w:rPr>
                <w:rFonts w:ascii="宋体" w:hAnsi="宋体" w:cs="宋体" w:eastAsia="宋体" w:hint="default"/>
                <w:sz w:val="15"/>
                <w:szCs w:val="15"/>
              </w:rPr>
            </w:pPr>
            <w:r>
              <w:rPr>
                <w:rFonts w:ascii="宋体"/>
                <w:sz w:val="15"/>
              </w:rPr>
              <w:t>357,176,593.26</w:t>
            </w:r>
          </w:p>
        </w:tc>
        <w:tc>
          <w:tcPr>
            <w:tcW w:w="428" w:type="dxa"/>
            <w:tcBorders>
              <w:top w:val="single" w:sz="4" w:space="0" w:color="000000"/>
              <w:left w:val="single" w:sz="4" w:space="0" w:color="000000"/>
              <w:bottom w:val="single" w:sz="12" w:space="0" w:color="000000"/>
              <w:right w:val="single" w:sz="4" w:space="0" w:color="000000"/>
            </w:tcBorders>
          </w:tcPr>
          <w:p>
            <w:pPr/>
          </w:p>
        </w:tc>
        <w:tc>
          <w:tcPr>
            <w:tcW w:w="384" w:type="dxa"/>
            <w:tcBorders>
              <w:top w:val="single" w:sz="4" w:space="0" w:color="000000"/>
              <w:left w:val="single" w:sz="4" w:space="0" w:color="000000"/>
              <w:bottom w:val="single" w:sz="12" w:space="0" w:color="000000"/>
              <w:right w:val="single" w:sz="4" w:space="0" w:color="000000"/>
            </w:tcBorders>
          </w:tcPr>
          <w:p>
            <w:pPr/>
          </w:p>
        </w:tc>
        <w:tc>
          <w:tcPr>
            <w:tcW w:w="12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98"/>
              <w:jc w:val="right"/>
              <w:rPr>
                <w:rFonts w:ascii="宋体" w:hAnsi="宋体" w:cs="宋体" w:eastAsia="宋体" w:hint="default"/>
                <w:sz w:val="15"/>
                <w:szCs w:val="15"/>
              </w:rPr>
            </w:pPr>
            <w:r>
              <w:rPr>
                <w:rFonts w:ascii="宋体"/>
                <w:w w:val="95"/>
                <w:sz w:val="15"/>
              </w:rPr>
              <w:t>16,776,756.19</w:t>
            </w:r>
            <w:r>
              <w:rPr>
                <w:rFonts w:ascii="宋体"/>
                <w:sz w:val="15"/>
              </w:rPr>
            </w:r>
          </w:p>
        </w:tc>
        <w:tc>
          <w:tcPr>
            <w:tcW w:w="711" w:type="dxa"/>
            <w:tcBorders>
              <w:top w:val="single" w:sz="4" w:space="0" w:color="000000"/>
              <w:left w:val="single" w:sz="4" w:space="0" w:color="000000"/>
              <w:bottom w:val="single" w:sz="12" w:space="0" w:color="000000"/>
              <w:right w:val="single" w:sz="4" w:space="0" w:color="000000"/>
            </w:tcBorders>
          </w:tcPr>
          <w:p>
            <w:pPr/>
          </w:p>
        </w:tc>
        <w:tc>
          <w:tcPr>
            <w:tcW w:w="10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102"/>
              <w:jc w:val="right"/>
              <w:rPr>
                <w:rFonts w:ascii="宋体" w:hAnsi="宋体" w:cs="宋体" w:eastAsia="宋体" w:hint="default"/>
                <w:sz w:val="15"/>
                <w:szCs w:val="15"/>
              </w:rPr>
            </w:pPr>
            <w:r>
              <w:rPr>
                <w:rFonts w:ascii="宋体"/>
                <w:w w:val="95"/>
                <w:sz w:val="15"/>
              </w:rPr>
              <w:t>-354,489.01</w:t>
            </w:r>
            <w:r>
              <w:rPr>
                <w:rFonts w:ascii="宋体"/>
                <w:sz w:val="15"/>
              </w:rPr>
            </w:r>
          </w:p>
        </w:tc>
        <w:tc>
          <w:tcPr>
            <w:tcW w:w="605" w:type="dxa"/>
            <w:tcBorders>
              <w:top w:val="single" w:sz="4" w:space="0" w:color="000000"/>
              <w:left w:val="single" w:sz="4" w:space="0" w:color="000000"/>
              <w:bottom w:val="single" w:sz="12" w:space="0" w:color="000000"/>
              <w:right w:val="single" w:sz="4" w:space="0" w:color="000000"/>
            </w:tcBorders>
          </w:tcPr>
          <w:p>
            <w:pPr/>
          </w:p>
        </w:tc>
        <w:tc>
          <w:tcPr>
            <w:tcW w:w="638" w:type="dxa"/>
            <w:tcBorders>
              <w:top w:val="single" w:sz="4" w:space="0" w:color="000000"/>
              <w:left w:val="single" w:sz="4" w:space="0" w:color="000000"/>
              <w:bottom w:val="single" w:sz="12" w:space="0" w:color="000000"/>
              <w:right w:val="single" w:sz="4" w:space="0" w:color="000000"/>
            </w:tcBorders>
          </w:tcPr>
          <w:p>
            <w:pPr/>
          </w:p>
        </w:tc>
        <w:tc>
          <w:tcPr>
            <w:tcW w:w="12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16" w:right="0"/>
              <w:jc w:val="center"/>
              <w:rPr>
                <w:rFonts w:ascii="宋体" w:hAnsi="宋体" w:cs="宋体" w:eastAsia="宋体" w:hint="default"/>
                <w:sz w:val="15"/>
                <w:szCs w:val="15"/>
              </w:rPr>
            </w:pPr>
            <w:r>
              <w:rPr>
                <w:rFonts w:ascii="宋体"/>
                <w:sz w:val="15"/>
              </w:rPr>
              <w:t>-3,021,506.24</w:t>
            </w:r>
          </w:p>
        </w:tc>
        <w:tc>
          <w:tcPr>
            <w:tcW w:w="1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97"/>
              <w:jc w:val="right"/>
              <w:rPr>
                <w:rFonts w:ascii="宋体" w:hAnsi="宋体" w:cs="宋体" w:eastAsia="宋体" w:hint="default"/>
                <w:sz w:val="15"/>
                <w:szCs w:val="15"/>
              </w:rPr>
            </w:pPr>
            <w:r>
              <w:rPr>
                <w:rFonts w:ascii="宋体"/>
                <w:w w:val="95"/>
                <w:sz w:val="15"/>
              </w:rPr>
              <w:t>370,577,354.20</w:t>
            </w:r>
            <w:r>
              <w:rPr>
                <w:rFonts w:ascii="宋体"/>
                <w:sz w:val="15"/>
              </w:rPr>
            </w:r>
          </w:p>
        </w:tc>
        <w:tc>
          <w:tcPr>
            <w:tcW w:w="586"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040" w:bottom="1220" w:left="440" w:right="0"/>
        </w:sectPr>
      </w:pPr>
    </w:p>
    <w:p>
      <w:pPr>
        <w:spacing w:line="240" w:lineRule="auto" w:before="1"/>
        <w:rPr>
          <w:rFonts w:ascii="宋体" w:hAnsi="宋体" w:cs="宋体" w:eastAsia="宋体" w:hint="default"/>
          <w:sz w:val="26"/>
          <w:szCs w:val="26"/>
        </w:rPr>
      </w:pPr>
    </w:p>
    <w:p>
      <w:pPr>
        <w:pStyle w:val="Heading4"/>
        <w:spacing w:line="240" w:lineRule="auto"/>
        <w:ind w:right="1024"/>
        <w:jc w:val="left"/>
        <w:rPr>
          <w:b w:val="0"/>
          <w:bCs w:val="0"/>
        </w:rPr>
      </w:pPr>
      <w:bookmarkStart w:name="15、其他权益工具投资" w:id="309"/>
      <w:bookmarkEnd w:id="309"/>
      <w:r>
        <w:rPr>
          <w:b w:val="0"/>
          <w:bCs w:val="0"/>
        </w:rPr>
      </w:r>
      <w:r>
        <w:rPr>
          <w:rFonts w:ascii="宋体" w:hAnsi="宋体" w:cs="宋体" w:eastAsia="宋体" w:hint="default"/>
        </w:rPr>
        <w:t>15</w:t>
      </w:r>
      <w:r>
        <w:rPr/>
        <w:t>、其他权益工具投资</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85"/>
              <w:jc w:val="left"/>
              <w:rPr>
                <w:rFonts w:ascii="宋体" w:hAnsi="宋体" w:cs="宋体" w:eastAsia="宋体" w:hint="default"/>
                <w:sz w:val="18"/>
                <w:szCs w:val="18"/>
              </w:rPr>
            </w:pPr>
            <w:r>
              <w:rPr>
                <w:rFonts w:ascii="宋体" w:hAnsi="宋体" w:cs="宋体" w:eastAsia="宋体" w:hint="default"/>
                <w:spacing w:val="-3"/>
                <w:sz w:val="18"/>
                <w:szCs w:val="18"/>
              </w:rPr>
              <w:t>南京光一文化产业投资发展合伙企业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w:t>
            </w:r>
            <w:r>
              <w:rPr>
                <w:rFonts w:ascii="宋体" w:hAnsi="宋体" w:cs="宋体" w:eastAsia="宋体" w:hint="default"/>
                <w:sz w:val="18"/>
                <w:szCs w:val="18"/>
              </w:rPr>
              <w:t>有限合伙</w:t>
            </w:r>
            <w:r>
              <w:rPr>
                <w:rFonts w:ascii="宋体" w:hAnsi="宋体" w:cs="宋体" w:eastAsia="宋体"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55,000,000.00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55,000,000.00</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浙江丰道投资管理有限公司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2,000,000.00</w:t>
            </w: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57,000,000.00</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spacing w:val="-1"/>
                <w:sz w:val="18"/>
              </w:rPr>
              <w:t>55,000,000.00</w:t>
            </w:r>
          </w:p>
        </w:tc>
      </w:tr>
    </w:tbl>
    <w:p>
      <w:pPr>
        <w:spacing w:before="53"/>
        <w:ind w:left="153" w:right="1024" w:firstLine="0"/>
        <w:jc w:val="left"/>
        <w:rPr>
          <w:rFonts w:ascii="宋体" w:hAnsi="宋体" w:cs="宋体" w:eastAsia="宋体" w:hint="default"/>
          <w:sz w:val="18"/>
          <w:szCs w:val="18"/>
        </w:rPr>
      </w:pPr>
      <w:r>
        <w:rPr>
          <w:rFonts w:ascii="宋体" w:hAnsi="宋体" w:cs="宋体" w:eastAsia="宋体" w:hint="default"/>
          <w:spacing w:val="-3"/>
          <w:sz w:val="18"/>
          <w:szCs w:val="18"/>
        </w:rPr>
        <w:t>分项披露本期非交易性权益工具投资</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657" w:hRule="exact"/>
        </w:trPr>
        <w:tc>
          <w:tcPr>
            <w:tcW w:w="136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4" w:lineRule="auto"/>
              <w:ind w:left="590" w:right="132" w:hanging="452"/>
              <w:jc w:val="left"/>
              <w:rPr>
                <w:rFonts w:ascii="宋体" w:hAnsi="宋体" w:cs="宋体" w:eastAsia="宋体" w:hint="default"/>
                <w:sz w:val="18"/>
                <w:szCs w:val="18"/>
              </w:rPr>
            </w:pPr>
            <w:r>
              <w:rPr>
                <w:rFonts w:ascii="宋体" w:hAnsi="宋体" w:cs="宋体" w:eastAsia="宋体" w:hint="default"/>
                <w:spacing w:val="-2"/>
                <w:sz w:val="18"/>
                <w:szCs w:val="18"/>
              </w:rPr>
              <w:t>确认的股利收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入</w:t>
            </w:r>
          </w:p>
        </w:tc>
        <w:tc>
          <w:tcPr>
            <w:tcW w:w="136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34" w:right="132"/>
              <w:jc w:val="center"/>
              <w:rPr>
                <w:rFonts w:ascii="宋体" w:hAnsi="宋体" w:cs="宋体" w:eastAsia="宋体" w:hint="default"/>
                <w:sz w:val="18"/>
                <w:szCs w:val="18"/>
              </w:rPr>
            </w:pPr>
            <w:r>
              <w:rPr>
                <w:rFonts w:ascii="宋体" w:hAnsi="宋体" w:cs="宋体" w:eastAsia="宋体" w:hint="default"/>
                <w:spacing w:val="-2"/>
                <w:sz w:val="18"/>
                <w:szCs w:val="18"/>
              </w:rPr>
              <w:t>其他综合收益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转入留存收益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36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39" w:right="132"/>
              <w:jc w:val="center"/>
              <w:rPr>
                <w:rFonts w:ascii="宋体" w:hAnsi="宋体" w:cs="宋体" w:eastAsia="宋体" w:hint="default"/>
                <w:sz w:val="18"/>
                <w:szCs w:val="18"/>
              </w:rPr>
            </w:pPr>
            <w:r>
              <w:rPr>
                <w:rFonts w:ascii="宋体" w:hAnsi="宋体" w:cs="宋体" w:eastAsia="宋体" w:hint="default"/>
                <w:spacing w:val="-2"/>
                <w:sz w:val="18"/>
                <w:szCs w:val="18"/>
              </w:rPr>
              <w:t>指定为以公允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价值计量且其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变动计入其他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综合收益的原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因</w:t>
            </w:r>
          </w:p>
        </w:tc>
        <w:tc>
          <w:tcPr>
            <w:tcW w:w="136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39" w:right="122"/>
              <w:jc w:val="center"/>
              <w:rPr>
                <w:rFonts w:ascii="宋体" w:hAnsi="宋体" w:cs="宋体" w:eastAsia="宋体" w:hint="default"/>
                <w:sz w:val="18"/>
                <w:szCs w:val="18"/>
              </w:rPr>
            </w:pPr>
            <w:r>
              <w:rPr>
                <w:rFonts w:ascii="宋体" w:hAnsi="宋体" w:cs="宋体" w:eastAsia="宋体" w:hint="default"/>
                <w:spacing w:val="-2"/>
                <w:sz w:val="18"/>
                <w:szCs w:val="18"/>
              </w:rPr>
              <w:t>其他综合收益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转入留存收益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的原因</w:t>
            </w:r>
          </w:p>
        </w:tc>
      </w:tr>
      <w:tr>
        <w:trPr>
          <w:trHeight w:val="1340"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8"/>
              <w:ind w:left="95" w:right="166"/>
              <w:jc w:val="left"/>
              <w:rPr>
                <w:rFonts w:ascii="宋体" w:hAnsi="宋体" w:cs="宋体" w:eastAsia="宋体" w:hint="default"/>
                <w:sz w:val="18"/>
                <w:szCs w:val="18"/>
              </w:rPr>
            </w:pPr>
            <w:r>
              <w:rPr>
                <w:rFonts w:ascii="宋体" w:hAnsi="宋体" w:cs="宋体" w:eastAsia="宋体" w:hint="default"/>
                <w:sz w:val="18"/>
                <w:szCs w:val="18"/>
              </w:rPr>
              <w:t>南京光一文化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产业投资发展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合伙企业</w:t>
            </w:r>
            <w:r>
              <w:rPr>
                <w:rFonts w:ascii="宋体" w:hAnsi="宋体" w:cs="宋体" w:eastAsia="宋体" w:hint="default"/>
                <w:sz w:val="18"/>
                <w:szCs w:val="18"/>
              </w:rPr>
              <w:t>(</w:t>
            </w:r>
            <w:r>
              <w:rPr>
                <w:rFonts w:ascii="宋体" w:hAnsi="宋体" w:cs="宋体" w:eastAsia="宋体" w:hint="default"/>
                <w:sz w:val="18"/>
                <w:szCs w:val="18"/>
              </w:rPr>
              <w:t>有</w:t>
            </w:r>
            <w:r>
              <w:rPr>
                <w:rFonts w:ascii="宋体" w:hAnsi="宋体" w:cs="宋体" w:eastAsia="宋体" w:hint="default"/>
                <w:spacing w:val="-87"/>
                <w:sz w:val="18"/>
                <w:szCs w:val="18"/>
              </w:rPr>
              <w:t> </w:t>
            </w:r>
            <w:r>
              <w:rPr>
                <w:rFonts w:ascii="宋体" w:hAnsi="宋体" w:cs="宋体" w:eastAsia="宋体" w:hint="default"/>
                <w:sz w:val="18"/>
                <w:szCs w:val="18"/>
              </w:rPr>
              <w:t>限合伙</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5"/>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5"/>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5"/>
              <w:jc w:val="right"/>
              <w:rPr>
                <w:rFonts w:ascii="宋体" w:hAnsi="宋体" w:cs="宋体" w:eastAsia="宋体" w:hint="default"/>
                <w:sz w:val="18"/>
                <w:szCs w:val="18"/>
              </w:rPr>
            </w:pPr>
            <w:r>
              <w:rPr>
                <w:rFonts w:ascii="宋体"/>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5"/>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5" w:right="166"/>
              <w:jc w:val="both"/>
              <w:rPr>
                <w:rFonts w:ascii="宋体" w:hAnsi="宋体" w:cs="宋体" w:eastAsia="宋体" w:hint="default"/>
                <w:sz w:val="18"/>
                <w:szCs w:val="18"/>
              </w:rPr>
            </w:pPr>
            <w:r>
              <w:rPr>
                <w:rFonts w:ascii="宋体" w:hAnsi="宋体" w:cs="宋体" w:eastAsia="宋体" w:hint="default"/>
                <w:spacing w:val="-2"/>
                <w:sz w:val="18"/>
                <w:szCs w:val="18"/>
              </w:rPr>
              <w:t>非短期投资且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具有收取合同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现金流量与出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售目的</w:t>
            </w:r>
          </w:p>
        </w:tc>
        <w:tc>
          <w:tcPr>
            <w:tcW w:w="1369" w:type="dxa"/>
            <w:tcBorders>
              <w:top w:val="single" w:sz="4" w:space="0" w:color="000000"/>
              <w:left w:val="single" w:sz="4" w:space="0" w:color="000000"/>
              <w:bottom w:val="single" w:sz="4" w:space="0" w:color="000000"/>
              <w:right w:val="single" w:sz="12" w:space="0" w:color="000000"/>
            </w:tcBorders>
          </w:tcPr>
          <w:p>
            <w:pPr/>
          </w:p>
        </w:tc>
      </w:tr>
      <w:tr>
        <w:trPr>
          <w:trHeight w:val="1349" w:hRule="exact"/>
        </w:trPr>
        <w:tc>
          <w:tcPr>
            <w:tcW w:w="1369"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95" w:right="166"/>
              <w:jc w:val="left"/>
              <w:rPr>
                <w:rFonts w:ascii="宋体" w:hAnsi="宋体" w:cs="宋体" w:eastAsia="宋体" w:hint="default"/>
                <w:sz w:val="18"/>
                <w:szCs w:val="18"/>
              </w:rPr>
            </w:pPr>
            <w:r>
              <w:rPr>
                <w:rFonts w:ascii="宋体" w:hAnsi="宋体" w:cs="宋体" w:eastAsia="宋体" w:hint="default"/>
                <w:sz w:val="18"/>
                <w:szCs w:val="18"/>
              </w:rPr>
              <w:t>浙江丰道投资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管理有限公司</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5"/>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5"/>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5"/>
              <w:jc w:val="right"/>
              <w:rPr>
                <w:rFonts w:ascii="宋体" w:hAnsi="宋体" w:cs="宋体" w:eastAsia="宋体" w:hint="default"/>
                <w:sz w:val="18"/>
                <w:szCs w:val="18"/>
              </w:rPr>
            </w:pPr>
            <w:r>
              <w:rPr>
                <w:rFonts w:ascii="宋体"/>
                <w:sz w:val="18"/>
              </w:rPr>
              <w:t>0.00</w:t>
            </w: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5"/>
              <w:jc w:val="right"/>
              <w:rPr>
                <w:rFonts w:ascii="宋体" w:hAnsi="宋体" w:cs="宋体" w:eastAsia="宋体" w:hint="default"/>
                <w:sz w:val="18"/>
                <w:szCs w:val="18"/>
              </w:rPr>
            </w:pPr>
            <w:r>
              <w:rPr>
                <w:rFonts w:ascii="宋体"/>
                <w:sz w:val="18"/>
              </w:rPr>
              <w:t>0.00</w:t>
            </w:r>
          </w:p>
        </w:tc>
        <w:tc>
          <w:tcPr>
            <w:tcW w:w="1369" w:type="dxa"/>
            <w:tcBorders>
              <w:top w:val="single" w:sz="4" w:space="0" w:color="000000"/>
              <w:left w:val="single" w:sz="4" w:space="0" w:color="000000"/>
              <w:bottom w:val="single" w:sz="12" w:space="0" w:color="000000"/>
              <w:right w:val="single" w:sz="4" w:space="0" w:color="000000"/>
            </w:tcBorders>
          </w:tcPr>
          <w:p>
            <w:pPr>
              <w:pStyle w:val="TableParagraph"/>
              <w:spacing w:line="319"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非短期投资且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具有收取合同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现金流量与出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售目的</w:t>
            </w:r>
          </w:p>
        </w:tc>
        <w:tc>
          <w:tcPr>
            <w:tcW w:w="1369"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16、其他非流动金融资产" w:id="310"/>
      <w:bookmarkEnd w:id="310"/>
      <w:r>
        <w:rPr>
          <w:b w:val="0"/>
          <w:bCs w:val="0"/>
        </w:rPr>
      </w:r>
      <w:r>
        <w:rPr>
          <w:rFonts w:ascii="宋体" w:hAnsi="宋体" w:cs="宋体" w:eastAsia="宋体" w:hint="default"/>
        </w:rPr>
        <w:t>16</w:t>
      </w:r>
      <w:r>
        <w:rPr/>
        <w:t>、其他非流动金融资产</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0"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85"/>
              <w:jc w:val="left"/>
              <w:rPr>
                <w:rFonts w:ascii="宋体" w:hAnsi="宋体" w:cs="宋体" w:eastAsia="宋体" w:hint="default"/>
                <w:sz w:val="18"/>
                <w:szCs w:val="18"/>
              </w:rPr>
            </w:pPr>
            <w:r>
              <w:rPr>
                <w:rFonts w:ascii="宋体" w:hAnsi="宋体" w:cs="宋体" w:eastAsia="宋体" w:hint="default"/>
                <w:spacing w:val="-3"/>
                <w:sz w:val="18"/>
                <w:szCs w:val="18"/>
              </w:rPr>
              <w:t>南京光一文化产业投资发展合伙企业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w:t>
            </w:r>
            <w:r>
              <w:rPr>
                <w:rFonts w:ascii="宋体" w:hAnsi="宋体" w:cs="宋体" w:eastAsia="宋体" w:hint="default"/>
                <w:sz w:val="18"/>
                <w:szCs w:val="18"/>
              </w:rPr>
              <w:t>有限合伙）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1,000,000.00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1,000,000.00</w:t>
            </w:r>
          </w:p>
        </w:tc>
      </w:tr>
      <w:tr>
        <w:trPr>
          <w:trHeight w:val="715"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8"/>
              <w:ind w:left="95" w:right="94"/>
              <w:jc w:val="left"/>
              <w:rPr>
                <w:rFonts w:ascii="宋体" w:hAnsi="宋体" w:cs="宋体" w:eastAsia="宋体" w:hint="default"/>
                <w:sz w:val="18"/>
                <w:szCs w:val="18"/>
              </w:rPr>
            </w:pPr>
            <w:r>
              <w:rPr>
                <w:rFonts w:ascii="宋体" w:hAnsi="宋体" w:cs="宋体" w:eastAsia="宋体" w:hint="default"/>
                <w:spacing w:val="-8"/>
                <w:w w:val="101"/>
                <w:sz w:val="18"/>
                <w:szCs w:val="18"/>
              </w:rPr>
              <w:t>南京捷尼瑞科技产业投资合伙企业（有</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z w:val="18"/>
                <w:szCs w:val="18"/>
              </w:rPr>
              <w:t>限合伙）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3,000,000.00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3,000,000.00</w:t>
            </w:r>
          </w:p>
        </w:tc>
      </w:tr>
      <w:tr>
        <w:trPr>
          <w:trHeight w:val="716"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南京光一版权云大数据服务合伙企业</w:t>
            </w:r>
          </w:p>
          <w:p>
            <w:pPr>
              <w:pStyle w:val="TableParagraph"/>
              <w:spacing w:line="240" w:lineRule="auto" w:before="81"/>
              <w:ind w:left="95"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3,000.00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3,000.00</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4,003,000.00</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4,003,000.00</w:t>
            </w:r>
          </w:p>
        </w:tc>
      </w:tr>
    </w:tbl>
    <w:p>
      <w:pPr>
        <w:pStyle w:val="Heading4"/>
        <w:spacing w:line="240" w:lineRule="auto" w:before="66"/>
        <w:ind w:right="1024"/>
        <w:jc w:val="left"/>
        <w:rPr>
          <w:b w:val="0"/>
          <w:bCs w:val="0"/>
        </w:rPr>
      </w:pPr>
      <w:bookmarkStart w:name="17、投资性房地产" w:id="311"/>
      <w:bookmarkEnd w:id="311"/>
      <w:r>
        <w:rPr>
          <w:b w:val="0"/>
          <w:bCs w:val="0"/>
        </w:rPr>
      </w:r>
      <w:r>
        <w:rPr>
          <w:rFonts w:ascii="宋体" w:hAnsi="宋体" w:cs="宋体" w:eastAsia="宋体" w:hint="default"/>
        </w:rPr>
        <w:t>17</w:t>
      </w:r>
      <w:r>
        <w:rPr/>
        <w:t>、投资性房地产</w:t>
      </w:r>
      <w:r>
        <w:rPr>
          <w:b w:val="0"/>
          <w:bCs w:val="0"/>
        </w:rPr>
      </w:r>
    </w:p>
    <w:p>
      <w:pPr>
        <w:spacing w:line="240" w:lineRule="auto" w:before="8"/>
        <w:rPr>
          <w:rFonts w:ascii="宋体" w:hAnsi="宋体" w:cs="宋体" w:eastAsia="宋体" w:hint="default"/>
          <w:b/>
          <w:bCs/>
          <w:sz w:val="14"/>
          <w:szCs w:val="14"/>
        </w:rPr>
      </w:pPr>
    </w:p>
    <w:p>
      <w:pPr>
        <w:pStyle w:val="Heading4"/>
        <w:spacing w:line="240" w:lineRule="auto" w:before="0"/>
        <w:ind w:right="1024"/>
        <w:jc w:val="left"/>
        <w:rPr>
          <w:b w:val="0"/>
          <w:bCs w:val="0"/>
        </w:rPr>
      </w:pPr>
      <w:bookmarkStart w:name="（1）采用成本计量模式的投资性房地产" w:id="312"/>
      <w:bookmarkEnd w:id="312"/>
      <w:r>
        <w:rPr>
          <w:b w:val="0"/>
          <w:bCs w:val="0"/>
        </w:rPr>
      </w:r>
      <w:r>
        <w:rPr/>
        <w:t>（</w:t>
      </w:r>
      <w:r>
        <w:rPr>
          <w:rFonts w:ascii="宋体" w:hAnsi="宋体" w:cs="宋体" w:eastAsia="宋体" w:hint="default"/>
        </w:rPr>
        <w:t>1</w:t>
      </w:r>
      <w:r>
        <w:rPr/>
        <w:t>）采用成本计量模式的投资性房地产</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right="1024"/>
        <w:jc w:val="left"/>
      </w:pPr>
      <w:r>
        <w:rPr/>
        <w:t>√ 适用 □</w:t>
      </w:r>
      <w:r>
        <w:rPr>
          <w:spacing w:val="4"/>
        </w:rPr>
        <w:t> </w:t>
      </w:r>
      <w:r>
        <w:rPr/>
        <w:t>不适用</w:t>
      </w:r>
    </w:p>
    <w:p>
      <w:pPr>
        <w:spacing w:after="0" w:line="240" w:lineRule="auto"/>
        <w:jc w:val="left"/>
        <w:sectPr>
          <w:pgSz w:w="11910" w:h="16840"/>
          <w:pgMar w:header="871" w:footer="1037" w:top="1040" w:bottom="1220" w:left="980" w:right="0"/>
        </w:sectPr>
      </w:pPr>
    </w:p>
    <w:p>
      <w:pPr>
        <w:spacing w:line="240" w:lineRule="auto" w:before="3"/>
        <w:rPr>
          <w:rFonts w:ascii="宋体" w:hAnsi="宋体" w:cs="宋体" w:eastAsia="宋体" w:hint="default"/>
          <w:sz w:val="27"/>
          <w:szCs w:val="27"/>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13" w:hRule="exact"/>
        </w:trPr>
        <w:tc>
          <w:tcPr>
            <w:tcW w:w="191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9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9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27,701,416.55</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27,701,416.55</w:t>
            </w:r>
          </w:p>
        </w:tc>
      </w:tr>
      <w:tr>
        <w:trPr>
          <w:trHeight w:val="398"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171"/>
              <w:jc w:val="righ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75,667,576.31</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75,667,576.31</w:t>
            </w: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）外购</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4" w:lineRule="auto" w:before="53"/>
              <w:ind w:left="95" w:right="175" w:firstLine="36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2</w:t>
            </w:r>
            <w:r>
              <w:rPr>
                <w:rFonts w:ascii="宋体" w:hAnsi="宋体" w:cs="宋体" w:eastAsia="宋体" w:hint="default"/>
                <w:spacing w:val="-3"/>
                <w:sz w:val="18"/>
                <w:szCs w:val="18"/>
              </w:rPr>
              <w:t>）存货</w:t>
            </w:r>
            <w:r>
              <w:rPr>
                <w:rFonts w:ascii="宋体" w:hAnsi="宋体" w:cs="宋体" w:eastAsia="宋体" w:hint="default"/>
                <w:spacing w:val="-3"/>
                <w:sz w:val="18"/>
                <w:szCs w:val="18"/>
              </w:rPr>
              <w:t>\</w:t>
            </w:r>
            <w:r>
              <w:rPr>
                <w:rFonts w:ascii="宋体" w:hAnsi="宋体" w:cs="宋体" w:eastAsia="宋体" w:hint="default"/>
                <w:spacing w:val="-3"/>
                <w:sz w:val="18"/>
                <w:szCs w:val="18"/>
              </w:rPr>
              <w:t>固定</w:t>
            </w:r>
            <w:r>
              <w:rPr>
                <w:rFonts w:ascii="宋体" w:hAnsi="宋体" w:cs="宋体" w:eastAsia="宋体" w:hint="default"/>
                <w:spacing w:val="-5"/>
                <w:w w:val="101"/>
                <w:sz w:val="18"/>
                <w:szCs w:val="18"/>
              </w:rPr>
              <w:t> </w:t>
            </w:r>
            <w:r>
              <w:rPr>
                <w:rFonts w:ascii="宋体" w:hAnsi="宋体" w:cs="宋体" w:eastAsia="宋体" w:hint="default"/>
                <w:sz w:val="18"/>
                <w:szCs w:val="18"/>
              </w:rPr>
              <w:t>资产</w:t>
            </w:r>
            <w:r>
              <w:rPr>
                <w:rFonts w:ascii="宋体" w:hAnsi="宋体" w:cs="宋体" w:eastAsia="宋体" w:hint="default"/>
                <w:sz w:val="18"/>
                <w:szCs w:val="18"/>
              </w:rPr>
              <w:t>\</w:t>
            </w:r>
            <w:r>
              <w:rPr>
                <w:rFonts w:ascii="宋体" w:hAnsi="宋体" w:cs="宋体" w:eastAsia="宋体" w:hint="default"/>
                <w:sz w:val="18"/>
                <w:szCs w:val="18"/>
              </w:rPr>
              <w:t>在建工程转入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75,667,576.31</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75,667,576.31</w:t>
            </w:r>
          </w:p>
        </w:tc>
      </w:tr>
      <w:tr>
        <w:trPr>
          <w:trHeight w:val="715"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1"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3</w:t>
            </w:r>
            <w:r>
              <w:rPr>
                <w:rFonts w:ascii="宋体" w:hAnsi="宋体" w:cs="宋体" w:eastAsia="宋体" w:hint="default"/>
                <w:spacing w:val="-4"/>
                <w:sz w:val="18"/>
                <w:szCs w:val="18"/>
              </w:rPr>
              <w:t>）企业合并增</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w w:val="101"/>
                <w:sz w:val="18"/>
                <w:szCs w:val="18"/>
              </w:rPr>
              <w:t>加</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911" w:type="dxa"/>
            <w:tcBorders>
              <w:top w:val="single" w:sz="4" w:space="0" w:color="000000"/>
              <w:left w:val="single" w:sz="12"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9"/>
              <w:ind w:right="171"/>
              <w:jc w:val="righ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18"/>
                <w:szCs w:val="18"/>
              </w:rPr>
            </w:pPr>
            <w:r>
              <w:rPr>
                <w:rFonts w:ascii="宋体"/>
                <w:spacing w:val="-1"/>
                <w:sz w:val="18"/>
              </w:rPr>
              <w:t>13,851,386.39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9"/>
              <w:ind w:right="84"/>
              <w:jc w:val="right"/>
              <w:rPr>
                <w:rFonts w:ascii="宋体" w:hAnsi="宋体" w:cs="宋体" w:eastAsia="宋体" w:hint="default"/>
                <w:sz w:val="18"/>
                <w:szCs w:val="18"/>
              </w:rPr>
            </w:pPr>
            <w:r>
              <w:rPr>
                <w:rFonts w:ascii="宋体"/>
                <w:spacing w:val="-1"/>
                <w:sz w:val="18"/>
              </w:rPr>
              <w:t>13,851,386.39</w:t>
            </w: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13,851,386.39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13,851,386.39</w:t>
            </w:r>
          </w:p>
        </w:tc>
      </w:tr>
      <w:tr>
        <w:trPr>
          <w:trHeight w:val="398" w:hRule="exact"/>
        </w:trPr>
        <w:tc>
          <w:tcPr>
            <w:tcW w:w="1911" w:type="dxa"/>
            <w:tcBorders>
              <w:top w:val="single" w:sz="4" w:space="0" w:color="000000"/>
              <w:left w:val="single" w:sz="12"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460" w:right="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18"/>
                <w:szCs w:val="18"/>
              </w:rPr>
            </w:pPr>
            <w:r>
              <w:rPr>
                <w:rFonts w:ascii="宋体"/>
                <w:spacing w:val="-1"/>
                <w:sz w:val="18"/>
              </w:rPr>
              <w:t>89,517,606.47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89,517,606.47</w:t>
            </w:r>
          </w:p>
        </w:tc>
      </w:tr>
      <w:tr>
        <w:trPr>
          <w:trHeight w:val="715"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71"/>
              <w:jc w:val="left"/>
              <w:rPr>
                <w:rFonts w:ascii="宋体" w:hAnsi="宋体" w:cs="宋体" w:eastAsia="宋体" w:hint="default"/>
                <w:sz w:val="18"/>
                <w:szCs w:val="18"/>
              </w:rPr>
            </w:pPr>
            <w:r>
              <w:rPr>
                <w:rFonts w:ascii="宋体" w:hAnsi="宋体" w:cs="宋体" w:eastAsia="宋体" w:hint="default"/>
                <w:spacing w:val="-3"/>
                <w:sz w:val="18"/>
                <w:szCs w:val="18"/>
              </w:rPr>
              <w:t>二、累计折旧和累计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摊销</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4,859,992.70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4,859,992.70</w:t>
            </w:r>
          </w:p>
        </w:tc>
      </w:tr>
      <w:tr>
        <w:trPr>
          <w:trHeight w:val="398"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171"/>
              <w:jc w:val="righ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6,399,191.41</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6,399,191.41</w:t>
            </w:r>
          </w:p>
        </w:tc>
      </w:tr>
      <w:tr>
        <w:trPr>
          <w:trHeight w:val="404"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9"/>
              <w:ind w:right="94"/>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1</w:t>
            </w:r>
            <w:r>
              <w:rPr>
                <w:rFonts w:ascii="宋体" w:hAnsi="宋体" w:cs="宋体" w:eastAsia="宋体" w:hint="default"/>
                <w:spacing w:val="-4"/>
                <w:sz w:val="18"/>
                <w:szCs w:val="18"/>
              </w:rPr>
              <w:t>）计提或摊销</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宋体" w:hAnsi="宋体" w:cs="宋体" w:eastAsia="宋体" w:hint="default"/>
                <w:sz w:val="18"/>
                <w:szCs w:val="18"/>
              </w:rPr>
            </w:pPr>
            <w:r>
              <w:rPr>
                <w:rFonts w:ascii="宋体"/>
                <w:spacing w:val="-1"/>
                <w:sz w:val="18"/>
              </w:rPr>
              <w:t>1,547,031.56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9"/>
              <w:ind w:right="84"/>
              <w:jc w:val="right"/>
              <w:rPr>
                <w:rFonts w:ascii="宋体" w:hAnsi="宋体" w:cs="宋体" w:eastAsia="宋体" w:hint="default"/>
                <w:sz w:val="18"/>
                <w:szCs w:val="18"/>
              </w:rPr>
            </w:pPr>
            <w:r>
              <w:rPr>
                <w:rFonts w:ascii="宋体"/>
                <w:spacing w:val="-1"/>
                <w:sz w:val="18"/>
              </w:rPr>
              <w:t>1,547,031.56</w:t>
            </w:r>
          </w:p>
        </w:tc>
      </w:tr>
      <w:tr>
        <w:trPr>
          <w:trHeight w:val="715" w:hRule="exact"/>
        </w:trPr>
        <w:tc>
          <w:tcPr>
            <w:tcW w:w="1911" w:type="dxa"/>
            <w:tcBorders>
              <w:top w:val="single" w:sz="4" w:space="0" w:color="000000"/>
              <w:left w:val="single" w:sz="12" w:space="0" w:color="000000"/>
              <w:bottom w:val="single" w:sz="4" w:space="0" w:color="000000"/>
              <w:right w:val="single" w:sz="4" w:space="0" w:color="000000"/>
            </w:tcBorders>
          </w:tcPr>
          <w:p>
            <w:pPr>
              <w:pStyle w:val="TableParagraph"/>
              <w:spacing w:line="321" w:lineRule="auto" w:before="53"/>
              <w:ind w:left="95" w:right="95"/>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w:t>
            </w:r>
            <w:r>
              <w:rPr>
                <w:rFonts w:ascii="宋体" w:hAnsi="宋体" w:cs="宋体" w:eastAsia="宋体" w:hint="default"/>
                <w:spacing w:val="-4"/>
                <w:sz w:val="18"/>
                <w:szCs w:val="18"/>
              </w:rPr>
              <w:t>）存货</w:t>
            </w:r>
            <w:r>
              <w:rPr>
                <w:rFonts w:ascii="宋体" w:hAnsi="宋体" w:cs="宋体" w:eastAsia="宋体" w:hint="default"/>
                <w:spacing w:val="-4"/>
                <w:sz w:val="18"/>
                <w:szCs w:val="18"/>
              </w:rPr>
              <w:t>\</w:t>
            </w:r>
            <w:r>
              <w:rPr>
                <w:rFonts w:ascii="宋体" w:hAnsi="宋体" w:cs="宋体" w:eastAsia="宋体" w:hint="default"/>
                <w:spacing w:val="-4"/>
                <w:sz w:val="18"/>
                <w:szCs w:val="18"/>
              </w:rPr>
              <w:t>固定资产</w:t>
            </w:r>
            <w:r>
              <w:rPr>
                <w:rFonts w:ascii="宋体" w:hAnsi="宋体" w:cs="宋体" w:eastAsia="宋体" w:hint="default"/>
                <w:spacing w:val="-4"/>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在建工程转入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4,852,159.85</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4,852,159.85</w:t>
            </w: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171"/>
              <w:jc w:val="righ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3,081,335.93</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3,081,335.93</w:t>
            </w:r>
          </w:p>
        </w:tc>
      </w:tr>
      <w:tr>
        <w:trPr>
          <w:trHeight w:val="399"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18"/>
                <w:szCs w:val="18"/>
              </w:rPr>
            </w:pPr>
            <w:r>
              <w:rPr>
                <w:rFonts w:ascii="宋体"/>
                <w:spacing w:val="-1"/>
                <w:sz w:val="18"/>
              </w:rPr>
              <w:t>3,081,335.93</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3,081,335.93</w:t>
            </w: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8,177,848.18</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8,177,848.18</w:t>
            </w:r>
          </w:p>
        </w:tc>
      </w:tr>
      <w:tr>
        <w:trPr>
          <w:trHeight w:val="399"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460"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171"/>
              <w:jc w:val="righ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1911" w:type="dxa"/>
            <w:tcBorders>
              <w:top w:val="single" w:sz="4" w:space="0" w:color="000000"/>
              <w:left w:val="single" w:sz="12"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right="94"/>
              <w:jc w:val="righ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191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12" w:space="0" w:color="000000"/>
              <w:right w:val="single" w:sz="4" w:space="0" w:color="000000"/>
            </w:tcBorders>
          </w:tcPr>
          <w:p>
            <w:pPr/>
          </w:p>
        </w:tc>
        <w:tc>
          <w:tcPr>
            <w:tcW w:w="1911" w:type="dxa"/>
            <w:tcBorders>
              <w:top w:val="single" w:sz="4" w:space="0" w:color="000000"/>
              <w:left w:val="single" w:sz="4" w:space="0" w:color="000000"/>
              <w:bottom w:val="single" w:sz="12" w:space="0" w:color="000000"/>
              <w:right w:val="single" w:sz="4" w:space="0" w:color="000000"/>
            </w:tcBorders>
          </w:tcPr>
          <w:p>
            <w:pPr/>
          </w:p>
        </w:tc>
        <w:tc>
          <w:tcPr>
            <w:tcW w:w="1916" w:type="dxa"/>
            <w:tcBorders>
              <w:top w:val="single" w:sz="4" w:space="0" w:color="000000"/>
              <w:left w:val="single" w:sz="4" w:space="0" w:color="000000"/>
              <w:bottom w:val="single" w:sz="12" w:space="0" w:color="000000"/>
              <w:right w:val="single" w:sz="4" w:space="0" w:color="000000"/>
            </w:tcBorders>
          </w:tcPr>
          <w:p>
            <w:pPr/>
          </w:p>
        </w:tc>
        <w:tc>
          <w:tcPr>
            <w:tcW w:w="1916"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13" w:hRule="exact"/>
        </w:trPr>
        <w:tc>
          <w:tcPr>
            <w:tcW w:w="191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921" w:type="dxa"/>
            <w:tcBorders>
              <w:top w:val="single" w:sz="12" w:space="0" w:color="000000"/>
              <w:left w:val="single" w:sz="4" w:space="0" w:color="000000"/>
              <w:bottom w:val="single" w:sz="4" w:space="0" w:color="000000"/>
              <w:right w:val="single" w:sz="4" w:space="0" w:color="000000"/>
            </w:tcBorders>
          </w:tcPr>
          <w:p>
            <w:pPr/>
          </w:p>
        </w:tc>
        <w:tc>
          <w:tcPr>
            <w:tcW w:w="1911" w:type="dxa"/>
            <w:tcBorders>
              <w:top w:val="single" w:sz="12" w:space="0" w:color="000000"/>
              <w:left w:val="single" w:sz="4" w:space="0" w:color="000000"/>
              <w:bottom w:val="single" w:sz="4" w:space="0" w:color="000000"/>
              <w:right w:val="single" w:sz="4" w:space="0" w:color="000000"/>
            </w:tcBorders>
          </w:tcPr>
          <w:p>
            <w:pPr/>
          </w:p>
        </w:tc>
        <w:tc>
          <w:tcPr>
            <w:tcW w:w="1916" w:type="dxa"/>
            <w:tcBorders>
              <w:top w:val="single" w:sz="12" w:space="0" w:color="000000"/>
              <w:left w:val="single" w:sz="4" w:space="0" w:color="000000"/>
              <w:bottom w:val="single" w:sz="4" w:space="0" w:color="000000"/>
              <w:right w:val="single" w:sz="4" w:space="0" w:color="000000"/>
            </w:tcBorders>
          </w:tcPr>
          <w:p>
            <w:pPr/>
          </w:p>
        </w:tc>
        <w:tc>
          <w:tcPr>
            <w:tcW w:w="1916" w:type="dxa"/>
            <w:tcBorders>
              <w:top w:val="single" w:sz="12" w:space="0" w:color="000000"/>
              <w:left w:val="single" w:sz="4" w:space="0" w:color="000000"/>
              <w:bottom w:val="single" w:sz="4" w:space="0" w:color="000000"/>
              <w:right w:val="single" w:sz="12" w:space="0" w:color="000000"/>
            </w:tcBorders>
          </w:tcPr>
          <w:p>
            <w:pP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60" w:right="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171"/>
              <w:jc w:val="righ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期末账面价值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81,339,758.29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81,339,758.29</w:t>
            </w:r>
          </w:p>
        </w:tc>
      </w:tr>
      <w:tr>
        <w:trPr>
          <w:trHeight w:val="413" w:hRule="exact"/>
        </w:trPr>
        <w:tc>
          <w:tcPr>
            <w:tcW w:w="191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right="171"/>
              <w:jc w:val="righ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期初账面价值</w:t>
            </w:r>
          </w:p>
        </w:tc>
        <w:tc>
          <w:tcPr>
            <w:tcW w:w="19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22,841,423.85</w:t>
            </w:r>
          </w:p>
        </w:tc>
        <w:tc>
          <w:tcPr>
            <w:tcW w:w="1911" w:type="dxa"/>
            <w:tcBorders>
              <w:top w:val="single" w:sz="4" w:space="0" w:color="000000"/>
              <w:left w:val="single" w:sz="4" w:space="0" w:color="000000"/>
              <w:bottom w:val="single" w:sz="12" w:space="0" w:color="000000"/>
              <w:right w:val="single" w:sz="4" w:space="0" w:color="000000"/>
            </w:tcBorders>
          </w:tcPr>
          <w:p>
            <w:pPr/>
          </w:p>
        </w:tc>
        <w:tc>
          <w:tcPr>
            <w:tcW w:w="1916" w:type="dxa"/>
            <w:tcBorders>
              <w:top w:val="single" w:sz="4" w:space="0" w:color="000000"/>
              <w:left w:val="single" w:sz="4" w:space="0" w:color="000000"/>
              <w:bottom w:val="single" w:sz="12" w:space="0" w:color="000000"/>
              <w:right w:val="single" w:sz="4" w:space="0" w:color="000000"/>
            </w:tcBorders>
          </w:tcPr>
          <w:p>
            <w:pPr/>
          </w:p>
        </w:tc>
        <w:tc>
          <w:tcPr>
            <w:tcW w:w="19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22,841,423.85</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2）采用公允价值计量模式的投资性房地产" w:id="313"/>
      <w:bookmarkEnd w:id="313"/>
      <w:r>
        <w:rPr>
          <w:b w:val="0"/>
          <w:bCs w:val="0"/>
        </w:rPr>
      </w:r>
      <w:r>
        <w:rPr/>
        <w:t>（</w:t>
      </w:r>
      <w:r>
        <w:rPr>
          <w:rFonts w:ascii="宋体" w:hAnsi="宋体" w:cs="宋体" w:eastAsia="宋体" w:hint="default"/>
        </w:rPr>
        <w:t>2</w:t>
      </w:r>
      <w:r>
        <w:rPr/>
        <w:t>）采用公允价值计量模式的投资性房地产</w:t>
      </w:r>
      <w:r>
        <w:rPr>
          <w:b w:val="0"/>
          <w:bCs w:val="0"/>
        </w:rPr>
      </w:r>
    </w:p>
    <w:p>
      <w:pPr>
        <w:spacing w:line="240" w:lineRule="auto" w:before="12"/>
        <w:rPr>
          <w:rFonts w:ascii="宋体" w:hAnsi="宋体" w:cs="宋体" w:eastAsia="宋体" w:hint="default"/>
          <w:b/>
          <w:bCs/>
          <w:sz w:val="25"/>
          <w:szCs w:val="25"/>
        </w:rPr>
      </w:pPr>
    </w:p>
    <w:p>
      <w:pPr>
        <w:spacing w:line="532" w:lineRule="auto" w:before="0"/>
        <w:ind w:left="15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18、固定资产" w:id="314"/>
      <w:bookmarkEnd w:id="314"/>
      <w:r>
        <w:rPr>
          <w:rFonts w:ascii="宋体" w:hAnsi="宋体" w:cs="宋体" w:eastAsia="宋体" w:hint="default"/>
          <w:w w:val="100"/>
          <w:sz w:val="21"/>
          <w:szCs w:val="21"/>
        </w:rPr>
      </w:r>
      <w:r>
        <w:rPr>
          <w:rFonts w:ascii="宋体" w:hAnsi="宋体" w:cs="宋体" w:eastAsia="宋体" w:hint="default"/>
          <w:b/>
          <w:bCs/>
          <w:sz w:val="21"/>
          <w:szCs w:val="21"/>
        </w:rPr>
        <w:t>18</w:t>
      </w:r>
      <w:r>
        <w:rPr>
          <w:rFonts w:ascii="宋体" w:hAnsi="宋体" w:cs="宋体" w:eastAsia="宋体" w:hint="default"/>
          <w:b/>
          <w:bCs/>
          <w:sz w:val="21"/>
          <w:szCs w:val="21"/>
        </w:rPr>
        <w:t>、固定资产</w:t>
      </w:r>
      <w:r>
        <w:rPr>
          <w:rFonts w:ascii="宋体" w:hAnsi="宋体" w:cs="宋体" w:eastAsia="宋体" w:hint="default"/>
          <w:sz w:val="21"/>
          <w:szCs w:val="21"/>
        </w:rPr>
      </w:r>
    </w:p>
    <w:p>
      <w:pPr>
        <w:spacing w:before="10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293,515,266.83</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360,590,903.02</w:t>
            </w:r>
          </w:p>
        </w:tc>
      </w:tr>
      <w:tr>
        <w:trPr>
          <w:trHeight w:val="40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293,515,266.83</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360,590,903.02</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1）固定资产情况" w:id="315"/>
      <w:bookmarkEnd w:id="315"/>
      <w:r>
        <w:rPr>
          <w:b w:val="0"/>
          <w:bCs w:val="0"/>
        </w:rPr>
      </w:r>
      <w:r>
        <w:rPr/>
        <w:t>（</w:t>
      </w:r>
      <w:r>
        <w:rPr>
          <w:rFonts w:ascii="宋体" w:hAnsi="宋体" w:cs="宋体" w:eastAsia="宋体" w:hint="default"/>
        </w:rPr>
        <w:t>1</w:t>
      </w:r>
      <w:r>
        <w:rPr/>
        <w:t>）固定资产情况</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594"/>
        <w:gridCol w:w="1594"/>
        <w:gridCol w:w="1595"/>
        <w:gridCol w:w="1594"/>
        <w:gridCol w:w="1594"/>
        <w:gridCol w:w="1599"/>
      </w:tblGrid>
      <w:tr>
        <w:trPr>
          <w:trHeight w:val="413" w:hRule="exact"/>
        </w:trPr>
        <w:tc>
          <w:tcPr>
            <w:tcW w:w="159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电子及其他设备</w:t>
            </w:r>
          </w:p>
        </w:tc>
        <w:tc>
          <w:tcPr>
            <w:tcW w:w="15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8"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27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2"/>
                <w:sz w:val="18"/>
              </w:rPr>
              <w:t>327,623,970.73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92,307,858.58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19,405,219.72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20,007,433.03</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2"/>
                <w:sz w:val="18"/>
              </w:rPr>
              <w:t>459,344,482.06</w:t>
            </w:r>
          </w:p>
        </w:tc>
      </w:tr>
      <w:tr>
        <w:trPr>
          <w:trHeight w:val="716"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4" w:lineRule="auto" w:before="53"/>
              <w:ind w:left="95" w:right="214" w:firstLine="182"/>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20,363,441.22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4,437,454.87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3,524,818.19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183,486.62</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28,509,200.90</w:t>
            </w: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759,327.96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1,584,544.36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3,524,818.19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183,486.62</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6,052,177.13</w:t>
            </w:r>
          </w:p>
        </w:tc>
      </w:tr>
      <w:tr>
        <w:trPr>
          <w:trHeight w:val="710"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w:t>
            </w:r>
            <w:r>
              <w:rPr>
                <w:rFonts w:ascii="宋体" w:hAnsi="宋体" w:cs="宋体" w:eastAsia="宋体" w:hint="default"/>
                <w:w w:val="101"/>
                <w:sz w:val="18"/>
                <w:szCs w:val="18"/>
              </w:rPr>
              <w:t> </w:t>
            </w:r>
            <w:r>
              <w:rPr>
                <w:rFonts w:ascii="宋体" w:hAnsi="宋体" w:cs="宋体" w:eastAsia="宋体" w:hint="default"/>
                <w:sz w:val="18"/>
                <w:szCs w:val="18"/>
              </w:rPr>
              <w:t>程转入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5,752,726.87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2,852,910.51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8,605,637.38</w:t>
            </w:r>
          </w:p>
        </w:tc>
      </w:tr>
      <w:tr>
        <w:trPr>
          <w:trHeight w:val="716"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9"/>
              <w:ind w:left="95" w:right="1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w:t>
            </w:r>
            <w:r>
              <w:rPr>
                <w:rFonts w:ascii="宋体" w:hAnsi="宋体" w:cs="宋体" w:eastAsia="宋体" w:hint="default"/>
                <w:w w:val="101"/>
                <w:sz w:val="18"/>
                <w:szCs w:val="18"/>
              </w:rPr>
              <w:t> </w:t>
            </w: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93" w:firstLine="633"/>
              <w:jc w:val="left"/>
              <w:rPr>
                <w:rFonts w:ascii="宋体" w:hAnsi="宋体" w:cs="宋体" w:eastAsia="宋体" w:hint="default"/>
                <w:sz w:val="18"/>
                <w:szCs w:val="18"/>
              </w:rPr>
            </w:pPr>
            <w:r>
              <w:rPr>
                <w:rFonts w:ascii="宋体" w:hAnsi="宋体" w:cs="宋体" w:eastAsia="宋体" w:hint="default"/>
                <w:spacing w:val="-15"/>
                <w:sz w:val="18"/>
                <w:szCs w:val="18"/>
              </w:rPr>
              <w:t>（</w:t>
            </w:r>
            <w:r>
              <w:rPr>
                <w:rFonts w:ascii="宋体" w:hAnsi="宋体" w:cs="宋体" w:eastAsia="宋体" w:hint="default"/>
                <w:spacing w:val="-15"/>
                <w:sz w:val="18"/>
                <w:szCs w:val="18"/>
              </w:rPr>
              <w:t>4</w:t>
            </w:r>
            <w:r>
              <w:rPr>
                <w:rFonts w:ascii="宋体" w:hAnsi="宋体" w:cs="宋体" w:eastAsia="宋体" w:hint="default"/>
                <w:spacing w:val="-15"/>
                <w:sz w:val="18"/>
                <w:szCs w:val="18"/>
              </w:rPr>
              <w:t>）投资</w:t>
            </w:r>
            <w:r>
              <w:rPr>
                <w:rFonts w:ascii="宋体" w:hAnsi="宋体" w:cs="宋体" w:eastAsia="宋体" w:hint="default"/>
                <w:w w:val="101"/>
                <w:sz w:val="18"/>
                <w:szCs w:val="18"/>
              </w:rPr>
              <w:t> </w:t>
            </w:r>
            <w:r>
              <w:rPr>
                <w:rFonts w:ascii="宋体" w:hAnsi="宋体" w:cs="宋体" w:eastAsia="宋体" w:hint="default"/>
                <w:sz w:val="18"/>
                <w:szCs w:val="18"/>
              </w:rPr>
              <w:t>性房地产转入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13,851,386.39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13,851,386.39</w:t>
            </w:r>
          </w:p>
        </w:tc>
      </w:tr>
      <w:tr>
        <w:trPr>
          <w:trHeight w:val="716"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5" w:right="214" w:firstLine="182"/>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75,667,576.31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1,415,995.70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1,260,330.76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1,124,618.10</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79,468,520.87</w:t>
            </w:r>
          </w:p>
        </w:tc>
      </w:tr>
      <w:tr>
        <w:trPr>
          <w:trHeight w:val="725" w:hRule="exact"/>
        </w:trPr>
        <w:tc>
          <w:tcPr>
            <w:tcW w:w="159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3"/>
              <w:ind w:left="95" w:right="1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12" w:space="0" w:color="000000"/>
              <w:right w:val="single" w:sz="4" w:space="0" w:color="000000"/>
            </w:tcBorders>
          </w:tcPr>
          <w:p>
            <w:pPr/>
          </w:p>
        </w:tc>
        <w:tc>
          <w:tcPr>
            <w:tcW w:w="15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1,415,995.70</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90,393.00</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173,010.25</w:t>
            </w:r>
          </w:p>
        </w:tc>
        <w:tc>
          <w:tcPr>
            <w:tcW w:w="159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1,679,398.95</w:t>
            </w:r>
          </w:p>
        </w:tc>
      </w:tr>
    </w:tbl>
    <w:p>
      <w:pPr>
        <w:spacing w:after="0" w:line="240" w:lineRule="auto"/>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594"/>
        <w:gridCol w:w="1594"/>
        <w:gridCol w:w="1595"/>
        <w:gridCol w:w="1594"/>
        <w:gridCol w:w="1594"/>
        <w:gridCol w:w="1599"/>
      </w:tblGrid>
      <w:tr>
        <w:trPr>
          <w:trHeight w:val="413" w:hRule="exact"/>
        </w:trPr>
        <w:tc>
          <w:tcPr>
            <w:tcW w:w="159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电子及其他设备</w:t>
            </w:r>
          </w:p>
        </w:tc>
        <w:tc>
          <w:tcPr>
            <w:tcW w:w="15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6"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93" w:firstLine="633"/>
              <w:jc w:val="left"/>
              <w:rPr>
                <w:rFonts w:ascii="宋体" w:hAnsi="宋体" w:cs="宋体" w:eastAsia="宋体" w:hint="default"/>
                <w:sz w:val="18"/>
                <w:szCs w:val="18"/>
              </w:rPr>
            </w:pPr>
            <w:r>
              <w:rPr>
                <w:rFonts w:ascii="宋体" w:hAnsi="宋体" w:cs="宋体" w:eastAsia="宋体" w:hint="default"/>
                <w:spacing w:val="-15"/>
                <w:sz w:val="18"/>
                <w:szCs w:val="18"/>
              </w:rPr>
              <w:t>（</w:t>
            </w:r>
            <w:r>
              <w:rPr>
                <w:rFonts w:ascii="宋体" w:hAnsi="宋体" w:cs="宋体" w:eastAsia="宋体" w:hint="default"/>
                <w:spacing w:val="-15"/>
                <w:sz w:val="18"/>
                <w:szCs w:val="18"/>
              </w:rPr>
              <w:t>2</w:t>
            </w:r>
            <w:r>
              <w:rPr>
                <w:rFonts w:ascii="宋体" w:hAnsi="宋体" w:cs="宋体" w:eastAsia="宋体" w:hint="default"/>
                <w:spacing w:val="-15"/>
                <w:sz w:val="18"/>
                <w:szCs w:val="18"/>
              </w:rPr>
              <w:t>）合并</w:t>
            </w:r>
            <w:r>
              <w:rPr>
                <w:rFonts w:ascii="宋体" w:hAnsi="宋体" w:cs="宋体" w:eastAsia="宋体" w:hint="default"/>
                <w:w w:val="101"/>
                <w:sz w:val="18"/>
                <w:szCs w:val="18"/>
              </w:rPr>
              <w:t> </w:t>
            </w:r>
            <w:r>
              <w:rPr>
                <w:rFonts w:ascii="宋体" w:hAnsi="宋体" w:cs="宋体" w:eastAsia="宋体" w:hint="default"/>
                <w:sz w:val="18"/>
                <w:szCs w:val="18"/>
              </w:rPr>
              <w:t>范围减少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1,169,937.76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951,607.85</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2,121,545.61</w:t>
            </w:r>
          </w:p>
        </w:tc>
      </w:tr>
      <w:tr>
        <w:trPr>
          <w:trHeight w:val="710"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22" w:firstLine="54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）转入</w:t>
            </w:r>
            <w:r>
              <w:rPr>
                <w:rFonts w:ascii="宋体" w:hAnsi="宋体" w:cs="宋体" w:eastAsia="宋体" w:hint="default"/>
                <w:w w:val="101"/>
                <w:sz w:val="18"/>
                <w:szCs w:val="18"/>
              </w:rPr>
              <w:t> </w:t>
            </w:r>
            <w:r>
              <w:rPr>
                <w:rFonts w:ascii="宋体" w:hAnsi="宋体" w:cs="宋体" w:eastAsia="宋体" w:hint="default"/>
                <w:sz w:val="18"/>
                <w:szCs w:val="18"/>
              </w:rPr>
              <w:t>投资性房地产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75,667,576.31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75,667,576.31</w:t>
            </w: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272,319,835.64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95,329,317.75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21,669,707.15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19,066,301.55</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408,385,162.09</w:t>
            </w: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27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19,422,428.33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55,626,535.59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13,760,343.84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9,944,271.28</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spacing w:val="-1"/>
                <w:sz w:val="18"/>
              </w:rPr>
              <w:t>98,753,579.04</w:t>
            </w:r>
          </w:p>
        </w:tc>
      </w:tr>
      <w:tr>
        <w:trPr>
          <w:trHeight w:val="710"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214" w:firstLine="182"/>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11,418,354.40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7,280,257.13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1,646,196.41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2,557,076.97</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22,901,884.91</w:t>
            </w: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300"/>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pacing w:val="-1"/>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8,337,018.47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7,280,257.13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1,646,196.41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2,557,076.97</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19,820,548.98</w:t>
            </w:r>
          </w:p>
        </w:tc>
      </w:tr>
      <w:tr>
        <w:trPr>
          <w:trHeight w:val="716"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4" w:lineRule="auto" w:before="53"/>
              <w:ind w:left="95" w:right="93" w:firstLine="633"/>
              <w:jc w:val="left"/>
              <w:rPr>
                <w:rFonts w:ascii="宋体" w:hAnsi="宋体" w:cs="宋体" w:eastAsia="宋体" w:hint="default"/>
                <w:sz w:val="18"/>
                <w:szCs w:val="18"/>
              </w:rPr>
            </w:pPr>
            <w:r>
              <w:rPr>
                <w:rFonts w:ascii="宋体" w:hAnsi="宋体" w:cs="宋体" w:eastAsia="宋体" w:hint="default"/>
                <w:spacing w:val="-15"/>
                <w:sz w:val="18"/>
                <w:szCs w:val="18"/>
              </w:rPr>
              <w:t>（</w:t>
            </w:r>
            <w:r>
              <w:rPr>
                <w:rFonts w:ascii="宋体" w:hAnsi="宋体" w:cs="宋体" w:eastAsia="宋体" w:hint="default"/>
                <w:spacing w:val="-15"/>
                <w:sz w:val="18"/>
                <w:szCs w:val="18"/>
              </w:rPr>
              <w:t>2</w:t>
            </w:r>
            <w:r>
              <w:rPr>
                <w:rFonts w:ascii="宋体" w:hAnsi="宋体" w:cs="宋体" w:eastAsia="宋体" w:hint="default"/>
                <w:spacing w:val="-15"/>
                <w:sz w:val="18"/>
                <w:szCs w:val="18"/>
              </w:rPr>
              <w:t>）投资</w:t>
            </w:r>
            <w:r>
              <w:rPr>
                <w:rFonts w:ascii="宋体" w:hAnsi="宋体" w:cs="宋体" w:eastAsia="宋体" w:hint="default"/>
                <w:w w:val="101"/>
                <w:sz w:val="18"/>
                <w:szCs w:val="18"/>
              </w:rPr>
              <w:t> </w:t>
            </w:r>
            <w:r>
              <w:rPr>
                <w:rFonts w:ascii="宋体" w:hAnsi="宋体" w:cs="宋体" w:eastAsia="宋体" w:hint="default"/>
                <w:sz w:val="18"/>
                <w:szCs w:val="18"/>
              </w:rPr>
              <w:t>性房地产转入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3,081,335.93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3,081,335.93</w:t>
            </w:r>
          </w:p>
        </w:tc>
      </w:tr>
      <w:tr>
        <w:trPr>
          <w:trHeight w:val="715"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214" w:firstLine="182"/>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4,852,159.85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395,195.90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629,664.63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908,548.31</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6,785,568.69</w:t>
            </w:r>
          </w:p>
        </w:tc>
      </w:tr>
      <w:tr>
        <w:trPr>
          <w:trHeight w:val="711"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5" w:right="1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395,195.90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85,873.35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161,920.88</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642,990.13</w:t>
            </w:r>
          </w:p>
        </w:tc>
      </w:tr>
      <w:tr>
        <w:trPr>
          <w:trHeight w:val="715"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93" w:firstLine="633"/>
              <w:jc w:val="left"/>
              <w:rPr>
                <w:rFonts w:ascii="宋体" w:hAnsi="宋体" w:cs="宋体" w:eastAsia="宋体" w:hint="default"/>
                <w:sz w:val="18"/>
                <w:szCs w:val="18"/>
              </w:rPr>
            </w:pPr>
            <w:r>
              <w:rPr>
                <w:rFonts w:ascii="宋体" w:hAnsi="宋体" w:cs="宋体" w:eastAsia="宋体" w:hint="default"/>
                <w:spacing w:val="-15"/>
                <w:sz w:val="18"/>
                <w:szCs w:val="18"/>
              </w:rPr>
              <w:t>（</w:t>
            </w:r>
            <w:r>
              <w:rPr>
                <w:rFonts w:ascii="宋体" w:hAnsi="宋体" w:cs="宋体" w:eastAsia="宋体" w:hint="default"/>
                <w:spacing w:val="-15"/>
                <w:sz w:val="18"/>
                <w:szCs w:val="18"/>
              </w:rPr>
              <w:t>2</w:t>
            </w:r>
            <w:r>
              <w:rPr>
                <w:rFonts w:ascii="宋体" w:hAnsi="宋体" w:cs="宋体" w:eastAsia="宋体" w:hint="default"/>
                <w:spacing w:val="-15"/>
                <w:sz w:val="18"/>
                <w:szCs w:val="18"/>
              </w:rPr>
              <w:t>）转入</w:t>
            </w:r>
            <w:r>
              <w:rPr>
                <w:rFonts w:ascii="宋体" w:hAnsi="宋体" w:cs="宋体" w:eastAsia="宋体" w:hint="default"/>
                <w:w w:val="101"/>
                <w:sz w:val="18"/>
                <w:szCs w:val="18"/>
              </w:rPr>
              <w:t> </w:t>
            </w:r>
            <w:r>
              <w:rPr>
                <w:rFonts w:ascii="宋体" w:hAnsi="宋体" w:cs="宋体" w:eastAsia="宋体" w:hint="default"/>
                <w:sz w:val="18"/>
                <w:szCs w:val="18"/>
              </w:rPr>
              <w:t>投资性房地产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4,852,159.85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4,852,159.85</w:t>
            </w:r>
          </w:p>
        </w:tc>
      </w:tr>
      <w:tr>
        <w:trPr>
          <w:trHeight w:val="715"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22" w:firstLine="54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）合并</w:t>
            </w:r>
            <w:r>
              <w:rPr>
                <w:rFonts w:ascii="宋体" w:hAnsi="宋体" w:cs="宋体" w:eastAsia="宋体" w:hint="default"/>
                <w:w w:val="101"/>
                <w:sz w:val="18"/>
                <w:szCs w:val="18"/>
              </w:rPr>
              <w:t> </w:t>
            </w:r>
            <w:r>
              <w:rPr>
                <w:rFonts w:ascii="宋体" w:hAnsi="宋体" w:cs="宋体" w:eastAsia="宋体" w:hint="default"/>
                <w:sz w:val="18"/>
                <w:szCs w:val="18"/>
              </w:rPr>
              <w:t>范围减少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543,791.28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746,627.43</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1,290,418.71</w:t>
            </w:r>
          </w:p>
        </w:tc>
      </w:tr>
      <w:tr>
        <w:trPr>
          <w:trHeight w:val="404"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27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25,988,622.88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62,511,596.82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14,776,875.62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4" w:lineRule="auto" w:before="53"/>
              <w:ind w:left="95" w:right="214" w:firstLine="182"/>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300"/>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pacing w:val="-1"/>
                <w:sz w:val="18"/>
                <w:szCs w:val="18"/>
              </w:rPr>
              <w:t>1</w:t>
            </w:r>
            <w:r>
              <w:rPr>
                <w:rFonts w:ascii="宋体" w:hAnsi="宋体" w:cs="宋体" w:eastAsia="宋体" w:hint="default"/>
                <w:spacing w:val="-1"/>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214" w:firstLine="182"/>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23"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725" w:hRule="exact"/>
        </w:trPr>
        <w:tc>
          <w:tcPr>
            <w:tcW w:w="159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21" w:lineRule="auto" w:before="53"/>
              <w:ind w:left="95" w:right="214" w:firstLine="182"/>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期末账面价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246,331,212.76</w:t>
            </w:r>
          </w:p>
        </w:tc>
        <w:tc>
          <w:tcPr>
            <w:tcW w:w="15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32,817,720.93</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6,892,831.53</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7,473,501.61</w:t>
            </w:r>
          </w:p>
        </w:tc>
        <w:tc>
          <w:tcPr>
            <w:tcW w:w="159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pacing w:val="-2"/>
                <w:sz w:val="18"/>
              </w:rPr>
              <w:t>293,515,266.83</w:t>
            </w:r>
          </w:p>
        </w:tc>
      </w:tr>
    </w:tbl>
    <w:p>
      <w:pPr>
        <w:spacing w:after="0" w:line="240" w:lineRule="auto"/>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998" w:type="dxa"/>
        <w:tblLayout w:type="fixed"/>
        <w:tblCellMar>
          <w:top w:w="0" w:type="dxa"/>
          <w:left w:w="0" w:type="dxa"/>
          <w:bottom w:w="0" w:type="dxa"/>
          <w:right w:w="0" w:type="dxa"/>
        </w:tblCellMar>
        <w:tblLook w:val="01E0"/>
      </w:tblPr>
      <w:tblGrid>
        <w:gridCol w:w="1594"/>
        <w:gridCol w:w="1594"/>
        <w:gridCol w:w="1595"/>
        <w:gridCol w:w="1594"/>
        <w:gridCol w:w="1594"/>
        <w:gridCol w:w="1599"/>
      </w:tblGrid>
      <w:tr>
        <w:trPr>
          <w:trHeight w:val="413" w:hRule="exact"/>
        </w:trPr>
        <w:tc>
          <w:tcPr>
            <w:tcW w:w="159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59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电子及其他设备</w:t>
            </w:r>
          </w:p>
        </w:tc>
        <w:tc>
          <w:tcPr>
            <w:tcW w:w="15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25" w:hRule="exact"/>
        </w:trPr>
        <w:tc>
          <w:tcPr>
            <w:tcW w:w="159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3"/>
              <w:ind w:left="95" w:right="214" w:firstLine="182"/>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期初账面价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9" w:right="0"/>
              <w:jc w:val="center"/>
              <w:rPr>
                <w:rFonts w:ascii="宋体" w:hAnsi="宋体" w:cs="宋体" w:eastAsia="宋体" w:hint="default"/>
                <w:sz w:val="18"/>
                <w:szCs w:val="18"/>
              </w:rPr>
            </w:pPr>
            <w:r>
              <w:rPr>
                <w:rFonts w:ascii="宋体"/>
                <w:sz w:val="18"/>
              </w:rPr>
              <w:t>308,201,542.40</w:t>
            </w:r>
          </w:p>
        </w:tc>
        <w:tc>
          <w:tcPr>
            <w:tcW w:w="15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2" w:right="0"/>
              <w:jc w:val="left"/>
              <w:rPr>
                <w:rFonts w:ascii="宋体" w:hAnsi="宋体" w:cs="宋体" w:eastAsia="宋体" w:hint="default"/>
                <w:sz w:val="18"/>
                <w:szCs w:val="18"/>
              </w:rPr>
            </w:pPr>
            <w:r>
              <w:rPr>
                <w:rFonts w:ascii="宋体"/>
                <w:sz w:val="18"/>
              </w:rPr>
              <w:t>36,681,322.99</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03" w:right="0"/>
              <w:jc w:val="left"/>
              <w:rPr>
                <w:rFonts w:ascii="宋体" w:hAnsi="宋体" w:cs="宋体" w:eastAsia="宋体" w:hint="default"/>
                <w:sz w:val="18"/>
                <w:szCs w:val="18"/>
              </w:rPr>
            </w:pPr>
            <w:r>
              <w:rPr>
                <w:rFonts w:ascii="宋体"/>
                <w:sz w:val="18"/>
              </w:rPr>
              <w:t>5,644,875.88</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2" w:right="0"/>
              <w:jc w:val="left"/>
              <w:rPr>
                <w:rFonts w:ascii="宋体" w:hAnsi="宋体" w:cs="宋体" w:eastAsia="宋体" w:hint="default"/>
                <w:sz w:val="18"/>
                <w:szCs w:val="18"/>
              </w:rPr>
            </w:pPr>
            <w:r>
              <w:rPr>
                <w:rFonts w:ascii="宋体"/>
                <w:sz w:val="18"/>
              </w:rPr>
              <w:t>10,063,161.75</w:t>
            </w:r>
          </w:p>
        </w:tc>
        <w:tc>
          <w:tcPr>
            <w:tcW w:w="159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sz w:val="18"/>
              </w:rPr>
              <w:t>360,590,903.02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left="1013" w:right="0"/>
        <w:jc w:val="left"/>
        <w:rPr>
          <w:b w:val="0"/>
          <w:bCs w:val="0"/>
        </w:rPr>
      </w:pPr>
      <w:bookmarkStart w:name="19、在建工程" w:id="316"/>
      <w:bookmarkEnd w:id="316"/>
      <w:r>
        <w:rPr>
          <w:b w:val="0"/>
          <w:bCs w:val="0"/>
        </w:rPr>
      </w:r>
      <w:r>
        <w:rPr>
          <w:rFonts w:ascii="宋体" w:hAnsi="宋体" w:cs="宋体" w:eastAsia="宋体" w:hint="default"/>
        </w:rPr>
        <w:t>19</w:t>
      </w:r>
      <w:r>
        <w:rPr/>
        <w:t>、在建工程</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998" w:type="dxa"/>
        <w:tblLayout w:type="fixed"/>
        <w:tblCellMar>
          <w:top w:w="0" w:type="dxa"/>
          <w:left w:w="0" w:type="dxa"/>
          <w:bottom w:w="0" w:type="dxa"/>
          <w:right w:w="0" w:type="dxa"/>
        </w:tblCellMar>
        <w:tblLook w:val="01E0"/>
      </w:tblPr>
      <w:tblGrid>
        <w:gridCol w:w="3188"/>
        <w:gridCol w:w="3193"/>
        <w:gridCol w:w="3193"/>
      </w:tblGrid>
      <w:tr>
        <w:trPr>
          <w:trHeight w:val="408"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2"/>
                <w:sz w:val="18"/>
              </w:rPr>
              <w:t>117,076,729.85</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2"/>
                <w:sz w:val="18"/>
              </w:rPr>
              <w:t>103,327,810.58</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117,076,729.85</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103,327,810.58</w:t>
            </w:r>
          </w:p>
        </w:tc>
      </w:tr>
    </w:tbl>
    <w:p>
      <w:pPr>
        <w:spacing w:line="240" w:lineRule="auto" w:before="3"/>
        <w:rPr>
          <w:rFonts w:ascii="宋体" w:hAnsi="宋体" w:cs="宋体" w:eastAsia="宋体" w:hint="default"/>
          <w:sz w:val="19"/>
          <w:szCs w:val="19"/>
        </w:rPr>
      </w:pPr>
    </w:p>
    <w:p>
      <w:pPr>
        <w:pStyle w:val="Heading4"/>
        <w:spacing w:line="240" w:lineRule="auto"/>
        <w:ind w:left="1013" w:right="0"/>
        <w:jc w:val="left"/>
        <w:rPr>
          <w:b w:val="0"/>
          <w:bCs w:val="0"/>
        </w:rPr>
      </w:pPr>
      <w:bookmarkStart w:name="（1）在建工程情况" w:id="317"/>
      <w:bookmarkEnd w:id="317"/>
      <w:r>
        <w:rPr>
          <w:b w:val="0"/>
          <w:bCs w:val="0"/>
        </w:rPr>
      </w:r>
      <w:r>
        <w:rPr/>
        <w:t>（</w:t>
      </w:r>
      <w:r>
        <w:rPr>
          <w:rFonts w:ascii="宋体" w:hAnsi="宋体" w:cs="宋体" w:eastAsia="宋体" w:hint="default"/>
        </w:rPr>
        <w:t>1</w:t>
      </w:r>
      <w:r>
        <w:rPr/>
        <w:t>）在建工程情况</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998" w:type="dxa"/>
        <w:tblLayout w:type="fixed"/>
        <w:tblCellMar>
          <w:top w:w="0" w:type="dxa"/>
          <w:left w:w="0" w:type="dxa"/>
          <w:bottom w:w="0" w:type="dxa"/>
          <w:right w:w="0" w:type="dxa"/>
        </w:tblCellMar>
        <w:tblLook w:val="01E0"/>
      </w:tblPr>
      <w:tblGrid>
        <w:gridCol w:w="1369"/>
        <w:gridCol w:w="1527"/>
        <w:gridCol w:w="1210"/>
        <w:gridCol w:w="1460"/>
        <w:gridCol w:w="1484"/>
        <w:gridCol w:w="1157"/>
        <w:gridCol w:w="1484"/>
      </w:tblGrid>
      <w:tr>
        <w:trPr>
          <w:trHeight w:val="410" w:hRule="exact"/>
        </w:trPr>
        <w:tc>
          <w:tcPr>
            <w:tcW w:w="1369"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4197" w:type="dxa"/>
            <w:gridSpan w:val="3"/>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25" w:type="dxa"/>
            <w:gridSpan w:val="3"/>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9" w:type="dxa"/>
            <w:vMerge/>
            <w:tcBorders>
              <w:left w:val="single" w:sz="12" w:space="0" w:color="000000"/>
              <w:bottom w:val="single" w:sz="4" w:space="0" w:color="000000"/>
              <w:right w:val="single" w:sz="4" w:space="0" w:color="000000"/>
            </w:tcBorders>
            <w:shd w:val="clear" w:color="auto" w:fill="D2D2D2"/>
          </w:tcPr>
          <w:p>
            <w:pP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6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84"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37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321" w:lineRule="auto" w:before="53"/>
              <w:ind w:left="95" w:right="166"/>
              <w:jc w:val="left"/>
              <w:rPr>
                <w:rFonts w:ascii="宋体" w:hAnsi="宋体" w:cs="宋体" w:eastAsia="宋体" w:hint="default"/>
                <w:sz w:val="18"/>
                <w:szCs w:val="18"/>
              </w:rPr>
            </w:pPr>
            <w:r>
              <w:rPr>
                <w:rFonts w:ascii="宋体" w:hAnsi="宋体" w:cs="宋体" w:eastAsia="宋体" w:hint="default"/>
                <w:sz w:val="18"/>
                <w:szCs w:val="18"/>
              </w:rPr>
              <w:t>生产与中试基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地工程</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50,553,056.51</w:t>
            </w:r>
          </w:p>
        </w:tc>
        <w:tc>
          <w:tcPr>
            <w:tcW w:w="121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50,553,056.51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39,303,276.37</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39,303,276.37</w:t>
            </w:r>
          </w:p>
        </w:tc>
      </w:tr>
      <w:tr>
        <w:trPr>
          <w:trHeight w:val="715"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66"/>
              <w:jc w:val="left"/>
              <w:rPr>
                <w:rFonts w:ascii="宋体" w:hAnsi="宋体" w:cs="宋体" w:eastAsia="宋体" w:hint="default"/>
                <w:sz w:val="18"/>
                <w:szCs w:val="18"/>
              </w:rPr>
            </w:pPr>
            <w:r>
              <w:rPr>
                <w:rFonts w:ascii="宋体" w:hAnsi="宋体" w:cs="宋体" w:eastAsia="宋体" w:hint="default"/>
                <w:sz w:val="18"/>
                <w:szCs w:val="18"/>
              </w:rPr>
              <w:t>办公自动化项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290,920.83</w:t>
            </w:r>
          </w:p>
        </w:tc>
        <w:tc>
          <w:tcPr>
            <w:tcW w:w="121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290,920.83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290,920.83</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290,920.83</w:t>
            </w:r>
          </w:p>
        </w:tc>
      </w:tr>
      <w:tr>
        <w:trPr>
          <w:trHeight w:val="711"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4"/>
              <w:ind w:left="95" w:right="166"/>
              <w:jc w:val="left"/>
              <w:rPr>
                <w:rFonts w:ascii="宋体" w:hAnsi="宋体" w:cs="宋体" w:eastAsia="宋体" w:hint="default"/>
                <w:sz w:val="18"/>
                <w:szCs w:val="18"/>
              </w:rPr>
            </w:pPr>
            <w:r>
              <w:rPr>
                <w:rFonts w:ascii="宋体" w:hAnsi="宋体" w:cs="宋体" w:eastAsia="宋体" w:hint="default"/>
                <w:sz w:val="18"/>
                <w:szCs w:val="18"/>
              </w:rPr>
              <w:t>睿博公司一期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工程</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64,078,644.31</w:t>
            </w:r>
          </w:p>
        </w:tc>
        <w:tc>
          <w:tcPr>
            <w:tcW w:w="121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64,078,644.31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62,201,727.41</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62,201,727.41</w:t>
            </w:r>
          </w:p>
        </w:tc>
      </w:tr>
      <w:tr>
        <w:trPr>
          <w:trHeight w:val="715"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8"/>
              <w:ind w:left="95" w:right="166"/>
              <w:jc w:val="left"/>
              <w:rPr>
                <w:rFonts w:ascii="宋体" w:hAnsi="宋体" w:cs="宋体" w:eastAsia="宋体" w:hint="default"/>
                <w:sz w:val="18"/>
                <w:szCs w:val="18"/>
              </w:rPr>
            </w:pPr>
            <w:r>
              <w:rPr>
                <w:rFonts w:ascii="宋体" w:hAnsi="宋体" w:cs="宋体" w:eastAsia="宋体" w:hint="default"/>
                <w:sz w:val="18"/>
                <w:szCs w:val="18"/>
              </w:rPr>
              <w:t>表箱自能化项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1,885,470.10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1,885,470.10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1,263,247.87</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1,263,247.87</w:t>
            </w:r>
          </w:p>
        </w:tc>
      </w:tr>
      <w:tr>
        <w:trPr>
          <w:trHeight w:val="716"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324" w:lineRule="auto" w:before="53"/>
              <w:ind w:left="95" w:right="166"/>
              <w:jc w:val="left"/>
              <w:rPr>
                <w:rFonts w:ascii="宋体" w:hAnsi="宋体" w:cs="宋体" w:eastAsia="宋体" w:hint="default"/>
                <w:sz w:val="18"/>
                <w:szCs w:val="18"/>
              </w:rPr>
            </w:pPr>
            <w:r>
              <w:rPr>
                <w:rFonts w:ascii="宋体" w:hAnsi="宋体" w:cs="宋体" w:eastAsia="宋体" w:hint="default"/>
                <w:sz w:val="18"/>
                <w:szCs w:val="18"/>
              </w:rPr>
              <w:t>索瑞义乌商品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房（毛坯）</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268,638.10</w:t>
            </w:r>
          </w:p>
        </w:tc>
        <w:tc>
          <w:tcPr>
            <w:tcW w:w="121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268,638.10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268,638.10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268,638.10</w:t>
            </w:r>
          </w:p>
        </w:tc>
      </w:tr>
      <w:tr>
        <w:trPr>
          <w:trHeight w:val="725" w:hRule="exact"/>
        </w:trPr>
        <w:tc>
          <w:tcPr>
            <w:tcW w:w="136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2"/>
                <w:sz w:val="18"/>
              </w:rPr>
              <w:t>117,076,729.85</w:t>
            </w:r>
          </w:p>
        </w:tc>
        <w:tc>
          <w:tcPr>
            <w:tcW w:w="1210" w:type="dxa"/>
            <w:tcBorders>
              <w:top w:val="single" w:sz="4" w:space="0" w:color="000000"/>
              <w:left w:val="single" w:sz="4" w:space="0" w:color="000000"/>
              <w:bottom w:val="single" w:sz="12" w:space="0" w:color="000000"/>
              <w:right w:val="single" w:sz="4" w:space="0" w:color="000000"/>
            </w:tcBorders>
          </w:tcPr>
          <w:p>
            <w:pPr/>
          </w:p>
        </w:tc>
        <w:tc>
          <w:tcPr>
            <w:tcW w:w="14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117,076,729.8</w:t>
            </w:r>
          </w:p>
          <w:p>
            <w:pPr>
              <w:pStyle w:val="TableParagraph"/>
              <w:spacing w:line="240" w:lineRule="auto" w:before="76"/>
              <w:ind w:right="98"/>
              <w:jc w:val="right"/>
              <w:rPr>
                <w:rFonts w:ascii="宋体" w:hAnsi="宋体" w:cs="宋体" w:eastAsia="宋体" w:hint="default"/>
                <w:sz w:val="18"/>
                <w:szCs w:val="18"/>
              </w:rPr>
            </w:pPr>
            <w:r>
              <w:rPr>
                <w:rFonts w:ascii="宋体"/>
                <w:w w:val="101"/>
                <w:sz w:val="18"/>
              </w:rPr>
              <w:t>5</w:t>
            </w:r>
            <w:r>
              <w:rPr>
                <w:rFonts w:ascii="宋体"/>
                <w:sz w:val="18"/>
              </w:rPr>
            </w:r>
          </w:p>
        </w:tc>
        <w:tc>
          <w:tcPr>
            <w:tcW w:w="14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2"/>
                <w:sz w:val="18"/>
              </w:rPr>
              <w:t>103,327,810.58</w:t>
            </w:r>
          </w:p>
        </w:tc>
        <w:tc>
          <w:tcPr>
            <w:tcW w:w="1157" w:type="dxa"/>
            <w:tcBorders>
              <w:top w:val="single" w:sz="4" w:space="0" w:color="000000"/>
              <w:left w:val="single" w:sz="4" w:space="0" w:color="000000"/>
              <w:bottom w:val="single" w:sz="12" w:space="0" w:color="000000"/>
              <w:right w:val="single" w:sz="4" w:space="0" w:color="000000"/>
            </w:tcBorders>
          </w:tcPr>
          <w:p>
            <w:pPr/>
          </w:p>
        </w:tc>
        <w:tc>
          <w:tcPr>
            <w:tcW w:w="148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2"/>
                <w:sz w:val="18"/>
              </w:rPr>
              <w:t>103,327,810.58</w:t>
            </w:r>
          </w:p>
        </w:tc>
      </w:tr>
    </w:tbl>
    <w:p>
      <w:pPr>
        <w:spacing w:line="240" w:lineRule="auto" w:before="3"/>
        <w:rPr>
          <w:rFonts w:ascii="宋体" w:hAnsi="宋体" w:cs="宋体" w:eastAsia="宋体" w:hint="default"/>
          <w:sz w:val="19"/>
          <w:szCs w:val="19"/>
        </w:rPr>
      </w:pPr>
    </w:p>
    <w:p>
      <w:pPr>
        <w:pStyle w:val="Heading4"/>
        <w:spacing w:line="240" w:lineRule="auto"/>
        <w:ind w:left="1013" w:right="0"/>
        <w:jc w:val="left"/>
        <w:rPr>
          <w:b w:val="0"/>
          <w:bCs w:val="0"/>
        </w:rPr>
      </w:pPr>
      <w:bookmarkStart w:name="（2）重要在建工程项目本期变动情况" w:id="318"/>
      <w:bookmarkEnd w:id="318"/>
      <w:r>
        <w:rPr>
          <w:b w:val="0"/>
          <w:bCs w:val="0"/>
        </w:rPr>
      </w:r>
      <w:r>
        <w:rPr/>
        <w:t>（</w:t>
      </w:r>
      <w:r>
        <w:rPr>
          <w:rFonts w:ascii="宋体" w:hAnsi="宋体" w:cs="宋体" w:eastAsia="宋体" w:hint="default"/>
        </w:rPr>
        <w:t>2</w:t>
      </w:r>
      <w:r>
        <w:rPr/>
        <w:t>）重要在建工程项目本期变动情况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1080"/>
        <w:gridCol w:w="1277"/>
        <w:gridCol w:w="802"/>
        <w:gridCol w:w="706"/>
        <w:gridCol w:w="1148"/>
        <w:gridCol w:w="538"/>
        <w:gridCol w:w="1306"/>
        <w:gridCol w:w="768"/>
        <w:gridCol w:w="447"/>
        <w:gridCol w:w="614"/>
        <w:gridCol w:w="994"/>
        <w:gridCol w:w="523"/>
        <w:gridCol w:w="524"/>
      </w:tblGrid>
      <w:tr>
        <w:trPr>
          <w:trHeight w:val="1671" w:hRule="exact"/>
        </w:trPr>
        <w:tc>
          <w:tcPr>
            <w:tcW w:w="1080"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225"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1277"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407" w:right="0"/>
              <w:jc w:val="left"/>
              <w:rPr>
                <w:rFonts w:ascii="宋体" w:hAnsi="宋体" w:cs="宋体" w:eastAsia="宋体" w:hint="default"/>
                <w:sz w:val="15"/>
                <w:szCs w:val="15"/>
              </w:rPr>
            </w:pPr>
            <w:r>
              <w:rPr>
                <w:rFonts w:ascii="宋体" w:hAnsi="宋体" w:cs="宋体" w:eastAsia="宋体" w:hint="default"/>
                <w:sz w:val="15"/>
                <w:szCs w:val="15"/>
              </w:rPr>
              <w:t>预算数</w:t>
            </w:r>
          </w:p>
        </w:tc>
        <w:tc>
          <w:tcPr>
            <w:tcW w:w="802"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81" w:lineRule="auto"/>
              <w:ind w:left="316" w:right="177" w:hanging="149"/>
              <w:jc w:val="left"/>
              <w:rPr>
                <w:rFonts w:ascii="宋体" w:hAnsi="宋体" w:cs="宋体" w:eastAsia="宋体" w:hint="default"/>
                <w:sz w:val="15"/>
                <w:szCs w:val="15"/>
              </w:rPr>
            </w:pPr>
            <w:r>
              <w:rPr>
                <w:rFonts w:ascii="宋体" w:hAnsi="宋体" w:cs="宋体" w:eastAsia="宋体" w:hint="default"/>
                <w:sz w:val="15"/>
                <w:szCs w:val="15"/>
              </w:rPr>
              <w:t>期初余</w:t>
            </w:r>
            <w:r>
              <w:rPr>
                <w:rFonts w:ascii="宋体" w:hAnsi="宋体" w:cs="宋体" w:eastAsia="宋体" w:hint="default"/>
                <w:w w:val="99"/>
                <w:sz w:val="15"/>
                <w:szCs w:val="15"/>
              </w:rPr>
              <w:t> </w:t>
            </w:r>
            <w:r>
              <w:rPr>
                <w:rFonts w:ascii="宋体" w:hAnsi="宋体" w:cs="宋体" w:eastAsia="宋体" w:hint="default"/>
                <w:sz w:val="15"/>
                <w:szCs w:val="15"/>
              </w:rPr>
              <w:t>额</w:t>
            </w:r>
          </w:p>
        </w:tc>
        <w:tc>
          <w:tcPr>
            <w:tcW w:w="706"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81" w:lineRule="auto"/>
              <w:ind w:left="119" w:right="127"/>
              <w:jc w:val="left"/>
              <w:rPr>
                <w:rFonts w:ascii="宋体" w:hAnsi="宋体" w:cs="宋体" w:eastAsia="宋体" w:hint="default"/>
                <w:sz w:val="15"/>
                <w:szCs w:val="15"/>
              </w:rPr>
            </w:pPr>
            <w:r>
              <w:rPr>
                <w:rFonts w:ascii="宋体" w:hAnsi="宋体" w:cs="宋体" w:eastAsia="宋体" w:hint="default"/>
                <w:sz w:val="15"/>
                <w:szCs w:val="15"/>
              </w:rPr>
              <w:t>本期增</w:t>
            </w:r>
            <w:r>
              <w:rPr>
                <w:rFonts w:ascii="宋体" w:hAnsi="宋体" w:cs="宋体" w:eastAsia="宋体" w:hint="default"/>
                <w:w w:val="99"/>
                <w:sz w:val="15"/>
                <w:szCs w:val="15"/>
              </w:rPr>
              <w:t> </w:t>
            </w:r>
            <w:r>
              <w:rPr>
                <w:rFonts w:ascii="宋体" w:hAnsi="宋体" w:cs="宋体" w:eastAsia="宋体" w:hint="default"/>
                <w:sz w:val="15"/>
                <w:szCs w:val="15"/>
              </w:rPr>
              <w:t>加金额</w:t>
            </w:r>
          </w:p>
        </w:tc>
        <w:tc>
          <w:tcPr>
            <w:tcW w:w="1148"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81" w:lineRule="auto"/>
              <w:ind w:left="268" w:right="123" w:hanging="149"/>
              <w:jc w:val="left"/>
              <w:rPr>
                <w:rFonts w:ascii="宋体" w:hAnsi="宋体" w:cs="宋体" w:eastAsia="宋体" w:hint="default"/>
                <w:sz w:val="15"/>
                <w:szCs w:val="15"/>
              </w:rPr>
            </w:pPr>
            <w:r>
              <w:rPr>
                <w:rFonts w:ascii="宋体" w:hAnsi="宋体" w:cs="宋体" w:eastAsia="宋体" w:hint="default"/>
                <w:sz w:val="15"/>
                <w:szCs w:val="15"/>
              </w:rPr>
              <w:t>本期转入固定</w:t>
            </w:r>
            <w:r>
              <w:rPr>
                <w:rFonts w:ascii="宋体" w:hAnsi="宋体" w:cs="宋体" w:eastAsia="宋体" w:hint="default"/>
                <w:w w:val="99"/>
                <w:sz w:val="15"/>
                <w:szCs w:val="15"/>
              </w:rPr>
              <w:t> </w:t>
            </w:r>
            <w:r>
              <w:rPr>
                <w:rFonts w:ascii="宋体" w:hAnsi="宋体" w:cs="宋体" w:eastAsia="宋体" w:hint="default"/>
                <w:sz w:val="15"/>
                <w:szCs w:val="15"/>
              </w:rPr>
              <w:t>资产金额</w:t>
            </w:r>
          </w:p>
        </w:tc>
        <w:tc>
          <w:tcPr>
            <w:tcW w:w="538"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381" w:lineRule="auto"/>
              <w:ind w:left="110" w:right="118"/>
              <w:jc w:val="both"/>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99"/>
                <w:sz w:val="15"/>
                <w:szCs w:val="15"/>
              </w:rPr>
              <w:t> </w:t>
            </w:r>
            <w:r>
              <w:rPr>
                <w:rFonts w:ascii="宋体" w:hAnsi="宋体" w:cs="宋体" w:eastAsia="宋体" w:hint="default"/>
                <w:sz w:val="15"/>
                <w:szCs w:val="15"/>
              </w:rPr>
              <w:t>其他</w:t>
            </w:r>
            <w:r>
              <w:rPr>
                <w:rFonts w:ascii="宋体" w:hAnsi="宋体" w:cs="宋体" w:eastAsia="宋体" w:hint="default"/>
                <w:w w:val="99"/>
                <w:sz w:val="15"/>
                <w:szCs w:val="15"/>
              </w:rPr>
              <w:t> </w:t>
            </w:r>
            <w:r>
              <w:rPr>
                <w:rFonts w:ascii="宋体" w:hAnsi="宋体" w:cs="宋体" w:eastAsia="宋体" w:hint="default"/>
                <w:sz w:val="15"/>
                <w:szCs w:val="15"/>
              </w:rPr>
              <w:t>减少</w:t>
            </w:r>
            <w:r>
              <w:rPr>
                <w:rFonts w:ascii="宋体" w:hAnsi="宋体" w:cs="宋体" w:eastAsia="宋体" w:hint="default"/>
                <w:w w:val="99"/>
                <w:sz w:val="15"/>
                <w:szCs w:val="15"/>
              </w:rPr>
              <w:t> </w:t>
            </w:r>
            <w:r>
              <w:rPr>
                <w:rFonts w:ascii="宋体" w:hAnsi="宋体" w:cs="宋体" w:eastAsia="宋体" w:hint="default"/>
                <w:sz w:val="15"/>
                <w:szCs w:val="15"/>
              </w:rPr>
              <w:t>金额</w:t>
            </w:r>
          </w:p>
        </w:tc>
        <w:tc>
          <w:tcPr>
            <w:tcW w:w="1306"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350"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768"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381" w:lineRule="auto"/>
              <w:ind w:left="153" w:right="156"/>
              <w:jc w:val="both"/>
              <w:rPr>
                <w:rFonts w:ascii="宋体" w:hAnsi="宋体" w:cs="宋体" w:eastAsia="宋体" w:hint="default"/>
                <w:sz w:val="15"/>
                <w:szCs w:val="15"/>
              </w:rPr>
            </w:pPr>
            <w:r>
              <w:rPr>
                <w:rFonts w:ascii="宋体" w:hAnsi="宋体" w:cs="宋体" w:eastAsia="宋体" w:hint="default"/>
                <w:sz w:val="15"/>
                <w:szCs w:val="15"/>
              </w:rPr>
              <w:t>工程累</w:t>
            </w:r>
            <w:r>
              <w:rPr>
                <w:rFonts w:ascii="宋体" w:hAnsi="宋体" w:cs="宋体" w:eastAsia="宋体" w:hint="default"/>
                <w:w w:val="99"/>
                <w:sz w:val="15"/>
                <w:szCs w:val="15"/>
              </w:rPr>
              <w:t> </w:t>
            </w:r>
            <w:r>
              <w:rPr>
                <w:rFonts w:ascii="宋体" w:hAnsi="宋体" w:cs="宋体" w:eastAsia="宋体" w:hint="default"/>
                <w:sz w:val="15"/>
                <w:szCs w:val="15"/>
              </w:rPr>
              <w:t>计投入</w:t>
            </w:r>
            <w:r>
              <w:rPr>
                <w:rFonts w:ascii="宋体" w:hAnsi="宋体" w:cs="宋体" w:eastAsia="宋体" w:hint="default"/>
                <w:w w:val="99"/>
                <w:sz w:val="15"/>
                <w:szCs w:val="15"/>
              </w:rPr>
              <w:t> </w:t>
            </w:r>
            <w:r>
              <w:rPr>
                <w:rFonts w:ascii="宋体" w:hAnsi="宋体" w:cs="宋体" w:eastAsia="宋体" w:hint="default"/>
                <w:sz w:val="15"/>
                <w:szCs w:val="15"/>
              </w:rPr>
              <w:t>占预算</w:t>
            </w:r>
            <w:r>
              <w:rPr>
                <w:rFonts w:ascii="宋体" w:hAnsi="宋体" w:cs="宋体" w:eastAsia="宋体" w:hint="default"/>
                <w:w w:val="99"/>
                <w:sz w:val="15"/>
                <w:szCs w:val="15"/>
              </w:rPr>
              <w:t> </w:t>
            </w:r>
            <w:r>
              <w:rPr>
                <w:rFonts w:ascii="宋体" w:hAnsi="宋体" w:cs="宋体" w:eastAsia="宋体" w:hint="default"/>
                <w:sz w:val="15"/>
                <w:szCs w:val="15"/>
              </w:rPr>
              <w:t>比例</w:t>
            </w:r>
          </w:p>
        </w:tc>
        <w:tc>
          <w:tcPr>
            <w:tcW w:w="447"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381" w:lineRule="auto"/>
              <w:ind w:left="143" w:right="142"/>
              <w:jc w:val="both"/>
              <w:rPr>
                <w:rFonts w:ascii="宋体" w:hAnsi="宋体" w:cs="宋体" w:eastAsia="宋体" w:hint="default"/>
                <w:sz w:val="15"/>
                <w:szCs w:val="15"/>
              </w:rPr>
            </w:pPr>
            <w:r>
              <w:rPr>
                <w:rFonts w:ascii="宋体" w:hAnsi="宋体" w:cs="宋体" w:eastAsia="宋体" w:hint="default"/>
                <w:sz w:val="15"/>
                <w:szCs w:val="15"/>
              </w:rPr>
              <w:t>工</w:t>
            </w:r>
            <w:r>
              <w:rPr>
                <w:rFonts w:ascii="宋体" w:hAnsi="宋体" w:cs="宋体" w:eastAsia="宋体" w:hint="default"/>
                <w:w w:val="99"/>
                <w:sz w:val="15"/>
                <w:szCs w:val="15"/>
              </w:rPr>
              <w:t> </w:t>
            </w:r>
            <w:r>
              <w:rPr>
                <w:rFonts w:ascii="宋体" w:hAnsi="宋体" w:cs="宋体" w:eastAsia="宋体" w:hint="default"/>
                <w:sz w:val="15"/>
                <w:szCs w:val="15"/>
              </w:rPr>
              <w:t>程</w:t>
            </w:r>
            <w:r>
              <w:rPr>
                <w:rFonts w:ascii="宋体" w:hAnsi="宋体" w:cs="宋体" w:eastAsia="宋体" w:hint="default"/>
                <w:w w:val="99"/>
                <w:sz w:val="15"/>
                <w:szCs w:val="15"/>
              </w:rPr>
              <w:t> </w:t>
            </w:r>
            <w:r>
              <w:rPr>
                <w:rFonts w:ascii="宋体" w:hAnsi="宋体" w:cs="宋体" w:eastAsia="宋体" w:hint="default"/>
                <w:sz w:val="15"/>
                <w:szCs w:val="15"/>
              </w:rPr>
              <w:t>进</w:t>
            </w:r>
            <w:r>
              <w:rPr>
                <w:rFonts w:ascii="宋体" w:hAnsi="宋体" w:cs="宋体" w:eastAsia="宋体" w:hint="default"/>
                <w:w w:val="99"/>
                <w:sz w:val="15"/>
                <w:szCs w:val="15"/>
              </w:rPr>
              <w:t> </w:t>
            </w:r>
            <w:r>
              <w:rPr>
                <w:rFonts w:ascii="宋体" w:hAnsi="宋体" w:cs="宋体" w:eastAsia="宋体" w:hint="default"/>
                <w:sz w:val="15"/>
                <w:szCs w:val="15"/>
              </w:rPr>
              <w:t>度</w:t>
            </w:r>
          </w:p>
        </w:tc>
        <w:tc>
          <w:tcPr>
            <w:tcW w:w="614"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381" w:lineRule="auto" w:before="79"/>
              <w:ind w:left="153" w:right="151"/>
              <w:jc w:val="both"/>
              <w:rPr>
                <w:rFonts w:ascii="宋体" w:hAnsi="宋体" w:cs="宋体" w:eastAsia="宋体" w:hint="default"/>
                <w:sz w:val="15"/>
                <w:szCs w:val="15"/>
              </w:rPr>
            </w:pPr>
            <w:r>
              <w:rPr>
                <w:rFonts w:ascii="宋体" w:hAnsi="宋体" w:cs="宋体" w:eastAsia="宋体" w:hint="default"/>
                <w:sz w:val="15"/>
                <w:szCs w:val="15"/>
              </w:rPr>
              <w:t>利息</w:t>
            </w:r>
            <w:r>
              <w:rPr>
                <w:rFonts w:ascii="宋体" w:hAnsi="宋体" w:cs="宋体" w:eastAsia="宋体" w:hint="default"/>
                <w:w w:val="99"/>
                <w:sz w:val="15"/>
                <w:szCs w:val="15"/>
              </w:rPr>
              <w:t> </w:t>
            </w:r>
            <w:r>
              <w:rPr>
                <w:rFonts w:ascii="宋体" w:hAnsi="宋体" w:cs="宋体" w:eastAsia="宋体" w:hint="default"/>
                <w:sz w:val="15"/>
                <w:szCs w:val="15"/>
              </w:rPr>
              <w:t>资本</w:t>
            </w:r>
            <w:r>
              <w:rPr>
                <w:rFonts w:ascii="宋体" w:hAnsi="宋体" w:cs="宋体" w:eastAsia="宋体" w:hint="default"/>
                <w:w w:val="99"/>
                <w:sz w:val="15"/>
                <w:szCs w:val="15"/>
              </w:rPr>
              <w:t> </w:t>
            </w:r>
            <w:r>
              <w:rPr>
                <w:rFonts w:ascii="宋体" w:hAnsi="宋体" w:cs="宋体" w:eastAsia="宋体" w:hint="default"/>
                <w:sz w:val="15"/>
                <w:szCs w:val="15"/>
              </w:rPr>
              <w:t>化累</w:t>
            </w:r>
            <w:r>
              <w:rPr>
                <w:rFonts w:ascii="宋体" w:hAnsi="宋体" w:cs="宋体" w:eastAsia="宋体" w:hint="default"/>
                <w:w w:val="99"/>
                <w:sz w:val="15"/>
                <w:szCs w:val="15"/>
              </w:rPr>
              <w:t> </w:t>
            </w:r>
            <w:r>
              <w:rPr>
                <w:rFonts w:ascii="宋体" w:hAnsi="宋体" w:cs="宋体" w:eastAsia="宋体" w:hint="default"/>
                <w:sz w:val="15"/>
                <w:szCs w:val="15"/>
              </w:rPr>
              <w:t>计金</w:t>
            </w:r>
            <w:r>
              <w:rPr>
                <w:rFonts w:ascii="宋体" w:hAnsi="宋体" w:cs="宋体" w:eastAsia="宋体" w:hint="default"/>
                <w:w w:val="99"/>
                <w:sz w:val="15"/>
                <w:szCs w:val="15"/>
              </w:rPr>
              <w:t> </w:t>
            </w:r>
            <w:r>
              <w:rPr>
                <w:rFonts w:ascii="宋体" w:hAnsi="宋体" w:cs="宋体" w:eastAsia="宋体" w:hint="default"/>
                <w:sz w:val="15"/>
                <w:szCs w:val="15"/>
              </w:rPr>
              <w:t>额</w:t>
            </w:r>
          </w:p>
        </w:tc>
        <w:tc>
          <w:tcPr>
            <w:tcW w:w="994"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381" w:lineRule="auto"/>
              <w:ind w:left="115" w:right="123"/>
              <w:jc w:val="center"/>
              <w:rPr>
                <w:rFonts w:ascii="宋体" w:hAnsi="宋体" w:cs="宋体" w:eastAsia="宋体" w:hint="default"/>
                <w:sz w:val="15"/>
                <w:szCs w:val="15"/>
              </w:rPr>
            </w:pPr>
            <w:r>
              <w:rPr>
                <w:rFonts w:ascii="宋体" w:hAnsi="宋体" w:cs="宋体" w:eastAsia="宋体" w:hint="default"/>
                <w:w w:val="95"/>
                <w:sz w:val="15"/>
                <w:szCs w:val="15"/>
              </w:rPr>
              <w:t>其中：本期</w:t>
            </w:r>
            <w:r>
              <w:rPr>
                <w:rFonts w:ascii="宋体" w:hAnsi="宋体" w:cs="宋体" w:eastAsia="宋体" w:hint="default"/>
                <w:spacing w:val="-46"/>
                <w:w w:val="95"/>
                <w:sz w:val="15"/>
                <w:szCs w:val="15"/>
              </w:rPr>
              <w:t> </w:t>
            </w:r>
            <w:r>
              <w:rPr>
                <w:rFonts w:ascii="宋体" w:hAnsi="宋体" w:cs="宋体" w:eastAsia="宋体" w:hint="default"/>
                <w:w w:val="95"/>
                <w:sz w:val="15"/>
                <w:szCs w:val="15"/>
              </w:rPr>
              <w:t>利息资本化</w:t>
            </w:r>
            <w:r>
              <w:rPr>
                <w:rFonts w:ascii="宋体" w:hAnsi="宋体" w:cs="宋体" w:eastAsia="宋体" w:hint="default"/>
                <w:spacing w:val="-46"/>
                <w:w w:val="95"/>
                <w:sz w:val="15"/>
                <w:szCs w:val="15"/>
              </w:rPr>
              <w:t> </w:t>
            </w:r>
            <w:r>
              <w:rPr>
                <w:rFonts w:ascii="宋体" w:hAnsi="宋体" w:cs="宋体" w:eastAsia="宋体" w:hint="default"/>
                <w:sz w:val="15"/>
                <w:szCs w:val="15"/>
              </w:rPr>
              <w:t>金额</w:t>
            </w:r>
          </w:p>
        </w:tc>
        <w:tc>
          <w:tcPr>
            <w:tcW w:w="523"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381" w:lineRule="auto"/>
              <w:ind w:left="105" w:right="108"/>
              <w:jc w:val="both"/>
              <w:rPr>
                <w:rFonts w:ascii="宋体" w:hAnsi="宋体" w:cs="宋体" w:eastAsia="宋体" w:hint="default"/>
                <w:sz w:val="15"/>
                <w:szCs w:val="15"/>
              </w:rPr>
            </w:pPr>
            <w:r>
              <w:rPr>
                <w:rFonts w:ascii="宋体" w:hAnsi="宋体" w:cs="宋体" w:eastAsia="宋体" w:hint="default"/>
                <w:sz w:val="15"/>
                <w:szCs w:val="15"/>
              </w:rPr>
              <w:t>本期</w:t>
            </w:r>
            <w:r>
              <w:rPr>
                <w:rFonts w:ascii="宋体" w:hAnsi="宋体" w:cs="宋体" w:eastAsia="宋体" w:hint="default"/>
                <w:w w:val="99"/>
                <w:sz w:val="15"/>
                <w:szCs w:val="15"/>
              </w:rPr>
              <w:t> </w:t>
            </w:r>
            <w:r>
              <w:rPr>
                <w:rFonts w:ascii="宋体" w:hAnsi="宋体" w:cs="宋体" w:eastAsia="宋体" w:hint="default"/>
                <w:sz w:val="15"/>
                <w:szCs w:val="15"/>
              </w:rPr>
              <w:t>利息</w:t>
            </w:r>
            <w:r>
              <w:rPr>
                <w:rFonts w:ascii="宋体" w:hAnsi="宋体" w:cs="宋体" w:eastAsia="宋体" w:hint="default"/>
                <w:w w:val="99"/>
                <w:sz w:val="15"/>
                <w:szCs w:val="15"/>
              </w:rPr>
              <w:t> </w:t>
            </w:r>
            <w:r>
              <w:rPr>
                <w:rFonts w:ascii="宋体" w:hAnsi="宋体" w:cs="宋体" w:eastAsia="宋体" w:hint="default"/>
                <w:sz w:val="15"/>
                <w:szCs w:val="15"/>
              </w:rPr>
              <w:t>资本</w:t>
            </w:r>
            <w:r>
              <w:rPr>
                <w:rFonts w:ascii="宋体" w:hAnsi="宋体" w:cs="宋体" w:eastAsia="宋体" w:hint="default"/>
                <w:w w:val="99"/>
                <w:sz w:val="15"/>
                <w:szCs w:val="15"/>
              </w:rPr>
              <w:t> </w:t>
            </w:r>
            <w:r>
              <w:rPr>
                <w:rFonts w:ascii="宋体" w:hAnsi="宋体" w:cs="宋体" w:eastAsia="宋体" w:hint="default"/>
                <w:sz w:val="15"/>
                <w:szCs w:val="15"/>
              </w:rPr>
              <w:t>化率</w:t>
            </w:r>
          </w:p>
        </w:tc>
        <w:tc>
          <w:tcPr>
            <w:tcW w:w="524" w:type="dxa"/>
            <w:tcBorders>
              <w:top w:val="single" w:sz="12" w:space="0" w:color="000000"/>
              <w:left w:val="single" w:sz="4" w:space="0" w:color="000000"/>
              <w:bottom w:val="single" w:sz="12"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81" w:lineRule="auto"/>
              <w:ind w:left="110" w:right="94"/>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w w:val="99"/>
                <w:sz w:val="15"/>
                <w:szCs w:val="15"/>
              </w:rPr>
              <w:t> </w:t>
            </w:r>
            <w:r>
              <w:rPr>
                <w:rFonts w:ascii="宋体" w:hAnsi="宋体" w:cs="宋体" w:eastAsia="宋体" w:hint="default"/>
                <w:sz w:val="15"/>
                <w:szCs w:val="15"/>
              </w:rPr>
              <w:t>来源</w:t>
            </w:r>
          </w:p>
        </w:tc>
      </w:tr>
    </w:tbl>
    <w:p>
      <w:pPr>
        <w:spacing w:after="0" w:line="381" w:lineRule="auto"/>
        <w:jc w:val="left"/>
        <w:rPr>
          <w:rFonts w:ascii="宋体" w:hAnsi="宋体" w:cs="宋体" w:eastAsia="宋体" w:hint="default"/>
          <w:sz w:val="15"/>
          <w:szCs w:val="15"/>
        </w:rPr>
        <w:sectPr>
          <w:pgSz w:w="11910" w:h="16840"/>
          <w:pgMar w:header="871" w:footer="1037" w:top="1040" w:bottom="1220" w:left="120" w:right="0"/>
        </w:sectPr>
      </w:pPr>
    </w:p>
    <w:p>
      <w:pPr>
        <w:spacing w:line="240" w:lineRule="auto" w:before="8"/>
        <w:rPr>
          <w:rFonts w:ascii="宋体" w:hAnsi="宋体" w:cs="宋体" w:eastAsia="宋体"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1080"/>
        <w:gridCol w:w="1277"/>
        <w:gridCol w:w="802"/>
        <w:gridCol w:w="706"/>
        <w:gridCol w:w="1148"/>
        <w:gridCol w:w="538"/>
        <w:gridCol w:w="1306"/>
        <w:gridCol w:w="768"/>
        <w:gridCol w:w="447"/>
        <w:gridCol w:w="614"/>
        <w:gridCol w:w="994"/>
        <w:gridCol w:w="523"/>
        <w:gridCol w:w="524"/>
      </w:tblGrid>
      <w:tr>
        <w:trPr>
          <w:trHeight w:val="1037" w:hRule="exact"/>
        </w:trPr>
        <w:tc>
          <w:tcPr>
            <w:tcW w:w="1080" w:type="dxa"/>
            <w:tcBorders>
              <w:top w:val="single" w:sz="12" w:space="0" w:color="000000"/>
              <w:left w:val="single" w:sz="12" w:space="0" w:color="000000"/>
              <w:bottom w:val="single" w:sz="4" w:space="0" w:color="000000"/>
              <w:right w:val="single" w:sz="4" w:space="0" w:color="000000"/>
            </w:tcBorders>
          </w:tcPr>
          <w:p>
            <w:pPr>
              <w:pStyle w:val="TableParagraph"/>
              <w:spacing w:line="384" w:lineRule="auto" w:before="79"/>
              <w:ind w:left="96" w:right="219"/>
              <w:jc w:val="left"/>
              <w:rPr>
                <w:rFonts w:ascii="宋体" w:hAnsi="宋体" w:cs="宋体" w:eastAsia="宋体" w:hint="default"/>
                <w:sz w:val="15"/>
                <w:szCs w:val="15"/>
              </w:rPr>
            </w:pPr>
            <w:r>
              <w:rPr>
                <w:rFonts w:ascii="宋体" w:hAnsi="宋体" w:cs="宋体" w:eastAsia="宋体" w:hint="default"/>
                <w:sz w:val="15"/>
                <w:szCs w:val="15"/>
              </w:rPr>
              <w:t>生产与中试</w:t>
            </w:r>
            <w:r>
              <w:rPr>
                <w:rFonts w:ascii="宋体" w:hAnsi="宋体" w:cs="宋体" w:eastAsia="宋体" w:hint="default"/>
                <w:w w:val="99"/>
                <w:sz w:val="15"/>
                <w:szCs w:val="15"/>
              </w:rPr>
              <w:t> </w:t>
            </w:r>
            <w:r>
              <w:rPr>
                <w:rFonts w:ascii="宋体" w:hAnsi="宋体" w:cs="宋体" w:eastAsia="宋体" w:hint="default"/>
                <w:sz w:val="15"/>
                <w:szCs w:val="15"/>
              </w:rPr>
              <w:t>基地</w:t>
            </w:r>
            <w:r>
              <w:rPr>
                <w:rFonts w:ascii="宋体" w:hAnsi="宋体" w:cs="宋体" w:eastAsia="宋体" w:hint="default"/>
                <w:sz w:val="15"/>
                <w:szCs w:val="15"/>
              </w:rPr>
              <w:t>/</w:t>
            </w:r>
            <w:r>
              <w:rPr>
                <w:rFonts w:ascii="宋体" w:hAnsi="宋体" w:cs="宋体" w:eastAsia="宋体" w:hint="default"/>
                <w:sz w:val="15"/>
                <w:szCs w:val="15"/>
              </w:rPr>
              <w:t>厂房</w:t>
            </w:r>
            <w:r>
              <w:rPr>
                <w:rFonts w:ascii="宋体" w:hAnsi="宋体" w:cs="宋体" w:eastAsia="宋体" w:hint="default"/>
                <w:w w:val="99"/>
                <w:sz w:val="15"/>
                <w:szCs w:val="15"/>
              </w:rPr>
              <w:t> </w:t>
            </w:r>
            <w:r>
              <w:rPr>
                <w:rFonts w:ascii="宋体" w:hAnsi="宋体" w:cs="宋体" w:eastAsia="宋体" w:hint="default"/>
                <w:sz w:val="15"/>
                <w:szCs w:val="15"/>
              </w:rPr>
              <w:t>一、二</w:t>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5"/>
                <w:szCs w:val="15"/>
              </w:rPr>
            </w:pPr>
            <w:r>
              <w:rPr>
                <w:rFonts w:ascii="宋体"/>
                <w:w w:val="95"/>
                <w:sz w:val="15"/>
              </w:rPr>
              <w:t>50,000,000.00</w:t>
            </w:r>
            <w:r>
              <w:rPr>
                <w:rFonts w:ascii="宋体"/>
                <w:sz w:val="15"/>
              </w:rPr>
            </w:r>
          </w:p>
        </w:tc>
        <w:tc>
          <w:tcPr>
            <w:tcW w:w="8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8" w:right="0"/>
              <w:jc w:val="center"/>
              <w:rPr>
                <w:rFonts w:ascii="宋体" w:hAnsi="宋体" w:cs="宋体" w:eastAsia="宋体" w:hint="default"/>
                <w:sz w:val="15"/>
                <w:szCs w:val="15"/>
              </w:rPr>
            </w:pPr>
            <w:r>
              <w:rPr>
                <w:rFonts w:ascii="宋体"/>
                <w:sz w:val="15"/>
              </w:rPr>
              <w:t>5,602,4</w:t>
            </w:r>
          </w:p>
          <w:p>
            <w:pPr>
              <w:pStyle w:val="TableParagraph"/>
              <w:spacing w:line="240" w:lineRule="auto" w:before="115"/>
              <w:ind w:left="207" w:right="0"/>
              <w:jc w:val="center"/>
              <w:rPr>
                <w:rFonts w:ascii="宋体" w:hAnsi="宋体" w:cs="宋体" w:eastAsia="宋体" w:hint="default"/>
                <w:sz w:val="15"/>
                <w:szCs w:val="15"/>
              </w:rPr>
            </w:pPr>
            <w:r>
              <w:rPr>
                <w:rFonts w:ascii="宋体"/>
                <w:sz w:val="15"/>
              </w:rPr>
              <w:t>94.39</w:t>
            </w:r>
          </w:p>
        </w:tc>
        <w:tc>
          <w:tcPr>
            <w:tcW w:w="706" w:type="dxa"/>
            <w:tcBorders>
              <w:top w:val="single" w:sz="12" w:space="0" w:color="000000"/>
              <w:left w:val="single" w:sz="4" w:space="0" w:color="000000"/>
              <w:bottom w:val="single" w:sz="4" w:space="0" w:color="000000"/>
              <w:right w:val="single" w:sz="4" w:space="0" w:color="000000"/>
            </w:tcBorders>
          </w:tcPr>
          <w:p>
            <w:pPr/>
          </w:p>
        </w:tc>
        <w:tc>
          <w:tcPr>
            <w:tcW w:w="11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5"/>
                <w:szCs w:val="15"/>
              </w:rPr>
            </w:pPr>
            <w:r>
              <w:rPr>
                <w:rFonts w:ascii="宋体"/>
                <w:w w:val="95"/>
                <w:sz w:val="15"/>
              </w:rPr>
              <w:t>5,602,494.39</w:t>
            </w:r>
            <w:r>
              <w:rPr>
                <w:rFonts w:ascii="宋体"/>
                <w:sz w:val="15"/>
              </w:rPr>
            </w:r>
          </w:p>
        </w:tc>
        <w:tc>
          <w:tcPr>
            <w:tcW w:w="538" w:type="dxa"/>
            <w:tcBorders>
              <w:top w:val="single" w:sz="12" w:space="0" w:color="000000"/>
              <w:left w:val="single" w:sz="4" w:space="0" w:color="000000"/>
              <w:bottom w:val="single" w:sz="4" w:space="0" w:color="000000"/>
              <w:right w:val="single" w:sz="4" w:space="0" w:color="000000"/>
            </w:tcBorders>
          </w:tcPr>
          <w:p>
            <w:pPr/>
          </w:p>
        </w:tc>
        <w:tc>
          <w:tcPr>
            <w:tcW w:w="1306" w:type="dxa"/>
            <w:tcBorders>
              <w:top w:val="single" w:sz="12" w:space="0" w:color="000000"/>
              <w:left w:val="single" w:sz="4" w:space="0" w:color="000000"/>
              <w:bottom w:val="single" w:sz="4" w:space="0" w:color="000000"/>
              <w:right w:val="single" w:sz="4" w:space="0" w:color="000000"/>
            </w:tcBorders>
          </w:tcPr>
          <w:p>
            <w:pPr/>
          </w:p>
        </w:tc>
        <w:tc>
          <w:tcPr>
            <w:tcW w:w="7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9"/>
              <w:ind w:left="12" w:right="0"/>
              <w:jc w:val="center"/>
              <w:rPr>
                <w:rFonts w:ascii="Times New Roman" w:hAnsi="Times New Roman" w:cs="Times New Roman" w:eastAsia="Times New Roman" w:hint="default"/>
                <w:sz w:val="15"/>
                <w:szCs w:val="15"/>
              </w:rPr>
            </w:pPr>
            <w:r>
              <w:rPr>
                <w:rFonts w:ascii="Times New Roman"/>
                <w:sz w:val="15"/>
              </w:rPr>
              <w:t>133.58%</w:t>
            </w:r>
          </w:p>
        </w:tc>
        <w:tc>
          <w:tcPr>
            <w:tcW w:w="4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9"/>
              <w:ind w:left="100" w:right="0"/>
              <w:jc w:val="left"/>
              <w:rPr>
                <w:rFonts w:ascii="Times New Roman" w:hAnsi="Times New Roman" w:cs="Times New Roman" w:eastAsia="Times New Roman" w:hint="default"/>
                <w:sz w:val="15"/>
                <w:szCs w:val="15"/>
              </w:rPr>
            </w:pPr>
            <w:r>
              <w:rPr>
                <w:rFonts w:ascii="Times New Roman"/>
                <w:spacing w:val="2"/>
                <w:sz w:val="15"/>
              </w:rPr>
              <w:t>100</w:t>
            </w:r>
            <w:r>
              <w:rPr>
                <w:rFonts w:ascii="Times New Roman"/>
                <w:sz w:val="15"/>
              </w:rPr>
            </w:r>
          </w:p>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14" w:type="dxa"/>
            <w:tcBorders>
              <w:top w:val="single" w:sz="12" w:space="0" w:color="000000"/>
              <w:left w:val="single" w:sz="4" w:space="0" w:color="000000"/>
              <w:bottom w:val="single" w:sz="4" w:space="0" w:color="000000"/>
              <w:right w:val="single" w:sz="4" w:space="0" w:color="000000"/>
            </w:tcBorders>
          </w:tcPr>
          <w:p>
            <w:pPr/>
          </w:p>
        </w:tc>
        <w:tc>
          <w:tcPr>
            <w:tcW w:w="994" w:type="dxa"/>
            <w:tcBorders>
              <w:top w:val="single" w:sz="12" w:space="0" w:color="000000"/>
              <w:left w:val="single" w:sz="4" w:space="0" w:color="000000"/>
              <w:bottom w:val="single" w:sz="4" w:space="0" w:color="000000"/>
              <w:right w:val="single" w:sz="4" w:space="0" w:color="000000"/>
            </w:tcBorders>
          </w:tcPr>
          <w:p>
            <w:pPr/>
          </w:p>
        </w:tc>
        <w:tc>
          <w:tcPr>
            <w:tcW w:w="523" w:type="dxa"/>
            <w:tcBorders>
              <w:top w:val="single" w:sz="12" w:space="0" w:color="000000"/>
              <w:left w:val="single" w:sz="4" w:space="0" w:color="000000"/>
              <w:bottom w:val="single" w:sz="4" w:space="0" w:color="000000"/>
              <w:right w:val="single" w:sz="4" w:space="0" w:color="000000"/>
            </w:tcBorders>
          </w:tcPr>
          <w:p>
            <w:pPr/>
          </w:p>
        </w:tc>
        <w:tc>
          <w:tcPr>
            <w:tcW w:w="52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79"/>
              <w:ind w:left="23" w:right="0"/>
              <w:jc w:val="center"/>
              <w:rPr>
                <w:rFonts w:ascii="宋体" w:hAnsi="宋体" w:cs="宋体" w:eastAsia="宋体" w:hint="default"/>
                <w:sz w:val="15"/>
                <w:szCs w:val="15"/>
              </w:rPr>
            </w:pPr>
            <w:r>
              <w:rPr>
                <w:rFonts w:ascii="宋体" w:hAnsi="宋体" w:cs="宋体" w:eastAsia="宋体" w:hint="default"/>
                <w:sz w:val="15"/>
                <w:szCs w:val="15"/>
              </w:rPr>
              <w:t>募集</w:t>
            </w:r>
          </w:p>
        </w:tc>
      </w:tr>
      <w:tr>
        <w:trPr>
          <w:trHeight w:val="1028" w:hRule="exact"/>
        </w:trPr>
        <w:tc>
          <w:tcPr>
            <w:tcW w:w="1080" w:type="dxa"/>
            <w:tcBorders>
              <w:top w:val="single" w:sz="4" w:space="0" w:color="000000"/>
              <w:left w:val="single" w:sz="12" w:space="0" w:color="000000"/>
              <w:bottom w:val="single" w:sz="4" w:space="0" w:color="000000"/>
              <w:right w:val="single" w:sz="4" w:space="0" w:color="000000"/>
            </w:tcBorders>
          </w:tcPr>
          <w:p>
            <w:pPr>
              <w:pStyle w:val="TableParagraph"/>
              <w:spacing w:line="381" w:lineRule="auto" w:before="80"/>
              <w:ind w:left="96" w:right="143"/>
              <w:jc w:val="left"/>
              <w:rPr>
                <w:rFonts w:ascii="宋体" w:hAnsi="宋体" w:cs="宋体" w:eastAsia="宋体" w:hint="default"/>
                <w:sz w:val="15"/>
                <w:szCs w:val="15"/>
              </w:rPr>
            </w:pPr>
            <w:r>
              <w:rPr>
                <w:rFonts w:ascii="宋体" w:hAnsi="宋体" w:cs="宋体" w:eastAsia="宋体" w:hint="default"/>
                <w:sz w:val="15"/>
                <w:szCs w:val="15"/>
              </w:rPr>
              <w:t>生产与中试</w:t>
            </w:r>
            <w:r>
              <w:rPr>
                <w:rFonts w:ascii="宋体" w:hAnsi="宋体" w:cs="宋体" w:eastAsia="宋体" w:hint="default"/>
                <w:w w:val="99"/>
                <w:sz w:val="15"/>
                <w:szCs w:val="15"/>
              </w:rPr>
              <w:t> </w:t>
            </w:r>
            <w:r>
              <w:rPr>
                <w:rFonts w:ascii="宋体" w:hAnsi="宋体" w:cs="宋体" w:eastAsia="宋体" w:hint="default"/>
                <w:sz w:val="15"/>
                <w:szCs w:val="15"/>
              </w:rPr>
              <w:t>基地</w:t>
            </w:r>
            <w:r>
              <w:rPr>
                <w:rFonts w:ascii="宋体" w:hAnsi="宋体" w:cs="宋体" w:eastAsia="宋体" w:hint="default"/>
                <w:sz w:val="15"/>
                <w:szCs w:val="15"/>
              </w:rPr>
              <w:t>/</w:t>
            </w:r>
            <w:r>
              <w:rPr>
                <w:rFonts w:ascii="宋体" w:hAnsi="宋体" w:cs="宋体" w:eastAsia="宋体" w:hint="default"/>
                <w:sz w:val="15"/>
                <w:szCs w:val="15"/>
              </w:rPr>
              <w:t>检验检</w:t>
            </w:r>
            <w:r>
              <w:rPr>
                <w:rFonts w:ascii="宋体" w:hAnsi="宋体" w:cs="宋体" w:eastAsia="宋体" w:hint="default"/>
                <w:w w:val="99"/>
                <w:sz w:val="15"/>
                <w:szCs w:val="15"/>
              </w:rPr>
              <w:t> </w:t>
            </w:r>
            <w:r>
              <w:rPr>
                <w:rFonts w:ascii="宋体" w:hAnsi="宋体" w:cs="宋体" w:eastAsia="宋体" w:hint="default"/>
                <w:sz w:val="15"/>
                <w:szCs w:val="15"/>
              </w:rPr>
              <w:t>测大楼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5"/>
                <w:szCs w:val="15"/>
              </w:rPr>
            </w:pPr>
            <w:r>
              <w:rPr>
                <w:rFonts w:ascii="宋体"/>
                <w:w w:val="95"/>
                <w:sz w:val="15"/>
              </w:rPr>
              <w:t>28,000,000.00</w:t>
            </w:r>
            <w:r>
              <w:rPr>
                <w:rFonts w:ascii="宋体"/>
                <w:sz w:val="15"/>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5"/>
                <w:szCs w:val="15"/>
              </w:rPr>
            </w:pPr>
            <w:r>
              <w:rPr>
                <w:rFonts w:ascii="宋体"/>
                <w:sz w:val="15"/>
              </w:rPr>
              <w:t>115,196</w:t>
            </w:r>
          </w:p>
          <w:p>
            <w:pPr>
              <w:pStyle w:val="TableParagraph"/>
              <w:spacing w:line="240" w:lineRule="auto" w:before="120"/>
              <w:ind w:left="460" w:right="0"/>
              <w:jc w:val="left"/>
              <w:rPr>
                <w:rFonts w:ascii="宋体" w:hAnsi="宋体" w:cs="宋体" w:eastAsia="宋体" w:hint="default"/>
                <w:sz w:val="15"/>
                <w:szCs w:val="15"/>
              </w:rPr>
            </w:pPr>
            <w:r>
              <w:rPr>
                <w:rFonts w:ascii="宋体"/>
                <w:spacing w:val="2"/>
                <w:sz w:val="15"/>
              </w:rPr>
              <w:t>.58</w:t>
            </w:r>
            <w:r>
              <w:rPr>
                <w:rFonts w:ascii="宋体"/>
                <w:sz w:val="15"/>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4" w:right="0"/>
              <w:jc w:val="center"/>
              <w:rPr>
                <w:rFonts w:ascii="宋体" w:hAnsi="宋体" w:cs="宋体" w:eastAsia="宋体" w:hint="default"/>
                <w:sz w:val="15"/>
                <w:szCs w:val="15"/>
              </w:rPr>
            </w:pPr>
            <w:r>
              <w:rPr>
                <w:rFonts w:ascii="宋体"/>
                <w:sz w:val="15"/>
              </w:rPr>
              <w:t>340,41</w:t>
            </w:r>
          </w:p>
          <w:p>
            <w:pPr>
              <w:pStyle w:val="TableParagraph"/>
              <w:spacing w:line="240" w:lineRule="auto" w:before="120"/>
              <w:ind w:left="198" w:right="0"/>
              <w:jc w:val="center"/>
              <w:rPr>
                <w:rFonts w:ascii="宋体" w:hAnsi="宋体" w:cs="宋体" w:eastAsia="宋体" w:hint="default"/>
                <w:sz w:val="15"/>
                <w:szCs w:val="15"/>
              </w:rPr>
            </w:pPr>
            <w:r>
              <w:rPr>
                <w:rFonts w:ascii="宋体"/>
                <w:sz w:val="15"/>
              </w:rPr>
              <w:t>6.67</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5"/>
                <w:szCs w:val="15"/>
              </w:rPr>
            </w:pPr>
            <w:r>
              <w:rPr>
                <w:rFonts w:ascii="宋体"/>
                <w:w w:val="95"/>
                <w:sz w:val="15"/>
              </w:rPr>
              <w:t>455,613.25</w:t>
            </w:r>
            <w:r>
              <w:rPr>
                <w:rFonts w:ascii="宋体"/>
                <w:sz w:val="15"/>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9" w:right="0"/>
              <w:jc w:val="center"/>
              <w:rPr>
                <w:rFonts w:ascii="Times New Roman" w:hAnsi="Times New Roman" w:cs="Times New Roman" w:eastAsia="Times New Roman" w:hint="default"/>
                <w:sz w:val="15"/>
                <w:szCs w:val="15"/>
              </w:rPr>
            </w:pPr>
            <w:r>
              <w:rPr>
                <w:rFonts w:ascii="Times New Roman"/>
                <w:sz w:val="15"/>
              </w:rPr>
              <w:t>98.76%</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0" w:right="0"/>
              <w:jc w:val="left"/>
              <w:rPr>
                <w:rFonts w:ascii="Times New Roman" w:hAnsi="Times New Roman" w:cs="Times New Roman" w:eastAsia="Times New Roman" w:hint="default"/>
                <w:sz w:val="15"/>
                <w:szCs w:val="15"/>
              </w:rPr>
            </w:pPr>
            <w:r>
              <w:rPr>
                <w:rFonts w:ascii="Times New Roman"/>
                <w:spacing w:val="2"/>
                <w:sz w:val="15"/>
              </w:rPr>
              <w:t>100</w:t>
            </w:r>
            <w:r>
              <w:rPr>
                <w:rFonts w:ascii="Times New Roman"/>
                <w:sz w:val="15"/>
              </w:rPr>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0"/>
              <w:ind w:left="23" w:right="0"/>
              <w:jc w:val="center"/>
              <w:rPr>
                <w:rFonts w:ascii="宋体" w:hAnsi="宋体" w:cs="宋体" w:eastAsia="宋体" w:hint="default"/>
                <w:sz w:val="15"/>
                <w:szCs w:val="15"/>
              </w:rPr>
            </w:pPr>
            <w:r>
              <w:rPr>
                <w:rFonts w:ascii="宋体" w:hAnsi="宋体" w:cs="宋体" w:eastAsia="宋体" w:hint="default"/>
                <w:sz w:val="15"/>
                <w:szCs w:val="15"/>
              </w:rPr>
              <w:t>募集</w:t>
            </w:r>
          </w:p>
        </w:tc>
      </w:tr>
      <w:tr>
        <w:trPr>
          <w:trHeight w:val="1023" w:hRule="exact"/>
        </w:trPr>
        <w:tc>
          <w:tcPr>
            <w:tcW w:w="10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8" w:lineRule="auto"/>
              <w:ind w:left="96" w:right="143"/>
              <w:jc w:val="left"/>
              <w:rPr>
                <w:rFonts w:ascii="宋体" w:hAnsi="宋体" w:cs="宋体" w:eastAsia="宋体" w:hint="default"/>
                <w:sz w:val="15"/>
                <w:szCs w:val="15"/>
              </w:rPr>
            </w:pPr>
            <w:r>
              <w:rPr>
                <w:rFonts w:ascii="宋体" w:hAnsi="宋体" w:cs="宋体" w:eastAsia="宋体" w:hint="default"/>
                <w:sz w:val="15"/>
                <w:szCs w:val="15"/>
              </w:rPr>
              <w:t>生产与中试</w:t>
            </w:r>
            <w:r>
              <w:rPr>
                <w:rFonts w:ascii="宋体" w:hAnsi="宋体" w:cs="宋体" w:eastAsia="宋体" w:hint="default"/>
                <w:w w:val="99"/>
                <w:sz w:val="15"/>
                <w:szCs w:val="15"/>
              </w:rPr>
              <w:t> </w:t>
            </w:r>
            <w:r>
              <w:rPr>
                <w:rFonts w:ascii="宋体" w:hAnsi="宋体" w:cs="宋体" w:eastAsia="宋体" w:hint="default"/>
                <w:sz w:val="15"/>
                <w:szCs w:val="15"/>
              </w:rPr>
              <w:t>基地</w:t>
            </w:r>
            <w:r>
              <w:rPr>
                <w:rFonts w:ascii="宋体" w:hAnsi="宋体" w:cs="宋体" w:eastAsia="宋体" w:hint="default"/>
                <w:sz w:val="15"/>
                <w:szCs w:val="15"/>
              </w:rPr>
              <w:t>/</w:t>
            </w:r>
            <w:r>
              <w:rPr>
                <w:rFonts w:ascii="宋体" w:hAnsi="宋体" w:cs="宋体" w:eastAsia="宋体" w:hint="default"/>
                <w:sz w:val="15"/>
                <w:szCs w:val="15"/>
              </w:rPr>
              <w:t>综合楼</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5"/>
                <w:szCs w:val="15"/>
              </w:rPr>
            </w:pPr>
            <w:r>
              <w:rPr>
                <w:rFonts w:ascii="宋体"/>
                <w:w w:val="95"/>
                <w:sz w:val="15"/>
              </w:rPr>
              <w:t>132,000,000.00</w:t>
            </w:r>
            <w:r>
              <w:rPr>
                <w:rFonts w:ascii="宋体"/>
                <w:sz w:val="15"/>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5"/>
                <w:szCs w:val="15"/>
              </w:rPr>
            </w:pPr>
            <w:r>
              <w:rPr>
                <w:rFonts w:ascii="宋体"/>
                <w:sz w:val="15"/>
              </w:rPr>
              <w:t>10,301,</w:t>
            </w:r>
          </w:p>
          <w:p>
            <w:pPr>
              <w:pStyle w:val="TableParagraph"/>
              <w:spacing w:line="240" w:lineRule="auto" w:before="121"/>
              <w:ind w:left="235" w:right="0"/>
              <w:jc w:val="left"/>
              <w:rPr>
                <w:rFonts w:ascii="宋体" w:hAnsi="宋体" w:cs="宋体" w:eastAsia="宋体" w:hint="default"/>
                <w:sz w:val="15"/>
                <w:szCs w:val="15"/>
              </w:rPr>
            </w:pPr>
            <w:r>
              <w:rPr>
                <w:rFonts w:ascii="宋体"/>
                <w:sz w:val="15"/>
              </w:rPr>
              <w:t>710.62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3" w:right="0"/>
              <w:jc w:val="left"/>
              <w:rPr>
                <w:rFonts w:ascii="宋体" w:hAnsi="宋体" w:cs="宋体" w:eastAsia="宋体" w:hint="default"/>
                <w:sz w:val="15"/>
                <w:szCs w:val="15"/>
              </w:rPr>
            </w:pPr>
            <w:r>
              <w:rPr>
                <w:rFonts w:ascii="宋体"/>
                <w:sz w:val="15"/>
              </w:rPr>
              <w:t>1,252,</w:t>
            </w:r>
          </w:p>
          <w:p>
            <w:pPr>
              <w:pStyle w:val="TableParagraph"/>
              <w:spacing w:line="240" w:lineRule="auto" w:before="121"/>
              <w:ind w:left="143" w:right="0"/>
              <w:jc w:val="left"/>
              <w:rPr>
                <w:rFonts w:ascii="宋体" w:hAnsi="宋体" w:cs="宋体" w:eastAsia="宋体" w:hint="default"/>
                <w:sz w:val="15"/>
                <w:szCs w:val="15"/>
              </w:rPr>
            </w:pPr>
            <w:r>
              <w:rPr>
                <w:rFonts w:ascii="宋体"/>
                <w:sz w:val="15"/>
              </w:rPr>
              <w:t>976.54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5"/>
                <w:szCs w:val="15"/>
              </w:rPr>
            </w:pPr>
            <w:r>
              <w:rPr>
                <w:rFonts w:ascii="宋体"/>
                <w:w w:val="95"/>
                <w:sz w:val="15"/>
              </w:rPr>
              <w:t>150,232.48</w:t>
            </w:r>
            <w:r>
              <w:rPr>
                <w:rFonts w:ascii="宋体"/>
                <w:sz w:val="15"/>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5"/>
                <w:szCs w:val="15"/>
              </w:rPr>
            </w:pPr>
            <w:r>
              <w:rPr>
                <w:rFonts w:ascii="宋体"/>
                <w:w w:val="95"/>
                <w:sz w:val="15"/>
              </w:rPr>
              <w:t>11,404,454.68</w:t>
            </w:r>
            <w:r>
              <w:rPr>
                <w:rFonts w:ascii="宋体"/>
                <w:sz w:val="15"/>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2" w:right="0"/>
              <w:jc w:val="center"/>
              <w:rPr>
                <w:rFonts w:ascii="Times New Roman" w:hAnsi="Times New Roman" w:cs="Times New Roman" w:eastAsia="Times New Roman" w:hint="default"/>
                <w:sz w:val="15"/>
                <w:szCs w:val="15"/>
              </w:rPr>
            </w:pPr>
            <w:r>
              <w:rPr>
                <w:rFonts w:ascii="Times New Roman"/>
                <w:sz w:val="15"/>
              </w:rPr>
              <w:t>160.75%</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0" w:right="0"/>
              <w:jc w:val="left"/>
              <w:rPr>
                <w:rFonts w:ascii="Times New Roman" w:hAnsi="Times New Roman" w:cs="Times New Roman" w:eastAsia="Times New Roman" w:hint="default"/>
                <w:sz w:val="15"/>
                <w:szCs w:val="15"/>
              </w:rPr>
            </w:pPr>
            <w:r>
              <w:rPr>
                <w:rFonts w:ascii="Times New Roman"/>
                <w:spacing w:val="2"/>
                <w:sz w:val="15"/>
              </w:rPr>
              <w:t>100</w:t>
            </w:r>
            <w:r>
              <w:rPr>
                <w:rFonts w:ascii="Times New Roman"/>
                <w:sz w:val="15"/>
              </w:rPr>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12" w:space="0" w:color="000000"/>
            </w:tcBorders>
          </w:tcPr>
          <w:p>
            <w:pPr>
              <w:pStyle w:val="TableParagraph"/>
              <w:spacing w:line="381" w:lineRule="auto" w:before="79"/>
              <w:ind w:left="115" w:right="89"/>
              <w:jc w:val="right"/>
              <w:rPr>
                <w:rFonts w:ascii="宋体" w:hAnsi="宋体" w:cs="宋体" w:eastAsia="宋体" w:hint="default"/>
                <w:sz w:val="15"/>
                <w:szCs w:val="15"/>
              </w:rPr>
            </w:pPr>
            <w:r>
              <w:rPr>
                <w:rFonts w:ascii="宋体" w:hAnsi="宋体" w:cs="宋体" w:eastAsia="宋体" w:hint="default"/>
                <w:w w:val="95"/>
                <w:sz w:val="15"/>
                <w:szCs w:val="15"/>
              </w:rPr>
              <w:t>募集</w:t>
            </w:r>
            <w:r>
              <w:rPr>
                <w:rFonts w:ascii="宋体" w:hAnsi="宋体" w:cs="宋体" w:eastAsia="宋体" w:hint="default"/>
                <w:w w:val="99"/>
                <w:sz w:val="15"/>
                <w:szCs w:val="15"/>
              </w:rPr>
              <w:t> </w:t>
            </w:r>
            <w:r>
              <w:rPr>
                <w:rFonts w:ascii="宋体" w:hAnsi="宋体" w:cs="宋体" w:eastAsia="宋体" w:hint="default"/>
                <w:w w:val="95"/>
                <w:sz w:val="15"/>
                <w:szCs w:val="15"/>
              </w:rPr>
              <w:t>及自</w:t>
            </w:r>
            <w:r>
              <w:rPr>
                <w:rFonts w:ascii="宋体" w:hAnsi="宋体" w:cs="宋体" w:eastAsia="宋体" w:hint="default"/>
                <w:w w:val="99"/>
                <w:sz w:val="15"/>
                <w:szCs w:val="15"/>
              </w:rPr>
              <w:t> </w:t>
            </w:r>
            <w:r>
              <w:rPr>
                <w:rFonts w:ascii="宋体" w:hAnsi="宋体" w:cs="宋体" w:eastAsia="宋体" w:hint="default"/>
                <w:w w:val="95"/>
                <w:sz w:val="15"/>
                <w:szCs w:val="15"/>
              </w:rPr>
              <w:t>筹</w:t>
            </w:r>
            <w:r>
              <w:rPr>
                <w:rFonts w:ascii="宋体" w:hAnsi="宋体" w:cs="宋体" w:eastAsia="宋体" w:hint="default"/>
                <w:sz w:val="15"/>
                <w:szCs w:val="15"/>
              </w:rPr>
            </w:r>
          </w:p>
        </w:tc>
      </w:tr>
      <w:tr>
        <w:trPr>
          <w:trHeight w:val="1027" w:hRule="exact"/>
        </w:trPr>
        <w:tc>
          <w:tcPr>
            <w:tcW w:w="1080" w:type="dxa"/>
            <w:tcBorders>
              <w:top w:val="single" w:sz="4" w:space="0" w:color="000000"/>
              <w:left w:val="single" w:sz="12" w:space="0" w:color="000000"/>
              <w:bottom w:val="single" w:sz="4" w:space="0" w:color="000000"/>
              <w:right w:val="single" w:sz="4" w:space="0" w:color="000000"/>
            </w:tcBorders>
          </w:tcPr>
          <w:p>
            <w:pPr>
              <w:pStyle w:val="TableParagraph"/>
              <w:spacing w:line="384" w:lineRule="auto" w:before="79"/>
              <w:ind w:left="96" w:right="143"/>
              <w:jc w:val="left"/>
              <w:rPr>
                <w:rFonts w:ascii="宋体" w:hAnsi="宋体" w:cs="宋体" w:eastAsia="宋体" w:hint="default"/>
                <w:sz w:val="15"/>
                <w:szCs w:val="15"/>
              </w:rPr>
            </w:pPr>
            <w:r>
              <w:rPr>
                <w:rFonts w:ascii="宋体" w:hAnsi="宋体" w:cs="宋体" w:eastAsia="宋体" w:hint="default"/>
                <w:sz w:val="15"/>
                <w:szCs w:val="15"/>
              </w:rPr>
              <w:t>生产与中试</w:t>
            </w:r>
            <w:r>
              <w:rPr>
                <w:rFonts w:ascii="宋体" w:hAnsi="宋体" w:cs="宋体" w:eastAsia="宋体" w:hint="default"/>
                <w:w w:val="99"/>
                <w:sz w:val="15"/>
                <w:szCs w:val="15"/>
              </w:rPr>
              <w:t> </w:t>
            </w:r>
            <w:r>
              <w:rPr>
                <w:rFonts w:ascii="宋体" w:hAnsi="宋体" w:cs="宋体" w:eastAsia="宋体" w:hint="default"/>
                <w:sz w:val="15"/>
                <w:szCs w:val="15"/>
              </w:rPr>
              <w:t>基地</w:t>
            </w:r>
            <w:r>
              <w:rPr>
                <w:rFonts w:ascii="宋体" w:hAnsi="宋体" w:cs="宋体" w:eastAsia="宋体" w:hint="default"/>
                <w:sz w:val="15"/>
                <w:szCs w:val="15"/>
              </w:rPr>
              <w:t>/</w:t>
            </w:r>
            <w:r>
              <w:rPr>
                <w:rFonts w:ascii="宋体" w:hAnsi="宋体" w:cs="宋体" w:eastAsia="宋体" w:hint="default"/>
                <w:sz w:val="15"/>
                <w:szCs w:val="15"/>
              </w:rPr>
              <w:t>生产厂</w:t>
            </w:r>
            <w:r>
              <w:rPr>
                <w:rFonts w:ascii="宋体" w:hAnsi="宋体" w:cs="宋体" w:eastAsia="宋体" w:hint="default"/>
                <w:w w:val="99"/>
                <w:sz w:val="15"/>
                <w:szCs w:val="15"/>
              </w:rPr>
              <w:t> </w:t>
            </w:r>
            <w:r>
              <w:rPr>
                <w:rFonts w:ascii="宋体" w:hAnsi="宋体" w:cs="宋体" w:eastAsia="宋体" w:hint="default"/>
                <w:sz w:val="15"/>
                <w:szCs w:val="15"/>
              </w:rPr>
              <w:t>房三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5"/>
                <w:szCs w:val="15"/>
              </w:rPr>
            </w:pPr>
            <w:r>
              <w:rPr>
                <w:rFonts w:ascii="宋体"/>
                <w:w w:val="95"/>
                <w:sz w:val="15"/>
              </w:rPr>
              <w:t>39,800,000.00</w:t>
            </w:r>
            <w:r>
              <w:rPr>
                <w:rFonts w:ascii="宋体"/>
                <w:sz w:val="15"/>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3" w:right="0"/>
              <w:jc w:val="left"/>
              <w:rPr>
                <w:rFonts w:ascii="宋体" w:hAnsi="宋体" w:cs="宋体" w:eastAsia="宋体" w:hint="default"/>
                <w:sz w:val="15"/>
                <w:szCs w:val="15"/>
              </w:rPr>
            </w:pPr>
            <w:r>
              <w:rPr>
                <w:rFonts w:ascii="宋体"/>
                <w:sz w:val="15"/>
              </w:rPr>
              <w:t>23,283,</w:t>
            </w:r>
          </w:p>
          <w:p>
            <w:pPr>
              <w:pStyle w:val="TableParagraph"/>
              <w:spacing w:line="240" w:lineRule="auto" w:before="115"/>
              <w:ind w:left="235" w:right="0"/>
              <w:jc w:val="left"/>
              <w:rPr>
                <w:rFonts w:ascii="宋体" w:hAnsi="宋体" w:cs="宋体" w:eastAsia="宋体" w:hint="default"/>
                <w:sz w:val="15"/>
                <w:szCs w:val="15"/>
              </w:rPr>
            </w:pPr>
            <w:r>
              <w:rPr>
                <w:rFonts w:ascii="宋体"/>
                <w:sz w:val="15"/>
              </w:rPr>
              <w:t>874.78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97"/>
              <w:jc w:val="right"/>
              <w:rPr>
                <w:rFonts w:ascii="宋体" w:hAnsi="宋体" w:cs="宋体" w:eastAsia="宋体" w:hint="default"/>
                <w:sz w:val="15"/>
                <w:szCs w:val="15"/>
              </w:rPr>
            </w:pPr>
            <w:r>
              <w:rPr>
                <w:rFonts w:ascii="宋体"/>
                <w:sz w:val="15"/>
              </w:rPr>
              <w:t>15,409</w:t>
            </w:r>
          </w:p>
          <w:p>
            <w:pPr>
              <w:pStyle w:val="TableParagraph"/>
              <w:spacing w:line="240" w:lineRule="auto" w:before="115"/>
              <w:ind w:right="97"/>
              <w:jc w:val="right"/>
              <w:rPr>
                <w:rFonts w:ascii="宋体" w:hAnsi="宋体" w:cs="宋体" w:eastAsia="宋体" w:hint="default"/>
                <w:sz w:val="15"/>
                <w:szCs w:val="15"/>
              </w:rPr>
            </w:pPr>
            <w:r>
              <w:rPr>
                <w:rFonts w:ascii="宋体"/>
                <w:sz w:val="15"/>
              </w:rPr>
              <w:t>,113.8</w:t>
            </w:r>
          </w:p>
          <w:p>
            <w:pPr>
              <w:pStyle w:val="TableParagraph"/>
              <w:spacing w:line="240" w:lineRule="auto" w:before="120"/>
              <w:ind w:right="101"/>
              <w:jc w:val="right"/>
              <w:rPr>
                <w:rFonts w:ascii="宋体" w:hAnsi="宋体" w:cs="宋体" w:eastAsia="宋体" w:hint="default"/>
                <w:sz w:val="15"/>
                <w:szCs w:val="15"/>
              </w:rPr>
            </w:pPr>
            <w:r>
              <w:rPr>
                <w:rFonts w:ascii="宋体"/>
                <w:w w:val="99"/>
                <w:sz w:val="15"/>
              </w:rPr>
              <w:t>0</w:t>
            </w:r>
            <w:r>
              <w:rPr>
                <w:rFonts w:ascii="宋体"/>
                <w:sz w:val="15"/>
              </w:rPr>
            </w:r>
          </w:p>
        </w:tc>
        <w:tc>
          <w:tcPr>
            <w:tcW w:w="114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5"/>
                <w:szCs w:val="15"/>
              </w:rPr>
            </w:pPr>
            <w:r>
              <w:rPr>
                <w:rFonts w:ascii="宋体"/>
                <w:w w:val="95"/>
                <w:sz w:val="15"/>
              </w:rPr>
              <w:t>38,692,988.58</w:t>
            </w:r>
            <w:r>
              <w:rPr>
                <w:rFonts w:ascii="宋体"/>
                <w:sz w:val="15"/>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13" w:right="0"/>
              <w:jc w:val="center"/>
              <w:rPr>
                <w:rFonts w:ascii="Times New Roman" w:hAnsi="Times New Roman" w:cs="Times New Roman" w:eastAsia="Times New Roman" w:hint="default"/>
                <w:sz w:val="15"/>
                <w:szCs w:val="15"/>
              </w:rPr>
            </w:pPr>
            <w:r>
              <w:rPr>
                <w:rFonts w:ascii="Times New Roman"/>
                <w:sz w:val="15"/>
              </w:rPr>
              <w:t>97.22</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0" w:right="0"/>
              <w:jc w:val="left"/>
              <w:rPr>
                <w:rFonts w:ascii="Times New Roman" w:hAnsi="Times New Roman" w:cs="Times New Roman" w:eastAsia="Times New Roman" w:hint="default"/>
                <w:sz w:val="15"/>
                <w:szCs w:val="15"/>
              </w:rPr>
            </w:pPr>
            <w:r>
              <w:rPr>
                <w:rFonts w:ascii="Times New Roman"/>
                <w:spacing w:val="2"/>
                <w:sz w:val="15"/>
              </w:rPr>
              <w:t>97.</w:t>
            </w:r>
            <w:r>
              <w:rPr>
                <w:rFonts w:ascii="Times New Roman"/>
                <w:sz w:val="15"/>
              </w:rPr>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sz w:val="15"/>
              </w:rPr>
              <w:t>22</w:t>
            </w:r>
          </w:p>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5"/>
              <w:jc w:val="right"/>
              <w:rPr>
                <w:rFonts w:ascii="Times New Roman" w:hAnsi="Times New Roman" w:cs="Times New Roman" w:eastAsia="Times New Roman" w:hint="default"/>
                <w:sz w:val="15"/>
                <w:szCs w:val="15"/>
              </w:rPr>
            </w:pPr>
            <w:r>
              <w:rPr>
                <w:rFonts w:ascii="Times New Roman"/>
                <w:sz w:val="15"/>
              </w:rPr>
              <w:t>4,242,</w:t>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w w:val="95"/>
                <w:sz w:val="15"/>
              </w:rPr>
              <w:t>782.0</w:t>
            </w:r>
            <w:r>
              <w:rPr>
                <w:rFonts w:ascii="Times New Roman"/>
                <w:sz w:val="15"/>
              </w:rPr>
            </w:r>
          </w:p>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5"/>
                <w:szCs w:val="15"/>
              </w:rPr>
            </w:pPr>
            <w:r>
              <w:rPr>
                <w:rFonts w:ascii="Times New Roman"/>
                <w:w w:val="95"/>
                <w:sz w:val="15"/>
              </w:rPr>
              <w:t>2,121,391.0</w:t>
            </w:r>
            <w:r>
              <w:rPr>
                <w:rFonts w:ascii="Times New Roman"/>
                <w:sz w:val="15"/>
              </w:rPr>
            </w:r>
          </w:p>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w w:val="99"/>
                <w:sz w:val="15"/>
              </w:rPr>
              <w:t>0</w:t>
            </w:r>
            <w:r>
              <w:rPr>
                <w:rFonts w:ascii="Times New Roman"/>
                <w:sz w:val="15"/>
              </w:rPr>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1" w:right="0"/>
              <w:jc w:val="center"/>
              <w:rPr>
                <w:rFonts w:ascii="Times New Roman" w:hAnsi="Times New Roman" w:cs="Times New Roman" w:eastAsia="Times New Roman" w:hint="default"/>
                <w:sz w:val="15"/>
                <w:szCs w:val="15"/>
              </w:rPr>
            </w:pPr>
            <w:r>
              <w:rPr>
                <w:rFonts w:ascii="Times New Roman"/>
                <w:spacing w:val="2"/>
                <w:sz w:val="15"/>
              </w:rPr>
              <w:t>100</w:t>
            </w:r>
            <w:r>
              <w:rPr>
                <w:rFonts w:ascii="Times New Roman"/>
                <w:sz w:val="15"/>
              </w:rPr>
            </w:r>
          </w:p>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left="176" w:right="0"/>
              <w:jc w:val="center"/>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524" w:type="dxa"/>
            <w:tcBorders>
              <w:top w:val="single" w:sz="4" w:space="0" w:color="000000"/>
              <w:left w:val="single" w:sz="4" w:space="0" w:color="000000"/>
              <w:bottom w:val="single" w:sz="4" w:space="0" w:color="000000"/>
              <w:right w:val="single" w:sz="12" w:space="0" w:color="000000"/>
            </w:tcBorders>
          </w:tcPr>
          <w:p>
            <w:pPr>
              <w:pStyle w:val="TableParagraph"/>
              <w:spacing w:line="384" w:lineRule="auto" w:before="79"/>
              <w:ind w:left="115" w:right="89"/>
              <w:jc w:val="right"/>
              <w:rPr>
                <w:rFonts w:ascii="宋体" w:hAnsi="宋体" w:cs="宋体" w:eastAsia="宋体" w:hint="default"/>
                <w:sz w:val="15"/>
                <w:szCs w:val="15"/>
              </w:rPr>
            </w:pPr>
            <w:r>
              <w:rPr>
                <w:rFonts w:ascii="宋体" w:hAnsi="宋体" w:cs="宋体" w:eastAsia="宋体" w:hint="default"/>
                <w:w w:val="95"/>
                <w:sz w:val="15"/>
                <w:szCs w:val="15"/>
              </w:rPr>
              <w:t>募集</w:t>
            </w:r>
            <w:r>
              <w:rPr>
                <w:rFonts w:ascii="宋体" w:hAnsi="宋体" w:cs="宋体" w:eastAsia="宋体" w:hint="default"/>
                <w:w w:val="99"/>
                <w:sz w:val="15"/>
                <w:szCs w:val="15"/>
              </w:rPr>
              <w:t> </w:t>
            </w:r>
            <w:r>
              <w:rPr>
                <w:rFonts w:ascii="宋体" w:hAnsi="宋体" w:cs="宋体" w:eastAsia="宋体" w:hint="default"/>
                <w:w w:val="95"/>
                <w:sz w:val="15"/>
                <w:szCs w:val="15"/>
              </w:rPr>
              <w:t>及自</w:t>
            </w:r>
            <w:r>
              <w:rPr>
                <w:rFonts w:ascii="宋体" w:hAnsi="宋体" w:cs="宋体" w:eastAsia="宋体" w:hint="default"/>
                <w:w w:val="99"/>
                <w:sz w:val="15"/>
                <w:szCs w:val="15"/>
              </w:rPr>
              <w:t> </w:t>
            </w:r>
            <w:r>
              <w:rPr>
                <w:rFonts w:ascii="宋体" w:hAnsi="宋体" w:cs="宋体" w:eastAsia="宋体" w:hint="default"/>
                <w:w w:val="95"/>
                <w:sz w:val="15"/>
                <w:szCs w:val="15"/>
              </w:rPr>
              <w:t>筹</w:t>
            </w:r>
            <w:r>
              <w:rPr>
                <w:rFonts w:ascii="宋体" w:hAnsi="宋体" w:cs="宋体" w:eastAsia="宋体" w:hint="default"/>
                <w:sz w:val="15"/>
                <w:szCs w:val="15"/>
              </w:rPr>
            </w:r>
          </w:p>
        </w:tc>
      </w:tr>
      <w:tr>
        <w:trPr>
          <w:trHeight w:val="716" w:hRule="exact"/>
        </w:trPr>
        <w:tc>
          <w:tcPr>
            <w:tcW w:w="1080" w:type="dxa"/>
            <w:tcBorders>
              <w:top w:val="single" w:sz="4" w:space="0" w:color="000000"/>
              <w:left w:val="single" w:sz="12" w:space="0" w:color="000000"/>
              <w:bottom w:val="single" w:sz="4" w:space="0" w:color="000000"/>
              <w:right w:val="single" w:sz="4" w:space="0" w:color="000000"/>
            </w:tcBorders>
          </w:tcPr>
          <w:p>
            <w:pPr>
              <w:pStyle w:val="TableParagraph"/>
              <w:spacing w:line="388" w:lineRule="auto" w:before="79"/>
              <w:ind w:left="96" w:right="219"/>
              <w:jc w:val="left"/>
              <w:rPr>
                <w:rFonts w:ascii="宋体" w:hAnsi="宋体" w:cs="宋体" w:eastAsia="宋体" w:hint="default"/>
                <w:sz w:val="15"/>
                <w:szCs w:val="15"/>
              </w:rPr>
            </w:pPr>
            <w:r>
              <w:rPr>
                <w:rFonts w:ascii="宋体" w:hAnsi="宋体" w:cs="宋体" w:eastAsia="宋体" w:hint="default"/>
                <w:sz w:val="15"/>
                <w:szCs w:val="15"/>
              </w:rPr>
              <w:t>表箱自能化</w:t>
            </w:r>
            <w:r>
              <w:rPr>
                <w:rFonts w:ascii="宋体" w:hAnsi="宋体" w:cs="宋体" w:eastAsia="宋体" w:hint="default"/>
                <w:w w:val="99"/>
                <w:sz w:val="15"/>
                <w:szCs w:val="15"/>
              </w:rPr>
              <w:t> </w:t>
            </w:r>
            <w:r>
              <w:rPr>
                <w:rFonts w:ascii="宋体" w:hAnsi="宋体" w:cs="宋体" w:eastAsia="宋体" w:hint="default"/>
                <w:sz w:val="15"/>
                <w:szCs w:val="15"/>
              </w:rPr>
              <w:t>项目</w:t>
            </w:r>
          </w:p>
        </w:tc>
        <w:tc>
          <w:tcPr>
            <w:tcW w:w="127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58" w:right="0"/>
              <w:jc w:val="center"/>
              <w:rPr>
                <w:rFonts w:ascii="宋体" w:hAnsi="宋体" w:cs="宋体" w:eastAsia="宋体" w:hint="default"/>
                <w:sz w:val="15"/>
                <w:szCs w:val="15"/>
              </w:rPr>
            </w:pPr>
            <w:r>
              <w:rPr>
                <w:rFonts w:ascii="宋体"/>
                <w:sz w:val="15"/>
              </w:rPr>
              <w:t>1,263,2</w:t>
            </w:r>
          </w:p>
          <w:p>
            <w:pPr>
              <w:pStyle w:val="TableParagraph"/>
              <w:spacing w:line="240" w:lineRule="auto" w:before="121"/>
              <w:ind w:left="207" w:right="0"/>
              <w:jc w:val="center"/>
              <w:rPr>
                <w:rFonts w:ascii="宋体" w:hAnsi="宋体" w:cs="宋体" w:eastAsia="宋体" w:hint="default"/>
                <w:sz w:val="15"/>
                <w:szCs w:val="15"/>
              </w:rPr>
            </w:pPr>
            <w:r>
              <w:rPr>
                <w:rFonts w:ascii="宋体"/>
                <w:sz w:val="15"/>
              </w:rPr>
              <w:t>47.87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4" w:right="0"/>
              <w:jc w:val="center"/>
              <w:rPr>
                <w:rFonts w:ascii="宋体" w:hAnsi="宋体" w:cs="宋体" w:eastAsia="宋体" w:hint="default"/>
                <w:sz w:val="15"/>
                <w:szCs w:val="15"/>
              </w:rPr>
            </w:pPr>
            <w:r>
              <w:rPr>
                <w:rFonts w:ascii="宋体"/>
                <w:sz w:val="15"/>
              </w:rPr>
              <w:t>800,00</w:t>
            </w:r>
          </w:p>
          <w:p>
            <w:pPr>
              <w:pStyle w:val="TableParagraph"/>
              <w:spacing w:line="240" w:lineRule="auto" w:before="121"/>
              <w:ind w:left="198" w:right="0"/>
              <w:jc w:val="center"/>
              <w:rPr>
                <w:rFonts w:ascii="宋体" w:hAnsi="宋体" w:cs="宋体" w:eastAsia="宋体" w:hint="default"/>
                <w:sz w:val="15"/>
                <w:szCs w:val="15"/>
              </w:rPr>
            </w:pPr>
            <w:r>
              <w:rPr>
                <w:rFonts w:ascii="宋体"/>
                <w:sz w:val="15"/>
              </w:rPr>
              <w:t>0.00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5"/>
                <w:szCs w:val="15"/>
              </w:rPr>
            </w:pPr>
            <w:r>
              <w:rPr>
                <w:rFonts w:ascii="宋体"/>
                <w:w w:val="95"/>
                <w:sz w:val="15"/>
              </w:rPr>
              <w:t>177,777.77</w:t>
            </w:r>
            <w:r>
              <w:rPr>
                <w:rFonts w:ascii="宋体"/>
                <w:sz w:val="15"/>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5"/>
                <w:szCs w:val="15"/>
              </w:rPr>
            </w:pPr>
            <w:r>
              <w:rPr>
                <w:rFonts w:ascii="宋体"/>
                <w:w w:val="95"/>
                <w:sz w:val="15"/>
              </w:rPr>
              <w:t>1,885,470.10</w:t>
            </w:r>
            <w:r>
              <w:rPr>
                <w:rFonts w:ascii="宋体"/>
                <w:sz w:val="15"/>
              </w:rPr>
            </w:r>
          </w:p>
        </w:tc>
        <w:tc>
          <w:tcPr>
            <w:tcW w:w="768"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9"/>
              <w:ind w:left="23" w:right="0"/>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1027" w:hRule="exact"/>
        </w:trPr>
        <w:tc>
          <w:tcPr>
            <w:tcW w:w="108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86" w:lineRule="auto"/>
              <w:ind w:left="96" w:right="219"/>
              <w:jc w:val="left"/>
              <w:rPr>
                <w:rFonts w:ascii="宋体" w:hAnsi="宋体" w:cs="宋体" w:eastAsia="宋体" w:hint="default"/>
                <w:sz w:val="15"/>
                <w:szCs w:val="15"/>
              </w:rPr>
            </w:pPr>
            <w:r>
              <w:rPr>
                <w:rFonts w:ascii="宋体" w:hAnsi="宋体" w:cs="宋体" w:eastAsia="宋体" w:hint="default"/>
                <w:sz w:val="15"/>
                <w:szCs w:val="15"/>
              </w:rPr>
              <w:t>睿博公司一</w:t>
            </w:r>
            <w:r>
              <w:rPr>
                <w:rFonts w:ascii="宋体" w:hAnsi="宋体" w:cs="宋体" w:eastAsia="宋体" w:hint="default"/>
                <w:w w:val="99"/>
                <w:sz w:val="15"/>
                <w:szCs w:val="15"/>
              </w:rPr>
              <w:t> </w:t>
            </w:r>
            <w:r>
              <w:rPr>
                <w:rFonts w:ascii="宋体" w:hAnsi="宋体" w:cs="宋体" w:eastAsia="宋体" w:hint="default"/>
                <w:sz w:val="15"/>
                <w:szCs w:val="15"/>
              </w:rPr>
              <w:t>期工程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5"/>
                <w:szCs w:val="15"/>
              </w:rPr>
            </w:pPr>
            <w:r>
              <w:rPr>
                <w:rFonts w:ascii="宋体"/>
                <w:w w:val="95"/>
                <w:sz w:val="15"/>
              </w:rPr>
              <w:t>58,340,000.00</w:t>
            </w:r>
            <w:r>
              <w:rPr>
                <w:rFonts w:ascii="宋体"/>
                <w:sz w:val="15"/>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5"/>
                <w:szCs w:val="15"/>
              </w:rPr>
            </w:pPr>
            <w:r>
              <w:rPr>
                <w:rFonts w:ascii="宋体"/>
                <w:sz w:val="15"/>
              </w:rPr>
              <w:t>62,201,</w:t>
            </w:r>
          </w:p>
          <w:p>
            <w:pPr>
              <w:pStyle w:val="TableParagraph"/>
              <w:spacing w:line="240" w:lineRule="auto" w:before="120"/>
              <w:ind w:left="235" w:right="0"/>
              <w:jc w:val="left"/>
              <w:rPr>
                <w:rFonts w:ascii="宋体" w:hAnsi="宋体" w:cs="宋体" w:eastAsia="宋体" w:hint="default"/>
                <w:sz w:val="15"/>
                <w:szCs w:val="15"/>
              </w:rPr>
            </w:pPr>
            <w:r>
              <w:rPr>
                <w:rFonts w:ascii="宋体"/>
                <w:sz w:val="15"/>
              </w:rPr>
              <w:t>727.41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43" w:right="0"/>
              <w:jc w:val="left"/>
              <w:rPr>
                <w:rFonts w:ascii="宋体" w:hAnsi="宋体" w:cs="宋体" w:eastAsia="宋体" w:hint="default"/>
                <w:sz w:val="15"/>
                <w:szCs w:val="15"/>
              </w:rPr>
            </w:pPr>
            <w:r>
              <w:rPr>
                <w:rFonts w:ascii="宋体"/>
                <w:sz w:val="15"/>
              </w:rPr>
              <w:t>1,876,</w:t>
            </w:r>
          </w:p>
          <w:p>
            <w:pPr>
              <w:pStyle w:val="TableParagraph"/>
              <w:spacing w:line="240" w:lineRule="auto" w:before="120"/>
              <w:ind w:left="143" w:right="0"/>
              <w:jc w:val="left"/>
              <w:rPr>
                <w:rFonts w:ascii="宋体" w:hAnsi="宋体" w:cs="宋体" w:eastAsia="宋体" w:hint="default"/>
                <w:sz w:val="15"/>
                <w:szCs w:val="15"/>
              </w:rPr>
            </w:pPr>
            <w:r>
              <w:rPr>
                <w:rFonts w:ascii="宋体"/>
                <w:sz w:val="15"/>
              </w:rPr>
              <w:t>916.90</w:t>
            </w:r>
          </w:p>
        </w:tc>
        <w:tc>
          <w:tcPr>
            <w:tcW w:w="114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5"/>
                <w:szCs w:val="15"/>
              </w:rPr>
            </w:pPr>
            <w:r>
              <w:rPr>
                <w:rFonts w:ascii="宋体"/>
                <w:w w:val="95"/>
                <w:sz w:val="15"/>
              </w:rPr>
              <w:t>64,078,644.31</w:t>
            </w:r>
            <w:r>
              <w:rPr>
                <w:rFonts w:ascii="宋体"/>
                <w:sz w:val="15"/>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2" w:right="0"/>
              <w:jc w:val="center"/>
              <w:rPr>
                <w:rFonts w:ascii="Times New Roman" w:hAnsi="Times New Roman" w:cs="Times New Roman" w:eastAsia="Times New Roman" w:hint="default"/>
                <w:sz w:val="15"/>
                <w:szCs w:val="15"/>
              </w:rPr>
            </w:pPr>
            <w:r>
              <w:rPr>
                <w:rFonts w:ascii="Times New Roman"/>
                <w:sz w:val="15"/>
              </w:rPr>
              <w:t>109.84%</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0" w:right="0"/>
              <w:jc w:val="left"/>
              <w:rPr>
                <w:rFonts w:ascii="Times New Roman" w:hAnsi="Times New Roman" w:cs="Times New Roman" w:eastAsia="Times New Roman" w:hint="default"/>
                <w:sz w:val="15"/>
                <w:szCs w:val="15"/>
              </w:rPr>
            </w:pPr>
            <w:r>
              <w:rPr>
                <w:rFonts w:ascii="Times New Roman"/>
                <w:spacing w:val="2"/>
                <w:sz w:val="15"/>
              </w:rPr>
              <w:t>100</w:t>
            </w:r>
            <w:r>
              <w:rPr>
                <w:rFonts w:ascii="Times New Roman"/>
                <w:sz w:val="15"/>
              </w:rPr>
            </w: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95"/>
              <w:jc w:val="right"/>
              <w:rPr>
                <w:rFonts w:ascii="Times New Roman" w:hAnsi="Times New Roman" w:cs="Times New Roman" w:eastAsia="Times New Roman" w:hint="default"/>
                <w:sz w:val="15"/>
                <w:szCs w:val="15"/>
              </w:rPr>
            </w:pPr>
            <w:r>
              <w:rPr>
                <w:rFonts w:ascii="Times New Roman"/>
                <w:sz w:val="15"/>
              </w:rPr>
              <w:t>3,731,</w:t>
            </w: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w w:val="95"/>
                <w:sz w:val="15"/>
              </w:rPr>
              <w:t>399.7</w:t>
            </w:r>
            <w:r>
              <w:rPr>
                <w:rFonts w:ascii="Times New Roman"/>
                <w:sz w:val="15"/>
              </w:rPr>
            </w:r>
          </w:p>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4</w:t>
            </w:r>
            <w:r>
              <w:rPr>
                <w:rFonts w:ascii="Times New Roman"/>
                <w:sz w:val="15"/>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9"/>
              <w:ind w:left="23" w:right="0"/>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711" w:hRule="exact"/>
        </w:trPr>
        <w:tc>
          <w:tcPr>
            <w:tcW w:w="1080" w:type="dxa"/>
            <w:tcBorders>
              <w:top w:val="single" w:sz="4" w:space="0" w:color="000000"/>
              <w:left w:val="single" w:sz="12" w:space="0" w:color="000000"/>
              <w:bottom w:val="single" w:sz="4" w:space="0" w:color="000000"/>
              <w:right w:val="single" w:sz="4" w:space="0" w:color="000000"/>
            </w:tcBorders>
          </w:tcPr>
          <w:p>
            <w:pPr>
              <w:pStyle w:val="TableParagraph"/>
              <w:spacing w:line="381" w:lineRule="auto" w:before="79"/>
              <w:ind w:left="96" w:right="219"/>
              <w:jc w:val="left"/>
              <w:rPr>
                <w:rFonts w:ascii="宋体" w:hAnsi="宋体" w:cs="宋体" w:eastAsia="宋体" w:hint="default"/>
                <w:sz w:val="15"/>
                <w:szCs w:val="15"/>
              </w:rPr>
            </w:pPr>
            <w:r>
              <w:rPr>
                <w:rFonts w:ascii="宋体" w:hAnsi="宋体" w:cs="宋体" w:eastAsia="宋体" w:hint="default"/>
                <w:sz w:val="15"/>
                <w:szCs w:val="15"/>
              </w:rPr>
              <w:t>办公自动化</w:t>
            </w:r>
            <w:r>
              <w:rPr>
                <w:rFonts w:ascii="宋体" w:hAnsi="宋体" w:cs="宋体" w:eastAsia="宋体" w:hint="default"/>
                <w:w w:val="99"/>
                <w:sz w:val="15"/>
                <w:szCs w:val="15"/>
              </w:rPr>
              <w:t> </w:t>
            </w:r>
            <w:r>
              <w:rPr>
                <w:rFonts w:ascii="宋体" w:hAnsi="宋体" w:cs="宋体" w:eastAsia="宋体" w:hint="default"/>
                <w:sz w:val="15"/>
                <w:szCs w:val="15"/>
              </w:rPr>
              <w:t>项目</w:t>
            </w:r>
          </w:p>
        </w:tc>
        <w:tc>
          <w:tcPr>
            <w:tcW w:w="127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63" w:right="0"/>
              <w:jc w:val="left"/>
              <w:rPr>
                <w:rFonts w:ascii="宋体" w:hAnsi="宋体" w:cs="宋体" w:eastAsia="宋体" w:hint="default"/>
                <w:sz w:val="15"/>
                <w:szCs w:val="15"/>
              </w:rPr>
            </w:pPr>
            <w:r>
              <w:rPr>
                <w:rFonts w:ascii="宋体"/>
                <w:sz w:val="15"/>
              </w:rPr>
              <w:t>290,920</w:t>
            </w:r>
          </w:p>
          <w:p>
            <w:pPr>
              <w:pStyle w:val="TableParagraph"/>
              <w:spacing w:line="240" w:lineRule="auto" w:before="116"/>
              <w:ind w:left="460" w:right="0"/>
              <w:jc w:val="left"/>
              <w:rPr>
                <w:rFonts w:ascii="宋体" w:hAnsi="宋体" w:cs="宋体" w:eastAsia="宋体" w:hint="default"/>
                <w:sz w:val="15"/>
                <w:szCs w:val="15"/>
              </w:rPr>
            </w:pPr>
            <w:r>
              <w:rPr>
                <w:rFonts w:ascii="宋体"/>
                <w:spacing w:val="2"/>
                <w:sz w:val="15"/>
              </w:rPr>
              <w:t>.83</w:t>
            </w:r>
            <w:r>
              <w:rPr>
                <w:rFonts w:ascii="宋体"/>
                <w:sz w:val="15"/>
              </w:rPr>
            </w:r>
          </w:p>
        </w:tc>
        <w:tc>
          <w:tcPr>
            <w:tcW w:w="706"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7"/>
              <w:jc w:val="right"/>
              <w:rPr>
                <w:rFonts w:ascii="宋体" w:hAnsi="宋体" w:cs="宋体" w:eastAsia="宋体" w:hint="default"/>
                <w:sz w:val="15"/>
                <w:szCs w:val="15"/>
              </w:rPr>
            </w:pPr>
            <w:r>
              <w:rPr>
                <w:rFonts w:ascii="宋体"/>
                <w:w w:val="95"/>
                <w:sz w:val="15"/>
              </w:rPr>
              <w:t>290,920.83</w:t>
            </w:r>
            <w:r>
              <w:rPr>
                <w:rFonts w:ascii="宋体"/>
                <w:sz w:val="15"/>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03" w:right="0"/>
              <w:jc w:val="center"/>
              <w:rPr>
                <w:rFonts w:ascii="Times New Roman" w:hAnsi="Times New Roman" w:cs="Times New Roman" w:eastAsia="Times New Roman" w:hint="default"/>
                <w:sz w:val="15"/>
                <w:szCs w:val="15"/>
              </w:rPr>
            </w:pPr>
            <w:r>
              <w:rPr>
                <w:rFonts w:ascii="Times New Roman"/>
                <w:sz w:val="15"/>
              </w:rPr>
              <w:t>100%</w:t>
            </w:r>
          </w:p>
        </w:tc>
        <w:tc>
          <w:tcPr>
            <w:tcW w:w="44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9"/>
              <w:ind w:left="23" w:right="0"/>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715" w:hRule="exact"/>
        </w:trPr>
        <w:tc>
          <w:tcPr>
            <w:tcW w:w="1080" w:type="dxa"/>
            <w:tcBorders>
              <w:top w:val="single" w:sz="4" w:space="0" w:color="000000"/>
              <w:left w:val="single" w:sz="12" w:space="0" w:color="000000"/>
              <w:bottom w:val="single" w:sz="4" w:space="0" w:color="000000"/>
              <w:right w:val="single" w:sz="4" w:space="0" w:color="000000"/>
            </w:tcBorders>
          </w:tcPr>
          <w:p>
            <w:pPr>
              <w:pStyle w:val="TableParagraph"/>
              <w:spacing w:line="386" w:lineRule="auto" w:before="79"/>
              <w:ind w:left="96" w:right="70"/>
              <w:jc w:val="left"/>
              <w:rPr>
                <w:rFonts w:ascii="宋体" w:hAnsi="宋体" w:cs="宋体" w:eastAsia="宋体" w:hint="default"/>
                <w:sz w:val="15"/>
                <w:szCs w:val="15"/>
              </w:rPr>
            </w:pPr>
            <w:r>
              <w:rPr>
                <w:rFonts w:ascii="宋体" w:hAnsi="宋体" w:cs="宋体" w:eastAsia="宋体" w:hint="default"/>
                <w:sz w:val="15"/>
                <w:szCs w:val="15"/>
              </w:rPr>
              <w:t>索瑞义乌商</w:t>
            </w:r>
            <w:r>
              <w:rPr>
                <w:rFonts w:ascii="宋体" w:hAnsi="宋体" w:cs="宋体" w:eastAsia="宋体" w:hint="default"/>
                <w:w w:val="99"/>
                <w:sz w:val="15"/>
                <w:szCs w:val="15"/>
              </w:rPr>
              <w:t> </w:t>
            </w:r>
            <w:r>
              <w:rPr>
                <w:rFonts w:ascii="宋体" w:hAnsi="宋体" w:cs="宋体" w:eastAsia="宋体" w:hint="default"/>
                <w:sz w:val="15"/>
                <w:szCs w:val="15"/>
              </w:rPr>
              <w:t>品房（毛坯）</w:t>
            </w:r>
          </w:p>
        </w:tc>
        <w:tc>
          <w:tcPr>
            <w:tcW w:w="127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63" w:right="0"/>
              <w:jc w:val="left"/>
              <w:rPr>
                <w:rFonts w:ascii="宋体" w:hAnsi="宋体" w:cs="宋体" w:eastAsia="宋体" w:hint="default"/>
                <w:sz w:val="15"/>
                <w:szCs w:val="15"/>
              </w:rPr>
            </w:pPr>
            <w:r>
              <w:rPr>
                <w:rFonts w:ascii="宋体"/>
                <w:sz w:val="15"/>
              </w:rPr>
              <w:t>268,638</w:t>
            </w:r>
          </w:p>
          <w:p>
            <w:pPr>
              <w:pStyle w:val="TableParagraph"/>
              <w:spacing w:line="240" w:lineRule="auto" w:before="120"/>
              <w:ind w:left="460" w:right="0"/>
              <w:jc w:val="left"/>
              <w:rPr>
                <w:rFonts w:ascii="宋体" w:hAnsi="宋体" w:cs="宋体" w:eastAsia="宋体" w:hint="default"/>
                <w:sz w:val="15"/>
                <w:szCs w:val="15"/>
              </w:rPr>
            </w:pPr>
            <w:r>
              <w:rPr>
                <w:rFonts w:ascii="宋体"/>
                <w:spacing w:val="2"/>
                <w:sz w:val="15"/>
              </w:rPr>
              <w:t>.10</w:t>
            </w:r>
            <w:r>
              <w:rPr>
                <w:rFonts w:ascii="宋体"/>
                <w:sz w:val="15"/>
              </w:rPr>
            </w:r>
          </w:p>
        </w:tc>
        <w:tc>
          <w:tcPr>
            <w:tcW w:w="706"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15"/>
                <w:szCs w:val="15"/>
              </w:rPr>
            </w:pPr>
            <w:r>
              <w:rPr>
                <w:rFonts w:ascii="宋体"/>
                <w:w w:val="95"/>
                <w:sz w:val="15"/>
              </w:rPr>
              <w:t>268,638.10</w:t>
            </w:r>
            <w:r>
              <w:rPr>
                <w:rFonts w:ascii="宋体"/>
                <w:sz w:val="15"/>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03" w:right="0"/>
              <w:jc w:val="center"/>
              <w:rPr>
                <w:rFonts w:ascii="Times New Roman" w:hAnsi="Times New Roman" w:cs="Times New Roman" w:eastAsia="Times New Roman" w:hint="default"/>
                <w:sz w:val="15"/>
                <w:szCs w:val="15"/>
              </w:rPr>
            </w:pPr>
            <w:r>
              <w:rPr>
                <w:rFonts w:ascii="Times New Roman"/>
                <w:sz w:val="15"/>
              </w:rPr>
              <w:t>100%</w:t>
            </w:r>
          </w:p>
        </w:tc>
        <w:tc>
          <w:tcPr>
            <w:tcW w:w="447"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9"/>
              <w:ind w:left="23" w:right="0"/>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716" w:hRule="exact"/>
        </w:trPr>
        <w:tc>
          <w:tcPr>
            <w:tcW w:w="1080" w:type="dxa"/>
            <w:tcBorders>
              <w:top w:val="single" w:sz="4" w:space="0" w:color="000000"/>
              <w:left w:val="single" w:sz="12" w:space="0" w:color="000000"/>
              <w:bottom w:val="single" w:sz="4" w:space="0" w:color="000000"/>
              <w:right w:val="single" w:sz="4" w:space="0" w:color="000000"/>
            </w:tcBorders>
          </w:tcPr>
          <w:p>
            <w:pPr>
              <w:pStyle w:val="TableParagraph"/>
              <w:spacing w:line="388" w:lineRule="auto" w:before="79"/>
              <w:ind w:left="96" w:right="219"/>
              <w:jc w:val="left"/>
              <w:rPr>
                <w:rFonts w:ascii="宋体" w:hAnsi="宋体" w:cs="宋体" w:eastAsia="宋体" w:hint="default"/>
                <w:sz w:val="15"/>
                <w:szCs w:val="15"/>
              </w:rPr>
            </w:pPr>
            <w:r>
              <w:rPr>
                <w:rFonts w:ascii="宋体" w:hAnsi="宋体" w:cs="宋体" w:eastAsia="宋体" w:hint="default"/>
                <w:sz w:val="15"/>
                <w:szCs w:val="15"/>
              </w:rPr>
              <w:t>待安装调试</w:t>
            </w:r>
            <w:r>
              <w:rPr>
                <w:rFonts w:ascii="宋体" w:hAnsi="宋体" w:cs="宋体" w:eastAsia="宋体" w:hint="default"/>
                <w:w w:val="99"/>
                <w:sz w:val="15"/>
                <w:szCs w:val="15"/>
              </w:rPr>
              <w:t> </w:t>
            </w:r>
            <w:r>
              <w:rPr>
                <w:rFonts w:ascii="宋体" w:hAnsi="宋体" w:cs="宋体" w:eastAsia="宋体" w:hint="default"/>
                <w:sz w:val="15"/>
                <w:szCs w:val="15"/>
              </w:rPr>
              <w:t>钣金设备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43" w:right="0"/>
              <w:jc w:val="left"/>
              <w:rPr>
                <w:rFonts w:ascii="宋体" w:hAnsi="宋体" w:cs="宋体" w:eastAsia="宋体" w:hint="default"/>
                <w:sz w:val="15"/>
                <w:szCs w:val="15"/>
              </w:rPr>
            </w:pPr>
            <w:r>
              <w:rPr>
                <w:rFonts w:ascii="宋体"/>
                <w:sz w:val="15"/>
              </w:rPr>
              <w:t>2,675,</w:t>
            </w:r>
          </w:p>
          <w:p>
            <w:pPr>
              <w:pStyle w:val="TableParagraph"/>
              <w:spacing w:line="240" w:lineRule="auto" w:before="121"/>
              <w:ind w:left="143" w:right="0"/>
              <w:jc w:val="left"/>
              <w:rPr>
                <w:rFonts w:ascii="宋体" w:hAnsi="宋体" w:cs="宋体" w:eastAsia="宋体" w:hint="default"/>
                <w:sz w:val="15"/>
                <w:szCs w:val="15"/>
              </w:rPr>
            </w:pPr>
            <w:r>
              <w:rPr>
                <w:rFonts w:ascii="宋体"/>
                <w:sz w:val="15"/>
              </w:rPr>
              <w:t>132.74</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5"/>
                <w:szCs w:val="15"/>
              </w:rPr>
            </w:pPr>
            <w:r>
              <w:rPr>
                <w:rFonts w:ascii="宋体"/>
                <w:w w:val="95"/>
                <w:sz w:val="15"/>
              </w:rPr>
              <w:t>2,675,132.74</w:t>
            </w:r>
            <w:r>
              <w:rPr>
                <w:rFonts w:ascii="宋体"/>
                <w:sz w:val="15"/>
              </w:rPr>
            </w:r>
          </w:p>
        </w:tc>
        <w:tc>
          <w:tcPr>
            <w:tcW w:w="538"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03" w:right="0"/>
              <w:jc w:val="center"/>
              <w:rPr>
                <w:rFonts w:ascii="Times New Roman" w:hAnsi="Times New Roman" w:cs="Times New Roman" w:eastAsia="Times New Roman" w:hint="default"/>
                <w:sz w:val="15"/>
                <w:szCs w:val="15"/>
              </w:rPr>
            </w:pPr>
            <w:r>
              <w:rPr>
                <w:rFonts w:ascii="Times New Roman"/>
                <w:sz w:val="15"/>
              </w:rPr>
              <w:t>100%</w:t>
            </w:r>
          </w:p>
        </w:tc>
        <w:tc>
          <w:tcPr>
            <w:tcW w:w="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0" w:right="0"/>
              <w:jc w:val="left"/>
              <w:rPr>
                <w:rFonts w:ascii="Times New Roman" w:hAnsi="Times New Roman" w:cs="Times New Roman" w:eastAsia="Times New Roman" w:hint="default"/>
                <w:sz w:val="15"/>
                <w:szCs w:val="15"/>
              </w:rPr>
            </w:pPr>
            <w:r>
              <w:rPr>
                <w:rFonts w:ascii="Times New Roman"/>
                <w:spacing w:val="2"/>
                <w:sz w:val="15"/>
              </w:rPr>
              <w:t>100</w:t>
            </w:r>
            <w:r>
              <w:rPr>
                <w:rFonts w:ascii="Times New Roman"/>
                <w:sz w:val="15"/>
              </w:rPr>
            </w: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left="100"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61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9"/>
              <w:ind w:left="23" w:right="0"/>
              <w:jc w:val="center"/>
              <w:rPr>
                <w:rFonts w:ascii="宋体" w:hAnsi="宋体" w:cs="宋体" w:eastAsia="宋体" w:hint="default"/>
                <w:sz w:val="15"/>
                <w:szCs w:val="15"/>
              </w:rPr>
            </w:pPr>
            <w:r>
              <w:rPr>
                <w:rFonts w:ascii="宋体" w:hAnsi="宋体" w:cs="宋体" w:eastAsia="宋体" w:hint="default"/>
                <w:sz w:val="15"/>
                <w:szCs w:val="15"/>
              </w:rPr>
              <w:t>自筹</w:t>
            </w:r>
          </w:p>
        </w:tc>
      </w:tr>
      <w:tr>
        <w:trPr>
          <w:trHeight w:val="1037" w:hRule="exact"/>
        </w:trPr>
        <w:tc>
          <w:tcPr>
            <w:tcW w:w="108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5"/>
                <w:szCs w:val="15"/>
              </w:rPr>
            </w:pPr>
            <w:r>
              <w:rPr>
                <w:rFonts w:ascii="宋体"/>
                <w:w w:val="95"/>
                <w:sz w:val="15"/>
              </w:rPr>
              <w:t>308,140,000.00</w:t>
            </w:r>
            <w:r>
              <w:rPr>
                <w:rFonts w:ascii="宋体"/>
                <w:sz w:val="15"/>
              </w:rPr>
            </w:r>
          </w:p>
        </w:tc>
        <w:tc>
          <w:tcPr>
            <w:tcW w:w="8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5"/>
                <w:szCs w:val="15"/>
              </w:rPr>
            </w:pPr>
            <w:r>
              <w:rPr>
                <w:rFonts w:ascii="宋体"/>
                <w:sz w:val="15"/>
              </w:rPr>
              <w:t>103,327</w:t>
            </w:r>
          </w:p>
          <w:p>
            <w:pPr>
              <w:pStyle w:val="TableParagraph"/>
              <w:spacing w:line="240" w:lineRule="auto" w:before="120"/>
              <w:ind w:left="163" w:right="0"/>
              <w:jc w:val="left"/>
              <w:rPr>
                <w:rFonts w:ascii="宋体" w:hAnsi="宋体" w:cs="宋体" w:eastAsia="宋体" w:hint="default"/>
                <w:sz w:val="15"/>
                <w:szCs w:val="15"/>
              </w:rPr>
            </w:pPr>
            <w:r>
              <w:rPr>
                <w:rFonts w:ascii="宋体"/>
                <w:sz w:val="15"/>
              </w:rPr>
              <w:t>,810.58</w:t>
            </w:r>
          </w:p>
        </w:tc>
        <w:tc>
          <w:tcPr>
            <w:tcW w:w="7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97"/>
              <w:jc w:val="right"/>
              <w:rPr>
                <w:rFonts w:ascii="宋体" w:hAnsi="宋体" w:cs="宋体" w:eastAsia="宋体" w:hint="default"/>
                <w:sz w:val="15"/>
                <w:szCs w:val="15"/>
              </w:rPr>
            </w:pPr>
            <w:r>
              <w:rPr>
                <w:rFonts w:ascii="宋体"/>
                <w:sz w:val="15"/>
              </w:rPr>
              <w:t>22,354</w:t>
            </w:r>
          </w:p>
          <w:p>
            <w:pPr>
              <w:pStyle w:val="TableParagraph"/>
              <w:spacing w:line="240" w:lineRule="auto" w:before="111"/>
              <w:ind w:right="97"/>
              <w:jc w:val="right"/>
              <w:rPr>
                <w:rFonts w:ascii="宋体" w:hAnsi="宋体" w:cs="宋体" w:eastAsia="宋体" w:hint="default"/>
                <w:sz w:val="15"/>
                <w:szCs w:val="15"/>
              </w:rPr>
            </w:pPr>
            <w:r>
              <w:rPr>
                <w:rFonts w:ascii="宋体"/>
                <w:sz w:val="15"/>
              </w:rPr>
              <w:t>,556.6</w:t>
            </w:r>
          </w:p>
          <w:p>
            <w:pPr>
              <w:pStyle w:val="TableParagraph"/>
              <w:spacing w:line="240" w:lineRule="auto" w:before="120"/>
              <w:ind w:right="101"/>
              <w:jc w:val="right"/>
              <w:rPr>
                <w:rFonts w:ascii="宋体" w:hAnsi="宋体" w:cs="宋体" w:eastAsia="宋体" w:hint="default"/>
                <w:sz w:val="15"/>
                <w:szCs w:val="15"/>
              </w:rPr>
            </w:pPr>
            <w:r>
              <w:rPr>
                <w:rFonts w:ascii="宋体"/>
                <w:w w:val="99"/>
                <w:sz w:val="15"/>
              </w:rPr>
              <w:t>5</w:t>
            </w:r>
            <w:r>
              <w:rPr>
                <w:rFonts w:ascii="宋体"/>
                <w:sz w:val="15"/>
              </w:rPr>
            </w:r>
          </w:p>
        </w:tc>
        <w:tc>
          <w:tcPr>
            <w:tcW w:w="11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5"/>
                <w:szCs w:val="15"/>
              </w:rPr>
            </w:pPr>
            <w:r>
              <w:rPr>
                <w:rFonts w:ascii="宋体"/>
                <w:w w:val="95"/>
                <w:sz w:val="15"/>
              </w:rPr>
              <w:t>8,605,637.38</w:t>
            </w:r>
            <w:r>
              <w:rPr>
                <w:rFonts w:ascii="宋体"/>
                <w:sz w:val="15"/>
              </w:rPr>
            </w:r>
          </w:p>
        </w:tc>
        <w:tc>
          <w:tcPr>
            <w:tcW w:w="538" w:type="dxa"/>
            <w:tcBorders>
              <w:top w:val="single" w:sz="4" w:space="0" w:color="000000"/>
              <w:left w:val="single" w:sz="4" w:space="0" w:color="000000"/>
              <w:bottom w:val="single" w:sz="12" w:space="0" w:color="000000"/>
              <w:right w:val="single" w:sz="4" w:space="0" w:color="000000"/>
            </w:tcBorders>
          </w:tcPr>
          <w:p>
            <w:pP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5"/>
                <w:szCs w:val="15"/>
              </w:rPr>
            </w:pPr>
            <w:r>
              <w:rPr>
                <w:rFonts w:ascii="宋体"/>
                <w:w w:val="95"/>
                <w:sz w:val="15"/>
              </w:rPr>
              <w:t>117,076,729.85</w:t>
            </w:r>
            <w:r>
              <w:rPr>
                <w:rFonts w:ascii="宋体"/>
                <w:sz w:val="15"/>
              </w:rPr>
            </w:r>
          </w:p>
        </w:tc>
        <w:tc>
          <w:tcPr>
            <w:tcW w:w="768"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109"/>
              <w:ind w:left="3" w:right="0"/>
              <w:jc w:val="center"/>
              <w:rPr>
                <w:rFonts w:ascii="Times New Roman" w:hAnsi="Times New Roman" w:cs="Times New Roman" w:eastAsia="Times New Roman" w:hint="default"/>
                <w:sz w:val="15"/>
                <w:szCs w:val="15"/>
              </w:rPr>
            </w:pPr>
            <w:r>
              <w:rPr>
                <w:rFonts w:ascii="Times New Roman"/>
                <w:sz w:val="15"/>
              </w:rPr>
              <w:t>133.58%</w:t>
            </w:r>
          </w:p>
        </w:tc>
        <w:tc>
          <w:tcPr>
            <w:tcW w:w="447"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5"/>
                <w:szCs w:val="15"/>
              </w:rPr>
            </w:pPr>
            <w:r>
              <w:rPr>
                <w:rFonts w:ascii="宋体"/>
                <w:sz w:val="15"/>
              </w:rPr>
              <w:t>--</w:t>
            </w:r>
          </w:p>
        </w:tc>
        <w:tc>
          <w:tcPr>
            <w:tcW w:w="6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9"/>
              <w:ind w:right="95"/>
              <w:jc w:val="right"/>
              <w:rPr>
                <w:rFonts w:ascii="Times New Roman" w:hAnsi="Times New Roman" w:cs="Times New Roman" w:eastAsia="Times New Roman" w:hint="default"/>
                <w:sz w:val="15"/>
                <w:szCs w:val="15"/>
              </w:rPr>
            </w:pPr>
            <w:r>
              <w:rPr>
                <w:rFonts w:ascii="Times New Roman"/>
                <w:sz w:val="15"/>
              </w:rPr>
              <w:t>7,974,</w:t>
            </w: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96"/>
              <w:jc w:val="right"/>
              <w:rPr>
                <w:rFonts w:ascii="Times New Roman" w:hAnsi="Times New Roman" w:cs="Times New Roman" w:eastAsia="Times New Roman" w:hint="default"/>
                <w:sz w:val="15"/>
                <w:szCs w:val="15"/>
              </w:rPr>
            </w:pPr>
            <w:r>
              <w:rPr>
                <w:rFonts w:ascii="Times New Roman"/>
                <w:w w:val="95"/>
                <w:sz w:val="15"/>
              </w:rPr>
              <w:t>181.7</w:t>
            </w:r>
            <w:r>
              <w:rPr>
                <w:rFonts w:ascii="Times New Roman"/>
                <w:sz w:val="15"/>
              </w:rPr>
            </w:r>
          </w:p>
          <w:p>
            <w:pPr>
              <w:pStyle w:val="TableParagraph"/>
              <w:spacing w:line="240" w:lineRule="auto" w:before="0"/>
              <w:ind w:right="0"/>
              <w:jc w:val="left"/>
              <w:rPr>
                <w:rFonts w:ascii="宋体" w:hAnsi="宋体" w:cs="宋体" w:eastAsia="宋体" w:hint="default"/>
                <w:sz w:val="11"/>
                <w:szCs w:val="11"/>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w w:val="99"/>
                <w:sz w:val="15"/>
              </w:rPr>
              <w:t>4</w:t>
            </w:r>
            <w:r>
              <w:rPr>
                <w:rFonts w:ascii="Times New Roman"/>
                <w:sz w:val="15"/>
              </w:rPr>
            </w:r>
          </w:p>
        </w:tc>
        <w:tc>
          <w:tcPr>
            <w:tcW w:w="9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15"/>
                <w:szCs w:val="15"/>
              </w:rPr>
            </w:pPr>
            <w:r>
              <w:rPr>
                <w:rFonts w:ascii="宋体"/>
                <w:w w:val="95"/>
                <w:sz w:val="15"/>
              </w:rPr>
              <w:t>2,121,391.</w:t>
            </w:r>
            <w:r>
              <w:rPr>
                <w:rFonts w:ascii="宋体"/>
                <w:sz w:val="15"/>
              </w:rPr>
            </w:r>
          </w:p>
          <w:p>
            <w:pPr>
              <w:pStyle w:val="TableParagraph"/>
              <w:spacing w:line="240" w:lineRule="auto" w:before="120"/>
              <w:ind w:right="98"/>
              <w:jc w:val="right"/>
              <w:rPr>
                <w:rFonts w:ascii="宋体" w:hAnsi="宋体" w:cs="宋体" w:eastAsia="宋体" w:hint="default"/>
                <w:sz w:val="15"/>
                <w:szCs w:val="15"/>
              </w:rPr>
            </w:pPr>
            <w:r>
              <w:rPr>
                <w:rFonts w:ascii="宋体"/>
                <w:sz w:val="15"/>
              </w:rPr>
              <w:t>00</w:t>
            </w:r>
          </w:p>
        </w:tc>
        <w:tc>
          <w:tcPr>
            <w:tcW w:w="523" w:type="dxa"/>
            <w:tcBorders>
              <w:top w:val="single" w:sz="4" w:space="0" w:color="000000"/>
              <w:left w:val="single" w:sz="4" w:space="0" w:color="000000"/>
              <w:bottom w:val="single" w:sz="12" w:space="0" w:color="000000"/>
              <w:right w:val="single" w:sz="4" w:space="0" w:color="000000"/>
            </w:tcBorders>
          </w:tcPr>
          <w:p>
            <w:pPr/>
          </w:p>
        </w:tc>
        <w:tc>
          <w:tcPr>
            <w:tcW w:w="524"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79"/>
              <w:ind w:left="13" w:right="0"/>
              <w:jc w:val="center"/>
              <w:rPr>
                <w:rFonts w:ascii="宋体" w:hAnsi="宋体" w:cs="宋体" w:eastAsia="宋体" w:hint="default"/>
                <w:sz w:val="15"/>
                <w:szCs w:val="15"/>
              </w:rPr>
            </w:pPr>
            <w:r>
              <w:rPr>
                <w:rFonts w:ascii="宋体" w:hAnsi="宋体" w:cs="宋体" w:eastAsia="宋体" w:hint="default"/>
                <w:sz w:val="15"/>
                <w:szCs w:val="15"/>
              </w:rPr>
              <w:t>自筹</w:t>
            </w:r>
          </w:p>
        </w:tc>
      </w:tr>
    </w:tbl>
    <w:p>
      <w:pPr>
        <w:spacing w:line="240" w:lineRule="auto" w:before="3"/>
        <w:rPr>
          <w:rFonts w:ascii="宋体" w:hAnsi="宋体" w:cs="宋体" w:eastAsia="宋体" w:hint="default"/>
          <w:sz w:val="19"/>
          <w:szCs w:val="19"/>
        </w:rPr>
      </w:pPr>
    </w:p>
    <w:p>
      <w:pPr>
        <w:pStyle w:val="Heading4"/>
        <w:spacing w:line="240" w:lineRule="auto"/>
        <w:ind w:left="1013" w:right="0"/>
        <w:jc w:val="left"/>
        <w:rPr>
          <w:b w:val="0"/>
          <w:bCs w:val="0"/>
        </w:rPr>
      </w:pPr>
      <w:bookmarkStart w:name="20、无形资产" w:id="319"/>
      <w:bookmarkEnd w:id="319"/>
      <w:r>
        <w:rPr>
          <w:b w:val="0"/>
          <w:bCs w:val="0"/>
        </w:rPr>
      </w:r>
      <w:r>
        <w:rPr>
          <w:rFonts w:ascii="宋体" w:hAnsi="宋体" w:cs="宋体" w:eastAsia="宋体" w:hint="default"/>
        </w:rPr>
        <w:t>20</w:t>
      </w:r>
      <w:r>
        <w:rPr/>
        <w:t>、无形资产</w:t>
      </w:r>
      <w:r>
        <w:rPr>
          <w:b w:val="0"/>
          <w:bCs w:val="0"/>
        </w:rPr>
      </w:r>
    </w:p>
    <w:p>
      <w:pPr>
        <w:spacing w:line="240" w:lineRule="auto" w:before="8"/>
        <w:rPr>
          <w:rFonts w:ascii="宋体" w:hAnsi="宋体" w:cs="宋体" w:eastAsia="宋体" w:hint="default"/>
          <w:b/>
          <w:bCs/>
          <w:sz w:val="25"/>
          <w:szCs w:val="25"/>
        </w:rPr>
      </w:pPr>
    </w:p>
    <w:p>
      <w:pPr>
        <w:pStyle w:val="Heading4"/>
        <w:spacing w:line="240" w:lineRule="auto" w:before="0"/>
        <w:ind w:left="1013" w:right="0"/>
        <w:jc w:val="left"/>
        <w:rPr>
          <w:b w:val="0"/>
          <w:bCs w:val="0"/>
        </w:rPr>
      </w:pPr>
      <w:bookmarkStart w:name="（1）无形资产情况" w:id="320"/>
      <w:bookmarkEnd w:id="32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998" w:type="dxa"/>
        <w:tblLayout w:type="fixed"/>
        <w:tblCellMar>
          <w:top w:w="0" w:type="dxa"/>
          <w:left w:w="0" w:type="dxa"/>
          <w:bottom w:w="0" w:type="dxa"/>
          <w:right w:w="0" w:type="dxa"/>
        </w:tblCellMar>
        <w:tblLook w:val="01E0"/>
      </w:tblPr>
      <w:tblGrid>
        <w:gridCol w:w="1594"/>
        <w:gridCol w:w="1594"/>
        <w:gridCol w:w="1595"/>
        <w:gridCol w:w="1594"/>
        <w:gridCol w:w="1594"/>
        <w:gridCol w:w="1599"/>
      </w:tblGrid>
      <w:tr>
        <w:trPr>
          <w:trHeight w:val="413" w:hRule="exact"/>
        </w:trPr>
        <w:tc>
          <w:tcPr>
            <w:tcW w:w="159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4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4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11" w:right="0"/>
              <w:jc w:val="left"/>
              <w:rPr>
                <w:rFonts w:ascii="宋体" w:hAnsi="宋体" w:cs="宋体" w:eastAsia="宋体" w:hint="default"/>
                <w:sz w:val="18"/>
                <w:szCs w:val="18"/>
              </w:rPr>
            </w:pPr>
            <w:r>
              <w:rPr>
                <w:rFonts w:ascii="宋体"/>
                <w:sz w:val="18"/>
              </w:rPr>
              <w:t>63,707,596.16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12" w:right="0"/>
              <w:jc w:val="left"/>
              <w:rPr>
                <w:rFonts w:ascii="宋体" w:hAnsi="宋体" w:cs="宋体" w:eastAsia="宋体" w:hint="default"/>
                <w:sz w:val="18"/>
                <w:szCs w:val="18"/>
              </w:rPr>
            </w:pPr>
            <w:r>
              <w:rPr>
                <w:rFonts w:ascii="宋体"/>
                <w:sz w:val="18"/>
              </w:rPr>
              <w:t>70,863,717.68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4,662,000.20</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139,233,314.04</w:t>
            </w:r>
          </w:p>
        </w:tc>
      </w:tr>
      <w:tr>
        <w:trPr>
          <w:trHeight w:val="711"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214" w:firstLine="364"/>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3,160,755.24</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3,160,755.24</w:t>
            </w: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right="12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3,160,755.24</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1"/>
                <w:sz w:val="18"/>
              </w:rPr>
              <w:t>3,160,755.24</w:t>
            </w:r>
          </w:p>
        </w:tc>
      </w:tr>
      <w:tr>
        <w:trPr>
          <w:trHeight w:val="413" w:hRule="exact"/>
        </w:trPr>
        <w:tc>
          <w:tcPr>
            <w:tcW w:w="159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73"/>
              <w:ind w:right="12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2"/>
                <w:sz w:val="18"/>
                <w:szCs w:val="18"/>
              </w:rPr>
              <w:t>）内部</w:t>
            </w:r>
          </w:p>
        </w:tc>
        <w:tc>
          <w:tcPr>
            <w:tcW w:w="1594" w:type="dxa"/>
            <w:tcBorders>
              <w:top w:val="single" w:sz="4" w:space="0" w:color="000000"/>
              <w:left w:val="single" w:sz="4" w:space="0" w:color="000000"/>
              <w:bottom w:val="single" w:sz="12" w:space="0" w:color="000000"/>
              <w:right w:val="single" w:sz="4" w:space="0" w:color="000000"/>
            </w:tcBorders>
          </w:tcPr>
          <w:p>
            <w:pPr/>
          </w:p>
        </w:tc>
        <w:tc>
          <w:tcPr>
            <w:tcW w:w="1595"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tcPr>
          <w:p>
            <w:pPr/>
          </w:p>
        </w:tc>
        <w:tc>
          <w:tcPr>
            <w:tcW w:w="1599"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040" w:bottom="1220" w:left="1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594"/>
        <w:gridCol w:w="1594"/>
        <w:gridCol w:w="1595"/>
        <w:gridCol w:w="1594"/>
        <w:gridCol w:w="1594"/>
        <w:gridCol w:w="1599"/>
      </w:tblGrid>
      <w:tr>
        <w:trPr>
          <w:trHeight w:val="413" w:hRule="exact"/>
        </w:trPr>
        <w:tc>
          <w:tcPr>
            <w:tcW w:w="159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5"/>
              <w:ind w:left="95"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4" w:lineRule="auto" w:before="53"/>
              <w:ind w:left="95" w:right="122" w:firstLine="54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w:t>
            </w:r>
            <w:r>
              <w:rPr>
                <w:rFonts w:ascii="宋体" w:hAnsi="宋体" w:cs="宋体" w:eastAsia="宋体" w:hint="default"/>
                <w:w w:val="101"/>
                <w:sz w:val="18"/>
                <w:szCs w:val="18"/>
              </w:rPr>
              <w:t> </w:t>
            </w:r>
            <w:r>
              <w:rPr>
                <w:rFonts w:ascii="宋体" w:hAnsi="宋体" w:cs="宋体" w:eastAsia="宋体" w:hint="default"/>
                <w:sz w:val="18"/>
                <w:szCs w:val="18"/>
              </w:rPr>
              <w:t>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214" w:firstLine="182"/>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1,031,209.27</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1,031,209.27</w:t>
            </w:r>
          </w:p>
        </w:tc>
      </w:tr>
      <w:tr>
        <w:trPr>
          <w:trHeight w:val="399"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12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93"/>
              <w:jc w:val="right"/>
              <w:rPr>
                <w:rFonts w:ascii="宋体" w:hAnsi="宋体" w:cs="宋体" w:eastAsia="宋体" w:hint="default"/>
                <w:sz w:val="18"/>
                <w:szCs w:val="18"/>
              </w:rPr>
            </w:pPr>
            <w:r>
              <w:rPr>
                <w:rFonts w:ascii="宋体"/>
                <w:sz w:val="18"/>
              </w:rPr>
              <w:t>( 2</w:t>
            </w:r>
            <w:r>
              <w:rPr>
                <w:rFonts w:ascii="宋体"/>
                <w:spacing w:val="-63"/>
                <w:sz w:val="18"/>
              </w:rPr>
              <w:t> </w:t>
            </w:r>
            <w:r>
              <w:rPr>
                <w:rFonts w:ascii="宋体"/>
                <w:sz w:val="18"/>
              </w:rPr>
              <w:t>)</w:t>
            </w:r>
          </w:p>
          <w:p>
            <w:pPr>
              <w:pStyle w:val="TableParagraph"/>
              <w:spacing w:line="240" w:lineRule="auto" w:before="81"/>
              <w:ind w:left="95" w:right="0"/>
              <w:jc w:val="left"/>
              <w:rPr>
                <w:rFonts w:ascii="宋体" w:hAnsi="宋体" w:cs="宋体" w:eastAsia="宋体" w:hint="default"/>
                <w:sz w:val="18"/>
                <w:szCs w:val="18"/>
              </w:rPr>
            </w:pPr>
            <w:r>
              <w:rPr>
                <w:rFonts w:ascii="宋体" w:hAnsi="宋体" w:cs="宋体" w:eastAsia="宋体" w:hint="default"/>
                <w:sz w:val="18"/>
                <w:szCs w:val="18"/>
              </w:rPr>
              <w:t>企业合并减少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1,031,209.27</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1,031,209.27</w:t>
            </w: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63,707,596.16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70,863,717.68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6,791,546.17</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141,362,860.01</w:t>
            </w:r>
          </w:p>
        </w:tc>
      </w:tr>
      <w:tr>
        <w:trPr>
          <w:trHeight w:val="404"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7,502,723.86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16,746,070.44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2,481,030.17</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26,729,824.47</w:t>
            </w:r>
          </w:p>
        </w:tc>
      </w:tr>
      <w:tr>
        <w:trPr>
          <w:trHeight w:val="715"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214" w:firstLine="364"/>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1,286,652.60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427,209.16</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1,713,861.76</w:t>
            </w: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12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1,286,652.60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427,209.16</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1,713,861.76</w:t>
            </w:r>
          </w:p>
        </w:tc>
      </w:tr>
      <w:tr>
        <w:trPr>
          <w:trHeight w:val="404"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214" w:firstLine="364"/>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12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8,789,376.46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16,746,070.44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1,952,324.70</w:t>
            </w: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27,487,771.60</w:t>
            </w:r>
          </w:p>
        </w:tc>
      </w:tr>
      <w:tr>
        <w:trPr>
          <w:trHeight w:val="398"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54,117,647.24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54,117,647.24</w:t>
            </w:r>
          </w:p>
        </w:tc>
      </w:tr>
      <w:tr>
        <w:trPr>
          <w:trHeight w:val="716"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5" w:right="214" w:firstLine="364"/>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12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1</w:t>
            </w:r>
            <w:r>
              <w:rPr>
                <w:rFonts w:ascii="宋体" w:hAnsi="宋体" w:cs="宋体" w:eastAsia="宋体" w:hint="default"/>
                <w:spacing w:val="-2"/>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4" w:lineRule="auto" w:before="53"/>
              <w:ind w:left="95" w:right="214" w:firstLine="364"/>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54,117,647.24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54,117,647.24</w:t>
            </w:r>
          </w:p>
        </w:tc>
      </w:tr>
      <w:tr>
        <w:trPr>
          <w:trHeight w:val="404"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12" w:space="0" w:color="000000"/>
            </w:tcBorders>
          </w:tcPr>
          <w:p>
            <w:pPr/>
          </w:p>
        </w:tc>
      </w:tr>
      <w:tr>
        <w:trPr>
          <w:trHeight w:val="725" w:hRule="exact"/>
        </w:trPr>
        <w:tc>
          <w:tcPr>
            <w:tcW w:w="159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3"/>
              <w:ind w:left="95" w:right="214" w:firstLine="364"/>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期末账面</w:t>
            </w:r>
            <w:r>
              <w:rPr>
                <w:rFonts w:ascii="宋体" w:hAnsi="宋体" w:cs="宋体" w:eastAsia="宋体" w:hint="default"/>
                <w:w w:val="101"/>
                <w:sz w:val="18"/>
                <w:szCs w:val="18"/>
              </w:rPr>
              <w:t> </w:t>
            </w:r>
            <w:r>
              <w:rPr>
                <w:rFonts w:ascii="宋体" w:hAnsi="宋体" w:cs="宋体" w:eastAsia="宋体" w:hint="default"/>
                <w:sz w:val="18"/>
                <w:szCs w:val="18"/>
              </w:rPr>
              <w:t>价值</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54,918,219.70</w:t>
            </w:r>
          </w:p>
        </w:tc>
        <w:tc>
          <w:tcPr>
            <w:tcW w:w="1595"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4,839,221.47</w:t>
            </w:r>
          </w:p>
        </w:tc>
        <w:tc>
          <w:tcPr>
            <w:tcW w:w="159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59,757,441.17</w:t>
            </w:r>
          </w:p>
        </w:tc>
      </w:tr>
    </w:tbl>
    <w:p>
      <w:pPr>
        <w:spacing w:after="0" w:line="240" w:lineRule="auto"/>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594"/>
        <w:gridCol w:w="1594"/>
        <w:gridCol w:w="1595"/>
        <w:gridCol w:w="1594"/>
        <w:gridCol w:w="1594"/>
        <w:gridCol w:w="1599"/>
      </w:tblGrid>
      <w:tr>
        <w:trPr>
          <w:trHeight w:val="413" w:hRule="exact"/>
        </w:trPr>
        <w:tc>
          <w:tcPr>
            <w:tcW w:w="159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25" w:hRule="exact"/>
        </w:trPr>
        <w:tc>
          <w:tcPr>
            <w:tcW w:w="159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3"/>
              <w:ind w:left="95" w:right="214" w:firstLine="364"/>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期初账面</w:t>
            </w:r>
            <w:r>
              <w:rPr>
                <w:rFonts w:ascii="宋体" w:hAnsi="宋体" w:cs="宋体" w:eastAsia="宋体" w:hint="default"/>
                <w:w w:val="101"/>
                <w:sz w:val="18"/>
                <w:szCs w:val="18"/>
              </w:rPr>
              <w:t> </w:t>
            </w:r>
            <w:r>
              <w:rPr>
                <w:rFonts w:ascii="宋体" w:hAnsi="宋体" w:cs="宋体" w:eastAsia="宋体" w:hint="default"/>
                <w:sz w:val="18"/>
                <w:szCs w:val="18"/>
              </w:rPr>
              <w:t>价值</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1" w:right="0"/>
              <w:jc w:val="left"/>
              <w:rPr>
                <w:rFonts w:ascii="宋体" w:hAnsi="宋体" w:cs="宋体" w:eastAsia="宋体" w:hint="default"/>
                <w:sz w:val="18"/>
                <w:szCs w:val="18"/>
              </w:rPr>
            </w:pPr>
            <w:r>
              <w:rPr>
                <w:rFonts w:ascii="宋体"/>
                <w:sz w:val="18"/>
              </w:rPr>
              <w:t>56,204,872.30</w:t>
            </w:r>
          </w:p>
        </w:tc>
        <w:tc>
          <w:tcPr>
            <w:tcW w:w="1595"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03" w:right="0"/>
              <w:jc w:val="left"/>
              <w:rPr>
                <w:rFonts w:ascii="宋体" w:hAnsi="宋体" w:cs="宋体" w:eastAsia="宋体" w:hint="default"/>
                <w:sz w:val="18"/>
                <w:szCs w:val="18"/>
              </w:rPr>
            </w:pPr>
            <w:r>
              <w:rPr>
                <w:rFonts w:ascii="宋体"/>
                <w:sz w:val="18"/>
              </w:rPr>
              <w:t>2,180,970.03</w:t>
            </w:r>
          </w:p>
        </w:tc>
        <w:tc>
          <w:tcPr>
            <w:tcW w:w="159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2" w:right="0"/>
              <w:jc w:val="left"/>
              <w:rPr>
                <w:rFonts w:ascii="宋体" w:hAnsi="宋体" w:cs="宋体" w:eastAsia="宋体" w:hint="default"/>
                <w:sz w:val="18"/>
                <w:szCs w:val="18"/>
              </w:rPr>
            </w:pPr>
            <w:r>
              <w:rPr>
                <w:rFonts w:ascii="宋体"/>
                <w:sz w:val="18"/>
              </w:rPr>
              <w:t>58,385,842.33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right="1024"/>
        <w:jc w:val="left"/>
        <w:rPr>
          <w:b w:val="0"/>
          <w:bCs w:val="0"/>
        </w:rPr>
      </w:pPr>
      <w:bookmarkStart w:name="21、商誉" w:id="321"/>
      <w:bookmarkEnd w:id="321"/>
      <w:r>
        <w:rPr>
          <w:b w:val="0"/>
          <w:bCs w:val="0"/>
        </w:rPr>
      </w:r>
      <w:r>
        <w:rPr>
          <w:rFonts w:ascii="宋体" w:hAnsi="宋体" w:cs="宋体" w:eastAsia="宋体" w:hint="default"/>
        </w:rPr>
        <w:t>21</w:t>
      </w:r>
      <w:r>
        <w:rPr/>
        <w:t>、商誉</w:t>
      </w:r>
      <w:r>
        <w:rPr>
          <w:b w:val="0"/>
          <w:bCs w:val="0"/>
        </w:rPr>
      </w:r>
    </w:p>
    <w:p>
      <w:pPr>
        <w:spacing w:line="240" w:lineRule="auto" w:before="8"/>
        <w:rPr>
          <w:rFonts w:ascii="宋体" w:hAnsi="宋体" w:cs="宋体" w:eastAsia="宋体" w:hint="default"/>
          <w:b/>
          <w:bCs/>
          <w:sz w:val="25"/>
          <w:szCs w:val="25"/>
        </w:rPr>
      </w:pPr>
    </w:p>
    <w:p>
      <w:pPr>
        <w:pStyle w:val="Heading4"/>
        <w:spacing w:line="240" w:lineRule="auto" w:before="0"/>
        <w:ind w:right="1024"/>
        <w:jc w:val="left"/>
        <w:rPr>
          <w:b w:val="0"/>
          <w:bCs w:val="0"/>
        </w:rPr>
      </w:pPr>
      <w:bookmarkStart w:name="（1）商誉账面原值" w:id="322"/>
      <w:bookmarkEnd w:id="322"/>
      <w:r>
        <w:rPr>
          <w:b w:val="0"/>
          <w:bCs w:val="0"/>
        </w:rPr>
      </w:r>
      <w:r>
        <w:rPr/>
        <w:t>（</w:t>
      </w:r>
      <w:r>
        <w:rPr>
          <w:rFonts w:ascii="宋体" w:hAnsi="宋体" w:cs="宋体" w:eastAsia="宋体" w:hint="default"/>
        </w:rPr>
        <w:t>1</w:t>
      </w:r>
      <w:r>
        <w:rPr/>
        <w:t>）商誉账面原值</w:t>
      </w:r>
      <w:r>
        <w:rPr>
          <w:b w:val="0"/>
          <w:bCs w:val="0"/>
        </w:rPr>
      </w:r>
    </w:p>
    <w:p>
      <w:pPr>
        <w:spacing w:line="240" w:lineRule="auto" w:before="1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369"/>
        <w:gridCol w:w="1527"/>
        <w:gridCol w:w="1205"/>
        <w:gridCol w:w="1368"/>
        <w:gridCol w:w="1368"/>
        <w:gridCol w:w="1369"/>
        <w:gridCol w:w="1561"/>
      </w:tblGrid>
      <w:tr>
        <w:trPr>
          <w:trHeight w:val="413" w:hRule="exact"/>
        </w:trPr>
        <w:tc>
          <w:tcPr>
            <w:tcW w:w="1369" w:type="dxa"/>
            <w:vMerge w:val="restart"/>
            <w:tcBorders>
              <w:top w:val="single" w:sz="12" w:space="0" w:color="000000"/>
              <w:left w:val="single" w:sz="12" w:space="0" w:color="000000"/>
              <w:right w:val="single" w:sz="4" w:space="0" w:color="000000"/>
            </w:tcBorders>
            <w:shd w:val="clear" w:color="auto" w:fill="D2D2D2"/>
          </w:tcPr>
          <w:p>
            <w:pPr>
              <w:pStyle w:val="TableParagraph"/>
              <w:spacing w:line="316" w:lineRule="auto" w:before="101"/>
              <w:ind w:left="129" w:right="132"/>
              <w:jc w:val="center"/>
              <w:rPr>
                <w:rFonts w:ascii="宋体" w:hAnsi="宋体" w:cs="宋体" w:eastAsia="宋体" w:hint="default"/>
                <w:sz w:val="18"/>
                <w:szCs w:val="18"/>
              </w:rPr>
            </w:pPr>
            <w:r>
              <w:rPr>
                <w:rFonts w:ascii="宋体" w:hAnsi="宋体" w:cs="宋体" w:eastAsia="宋体" w:hint="default"/>
                <w:spacing w:val="-2"/>
                <w:sz w:val="18"/>
                <w:szCs w:val="18"/>
              </w:rPr>
              <w:t>被投资单位名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称或形成商誉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的事项</w:t>
            </w:r>
          </w:p>
        </w:tc>
        <w:tc>
          <w:tcPr>
            <w:tcW w:w="1527"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74"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61"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9" w:type="dxa"/>
            <w:vMerge/>
            <w:tcBorders>
              <w:left w:val="single" w:sz="12" w:space="0" w:color="000000"/>
              <w:bottom w:val="single" w:sz="4" w:space="0" w:color="000000"/>
              <w:right w:val="single" w:sz="4" w:space="0" w:color="000000"/>
            </w:tcBorders>
            <w:shd w:val="clear" w:color="auto" w:fill="D2D2D2"/>
          </w:tcPr>
          <w:p>
            <w:pPr/>
          </w:p>
        </w:tc>
        <w:tc>
          <w:tcPr>
            <w:tcW w:w="1527" w:type="dxa"/>
            <w:vMerge/>
            <w:tcBorders>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18" w:right="142" w:hanging="270"/>
              <w:jc w:val="left"/>
              <w:rPr>
                <w:rFonts w:ascii="宋体" w:hAnsi="宋体" w:cs="宋体" w:eastAsia="宋体" w:hint="default"/>
                <w:sz w:val="18"/>
                <w:szCs w:val="18"/>
              </w:rPr>
            </w:pPr>
            <w:r>
              <w:rPr>
                <w:rFonts w:ascii="宋体" w:hAnsi="宋体" w:cs="宋体" w:eastAsia="宋体" w:hint="default"/>
                <w:spacing w:val="-2"/>
                <w:sz w:val="18"/>
                <w:szCs w:val="18"/>
              </w:rPr>
              <w:t>企业合并形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成的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12" w:space="0" w:color="000000"/>
            </w:tcBorders>
            <w:shd w:val="clear" w:color="auto" w:fill="D2D2D2"/>
          </w:tcPr>
          <w:p>
            <w:pPr/>
          </w:p>
        </w:tc>
      </w:tr>
      <w:tr>
        <w:trPr>
          <w:trHeight w:val="1028" w:hRule="exact"/>
        </w:trPr>
        <w:tc>
          <w:tcPr>
            <w:tcW w:w="13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4"/>
              <w:ind w:left="95" w:right="166"/>
              <w:jc w:val="both"/>
              <w:rPr>
                <w:rFonts w:ascii="宋体" w:hAnsi="宋体" w:cs="宋体" w:eastAsia="宋体" w:hint="default"/>
                <w:sz w:val="18"/>
                <w:szCs w:val="18"/>
              </w:rPr>
            </w:pPr>
            <w:r>
              <w:rPr>
                <w:rFonts w:ascii="宋体" w:hAnsi="宋体" w:cs="宋体" w:eastAsia="宋体" w:hint="default"/>
                <w:sz w:val="18"/>
                <w:szCs w:val="18"/>
              </w:rPr>
              <w:t>南京云商天下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4"/>
              <w:jc w:val="right"/>
              <w:rPr>
                <w:rFonts w:ascii="宋体" w:hAnsi="宋体" w:cs="宋体" w:eastAsia="宋体" w:hint="default"/>
                <w:sz w:val="18"/>
                <w:szCs w:val="18"/>
              </w:rPr>
            </w:pPr>
            <w:r>
              <w:rPr>
                <w:rFonts w:ascii="宋体"/>
                <w:spacing w:val="-1"/>
                <w:sz w:val="18"/>
              </w:rPr>
              <w:t>3,828,073.75</w:t>
            </w:r>
          </w:p>
        </w:tc>
        <w:tc>
          <w:tcPr>
            <w:tcW w:w="120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89"/>
              <w:jc w:val="right"/>
              <w:rPr>
                <w:rFonts w:ascii="宋体" w:hAnsi="宋体" w:cs="宋体" w:eastAsia="宋体" w:hint="default"/>
                <w:sz w:val="18"/>
                <w:szCs w:val="18"/>
              </w:rPr>
            </w:pPr>
            <w:r>
              <w:rPr>
                <w:rFonts w:ascii="宋体"/>
                <w:spacing w:val="-1"/>
                <w:sz w:val="18"/>
              </w:rPr>
              <w:t>3,828,073.75</w:t>
            </w:r>
          </w:p>
        </w:tc>
      </w:tr>
      <w:tr>
        <w:trPr>
          <w:trHeight w:val="710" w:hRule="exact"/>
        </w:trPr>
        <w:tc>
          <w:tcPr>
            <w:tcW w:w="13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66"/>
              <w:jc w:val="left"/>
              <w:rPr>
                <w:rFonts w:ascii="宋体" w:hAnsi="宋体" w:cs="宋体" w:eastAsia="宋体" w:hint="default"/>
                <w:sz w:val="18"/>
                <w:szCs w:val="18"/>
              </w:rPr>
            </w:pPr>
            <w:r>
              <w:rPr>
                <w:rFonts w:ascii="宋体" w:hAnsi="宋体" w:cs="宋体" w:eastAsia="宋体" w:hint="default"/>
                <w:sz w:val="18"/>
                <w:szCs w:val="18"/>
              </w:rPr>
              <w:t>湖北索瑞电气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319,477,893.35</w:t>
            </w:r>
          </w:p>
        </w:tc>
        <w:tc>
          <w:tcPr>
            <w:tcW w:w="120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spacing w:val="-2"/>
                <w:sz w:val="18"/>
              </w:rPr>
              <w:t>319,477,893.35</w:t>
            </w:r>
          </w:p>
        </w:tc>
      </w:tr>
      <w:tr>
        <w:trPr>
          <w:trHeight w:val="1028" w:hRule="exact"/>
        </w:trPr>
        <w:tc>
          <w:tcPr>
            <w:tcW w:w="13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9"/>
              <w:ind w:left="95" w:right="166"/>
              <w:jc w:val="both"/>
              <w:rPr>
                <w:rFonts w:ascii="宋体" w:hAnsi="宋体" w:cs="宋体" w:eastAsia="宋体" w:hint="default"/>
                <w:sz w:val="18"/>
                <w:szCs w:val="18"/>
              </w:rPr>
            </w:pPr>
            <w:r>
              <w:rPr>
                <w:rFonts w:ascii="宋体" w:hAnsi="宋体" w:cs="宋体" w:eastAsia="宋体" w:hint="default"/>
                <w:sz w:val="18"/>
                <w:szCs w:val="18"/>
              </w:rPr>
              <w:t>江苏光一德能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电气工程有限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94"/>
              <w:jc w:val="right"/>
              <w:rPr>
                <w:rFonts w:ascii="宋体" w:hAnsi="宋体" w:cs="宋体" w:eastAsia="宋体" w:hint="default"/>
                <w:sz w:val="18"/>
                <w:szCs w:val="18"/>
              </w:rPr>
            </w:pPr>
            <w:r>
              <w:rPr>
                <w:rFonts w:ascii="宋体"/>
                <w:spacing w:val="-1"/>
                <w:sz w:val="18"/>
              </w:rPr>
              <w:t>8,390,274.10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89"/>
              <w:jc w:val="right"/>
              <w:rPr>
                <w:rFonts w:ascii="宋体" w:hAnsi="宋体" w:cs="宋体" w:eastAsia="宋体" w:hint="default"/>
                <w:sz w:val="18"/>
                <w:szCs w:val="18"/>
              </w:rPr>
            </w:pPr>
            <w:r>
              <w:rPr>
                <w:rFonts w:ascii="宋体"/>
                <w:spacing w:val="-1"/>
                <w:sz w:val="18"/>
              </w:rPr>
              <w:t>8,390,274.10</w:t>
            </w:r>
          </w:p>
        </w:tc>
      </w:tr>
      <w:tr>
        <w:trPr>
          <w:trHeight w:val="1028" w:hRule="exact"/>
        </w:trPr>
        <w:tc>
          <w:tcPr>
            <w:tcW w:w="13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66"/>
              <w:jc w:val="both"/>
              <w:rPr>
                <w:rFonts w:ascii="宋体" w:hAnsi="宋体" w:cs="宋体" w:eastAsia="宋体" w:hint="default"/>
                <w:sz w:val="18"/>
                <w:szCs w:val="18"/>
              </w:rPr>
            </w:pPr>
            <w:r>
              <w:rPr>
                <w:rFonts w:ascii="宋体" w:hAnsi="宋体" w:cs="宋体" w:eastAsia="宋体" w:hint="default"/>
                <w:sz w:val="18"/>
                <w:szCs w:val="18"/>
              </w:rPr>
              <w:t>江苏德能电力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设计咨询有限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4"/>
              <w:jc w:val="right"/>
              <w:rPr>
                <w:rFonts w:ascii="宋体" w:hAnsi="宋体" w:cs="宋体" w:eastAsia="宋体" w:hint="default"/>
                <w:sz w:val="18"/>
                <w:szCs w:val="18"/>
              </w:rPr>
            </w:pPr>
            <w:r>
              <w:rPr>
                <w:rFonts w:ascii="宋体"/>
                <w:spacing w:val="-1"/>
                <w:sz w:val="18"/>
              </w:rPr>
              <w:t>24,652,381.50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z w:val="18"/>
              </w:rPr>
              <w:t>24,652,381.50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136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356,348,622.70</w:t>
            </w:r>
          </w:p>
        </w:tc>
        <w:tc>
          <w:tcPr>
            <w:tcW w:w="1205" w:type="dxa"/>
            <w:tcBorders>
              <w:top w:val="single" w:sz="4" w:space="0" w:color="000000"/>
              <w:left w:val="single" w:sz="4" w:space="0" w:color="000000"/>
              <w:bottom w:val="single" w:sz="12" w:space="0" w:color="000000"/>
              <w:right w:val="single" w:sz="4" w:space="0" w:color="000000"/>
            </w:tcBorders>
          </w:tcPr>
          <w:p>
            <w:pPr/>
          </w:p>
        </w:tc>
        <w:tc>
          <w:tcPr>
            <w:tcW w:w="1368" w:type="dxa"/>
            <w:tcBorders>
              <w:top w:val="single" w:sz="4" w:space="0" w:color="000000"/>
              <w:left w:val="single" w:sz="4" w:space="0" w:color="000000"/>
              <w:bottom w:val="single" w:sz="12" w:space="0" w:color="000000"/>
              <w:right w:val="single" w:sz="4" w:space="0" w:color="000000"/>
            </w:tcBorders>
          </w:tcPr>
          <w:p>
            <w:pP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left="123" w:right="0"/>
              <w:jc w:val="center"/>
              <w:rPr>
                <w:rFonts w:ascii="Times New Roman" w:hAnsi="Times New Roman" w:cs="Times New Roman" w:eastAsia="Times New Roman" w:hint="default"/>
                <w:sz w:val="18"/>
                <w:szCs w:val="18"/>
              </w:rPr>
            </w:pPr>
            <w:r>
              <w:rPr>
                <w:rFonts w:ascii="Times New Roman"/>
                <w:sz w:val="18"/>
              </w:rPr>
              <w:t>24,652,381.50</w:t>
            </w:r>
          </w:p>
        </w:tc>
        <w:tc>
          <w:tcPr>
            <w:tcW w:w="1369" w:type="dxa"/>
            <w:tcBorders>
              <w:top w:val="single" w:sz="4" w:space="0" w:color="000000"/>
              <w:left w:val="single" w:sz="4" w:space="0" w:color="000000"/>
              <w:bottom w:val="single" w:sz="12" w:space="0" w:color="000000"/>
              <w:right w:val="single" w:sz="4" w:space="0" w:color="000000"/>
            </w:tcBorders>
          </w:tcPr>
          <w:p>
            <w:pPr/>
          </w:p>
        </w:tc>
        <w:tc>
          <w:tcPr>
            <w:tcW w:w="156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6"/>
              <w:ind w:right="90"/>
              <w:jc w:val="right"/>
              <w:rPr>
                <w:rFonts w:ascii="Times New Roman" w:hAnsi="Times New Roman" w:cs="Times New Roman" w:eastAsia="Times New Roman" w:hint="default"/>
                <w:sz w:val="18"/>
                <w:szCs w:val="18"/>
              </w:rPr>
            </w:pPr>
            <w:r>
              <w:rPr>
                <w:rFonts w:ascii="Times New Roman"/>
                <w:spacing w:val="-1"/>
                <w:sz w:val="18"/>
              </w:rPr>
              <w:t>331,696,241.20</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2）商誉减值准备" w:id="323"/>
      <w:bookmarkEnd w:id="323"/>
      <w:r>
        <w:rPr>
          <w:b w:val="0"/>
          <w:bCs w:val="0"/>
        </w:rPr>
      </w:r>
      <w:r>
        <w:rPr/>
        <w:t>（</w:t>
      </w:r>
      <w:r>
        <w:rPr>
          <w:rFonts w:ascii="宋体" w:hAnsi="宋体" w:cs="宋体" w:eastAsia="宋体" w:hint="default"/>
        </w:rPr>
        <w:t>2</w:t>
      </w:r>
      <w:r>
        <w:rPr/>
        <w:t>）商誉减值准备</w:t>
      </w:r>
      <w:r>
        <w:rPr>
          <w:b w:val="0"/>
          <w:bCs w:val="0"/>
        </w:rPr>
      </w:r>
    </w:p>
    <w:p>
      <w:pPr>
        <w:spacing w:line="240" w:lineRule="auto" w:before="5"/>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369"/>
        <w:gridCol w:w="1661"/>
        <w:gridCol w:w="1071"/>
        <w:gridCol w:w="1368"/>
        <w:gridCol w:w="1580"/>
        <w:gridCol w:w="1157"/>
        <w:gridCol w:w="1633"/>
      </w:tblGrid>
      <w:tr>
        <w:trPr>
          <w:trHeight w:val="410" w:hRule="exact"/>
        </w:trPr>
        <w:tc>
          <w:tcPr>
            <w:tcW w:w="1369" w:type="dxa"/>
            <w:vMerge w:val="restart"/>
            <w:tcBorders>
              <w:top w:val="single" w:sz="12" w:space="0" w:color="000000"/>
              <w:left w:val="single" w:sz="12" w:space="0" w:color="000000"/>
              <w:right w:val="single" w:sz="4" w:space="0" w:color="000000"/>
            </w:tcBorders>
            <w:shd w:val="clear" w:color="auto" w:fill="D2D2D2"/>
          </w:tcPr>
          <w:p>
            <w:pPr>
              <w:pStyle w:val="TableParagraph"/>
              <w:spacing w:line="316" w:lineRule="auto" w:before="53"/>
              <w:ind w:left="129" w:right="132"/>
              <w:jc w:val="center"/>
              <w:rPr>
                <w:rFonts w:ascii="宋体" w:hAnsi="宋体" w:cs="宋体" w:eastAsia="宋体" w:hint="default"/>
                <w:sz w:val="18"/>
                <w:szCs w:val="18"/>
              </w:rPr>
            </w:pPr>
            <w:r>
              <w:rPr>
                <w:rFonts w:ascii="宋体" w:hAnsi="宋体" w:cs="宋体" w:eastAsia="宋体" w:hint="default"/>
                <w:spacing w:val="-2"/>
                <w:sz w:val="18"/>
                <w:szCs w:val="18"/>
              </w:rPr>
              <w:t>被投资单位名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称或形成商誉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的事项</w:t>
            </w:r>
          </w:p>
        </w:tc>
        <w:tc>
          <w:tcPr>
            <w:tcW w:w="1661"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39"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633"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2" w:hRule="exact"/>
        </w:trPr>
        <w:tc>
          <w:tcPr>
            <w:tcW w:w="1369" w:type="dxa"/>
            <w:vMerge/>
            <w:tcBorders>
              <w:left w:val="single" w:sz="12" w:space="0" w:color="000000"/>
              <w:bottom w:val="single" w:sz="4" w:space="0" w:color="000000"/>
              <w:right w:val="single" w:sz="4" w:space="0" w:color="000000"/>
            </w:tcBorders>
            <w:shd w:val="clear" w:color="auto" w:fill="D2D2D2"/>
          </w:tcPr>
          <w:p>
            <w:pPr/>
          </w:p>
        </w:tc>
        <w:tc>
          <w:tcPr>
            <w:tcW w:w="1661" w:type="dxa"/>
            <w:vMerge/>
            <w:tcBorders>
              <w:left w:val="single" w:sz="4" w:space="0" w:color="000000"/>
              <w:bottom w:val="single" w:sz="4" w:space="0" w:color="000000"/>
              <w:right w:val="single" w:sz="4" w:space="0" w:color="000000"/>
            </w:tcBorders>
            <w:shd w:val="clear" w:color="auto" w:fill="D2D2D2"/>
          </w:tcPr>
          <w:p>
            <w:pP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3" w:type="dxa"/>
            <w:vMerge/>
            <w:tcBorders>
              <w:left w:val="single" w:sz="4" w:space="0" w:color="000000"/>
              <w:bottom w:val="single" w:sz="4" w:space="0" w:color="000000"/>
              <w:right w:val="single" w:sz="12" w:space="0" w:color="000000"/>
            </w:tcBorders>
            <w:shd w:val="clear" w:color="auto" w:fill="D2D2D2"/>
          </w:tcPr>
          <w:p>
            <w:pPr/>
          </w:p>
        </w:tc>
      </w:tr>
      <w:tr>
        <w:trPr>
          <w:trHeight w:val="1028" w:hRule="exact"/>
        </w:trPr>
        <w:tc>
          <w:tcPr>
            <w:tcW w:w="13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8"/>
              <w:ind w:left="95" w:right="166"/>
              <w:jc w:val="both"/>
              <w:rPr>
                <w:rFonts w:ascii="宋体" w:hAnsi="宋体" w:cs="宋体" w:eastAsia="宋体" w:hint="default"/>
                <w:sz w:val="18"/>
                <w:szCs w:val="18"/>
              </w:rPr>
            </w:pPr>
            <w:r>
              <w:rPr>
                <w:rFonts w:ascii="宋体" w:hAnsi="宋体" w:cs="宋体" w:eastAsia="宋体" w:hint="default"/>
                <w:sz w:val="18"/>
                <w:szCs w:val="18"/>
              </w:rPr>
              <w:t>南京云商天下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94"/>
              <w:jc w:val="right"/>
              <w:rPr>
                <w:rFonts w:ascii="宋体" w:hAnsi="宋体" w:cs="宋体" w:eastAsia="宋体" w:hint="default"/>
                <w:sz w:val="18"/>
                <w:szCs w:val="18"/>
              </w:rPr>
            </w:pPr>
            <w:r>
              <w:rPr>
                <w:rFonts w:ascii="宋体"/>
                <w:spacing w:val="-1"/>
                <w:sz w:val="18"/>
              </w:rPr>
              <w:t>3,828,073.75</w:t>
            </w: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84"/>
              <w:jc w:val="right"/>
              <w:rPr>
                <w:rFonts w:ascii="宋体" w:hAnsi="宋体" w:cs="宋体" w:eastAsia="宋体" w:hint="default"/>
                <w:sz w:val="18"/>
                <w:szCs w:val="18"/>
              </w:rPr>
            </w:pPr>
            <w:r>
              <w:rPr>
                <w:rFonts w:ascii="宋体"/>
                <w:spacing w:val="-1"/>
                <w:sz w:val="18"/>
              </w:rPr>
              <w:t>3,828,073.75</w:t>
            </w:r>
          </w:p>
        </w:tc>
      </w:tr>
      <w:tr>
        <w:trPr>
          <w:trHeight w:val="715" w:hRule="exact"/>
        </w:trPr>
        <w:tc>
          <w:tcPr>
            <w:tcW w:w="13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66"/>
              <w:jc w:val="left"/>
              <w:rPr>
                <w:rFonts w:ascii="宋体" w:hAnsi="宋体" w:cs="宋体" w:eastAsia="宋体" w:hint="default"/>
                <w:sz w:val="18"/>
                <w:szCs w:val="18"/>
              </w:rPr>
            </w:pPr>
            <w:r>
              <w:rPr>
                <w:rFonts w:ascii="宋体" w:hAnsi="宋体" w:cs="宋体" w:eastAsia="宋体" w:hint="default"/>
                <w:sz w:val="18"/>
                <w:szCs w:val="18"/>
              </w:rPr>
              <w:t>湖北索瑞电气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319,477,893.35</w:t>
            </w: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2"/>
                <w:sz w:val="18"/>
              </w:rPr>
              <w:t>319,477,893.35</w:t>
            </w:r>
          </w:p>
        </w:tc>
      </w:tr>
      <w:tr>
        <w:trPr>
          <w:trHeight w:val="1028" w:hRule="exact"/>
        </w:trPr>
        <w:tc>
          <w:tcPr>
            <w:tcW w:w="136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5" w:right="166"/>
              <w:jc w:val="both"/>
              <w:rPr>
                <w:rFonts w:ascii="宋体" w:hAnsi="宋体" w:cs="宋体" w:eastAsia="宋体" w:hint="default"/>
                <w:sz w:val="18"/>
                <w:szCs w:val="18"/>
              </w:rPr>
            </w:pPr>
            <w:r>
              <w:rPr>
                <w:rFonts w:ascii="宋体" w:hAnsi="宋体" w:cs="宋体" w:eastAsia="宋体" w:hint="default"/>
                <w:sz w:val="18"/>
                <w:szCs w:val="18"/>
              </w:rPr>
              <w:t>江苏光一德能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电气工程有限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4"/>
              <w:jc w:val="right"/>
              <w:rPr>
                <w:rFonts w:ascii="宋体" w:hAnsi="宋体" w:cs="宋体" w:eastAsia="宋体" w:hint="default"/>
                <w:sz w:val="18"/>
                <w:szCs w:val="18"/>
              </w:rPr>
            </w:pPr>
            <w:r>
              <w:rPr>
                <w:rFonts w:ascii="宋体"/>
                <w:spacing w:val="-1"/>
                <w:sz w:val="18"/>
              </w:rPr>
              <w:t>4,952,135.98</w:t>
            </w: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84"/>
              <w:jc w:val="right"/>
              <w:rPr>
                <w:rFonts w:ascii="宋体" w:hAnsi="宋体" w:cs="宋体" w:eastAsia="宋体" w:hint="default"/>
                <w:sz w:val="18"/>
                <w:szCs w:val="18"/>
              </w:rPr>
            </w:pPr>
            <w:r>
              <w:rPr>
                <w:rFonts w:ascii="宋体"/>
                <w:spacing w:val="-1"/>
                <w:sz w:val="18"/>
              </w:rPr>
              <w:t>4,952,135.98</w:t>
            </w:r>
          </w:p>
        </w:tc>
      </w:tr>
      <w:tr>
        <w:trPr>
          <w:trHeight w:val="413" w:hRule="exact"/>
        </w:trPr>
        <w:tc>
          <w:tcPr>
            <w:tcW w:w="136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73"/>
              <w:ind w:left="95" w:right="0"/>
              <w:jc w:val="left"/>
              <w:rPr>
                <w:rFonts w:ascii="宋体" w:hAnsi="宋体" w:cs="宋体" w:eastAsia="宋体" w:hint="default"/>
                <w:sz w:val="18"/>
                <w:szCs w:val="18"/>
              </w:rPr>
            </w:pPr>
            <w:r>
              <w:rPr>
                <w:rFonts w:ascii="宋体" w:hAnsi="宋体" w:cs="宋体" w:eastAsia="宋体" w:hint="default"/>
                <w:sz w:val="18"/>
                <w:szCs w:val="18"/>
              </w:rPr>
              <w:t>江苏德能电力</w:t>
            </w: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24,652,381.50</w:t>
            </w:r>
          </w:p>
        </w:tc>
        <w:tc>
          <w:tcPr>
            <w:tcW w:w="1071" w:type="dxa"/>
            <w:tcBorders>
              <w:top w:val="single" w:sz="4" w:space="0" w:color="000000"/>
              <w:left w:val="single" w:sz="4" w:space="0" w:color="000000"/>
              <w:bottom w:val="single" w:sz="12" w:space="0" w:color="000000"/>
              <w:right w:val="single" w:sz="4" w:space="0" w:color="000000"/>
            </w:tcBorders>
          </w:tcPr>
          <w:p>
            <w:pPr/>
          </w:p>
        </w:tc>
        <w:tc>
          <w:tcPr>
            <w:tcW w:w="1368" w:type="dxa"/>
            <w:tcBorders>
              <w:top w:val="single" w:sz="4" w:space="0" w:color="000000"/>
              <w:left w:val="single" w:sz="4" w:space="0" w:color="000000"/>
              <w:bottom w:val="single" w:sz="12" w:space="0" w:color="000000"/>
              <w:right w:val="single" w:sz="4" w:space="0" w:color="000000"/>
            </w:tcBorders>
          </w:tcPr>
          <w:p>
            <w:pP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297" w:right="0"/>
              <w:jc w:val="left"/>
              <w:rPr>
                <w:rFonts w:ascii="宋体" w:hAnsi="宋体" w:cs="宋体" w:eastAsia="宋体" w:hint="default"/>
                <w:sz w:val="18"/>
                <w:szCs w:val="18"/>
              </w:rPr>
            </w:pPr>
            <w:r>
              <w:rPr>
                <w:rFonts w:ascii="宋体"/>
                <w:sz w:val="18"/>
              </w:rPr>
              <w:t>24,652,381.50</w:t>
            </w:r>
          </w:p>
        </w:tc>
        <w:tc>
          <w:tcPr>
            <w:tcW w:w="1157" w:type="dxa"/>
            <w:tcBorders>
              <w:top w:val="single" w:sz="4" w:space="0" w:color="000000"/>
              <w:left w:val="single" w:sz="4" w:space="0" w:color="000000"/>
              <w:bottom w:val="single" w:sz="12" w:space="0" w:color="000000"/>
              <w:right w:val="single" w:sz="4" w:space="0" w:color="000000"/>
            </w:tcBorders>
          </w:tcPr>
          <w:p>
            <w:pPr/>
          </w:p>
        </w:tc>
        <w:tc>
          <w:tcPr>
            <w:tcW w:w="1633"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369"/>
        <w:gridCol w:w="1661"/>
        <w:gridCol w:w="1071"/>
        <w:gridCol w:w="1368"/>
        <w:gridCol w:w="1580"/>
        <w:gridCol w:w="1157"/>
        <w:gridCol w:w="1633"/>
      </w:tblGrid>
      <w:tr>
        <w:trPr>
          <w:trHeight w:val="686" w:hRule="exact"/>
        </w:trPr>
        <w:tc>
          <w:tcPr>
            <w:tcW w:w="1369"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10"/>
              <w:ind w:left="95" w:right="166"/>
              <w:jc w:val="left"/>
              <w:rPr>
                <w:rFonts w:ascii="宋体" w:hAnsi="宋体" w:cs="宋体" w:eastAsia="宋体" w:hint="default"/>
                <w:sz w:val="18"/>
                <w:szCs w:val="18"/>
              </w:rPr>
            </w:pPr>
            <w:r>
              <w:rPr>
                <w:rFonts w:ascii="宋体" w:hAnsi="宋体" w:cs="宋体" w:eastAsia="宋体" w:hint="default"/>
                <w:sz w:val="18"/>
                <w:szCs w:val="18"/>
              </w:rPr>
              <w:t>设计咨询有限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661" w:type="dxa"/>
            <w:tcBorders>
              <w:top w:val="single" w:sz="12" w:space="0" w:color="000000"/>
              <w:left w:val="single" w:sz="4" w:space="0" w:color="000000"/>
              <w:bottom w:val="single" w:sz="4" w:space="0" w:color="000000"/>
              <w:right w:val="single" w:sz="4" w:space="0" w:color="000000"/>
            </w:tcBorders>
          </w:tcPr>
          <w:p>
            <w:pPr/>
          </w:p>
        </w:tc>
        <w:tc>
          <w:tcPr>
            <w:tcW w:w="1071" w:type="dxa"/>
            <w:tcBorders>
              <w:top w:val="single" w:sz="12" w:space="0" w:color="000000"/>
              <w:left w:val="single" w:sz="4" w:space="0" w:color="000000"/>
              <w:bottom w:val="single" w:sz="4" w:space="0" w:color="000000"/>
              <w:right w:val="single" w:sz="4" w:space="0" w:color="000000"/>
            </w:tcBorders>
          </w:tcPr>
          <w:p>
            <w:pPr/>
          </w:p>
        </w:tc>
        <w:tc>
          <w:tcPr>
            <w:tcW w:w="1368" w:type="dxa"/>
            <w:tcBorders>
              <w:top w:val="single" w:sz="12" w:space="0" w:color="000000"/>
              <w:left w:val="single" w:sz="4" w:space="0" w:color="000000"/>
              <w:bottom w:val="single" w:sz="4" w:space="0" w:color="000000"/>
              <w:right w:val="single" w:sz="4" w:space="0" w:color="000000"/>
            </w:tcBorders>
          </w:tcPr>
          <w:p>
            <w:pPr/>
          </w:p>
        </w:tc>
        <w:tc>
          <w:tcPr>
            <w:tcW w:w="1580" w:type="dxa"/>
            <w:tcBorders>
              <w:top w:val="single" w:sz="12" w:space="0" w:color="000000"/>
              <w:left w:val="single" w:sz="4" w:space="0" w:color="000000"/>
              <w:bottom w:val="single" w:sz="4" w:space="0" w:color="000000"/>
              <w:right w:val="single" w:sz="4" w:space="0" w:color="000000"/>
            </w:tcBorders>
          </w:tcPr>
          <w:p>
            <w:pPr/>
          </w:p>
        </w:tc>
        <w:tc>
          <w:tcPr>
            <w:tcW w:w="1157" w:type="dxa"/>
            <w:tcBorders>
              <w:top w:val="single" w:sz="12" w:space="0" w:color="000000"/>
              <w:left w:val="single" w:sz="4" w:space="0" w:color="000000"/>
              <w:bottom w:val="single" w:sz="4" w:space="0" w:color="000000"/>
              <w:right w:val="single" w:sz="4" w:space="0" w:color="000000"/>
            </w:tcBorders>
          </w:tcPr>
          <w:p>
            <w:pPr/>
          </w:p>
        </w:tc>
        <w:tc>
          <w:tcPr>
            <w:tcW w:w="1633" w:type="dxa"/>
            <w:tcBorders>
              <w:top w:val="single" w:sz="12" w:space="0" w:color="000000"/>
              <w:left w:val="single" w:sz="4" w:space="0" w:color="000000"/>
              <w:bottom w:val="single" w:sz="4" w:space="0" w:color="000000"/>
              <w:right w:val="single" w:sz="12" w:space="0" w:color="000000"/>
            </w:tcBorders>
          </w:tcPr>
          <w:p>
            <w:pPr/>
          </w:p>
        </w:tc>
      </w:tr>
      <w:tr>
        <w:trPr>
          <w:trHeight w:val="413" w:hRule="exact"/>
        </w:trPr>
        <w:tc>
          <w:tcPr>
            <w:tcW w:w="136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292" w:right="0"/>
              <w:jc w:val="left"/>
              <w:rPr>
                <w:rFonts w:ascii="宋体" w:hAnsi="宋体" w:cs="宋体" w:eastAsia="宋体" w:hint="default"/>
                <w:sz w:val="18"/>
                <w:szCs w:val="18"/>
              </w:rPr>
            </w:pPr>
            <w:r>
              <w:rPr>
                <w:rFonts w:ascii="宋体"/>
                <w:sz w:val="18"/>
              </w:rPr>
              <w:t>352,910,484.58</w:t>
            </w:r>
          </w:p>
        </w:tc>
        <w:tc>
          <w:tcPr>
            <w:tcW w:w="1071" w:type="dxa"/>
            <w:tcBorders>
              <w:top w:val="single" w:sz="4" w:space="0" w:color="000000"/>
              <w:left w:val="single" w:sz="4" w:space="0" w:color="000000"/>
              <w:bottom w:val="single" w:sz="12" w:space="0" w:color="000000"/>
              <w:right w:val="single" w:sz="4" w:space="0" w:color="000000"/>
            </w:tcBorders>
          </w:tcPr>
          <w:p>
            <w:pPr/>
          </w:p>
        </w:tc>
        <w:tc>
          <w:tcPr>
            <w:tcW w:w="1368" w:type="dxa"/>
            <w:tcBorders>
              <w:top w:val="single" w:sz="4" w:space="0" w:color="000000"/>
              <w:left w:val="single" w:sz="4" w:space="0" w:color="000000"/>
              <w:bottom w:val="single" w:sz="12" w:space="0" w:color="000000"/>
              <w:right w:val="single" w:sz="4" w:space="0" w:color="000000"/>
            </w:tcBorders>
          </w:tcPr>
          <w:p>
            <w:pP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297" w:right="0"/>
              <w:jc w:val="left"/>
              <w:rPr>
                <w:rFonts w:ascii="宋体" w:hAnsi="宋体" w:cs="宋体" w:eastAsia="宋体" w:hint="default"/>
                <w:sz w:val="18"/>
                <w:szCs w:val="18"/>
              </w:rPr>
            </w:pPr>
            <w:r>
              <w:rPr>
                <w:rFonts w:ascii="宋体"/>
                <w:sz w:val="18"/>
              </w:rPr>
              <w:t>24,652,381.50</w:t>
            </w:r>
          </w:p>
        </w:tc>
        <w:tc>
          <w:tcPr>
            <w:tcW w:w="1157" w:type="dxa"/>
            <w:tcBorders>
              <w:top w:val="single" w:sz="4" w:space="0" w:color="000000"/>
              <w:left w:val="single" w:sz="4" w:space="0" w:color="000000"/>
              <w:bottom w:val="single" w:sz="12" w:space="0" w:color="000000"/>
              <w:right w:val="single" w:sz="4" w:space="0" w:color="000000"/>
            </w:tcBorders>
          </w:tcPr>
          <w:p>
            <w:pPr/>
          </w:p>
        </w:tc>
        <w:tc>
          <w:tcPr>
            <w:tcW w:w="163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6"/>
              <w:ind w:left="398" w:right="0"/>
              <w:jc w:val="left"/>
              <w:rPr>
                <w:rFonts w:ascii="Times New Roman" w:hAnsi="Times New Roman" w:cs="Times New Roman" w:eastAsia="Times New Roman" w:hint="default"/>
                <w:sz w:val="18"/>
                <w:szCs w:val="18"/>
              </w:rPr>
            </w:pPr>
            <w:r>
              <w:rPr>
                <w:rFonts w:ascii="Times New Roman"/>
                <w:sz w:val="18"/>
              </w:rPr>
              <w:t>328,258,103.08</w:t>
            </w:r>
          </w:p>
        </w:tc>
      </w:tr>
    </w:tbl>
    <w:p>
      <w:pPr>
        <w:pStyle w:val="BodyText"/>
        <w:spacing w:line="405" w:lineRule="auto" w:before="66"/>
        <w:ind w:left="575" w:right="1024" w:hanging="423"/>
        <w:jc w:val="left"/>
      </w:pPr>
      <w:r>
        <w:rPr/>
        <w:t>商誉所在资产组或资产组组合的相关信息</w:t>
      </w:r>
      <w:r>
        <w:rPr>
          <w:w w:val="100"/>
        </w:rPr>
        <w:t> </w:t>
      </w:r>
      <w:r>
        <w:rPr>
          <w:rFonts w:ascii="宋体" w:hAnsi="宋体" w:cs="宋体" w:eastAsia="宋体" w:hint="default"/>
          <w:spacing w:val="-4"/>
        </w:rPr>
        <w:t>a</w:t>
      </w:r>
      <w:r>
        <w:rPr>
          <w:spacing w:val="-4"/>
        </w:rPr>
        <w:t>、云商天下相关资产组合并商誉：</w:t>
      </w:r>
      <w:r>
        <w:rPr>
          <w:rFonts w:ascii="宋体" w:hAnsi="宋体" w:cs="宋体" w:eastAsia="宋体" w:hint="default"/>
          <w:spacing w:val="-4"/>
        </w:rPr>
        <w:t>2014</w:t>
      </w:r>
      <w:r>
        <w:rPr>
          <w:spacing w:val="-4"/>
        </w:rPr>
        <w:t>年</w:t>
      </w:r>
      <w:r>
        <w:rPr>
          <w:rFonts w:ascii="宋体" w:hAnsi="宋体" w:cs="宋体" w:eastAsia="宋体" w:hint="default"/>
          <w:spacing w:val="-4"/>
        </w:rPr>
        <w:t>4</w:t>
      </w:r>
      <w:r>
        <w:rPr>
          <w:spacing w:val="-4"/>
        </w:rPr>
        <w:t>月本公司以</w:t>
      </w:r>
      <w:r>
        <w:rPr>
          <w:rFonts w:ascii="宋体" w:hAnsi="宋体" w:cs="宋体" w:eastAsia="宋体" w:hint="default"/>
          <w:spacing w:val="-4"/>
        </w:rPr>
        <w:t>1,144</w:t>
      </w:r>
      <w:r>
        <w:rPr>
          <w:spacing w:val="-4"/>
        </w:rPr>
        <w:t>万元现金为对价收购云商天下</w:t>
      </w:r>
      <w:r>
        <w:rPr>
          <w:rFonts w:ascii="宋体" w:hAnsi="宋体" w:cs="宋体" w:eastAsia="宋体" w:hint="default"/>
          <w:spacing w:val="-4"/>
        </w:rPr>
        <w:t>51%</w:t>
      </w:r>
      <w:r>
        <w:rPr>
          <w:spacing w:val="-4"/>
        </w:rPr>
        <w:t>的股权，</w:t>
      </w:r>
    </w:p>
    <w:p>
      <w:pPr>
        <w:pStyle w:val="BodyText"/>
        <w:spacing w:line="408" w:lineRule="auto" w:before="50"/>
        <w:ind w:right="1024"/>
        <w:jc w:val="left"/>
      </w:pPr>
      <w:r>
        <w:rPr>
          <w:spacing w:val="-2"/>
        </w:rPr>
        <w:t>购买日相关业务资产组可辨认净资产公允价值为</w:t>
      </w:r>
      <w:r>
        <w:rPr>
          <w:rFonts w:ascii="宋体" w:hAnsi="宋体" w:cs="宋体" w:eastAsia="宋体" w:hint="default"/>
          <w:spacing w:val="-2"/>
        </w:rPr>
        <w:t>1,492.53</w:t>
      </w:r>
      <w:r>
        <w:rPr>
          <w:spacing w:val="-2"/>
        </w:rPr>
        <w:t>万元，合并对价超出按购买日持股比例计算的可</w:t>
      </w:r>
      <w:r>
        <w:rPr>
          <w:spacing w:val="-24"/>
        </w:rPr>
        <w:t> </w:t>
      </w:r>
      <w:r>
        <w:rPr>
          <w:spacing w:val="-24"/>
        </w:rPr>
      </w:r>
      <w:r>
        <w:rPr/>
        <w:t>辨认净资产份额的部分确认</w:t>
      </w:r>
      <w:r>
        <w:rPr>
          <w:rFonts w:ascii="宋体" w:hAnsi="宋体" w:cs="宋体" w:eastAsia="宋体" w:hint="default"/>
        </w:rPr>
        <w:t>3,828,073.75</w:t>
      </w:r>
      <w:r>
        <w:rPr/>
        <w:t>元的商誉。</w:t>
      </w:r>
    </w:p>
    <w:p>
      <w:pPr>
        <w:pStyle w:val="BodyText"/>
        <w:spacing w:line="408" w:lineRule="auto" w:before="48"/>
        <w:ind w:right="1205" w:firstLine="422"/>
        <w:jc w:val="both"/>
      </w:pPr>
      <w:r>
        <w:rPr>
          <w:rFonts w:ascii="宋体" w:hAnsi="宋体" w:cs="宋体" w:eastAsia="宋体" w:hint="default"/>
          <w:spacing w:val="-2"/>
        </w:rPr>
        <w:t>b</w:t>
      </w:r>
      <w:r>
        <w:rPr>
          <w:spacing w:val="-2"/>
        </w:rPr>
        <w:t>、湖北索瑞相关资产组合并商誉：</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月本公司以发行股份及支付现金的形式购买了湖北索瑞</w:t>
      </w:r>
      <w:r>
        <w:rPr>
          <w:w w:val="100"/>
        </w:rPr>
        <w:t> </w:t>
      </w:r>
      <w:r>
        <w:rPr>
          <w:spacing w:val="-1"/>
        </w:rPr>
        <w:t>电气有限公司</w:t>
      </w:r>
      <w:r>
        <w:rPr>
          <w:rFonts w:ascii="宋体" w:hAnsi="宋体" w:cs="宋体" w:eastAsia="宋体" w:hint="default"/>
          <w:spacing w:val="-1"/>
        </w:rPr>
        <w:t>84.82%</w:t>
      </w:r>
      <w:r>
        <w:rPr>
          <w:spacing w:val="-1"/>
        </w:rPr>
        <w:t>的股权，对价合计为</w:t>
      </w:r>
      <w:r>
        <w:rPr>
          <w:rFonts w:ascii="宋体" w:hAnsi="宋体" w:cs="宋体" w:eastAsia="宋体" w:hint="default"/>
          <w:spacing w:val="-1"/>
        </w:rPr>
        <w:t>72,403.18</w:t>
      </w:r>
      <w:r>
        <w:rPr>
          <w:spacing w:val="-1"/>
        </w:rPr>
        <w:t>万元，购买日相关业务资产组可辨认净资产公允价值</w:t>
      </w:r>
      <w:r>
        <w:rPr>
          <w:spacing w:val="-52"/>
        </w:rPr>
        <w:t> </w:t>
      </w:r>
      <w:r>
        <w:rPr>
          <w:spacing w:val="-52"/>
        </w:rPr>
      </w:r>
      <w:r>
        <w:rPr>
          <w:spacing w:val="-1"/>
        </w:rPr>
        <w:t>为</w:t>
      </w:r>
      <w:r>
        <w:rPr>
          <w:rFonts w:ascii="宋体" w:hAnsi="宋体" w:cs="宋体" w:eastAsia="宋体" w:hint="default"/>
          <w:spacing w:val="-1"/>
        </w:rPr>
        <w:t>47,695.58</w:t>
      </w:r>
      <w:r>
        <w:rPr>
          <w:spacing w:val="-1"/>
        </w:rPr>
        <w:t>万元，合并对价超出按购买日持股比例计算的可辨认净资产份额的部分确认</w:t>
      </w:r>
      <w:r>
        <w:rPr>
          <w:rFonts w:ascii="宋体" w:hAnsi="宋体" w:cs="宋体" w:eastAsia="宋体" w:hint="default"/>
          <w:spacing w:val="-1"/>
        </w:rPr>
        <w:t>319,477,893.35</w:t>
      </w:r>
      <w:r>
        <w:rPr>
          <w:rFonts w:ascii="宋体" w:hAnsi="宋体" w:cs="宋体" w:eastAsia="宋体" w:hint="default"/>
          <w:spacing w:val="-47"/>
        </w:rPr>
        <w:t> </w:t>
      </w:r>
      <w:r>
        <w:rPr>
          <w:rFonts w:ascii="宋体" w:hAnsi="宋体" w:cs="宋体" w:eastAsia="宋体" w:hint="default"/>
          <w:spacing w:val="-47"/>
        </w:rPr>
      </w:r>
      <w:r>
        <w:rPr/>
        <w:t>元的商誉。</w:t>
      </w:r>
    </w:p>
    <w:p>
      <w:pPr>
        <w:pStyle w:val="BodyText"/>
        <w:spacing w:line="408" w:lineRule="auto" w:before="48"/>
        <w:ind w:right="1203" w:firstLine="422"/>
        <w:jc w:val="both"/>
      </w:pPr>
      <w:r>
        <w:rPr>
          <w:rFonts w:ascii="宋体" w:hAnsi="宋体" w:cs="宋体" w:eastAsia="宋体" w:hint="default"/>
          <w:spacing w:val="-1"/>
        </w:rPr>
        <w:t>c</w:t>
      </w:r>
      <w:r>
        <w:rPr>
          <w:spacing w:val="-1"/>
        </w:rPr>
        <w:t>、德能电气相关资产组合并商誉：</w:t>
      </w:r>
      <w:r>
        <w:rPr>
          <w:rFonts w:ascii="宋体" w:hAnsi="宋体" w:cs="宋体" w:eastAsia="宋体" w:hint="default"/>
          <w:spacing w:val="-1"/>
        </w:rPr>
        <w:t>2015</w:t>
      </w:r>
      <w:r>
        <w:rPr>
          <w:spacing w:val="-1"/>
        </w:rPr>
        <w:t>年</w:t>
      </w:r>
      <w:r>
        <w:rPr>
          <w:rFonts w:ascii="宋体" w:hAnsi="宋体" w:cs="宋体" w:eastAsia="宋体" w:hint="default"/>
          <w:spacing w:val="-1"/>
        </w:rPr>
        <w:t>7</w:t>
      </w:r>
      <w:r>
        <w:rPr>
          <w:spacing w:val="-1"/>
        </w:rPr>
        <w:t>月，本公司以</w:t>
      </w:r>
      <w:r>
        <w:rPr>
          <w:rFonts w:ascii="宋体" w:hAnsi="宋体" w:cs="宋体" w:eastAsia="宋体" w:hint="default"/>
          <w:spacing w:val="-1"/>
        </w:rPr>
        <w:t>700</w:t>
      </w:r>
      <w:r>
        <w:rPr>
          <w:spacing w:val="-1"/>
        </w:rPr>
        <w:t>万元现金为对价购买德能电气</w:t>
      </w:r>
      <w:r>
        <w:rPr>
          <w:rFonts w:ascii="宋体" w:hAnsi="宋体" w:cs="宋体" w:eastAsia="宋体" w:hint="default"/>
          <w:spacing w:val="-1"/>
        </w:rPr>
        <w:t>100%</w:t>
      </w:r>
      <w:r>
        <w:rPr>
          <w:spacing w:val="-1"/>
        </w:rPr>
        <w:t>的股</w:t>
      </w:r>
      <w:r>
        <w:rPr>
          <w:w w:val="100"/>
        </w:rPr>
        <w:t> </w:t>
      </w:r>
      <w:r>
        <w:rPr>
          <w:spacing w:val="-2"/>
        </w:rPr>
        <w:t>份，购买日相关资产组的可辨认净资产公允价值为</w:t>
      </w:r>
      <w:r>
        <w:rPr>
          <w:rFonts w:ascii="宋体" w:hAnsi="宋体" w:cs="宋体" w:eastAsia="宋体" w:hint="default"/>
          <w:spacing w:val="-2"/>
        </w:rPr>
        <w:t>-139.03</w:t>
      </w:r>
      <w:r>
        <w:rPr>
          <w:spacing w:val="-2"/>
        </w:rPr>
        <w:t>万元，合并对价超出按购买日持股比例计算的</w:t>
      </w:r>
      <w:r>
        <w:rPr>
          <w:spacing w:val="-6"/>
        </w:rPr>
        <w:t> </w:t>
      </w:r>
      <w:r>
        <w:rPr>
          <w:spacing w:val="-6"/>
        </w:rPr>
      </w:r>
      <w:r>
        <w:rPr/>
        <w:t>可辨认净资产份额的部分确认</w:t>
      </w:r>
      <w:r>
        <w:rPr>
          <w:rFonts w:ascii="宋体" w:hAnsi="宋体" w:cs="宋体" w:eastAsia="宋体" w:hint="default"/>
        </w:rPr>
        <w:t>8,390,274.10</w:t>
      </w:r>
      <w:r>
        <w:rPr/>
        <w:t>元的商誉。</w:t>
      </w:r>
    </w:p>
    <w:p>
      <w:pPr>
        <w:pStyle w:val="BodyText"/>
        <w:spacing w:line="408" w:lineRule="auto" w:before="44"/>
        <w:ind w:right="1024" w:firstLine="422"/>
        <w:jc w:val="left"/>
      </w:pPr>
      <w:r>
        <w:rPr>
          <w:rFonts w:ascii="宋体" w:hAnsi="宋体" w:cs="宋体" w:eastAsia="宋体" w:hint="default"/>
        </w:rPr>
        <w:t>d</w:t>
      </w:r>
      <w:r>
        <w:rPr/>
        <w:t>、德能设计相关资产组合并商誉：</w:t>
      </w:r>
      <w:r>
        <w:rPr>
          <w:rFonts w:ascii="宋体" w:hAnsi="宋体" w:cs="宋体" w:eastAsia="宋体" w:hint="default"/>
        </w:rPr>
        <w:t>2015</w:t>
      </w:r>
      <w:r>
        <w:rPr/>
        <w:t>年</w:t>
      </w:r>
      <w:r>
        <w:rPr>
          <w:rFonts w:ascii="宋体" w:hAnsi="宋体" w:cs="宋体" w:eastAsia="宋体" w:hint="default"/>
        </w:rPr>
        <w:t>8</w:t>
      </w:r>
      <w:r>
        <w:rPr/>
        <w:t>月，本公司以</w:t>
      </w:r>
      <w:r>
        <w:rPr>
          <w:rFonts w:ascii="宋体" w:hAnsi="宋体" w:cs="宋体" w:eastAsia="宋体" w:hint="default"/>
        </w:rPr>
        <w:t>2,900</w:t>
      </w:r>
      <w:r>
        <w:rPr/>
        <w:t>万元现金为对价购买德能设计</w:t>
      </w:r>
      <w:r>
        <w:rPr>
          <w:rFonts w:ascii="宋体" w:hAnsi="宋体" w:cs="宋体" w:eastAsia="宋体" w:hint="default"/>
        </w:rPr>
        <w:t>100%</w:t>
      </w:r>
      <w:r>
        <w:rPr/>
        <w:t>的</w:t>
      </w:r>
      <w:r>
        <w:rPr>
          <w:w w:val="100"/>
        </w:rPr>
        <w:t> </w:t>
      </w:r>
      <w:r>
        <w:rPr>
          <w:spacing w:val="-2"/>
        </w:rPr>
        <w:t>股份，购买日相关资产组的可辨认净资产公允价值为</w:t>
      </w:r>
      <w:r>
        <w:rPr>
          <w:rFonts w:ascii="宋体" w:hAnsi="宋体" w:cs="宋体" w:eastAsia="宋体" w:hint="default"/>
          <w:spacing w:val="-2"/>
        </w:rPr>
        <w:t>434.76</w:t>
      </w:r>
      <w:r>
        <w:rPr>
          <w:spacing w:val="-2"/>
        </w:rPr>
        <w:t>万元，合并对价超出按购买日持股比例计算的</w:t>
      </w:r>
      <w:r>
        <w:rPr>
          <w:spacing w:val="-25"/>
        </w:rPr>
        <w:t> </w:t>
      </w:r>
      <w:r>
        <w:rPr>
          <w:spacing w:val="-25"/>
        </w:rPr>
      </w:r>
      <w:r>
        <w:rPr/>
        <w:t>可辨认净资产份额的部分确认</w:t>
      </w:r>
      <w:r>
        <w:rPr>
          <w:rFonts w:ascii="宋体" w:hAnsi="宋体" w:cs="宋体" w:eastAsia="宋体" w:hint="default"/>
        </w:rPr>
        <w:t>24,652,381.50</w:t>
      </w:r>
      <w:r>
        <w:rPr/>
        <w:t>元的商誉。</w:t>
      </w:r>
    </w:p>
    <w:p>
      <w:pPr>
        <w:pStyle w:val="BodyText"/>
        <w:spacing w:line="405" w:lineRule="auto" w:before="49"/>
        <w:ind w:right="0" w:firstLine="422"/>
        <w:jc w:val="left"/>
      </w:pPr>
      <w:r>
        <w:rPr>
          <w:spacing w:val="-2"/>
        </w:rPr>
        <w:t>本公司将商誉合理分摊至相关的资产组或者资产组组合，并估计包含商誉的相关资产组的可收回金额，</w:t>
      </w:r>
      <w:r>
        <w:rPr>
          <w:w w:val="100"/>
        </w:rPr>
        <w:t> </w:t>
      </w:r>
      <w:r>
        <w:rPr/>
        <w:t>如相关资产组或者资产组组合的可收回金额低于其账面价值的，确认商誉的减值损失。</w:t>
      </w:r>
    </w:p>
    <w:p>
      <w:pPr>
        <w:pStyle w:val="BodyText"/>
        <w:spacing w:line="408" w:lineRule="auto" w:before="50"/>
        <w:ind w:right="1024" w:firstLine="422"/>
        <w:jc w:val="left"/>
      </w:pPr>
      <w:r>
        <w:rPr>
          <w:rFonts w:ascii="宋体" w:hAnsi="宋体" w:cs="宋体" w:eastAsia="宋体" w:hint="default"/>
        </w:rPr>
        <w:t>a</w:t>
      </w:r>
      <w:r>
        <w:rPr/>
        <w:t>、云商天下相关业务资产组的商誉测试过程：由于云商天下所有的资产负债均为经营性质，本公司</w:t>
      </w:r>
      <w:r>
        <w:rPr>
          <w:w w:val="100"/>
        </w:rPr>
        <w:t> </w:t>
      </w:r>
      <w:r>
        <w:rPr>
          <w:spacing w:val="-2"/>
        </w:rPr>
        <w:t>将云商天下所有资产及负债作为一个资产组进行减值测试，</w:t>
      </w:r>
      <w:r>
        <w:rPr>
          <w:rFonts w:ascii="宋体" w:hAnsi="宋体" w:cs="宋体" w:eastAsia="宋体" w:hint="default"/>
          <w:spacing w:val="-2"/>
        </w:rPr>
        <w:t>2016</w:t>
      </w:r>
      <w:r>
        <w:rPr>
          <w:spacing w:val="-2"/>
        </w:rPr>
        <w:t>年以未来五年的盈利预测为基础，并结合</w:t>
      </w:r>
      <w:r>
        <w:rPr>
          <w:spacing w:val="-27"/>
        </w:rPr>
        <w:t> </w:t>
      </w:r>
      <w:r>
        <w:rPr>
          <w:spacing w:val="-27"/>
        </w:rPr>
      </w:r>
      <w:r>
        <w:rPr>
          <w:spacing w:val="-2"/>
        </w:rPr>
        <w:t>了在手订单、近年度的经营预算，预估了未来五年的经营活动现金流量情况，并预计预测期后将永续保持</w:t>
      </w:r>
      <w:r>
        <w:rPr>
          <w:spacing w:val="-30"/>
        </w:rPr>
        <w:t> </w:t>
      </w:r>
      <w:r>
        <w:rPr>
          <w:spacing w:val="-30"/>
        </w:rPr>
      </w:r>
      <w:r>
        <w:rPr>
          <w:spacing w:val="-2"/>
        </w:rPr>
        <w:t>不变，并根据相应资本成本的税前折现率作为折现率，以企业自由现金流量模型对相关资产组可收回金额</w:t>
      </w:r>
      <w:r>
        <w:rPr>
          <w:spacing w:val="-33"/>
        </w:rPr>
        <w:t> </w:t>
      </w:r>
      <w:r>
        <w:rPr>
          <w:spacing w:val="-33"/>
        </w:rPr>
      </w:r>
      <w:r>
        <w:rPr>
          <w:spacing w:val="-2"/>
        </w:rPr>
        <w:t>进行估算，据此计算云商天下相关业务资产组组合所形成的商誉已经全部减值，</w:t>
      </w:r>
      <w:r>
        <w:rPr>
          <w:rFonts w:ascii="宋体" w:hAnsi="宋体" w:cs="宋体" w:eastAsia="宋体" w:hint="default"/>
          <w:spacing w:val="-2"/>
        </w:rPr>
        <w:t>2016</w:t>
      </w:r>
      <w:r>
        <w:rPr>
          <w:spacing w:val="-2"/>
        </w:rPr>
        <w:t>年公司全额计提了相</w:t>
      </w:r>
      <w:r>
        <w:rPr>
          <w:spacing w:val="-26"/>
        </w:rPr>
        <w:t> </w:t>
      </w:r>
      <w:r>
        <w:rPr>
          <w:spacing w:val="-26"/>
        </w:rPr>
      </w:r>
      <w:r>
        <w:rPr/>
        <w:t>关资产组业务的商誉减值损失，本期不再进行减值测试。</w:t>
      </w:r>
    </w:p>
    <w:p>
      <w:pPr>
        <w:pStyle w:val="BodyText"/>
        <w:spacing w:line="408" w:lineRule="auto" w:before="48"/>
        <w:ind w:right="1024" w:firstLine="422"/>
        <w:jc w:val="left"/>
      </w:pPr>
      <w:r>
        <w:rPr>
          <w:rFonts w:ascii="宋体" w:hAnsi="宋体" w:cs="宋体" w:eastAsia="宋体" w:hint="default"/>
        </w:rPr>
        <w:t>b</w:t>
      </w:r>
      <w:r>
        <w:rPr/>
        <w:t>、索瑞电气相关资产组的商誉测试过程：本公司将索瑞电气所有经营性资产及负债作为一个资产组</w:t>
      </w:r>
      <w:r>
        <w:rPr>
          <w:w w:val="100"/>
        </w:rPr>
        <w:t> </w:t>
      </w:r>
      <w:r>
        <w:rPr>
          <w:spacing w:val="-2"/>
        </w:rPr>
        <w:t>进行减值测试，</w:t>
      </w:r>
      <w:r>
        <w:rPr>
          <w:rFonts w:ascii="宋体" w:hAnsi="宋体" w:cs="宋体" w:eastAsia="宋体" w:hint="default"/>
          <w:spacing w:val="-2"/>
        </w:rPr>
        <w:t>2017</w:t>
      </w:r>
      <w:r>
        <w:rPr>
          <w:spacing w:val="-2"/>
        </w:rPr>
        <w:t>年公司聘请了中瑞世联资产评估</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有限公司针对索瑞电气相关业务的资产组组合</w:t>
      </w:r>
      <w:r>
        <w:rPr>
          <w:spacing w:val="-30"/>
        </w:rPr>
        <w:t> </w:t>
      </w:r>
      <w:r>
        <w:rPr>
          <w:spacing w:val="-30"/>
        </w:rPr>
      </w:r>
      <w:r>
        <w:rPr>
          <w:spacing w:val="-2"/>
        </w:rPr>
        <w:t>可收回金额进行了评估，评估师以未来市场行情、行业情况、公司近期在手订单情况为参考依据，以</w:t>
      </w:r>
      <w:r>
        <w:rPr>
          <w:rFonts w:ascii="宋体" w:hAnsi="宋体" w:cs="宋体" w:eastAsia="宋体" w:hint="default"/>
          <w:spacing w:val="-2"/>
        </w:rPr>
        <w:t>2018</w:t>
      </w:r>
      <w:r>
        <w:rPr>
          <w:rFonts w:ascii="宋体" w:hAnsi="宋体" w:cs="宋体" w:eastAsia="宋体" w:hint="default"/>
          <w:spacing w:val="-25"/>
        </w:rPr>
        <w:t> </w:t>
      </w:r>
      <w:r>
        <w:rPr>
          <w:spacing w:val="-2"/>
        </w:rPr>
        <w:t>年至</w:t>
      </w:r>
      <w:r>
        <w:rPr>
          <w:rFonts w:ascii="宋体" w:hAnsi="宋体" w:cs="宋体" w:eastAsia="宋体" w:hint="default"/>
          <w:spacing w:val="-2"/>
        </w:rPr>
        <w:t>2022</w:t>
      </w:r>
      <w:r>
        <w:rPr>
          <w:spacing w:val="-2"/>
        </w:rPr>
        <w:t>年作为预测期，</w:t>
      </w:r>
      <w:r>
        <w:rPr>
          <w:rFonts w:ascii="宋体" w:hAnsi="宋体" w:cs="宋体" w:eastAsia="宋体" w:hint="default"/>
          <w:spacing w:val="-2"/>
        </w:rPr>
        <w:t>2023</w:t>
      </w:r>
      <w:r>
        <w:rPr>
          <w:spacing w:val="-2"/>
        </w:rPr>
        <w:t>年后为永续期，对未来业务运营情况进行了评估；并根据公司近期材料单价</w:t>
      </w:r>
      <w:r>
        <w:rPr>
          <w:spacing w:val="-25"/>
        </w:rPr>
        <w:t> </w:t>
      </w:r>
      <w:r>
        <w:rPr>
          <w:spacing w:val="-25"/>
        </w:rPr>
      </w:r>
      <w:r>
        <w:rPr>
          <w:spacing w:val="-2"/>
        </w:rPr>
        <w:t>走势以及人工薪酬预算，估计了相关产品的毛利率，并根据公司的费用率估计了公司未来的费用情况，以</w:t>
      </w:r>
    </w:p>
    <w:p>
      <w:pPr>
        <w:spacing w:after="0" w:line="408" w:lineRule="auto"/>
        <w:jc w:val="left"/>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408" w:lineRule="auto"/>
        <w:ind w:right="1122"/>
        <w:jc w:val="both"/>
      </w:pPr>
      <w:r>
        <w:rPr>
          <w:spacing w:val="-2"/>
        </w:rPr>
        <w:t>及根据公司的资本预算对未来资本性现金流进行了估计，对公司未来五年的预测期及永续期的现金流情况</w:t>
      </w:r>
      <w:r>
        <w:rPr>
          <w:spacing w:val="-33"/>
        </w:rPr>
        <w:t> </w:t>
      </w:r>
      <w:r>
        <w:rPr>
          <w:spacing w:val="-33"/>
        </w:rPr>
      </w:r>
      <w:r>
        <w:rPr>
          <w:spacing w:val="-2"/>
        </w:rPr>
        <w:t>进行了预估。并根据公司的资本结构确定以</w:t>
      </w:r>
      <w:r>
        <w:rPr>
          <w:rFonts w:ascii="宋体" w:hAnsi="宋体" w:cs="宋体" w:eastAsia="宋体" w:hint="default"/>
          <w:spacing w:val="-2"/>
        </w:rPr>
        <w:t>10.88%</w:t>
      </w:r>
      <w:r>
        <w:rPr>
          <w:spacing w:val="-2"/>
        </w:rPr>
        <w:t>作为折现率，以企业自由现金流量模型对相关资产组可</w:t>
      </w:r>
      <w:r>
        <w:rPr>
          <w:spacing w:val="-26"/>
        </w:rPr>
        <w:t> </w:t>
      </w:r>
      <w:r>
        <w:rPr>
          <w:spacing w:val="-26"/>
        </w:rPr>
      </w:r>
      <w:r>
        <w:rPr>
          <w:spacing w:val="-2"/>
        </w:rPr>
        <w:t>收回金额进行估算，据此计算出的相关资产组可收回金额小于相关资产组在账面按购买日继续计算的公允</w:t>
      </w:r>
      <w:r>
        <w:rPr>
          <w:spacing w:val="-33"/>
        </w:rPr>
        <w:t> </w:t>
      </w:r>
      <w:r>
        <w:rPr>
          <w:spacing w:val="-33"/>
        </w:rPr>
      </w:r>
      <w:r>
        <w:rPr>
          <w:spacing w:val="-2"/>
        </w:rPr>
        <w:t>价值包含商誉的金额，据此计算索瑞电气相关资产组相关商誉需全额计提减值损失，公司于</w:t>
      </w:r>
      <w:r>
        <w:rPr>
          <w:rFonts w:ascii="宋体" w:hAnsi="宋体" w:cs="宋体" w:eastAsia="宋体" w:hint="default"/>
          <w:spacing w:val="-2"/>
        </w:rPr>
        <w:t>2017</w:t>
      </w:r>
      <w:r>
        <w:rPr>
          <w:spacing w:val="-2"/>
        </w:rPr>
        <w:t>年度计提</w:t>
      </w:r>
      <w:r>
        <w:rPr>
          <w:spacing w:val="-26"/>
        </w:rPr>
        <w:t> </w:t>
      </w:r>
      <w:r>
        <w:rPr>
          <w:spacing w:val="-26"/>
        </w:rPr>
      </w:r>
      <w:r>
        <w:rPr/>
        <w:t>了相应的商誉减值损失，本期不再对该资产组业务进行商誉减值测试。</w:t>
      </w:r>
    </w:p>
    <w:p>
      <w:pPr>
        <w:pStyle w:val="BodyText"/>
        <w:spacing w:line="408" w:lineRule="auto" w:before="43"/>
        <w:ind w:right="1024" w:firstLine="422"/>
        <w:jc w:val="left"/>
      </w:pPr>
      <w:r>
        <w:rPr>
          <w:rFonts w:ascii="宋体" w:hAnsi="宋体" w:cs="宋体" w:eastAsia="宋体" w:hint="default"/>
        </w:rPr>
        <w:t>c</w:t>
      </w:r>
      <w:r>
        <w:rPr/>
        <w:t>、德能电气相关资产组的商誉测试过程：德能电气全部资产及负债均为经营性资产及负债，本公司</w:t>
      </w:r>
      <w:r>
        <w:rPr>
          <w:w w:val="100"/>
        </w:rPr>
        <w:t> </w:t>
      </w:r>
      <w:r>
        <w:rPr>
          <w:spacing w:val="-2"/>
        </w:rPr>
        <w:t>将德能电气全部资产及负债作为一个资产组进行减值测试，</w:t>
      </w:r>
      <w:r>
        <w:rPr>
          <w:rFonts w:ascii="宋体" w:hAnsi="宋体" w:cs="宋体" w:eastAsia="宋体" w:hint="default"/>
          <w:spacing w:val="-2"/>
        </w:rPr>
        <w:t>2016</w:t>
      </w:r>
      <w:r>
        <w:rPr>
          <w:spacing w:val="-2"/>
        </w:rPr>
        <w:t>年以未来五年的盈利预测为基础，并结合</w:t>
      </w:r>
      <w:r>
        <w:rPr>
          <w:spacing w:val="-27"/>
        </w:rPr>
        <w:t> </w:t>
      </w:r>
      <w:r>
        <w:rPr>
          <w:spacing w:val="-27"/>
        </w:rPr>
      </w:r>
      <w:r>
        <w:rPr>
          <w:spacing w:val="-2"/>
        </w:rPr>
        <w:t>了在手订单、近年度的经营预算，预估了未来五年的经营活动现金流量情况，并预计预测期后将永续保持</w:t>
      </w:r>
      <w:r>
        <w:rPr>
          <w:spacing w:val="-33"/>
        </w:rPr>
        <w:t> </w:t>
      </w:r>
      <w:r>
        <w:rPr>
          <w:spacing w:val="-33"/>
        </w:rPr>
      </w:r>
      <w:r>
        <w:rPr>
          <w:spacing w:val="-2"/>
        </w:rPr>
        <w:t>不变，并根据相应资本成本的税前折现率作为折现率，以企业自由现金流量模型对相关资产组可收回金额</w:t>
      </w:r>
      <w:r>
        <w:rPr>
          <w:spacing w:val="-30"/>
        </w:rPr>
        <w:t> </w:t>
      </w:r>
      <w:r>
        <w:rPr>
          <w:spacing w:val="-30"/>
        </w:rPr>
      </w:r>
      <w:r>
        <w:rPr>
          <w:spacing w:val="-2"/>
        </w:rPr>
        <w:t>进行估算，根据商誉减值测试结果计提了</w:t>
      </w:r>
      <w:r>
        <w:rPr>
          <w:rFonts w:ascii="宋体" w:hAnsi="宋体" w:cs="宋体" w:eastAsia="宋体" w:hint="default"/>
          <w:spacing w:val="-2"/>
        </w:rPr>
        <w:t>4,952,135.98</w:t>
      </w:r>
      <w:r>
        <w:rPr>
          <w:spacing w:val="-2"/>
        </w:rPr>
        <w:t>元商誉减值；</w:t>
      </w:r>
      <w:r>
        <w:rPr>
          <w:rFonts w:ascii="宋体" w:hAnsi="宋体" w:cs="宋体" w:eastAsia="宋体" w:hint="default"/>
          <w:spacing w:val="-2"/>
        </w:rPr>
        <w:t>2018</w:t>
      </w:r>
      <w:r>
        <w:rPr>
          <w:spacing w:val="-2"/>
        </w:rPr>
        <w:t>年度公司以</w:t>
      </w:r>
      <w:r>
        <w:rPr>
          <w:rFonts w:ascii="宋体" w:hAnsi="宋体" w:cs="宋体" w:eastAsia="宋体" w:hint="default"/>
          <w:spacing w:val="-2"/>
        </w:rPr>
        <w:t>2019</w:t>
      </w:r>
      <w:r>
        <w:rPr>
          <w:spacing w:val="-2"/>
        </w:rPr>
        <w:t>年至</w:t>
      </w:r>
      <w:r>
        <w:rPr>
          <w:rFonts w:ascii="宋体" w:hAnsi="宋体" w:cs="宋体" w:eastAsia="宋体" w:hint="default"/>
          <w:spacing w:val="-2"/>
        </w:rPr>
        <w:t>2023</w:t>
      </w:r>
      <w:r>
        <w:rPr>
          <w:spacing w:val="-2"/>
        </w:rPr>
        <w:t>年作为</w:t>
      </w:r>
      <w:r>
        <w:rPr>
          <w:spacing w:val="-8"/>
        </w:rPr>
        <w:t> </w:t>
      </w:r>
      <w:r>
        <w:rPr>
          <w:spacing w:val="-6"/>
        </w:rPr>
        <w:t>预测期，</w:t>
      </w:r>
      <w:r>
        <w:rPr>
          <w:rFonts w:ascii="宋体" w:hAnsi="宋体" w:cs="宋体" w:eastAsia="宋体" w:hint="default"/>
          <w:spacing w:val="-6"/>
        </w:rPr>
        <w:t>2023</w:t>
      </w:r>
      <w:r>
        <w:rPr>
          <w:spacing w:val="-6"/>
        </w:rPr>
        <w:t>年以后作为永续期，基于公司未来销售预算、人工预算、各项费用率的基础上对</w:t>
      </w:r>
      <w:r>
        <w:rPr>
          <w:rFonts w:ascii="宋体" w:hAnsi="宋体" w:cs="宋体" w:eastAsia="宋体" w:hint="default"/>
          <w:spacing w:val="-6"/>
        </w:rPr>
        <w:t>2019</w:t>
      </w:r>
      <w:r>
        <w:rPr>
          <w:spacing w:val="-6"/>
        </w:rPr>
        <w:t>年至</w:t>
      </w:r>
      <w:r>
        <w:rPr>
          <w:rFonts w:ascii="宋体" w:hAnsi="宋体" w:cs="宋体" w:eastAsia="宋体" w:hint="default"/>
          <w:spacing w:val="-6"/>
        </w:rPr>
        <w:t>2023</w:t>
      </w:r>
      <w:r>
        <w:rPr>
          <w:rFonts w:ascii="宋体" w:hAnsi="宋体" w:cs="宋体" w:eastAsia="宋体" w:hint="default"/>
          <w:spacing w:val="-20"/>
        </w:rPr>
        <w:t> </w:t>
      </w:r>
      <w:r>
        <w:rPr>
          <w:rFonts w:ascii="宋体" w:hAnsi="宋体" w:cs="宋体" w:eastAsia="宋体" w:hint="default"/>
          <w:spacing w:val="-20"/>
        </w:rPr>
      </w:r>
      <w:r>
        <w:rPr>
          <w:spacing w:val="-2"/>
        </w:rPr>
        <w:t>年的现金流量情况进行了预测，并以资本及负债的权重结构设定税前折现率为</w:t>
      </w:r>
      <w:r>
        <w:rPr>
          <w:rFonts w:ascii="宋体" w:hAnsi="宋体" w:cs="宋体" w:eastAsia="宋体" w:hint="default"/>
          <w:spacing w:val="-2"/>
        </w:rPr>
        <w:t>14.51%</w:t>
      </w:r>
      <w:r>
        <w:rPr>
          <w:spacing w:val="-2"/>
        </w:rPr>
        <w:t>，根据本公司的测试</w:t>
      </w:r>
      <w:r>
        <w:rPr>
          <w:spacing w:val="-24"/>
        </w:rPr>
        <w:t> </w:t>
      </w:r>
      <w:r>
        <w:rPr>
          <w:spacing w:val="-24"/>
        </w:rPr>
      </w:r>
      <w:r>
        <w:rPr/>
        <w:t>结果</w:t>
      </w:r>
      <w:r>
        <w:rPr>
          <w:rFonts w:ascii="宋体" w:hAnsi="宋体" w:cs="宋体" w:eastAsia="宋体" w:hint="default"/>
        </w:rPr>
        <w:t>2019</w:t>
      </w:r>
      <w:r>
        <w:rPr/>
        <w:t>年德能电气相关资产组剩余商誉不存在减值，</w:t>
      </w:r>
      <w:r>
        <w:rPr>
          <w:rFonts w:ascii="宋体" w:hAnsi="宋体" w:cs="宋体" w:eastAsia="宋体" w:hint="default"/>
        </w:rPr>
        <w:t>2016</w:t>
      </w:r>
      <w:r>
        <w:rPr/>
        <w:t>年计提的商誉减值准备不予转回。</w:t>
      </w:r>
    </w:p>
    <w:p>
      <w:pPr>
        <w:pStyle w:val="BodyText"/>
        <w:spacing w:line="408" w:lineRule="auto" w:before="44"/>
        <w:ind w:right="1024" w:firstLine="422"/>
        <w:jc w:val="left"/>
      </w:pPr>
      <w:r>
        <w:rPr>
          <w:rFonts w:ascii="宋体" w:hAnsi="宋体" w:cs="宋体" w:eastAsia="宋体" w:hint="default"/>
        </w:rPr>
        <w:t>d</w:t>
      </w:r>
      <w:r>
        <w:rPr/>
        <w:t>、德能设计相关资产组的商誉测试过程：德能设计全部资产及负债均为经营性资产及负债，本公司</w:t>
      </w:r>
      <w:r>
        <w:rPr>
          <w:w w:val="100"/>
        </w:rPr>
        <w:t> </w:t>
      </w:r>
      <w:r>
        <w:rPr/>
        <w:t>将德能设计全部资产及负债作为一个资产组进行减值测试，</w:t>
      </w:r>
      <w:r>
        <w:rPr>
          <w:rFonts w:ascii="宋体" w:hAnsi="宋体" w:cs="宋体" w:eastAsia="宋体" w:hint="default"/>
        </w:rPr>
        <w:t>2017</w:t>
      </w:r>
      <w:r>
        <w:rPr/>
        <w:t>年本公司以</w:t>
      </w:r>
      <w:r>
        <w:rPr>
          <w:rFonts w:ascii="宋体" w:hAnsi="宋体" w:cs="宋体" w:eastAsia="宋体" w:hint="default"/>
        </w:rPr>
        <w:t>2018</w:t>
      </w:r>
      <w:r>
        <w:rPr/>
        <w:t>年至</w:t>
      </w:r>
      <w:r>
        <w:rPr>
          <w:rFonts w:ascii="宋体" w:hAnsi="宋体" w:cs="宋体" w:eastAsia="宋体" w:hint="default"/>
        </w:rPr>
        <w:t>2022</w:t>
      </w:r>
      <w:r>
        <w:rPr/>
        <w:t>年为预测期，</w:t>
      </w:r>
      <w:r>
        <w:rPr>
          <w:w w:val="100"/>
        </w:rPr>
        <w:t> </w:t>
      </w:r>
      <w:r>
        <w:rPr>
          <w:rFonts w:ascii="宋体" w:hAnsi="宋体" w:cs="宋体" w:eastAsia="宋体" w:hint="default"/>
          <w:spacing w:val="-2"/>
        </w:rPr>
        <w:t>2023</w:t>
      </w:r>
      <w:r>
        <w:rPr>
          <w:spacing w:val="-2"/>
        </w:rPr>
        <w:t>及以后作为永续期对德能设计相关包含商誉的资产组进行减值测试，在减值测试工作中，本公司结合</w:t>
      </w:r>
      <w:r>
        <w:rPr>
          <w:spacing w:val="-29"/>
        </w:rPr>
        <w:t> </w:t>
      </w:r>
      <w:r>
        <w:rPr>
          <w:spacing w:val="-29"/>
        </w:rPr>
      </w:r>
      <w:r>
        <w:rPr>
          <w:spacing w:val="-2"/>
        </w:rPr>
        <w:t>了在手订单情况、已中标未执行的订单以及未来的经营预算为基础对销售情况进行了预测，并根据公司的</w:t>
      </w:r>
      <w:r>
        <w:rPr>
          <w:spacing w:val="-33"/>
        </w:rPr>
        <w:t> </w:t>
      </w:r>
      <w:r>
        <w:rPr>
          <w:spacing w:val="-33"/>
        </w:rPr>
      </w:r>
      <w:r>
        <w:rPr>
          <w:spacing w:val="-2"/>
        </w:rPr>
        <w:t>费用、人工预算情况，综合考虑了成本率以及费用率，假定预测期的销售增长率为</w:t>
      </w:r>
      <w:r>
        <w:rPr>
          <w:rFonts w:ascii="宋体" w:hAnsi="宋体" w:cs="宋体" w:eastAsia="宋体" w:hint="default"/>
          <w:spacing w:val="-2"/>
        </w:rPr>
        <w:t>6.5%</w:t>
      </w:r>
      <w:r>
        <w:rPr>
          <w:spacing w:val="-2"/>
        </w:rPr>
        <w:t>，并在永续期内营</w:t>
      </w:r>
      <w:r>
        <w:rPr>
          <w:spacing w:val="-26"/>
        </w:rPr>
        <w:t> </w:t>
      </w:r>
      <w:r>
        <w:rPr>
          <w:spacing w:val="-26"/>
        </w:rPr>
      </w:r>
      <w:r>
        <w:rPr>
          <w:spacing w:val="-2"/>
        </w:rPr>
        <w:t>业收入保持不变，经营效率保持不变，对预测期的企业自由现金流量进行了预测，并根据德能设计的资本</w:t>
      </w:r>
      <w:r>
        <w:rPr>
          <w:spacing w:val="-33"/>
        </w:rPr>
        <w:t> </w:t>
      </w:r>
      <w:r>
        <w:rPr>
          <w:spacing w:val="-33"/>
        </w:rPr>
      </w:r>
      <w:r>
        <w:rPr>
          <w:spacing w:val="-2"/>
        </w:rPr>
        <w:t>结构特点设定了相应的折现率，根据企业自由现金流量模型计算出包含商誉的资产组可收回金额为小于包</w:t>
      </w:r>
      <w:r>
        <w:rPr>
          <w:spacing w:val="-32"/>
        </w:rPr>
        <w:t> </w:t>
      </w:r>
      <w:r>
        <w:rPr>
          <w:spacing w:val="-32"/>
        </w:rPr>
      </w:r>
      <w:r>
        <w:rPr>
          <w:spacing w:val="-2"/>
        </w:rPr>
        <w:t>含商誉的资产组账面金额</w:t>
      </w:r>
      <w:r>
        <w:rPr>
          <w:rFonts w:ascii="宋体" w:hAnsi="宋体" w:cs="宋体" w:eastAsia="宋体" w:hint="default"/>
          <w:spacing w:val="-2"/>
        </w:rPr>
        <w:t>2,451.43</w:t>
      </w:r>
      <w:r>
        <w:rPr>
          <w:spacing w:val="-2"/>
        </w:rPr>
        <w:t>万元，因此基于谨慎性考虑将德能设计商誉全额计提了减值，</w:t>
      </w:r>
      <w:r>
        <w:rPr>
          <w:rFonts w:ascii="宋体" w:hAnsi="宋体" w:cs="宋体" w:eastAsia="宋体" w:hint="default"/>
          <w:spacing w:val="-2"/>
        </w:rPr>
        <w:t>2019</w:t>
      </w:r>
      <w:r>
        <w:rPr>
          <w:spacing w:val="-2"/>
        </w:rPr>
        <w:t>年度</w:t>
      </w:r>
      <w:r>
        <w:rPr>
          <w:spacing w:val="-17"/>
        </w:rPr>
        <w:t> </w:t>
      </w:r>
      <w:r>
        <w:rPr/>
        <w:t>本公司针对德能设计相关资产组进行了处置，相关商誉减值准备在合并报表中予以结转。</w:t>
      </w:r>
    </w:p>
    <w:p>
      <w:pPr>
        <w:spacing w:line="240" w:lineRule="auto" w:before="8"/>
        <w:rPr>
          <w:rFonts w:ascii="宋体" w:hAnsi="宋体" w:cs="宋体" w:eastAsia="宋体" w:hint="default"/>
          <w:sz w:val="20"/>
          <w:szCs w:val="20"/>
        </w:rPr>
      </w:pPr>
    </w:p>
    <w:p>
      <w:pPr>
        <w:pStyle w:val="Heading4"/>
        <w:spacing w:line="240" w:lineRule="auto" w:before="0"/>
        <w:ind w:right="0"/>
        <w:jc w:val="both"/>
        <w:rPr>
          <w:b w:val="0"/>
          <w:bCs w:val="0"/>
        </w:rPr>
      </w:pPr>
      <w:bookmarkStart w:name="22、递延所得税资产/递延所得税负债" w:id="324"/>
      <w:bookmarkEnd w:id="324"/>
      <w:r>
        <w:rPr>
          <w:b w:val="0"/>
          <w:bCs w:val="0"/>
        </w:rPr>
      </w:r>
      <w:r>
        <w:rPr>
          <w:rFonts w:ascii="宋体" w:hAnsi="宋体" w:cs="宋体" w:eastAsia="宋体" w:hint="default"/>
        </w:rPr>
        <w:t>22</w:t>
      </w:r>
      <w:r>
        <w:rPr/>
        <w:t>、递延所得税资产</w:t>
      </w:r>
      <w:r>
        <w:rPr>
          <w:rFonts w:ascii="宋体" w:hAnsi="宋体" w:cs="宋体" w:eastAsia="宋体" w:hint="default"/>
        </w:rPr>
        <w:t>/</w:t>
      </w:r>
      <w:r>
        <w:rPr/>
        <w:t>递延所得税负债</w:t>
      </w:r>
      <w:r>
        <w:rPr>
          <w:b w:val="0"/>
          <w:bCs w:val="0"/>
        </w:rPr>
      </w:r>
    </w:p>
    <w:p>
      <w:pPr>
        <w:spacing w:line="240" w:lineRule="auto" w:before="8"/>
        <w:rPr>
          <w:rFonts w:ascii="宋体" w:hAnsi="宋体" w:cs="宋体" w:eastAsia="宋体" w:hint="default"/>
          <w:b/>
          <w:bCs/>
          <w:sz w:val="25"/>
          <w:szCs w:val="25"/>
        </w:rPr>
      </w:pPr>
    </w:p>
    <w:p>
      <w:pPr>
        <w:pStyle w:val="Heading4"/>
        <w:spacing w:line="240" w:lineRule="auto" w:before="0"/>
        <w:ind w:right="0"/>
        <w:jc w:val="both"/>
        <w:rPr>
          <w:b w:val="0"/>
          <w:bCs w:val="0"/>
        </w:rPr>
      </w:pPr>
      <w:bookmarkStart w:name="（1）未经抵销的递延所得税资产" w:id="325"/>
      <w:bookmarkEnd w:id="325"/>
      <w:r>
        <w:rPr>
          <w:b w:val="0"/>
          <w:bCs w:val="0"/>
        </w:rPr>
      </w:r>
      <w:r>
        <w:rPr/>
        <w:t>（</w:t>
      </w:r>
      <w:r>
        <w:rPr>
          <w:rFonts w:ascii="宋体" w:hAnsi="宋体" w:cs="宋体" w:eastAsia="宋体" w:hint="default"/>
        </w:rPr>
        <w:t>1</w:t>
      </w:r>
      <w:r>
        <w:rPr/>
        <w:t>）未经抵销的递延所得税资产</w:t>
      </w:r>
      <w:r>
        <w:rPr>
          <w:b w:val="0"/>
          <w:bCs w:val="0"/>
        </w:rPr>
      </w:r>
    </w:p>
    <w:p>
      <w:pPr>
        <w:spacing w:line="240" w:lineRule="auto" w:before="3"/>
        <w:rPr>
          <w:rFonts w:ascii="宋体" w:hAnsi="宋体" w:cs="宋体" w:eastAsia="宋体" w:hint="default"/>
          <w:b/>
          <w:bCs/>
          <w:sz w:val="28"/>
          <w:szCs w:val="28"/>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13" w:hRule="exact"/>
        </w:trPr>
        <w:tc>
          <w:tcPr>
            <w:tcW w:w="1911"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8"/>
              <w:ind w:left="1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911" w:type="dxa"/>
            <w:vMerge/>
            <w:tcBorders>
              <w:left w:val="single" w:sz="12"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326"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59,594,099.31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9,102,817.48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71,949,957.24</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10,958,795.34</w:t>
            </w:r>
          </w:p>
        </w:tc>
      </w:tr>
      <w:tr>
        <w:trPr>
          <w:trHeight w:val="413" w:hRule="exact"/>
        </w:trPr>
        <w:tc>
          <w:tcPr>
            <w:tcW w:w="191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59,594,099.31</w:t>
            </w:r>
          </w:p>
        </w:tc>
        <w:tc>
          <w:tcPr>
            <w:tcW w:w="1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9,102,817.48</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71,949,957.24</w:t>
            </w:r>
          </w:p>
        </w:tc>
        <w:tc>
          <w:tcPr>
            <w:tcW w:w="19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10,958,795.34</w:t>
            </w:r>
          </w:p>
        </w:tc>
      </w:tr>
    </w:tbl>
    <w:p>
      <w:pPr>
        <w:spacing w:after="0" w:line="240" w:lineRule="auto"/>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1"/>
        <w:rPr>
          <w:rFonts w:ascii="宋体" w:hAnsi="宋体" w:cs="宋体" w:eastAsia="宋体" w:hint="default"/>
          <w:sz w:val="26"/>
          <w:szCs w:val="26"/>
        </w:rPr>
      </w:pPr>
    </w:p>
    <w:p>
      <w:pPr>
        <w:pStyle w:val="Heading4"/>
        <w:spacing w:line="240" w:lineRule="auto"/>
        <w:ind w:right="1024"/>
        <w:jc w:val="left"/>
        <w:rPr>
          <w:b w:val="0"/>
          <w:bCs w:val="0"/>
        </w:rPr>
      </w:pPr>
      <w:bookmarkStart w:name="（2）未经抵销的递延所得税负债" w:id="326"/>
      <w:bookmarkEnd w:id="326"/>
      <w:r>
        <w:rPr>
          <w:b w:val="0"/>
          <w:bCs w:val="0"/>
        </w:rPr>
      </w:r>
      <w:r>
        <w:rPr/>
        <w:t>（</w:t>
      </w:r>
      <w:r>
        <w:rPr>
          <w:rFonts w:ascii="宋体" w:hAnsi="宋体" w:cs="宋体" w:eastAsia="宋体" w:hint="default"/>
        </w:rPr>
        <w:t>2</w:t>
      </w:r>
      <w:r>
        <w:rPr/>
        <w:t>）未经抵销的递延所得税负债</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13" w:hRule="exact"/>
        </w:trPr>
        <w:tc>
          <w:tcPr>
            <w:tcW w:w="1911"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1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1" w:type="dxa"/>
            <w:vMerge/>
            <w:tcBorders>
              <w:left w:val="single" w:sz="12"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715"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71"/>
              <w:jc w:val="left"/>
              <w:rPr>
                <w:rFonts w:ascii="宋体" w:hAnsi="宋体" w:cs="宋体" w:eastAsia="宋体" w:hint="default"/>
                <w:sz w:val="18"/>
                <w:szCs w:val="18"/>
              </w:rPr>
            </w:pPr>
            <w:r>
              <w:rPr>
                <w:rFonts w:ascii="宋体" w:hAnsi="宋体" w:cs="宋体" w:eastAsia="宋体" w:hint="default"/>
                <w:spacing w:val="-3"/>
                <w:sz w:val="18"/>
                <w:szCs w:val="18"/>
              </w:rPr>
              <w:t>非同一控制企业合并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资产评估增值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15,056,198.35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3,393,315.39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15,876,919.65</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3,550,855.33</w:t>
            </w:r>
          </w:p>
        </w:tc>
      </w:tr>
      <w:tr>
        <w:trPr>
          <w:trHeight w:val="413" w:hRule="exact"/>
        </w:trPr>
        <w:tc>
          <w:tcPr>
            <w:tcW w:w="191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15,056,198.35</w:t>
            </w:r>
          </w:p>
        </w:tc>
        <w:tc>
          <w:tcPr>
            <w:tcW w:w="1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3"/>
              <w:jc w:val="right"/>
              <w:rPr>
                <w:rFonts w:ascii="宋体" w:hAnsi="宋体" w:cs="宋体" w:eastAsia="宋体" w:hint="default"/>
                <w:sz w:val="18"/>
                <w:szCs w:val="18"/>
              </w:rPr>
            </w:pPr>
            <w:r>
              <w:rPr>
                <w:rFonts w:ascii="宋体"/>
                <w:spacing w:val="-1"/>
                <w:sz w:val="18"/>
              </w:rPr>
              <w:t>3,393,315.39</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15,876,919.65</w:t>
            </w:r>
          </w:p>
        </w:tc>
        <w:tc>
          <w:tcPr>
            <w:tcW w:w="19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3,550,855.33</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3）以抵销后净额列示的递延所得税资产或负债" w:id="327"/>
      <w:bookmarkEnd w:id="327"/>
      <w:r>
        <w:rPr>
          <w:b w:val="0"/>
          <w:bCs w:val="0"/>
        </w:rPr>
      </w:r>
      <w:r>
        <w:rPr/>
        <w:t>（</w:t>
      </w:r>
      <w:r>
        <w:rPr>
          <w:rFonts w:ascii="宋体" w:hAnsi="宋体" w:cs="宋体" w:eastAsia="宋体" w:hint="default"/>
        </w:rPr>
        <w:t>3</w:t>
      </w:r>
      <w:r>
        <w:rPr/>
        <w:t>）以抵销后净额列示的递延所得税资产或负债</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725" w:hRule="exact"/>
        </w:trPr>
        <w:tc>
          <w:tcPr>
            <w:tcW w:w="191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326" w:right="142" w:hanging="183"/>
              <w:jc w:val="left"/>
              <w:rPr>
                <w:rFonts w:ascii="宋体" w:hAnsi="宋体" w:cs="宋体" w:eastAsia="宋体" w:hint="default"/>
                <w:sz w:val="18"/>
                <w:szCs w:val="18"/>
              </w:rPr>
            </w:pPr>
            <w:r>
              <w:rPr>
                <w:rFonts w:ascii="宋体" w:hAnsi="宋体" w:cs="宋体" w:eastAsia="宋体" w:hint="default"/>
                <w:spacing w:val="-3"/>
                <w:sz w:val="18"/>
                <w:szCs w:val="18"/>
              </w:rPr>
              <w:t>递延所得税资产和负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债期末互抵金额</w:t>
            </w:r>
          </w:p>
        </w:tc>
        <w:tc>
          <w:tcPr>
            <w:tcW w:w="191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30" w:right="137" w:hanging="92"/>
              <w:jc w:val="left"/>
              <w:rPr>
                <w:rFonts w:ascii="宋体" w:hAnsi="宋体" w:cs="宋体" w:eastAsia="宋体" w:hint="default"/>
                <w:sz w:val="18"/>
                <w:szCs w:val="18"/>
              </w:rPr>
            </w:pPr>
            <w:r>
              <w:rPr>
                <w:rFonts w:ascii="宋体" w:hAnsi="宋体" w:cs="宋体" w:eastAsia="宋体" w:hint="default"/>
                <w:spacing w:val="-3"/>
                <w:sz w:val="18"/>
                <w:szCs w:val="18"/>
              </w:rPr>
              <w:t>抵销后递延所得税资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产或负债期末余额</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326" w:right="137" w:hanging="183"/>
              <w:jc w:val="left"/>
              <w:rPr>
                <w:rFonts w:ascii="宋体" w:hAnsi="宋体" w:cs="宋体" w:eastAsia="宋体" w:hint="default"/>
                <w:sz w:val="18"/>
                <w:szCs w:val="18"/>
              </w:rPr>
            </w:pPr>
            <w:r>
              <w:rPr>
                <w:rFonts w:ascii="宋体" w:hAnsi="宋体" w:cs="宋体" w:eastAsia="宋体" w:hint="default"/>
                <w:spacing w:val="-3"/>
                <w:sz w:val="18"/>
                <w:szCs w:val="18"/>
              </w:rPr>
              <w:t>递延所得税资产和负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债期初互抵金额</w:t>
            </w:r>
          </w:p>
        </w:tc>
        <w:tc>
          <w:tcPr>
            <w:tcW w:w="191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21" w:lineRule="auto" w:before="54"/>
              <w:ind w:left="235" w:right="127" w:hanging="92"/>
              <w:jc w:val="left"/>
              <w:rPr>
                <w:rFonts w:ascii="宋体" w:hAnsi="宋体" w:cs="宋体" w:eastAsia="宋体" w:hint="default"/>
                <w:sz w:val="18"/>
                <w:szCs w:val="18"/>
              </w:rPr>
            </w:pPr>
            <w:r>
              <w:rPr>
                <w:rFonts w:ascii="宋体" w:hAnsi="宋体" w:cs="宋体" w:eastAsia="宋体" w:hint="default"/>
                <w:spacing w:val="-3"/>
                <w:sz w:val="18"/>
                <w:szCs w:val="18"/>
              </w:rPr>
              <w:t>抵销后递延所得税资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产或负债期初余额</w:t>
            </w: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9,102,817.48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10,958,795.34</w:t>
            </w:r>
          </w:p>
        </w:tc>
      </w:tr>
      <w:tr>
        <w:trPr>
          <w:trHeight w:val="413" w:hRule="exact"/>
        </w:trPr>
        <w:tc>
          <w:tcPr>
            <w:tcW w:w="191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21" w:type="dxa"/>
            <w:tcBorders>
              <w:top w:val="single" w:sz="4" w:space="0" w:color="000000"/>
              <w:left w:val="single" w:sz="4" w:space="0" w:color="000000"/>
              <w:bottom w:val="single" w:sz="12" w:space="0" w:color="000000"/>
              <w:right w:val="single" w:sz="4" w:space="0" w:color="000000"/>
            </w:tcBorders>
          </w:tcPr>
          <w:p>
            <w:pPr/>
          </w:p>
        </w:tc>
        <w:tc>
          <w:tcPr>
            <w:tcW w:w="1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3,393,315.39</w:t>
            </w:r>
          </w:p>
        </w:tc>
        <w:tc>
          <w:tcPr>
            <w:tcW w:w="1916" w:type="dxa"/>
            <w:tcBorders>
              <w:top w:val="single" w:sz="4" w:space="0" w:color="000000"/>
              <w:left w:val="single" w:sz="4" w:space="0" w:color="000000"/>
              <w:bottom w:val="single" w:sz="12" w:space="0" w:color="000000"/>
              <w:right w:val="single" w:sz="4" w:space="0" w:color="000000"/>
            </w:tcBorders>
          </w:tcPr>
          <w:p>
            <w:pPr/>
          </w:p>
        </w:tc>
        <w:tc>
          <w:tcPr>
            <w:tcW w:w="19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3,550,855.33</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4）未确认递延所得税资产明细" w:id="328"/>
      <w:bookmarkEnd w:id="328"/>
      <w:r>
        <w:rPr>
          <w:b w:val="0"/>
          <w:bCs w:val="0"/>
        </w:rPr>
      </w:r>
      <w:r>
        <w:rPr/>
        <w:t>（</w:t>
      </w:r>
      <w:r>
        <w:rPr>
          <w:rFonts w:ascii="宋体" w:hAnsi="宋体" w:cs="宋体" w:eastAsia="宋体" w:hint="default"/>
        </w:rPr>
        <w:t>4</w:t>
      </w:r>
      <w:r>
        <w:rPr/>
        <w:t>）未确认递延所得税资产明细</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0"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4,579.17</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153,333,556.10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138,611,258.73</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未实现内部交易损益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3,561,867.76</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3,159,027.17</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156,895,423.86</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141,774,865.07</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5）未确认递延所得税资产的可抵扣亏损将于以下年度到期" w:id="329"/>
      <w:bookmarkEnd w:id="329"/>
      <w:r>
        <w:rPr>
          <w:b w:val="0"/>
          <w:bCs w:val="0"/>
        </w:rPr>
      </w:r>
      <w:r>
        <w:rPr/>
        <w:t>（</w:t>
      </w:r>
      <w:r>
        <w:rPr>
          <w:rFonts w:ascii="宋体" w:hAnsi="宋体" w:cs="宋体" w:eastAsia="宋体" w:hint="default"/>
        </w:rPr>
        <w:t>5</w:t>
      </w:r>
      <w:r>
        <w:rPr/>
        <w:t>）未确认递延所得税资产的可抵扣亏损将于以下年度到期</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391"/>
        <w:gridCol w:w="2396"/>
        <w:gridCol w:w="2391"/>
        <w:gridCol w:w="2391"/>
      </w:tblGrid>
      <w:tr>
        <w:trPr>
          <w:trHeight w:val="410" w:hRule="exact"/>
        </w:trPr>
        <w:tc>
          <w:tcPr>
            <w:tcW w:w="239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18"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4"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1,645,101.60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1,645,101.60</w:t>
            </w: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2,515,691.92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2,510,551.81</w:t>
            </w: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4,127,750.58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4,127,750.58</w:t>
            </w: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6,467,125.60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7,368,071.74</w:t>
            </w: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6,533,498.42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6,309,661.96</w:t>
            </w: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239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11,880,504.05</w:t>
            </w:r>
          </w:p>
        </w:tc>
        <w:tc>
          <w:tcPr>
            <w:tcW w:w="2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1,577,586.43</w:t>
            </w:r>
          </w:p>
        </w:tc>
        <w:tc>
          <w:tcPr>
            <w:tcW w:w="2391"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2391"/>
        <w:gridCol w:w="2396"/>
        <w:gridCol w:w="2391"/>
        <w:gridCol w:w="2391"/>
      </w:tblGrid>
      <w:tr>
        <w:trPr>
          <w:trHeight w:val="413" w:hRule="exact"/>
        </w:trPr>
        <w:tc>
          <w:tcPr>
            <w:tcW w:w="239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3"/>
              <w:ind w:right="891"/>
              <w:jc w:val="right"/>
              <w:rPr>
                <w:rFonts w:ascii="宋体" w:hAnsi="宋体" w:cs="宋体" w:eastAsia="宋体" w:hint="default"/>
                <w:sz w:val="18"/>
                <w:szCs w:val="18"/>
              </w:rPr>
            </w:pPr>
            <w:r>
              <w:rPr>
                <w:rFonts w:ascii="宋体" w:hAnsi="宋体" w:cs="宋体" w:eastAsia="宋体" w:hint="default"/>
                <w:sz w:val="18"/>
                <w:szCs w:val="18"/>
              </w:rPr>
              <w:t>2025</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28,905,163.88</w:t>
            </w:r>
          </w:p>
        </w:tc>
        <w:tc>
          <w:tcPr>
            <w:tcW w:w="23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28,905,163.88</w:t>
            </w:r>
          </w:p>
        </w:tc>
        <w:tc>
          <w:tcPr>
            <w:tcW w:w="2391" w:type="dxa"/>
            <w:tcBorders>
              <w:top w:val="single" w:sz="12" w:space="0" w:color="000000"/>
              <w:left w:val="single" w:sz="4" w:space="0" w:color="000000"/>
              <w:bottom w:val="single" w:sz="4" w:space="0" w:color="000000"/>
              <w:right w:val="single" w:sz="12" w:space="0" w:color="000000"/>
            </w:tcBorders>
          </w:tcPr>
          <w:p>
            <w:pP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891"/>
              <w:jc w:val="right"/>
              <w:rPr>
                <w:rFonts w:ascii="宋体" w:hAnsi="宋体" w:cs="宋体" w:eastAsia="宋体" w:hint="default"/>
                <w:sz w:val="18"/>
                <w:szCs w:val="18"/>
              </w:rPr>
            </w:pPr>
            <w:r>
              <w:rPr>
                <w:rFonts w:ascii="宋体" w:hAnsi="宋体" w:cs="宋体" w:eastAsia="宋体" w:hint="default"/>
                <w:sz w:val="18"/>
                <w:szCs w:val="18"/>
              </w:rPr>
              <w:t>2026</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3,961,804.06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3,961,804.06</w:t>
            </w: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right="891"/>
              <w:jc w:val="right"/>
              <w:rPr>
                <w:rFonts w:ascii="宋体" w:hAnsi="宋体" w:cs="宋体" w:eastAsia="宋体" w:hint="default"/>
                <w:sz w:val="18"/>
                <w:szCs w:val="18"/>
              </w:rPr>
            </w:pPr>
            <w:r>
              <w:rPr>
                <w:rFonts w:ascii="宋体" w:hAnsi="宋体" w:cs="宋体" w:eastAsia="宋体" w:hint="default"/>
                <w:sz w:val="18"/>
                <w:szCs w:val="18"/>
              </w:rPr>
              <w:t>2027</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32,894,576.50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46,373,824.48</w:t>
            </w: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891"/>
              <w:jc w:val="right"/>
              <w:rPr>
                <w:rFonts w:ascii="宋体" w:hAnsi="宋体" w:cs="宋体" w:eastAsia="宋体" w:hint="default"/>
                <w:sz w:val="18"/>
                <w:szCs w:val="18"/>
              </w:rPr>
            </w:pPr>
            <w:r>
              <w:rPr>
                <w:rFonts w:ascii="宋体" w:hAnsi="宋体" w:cs="宋体" w:eastAsia="宋体" w:hint="default"/>
                <w:sz w:val="18"/>
                <w:szCs w:val="18"/>
              </w:rPr>
              <w:t>2028</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35,076,841.05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35,831,742.19</w:t>
            </w: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891"/>
              <w:jc w:val="right"/>
              <w:rPr>
                <w:rFonts w:ascii="宋体" w:hAnsi="宋体" w:cs="宋体" w:eastAsia="宋体" w:hint="default"/>
                <w:sz w:val="18"/>
                <w:szCs w:val="18"/>
              </w:rPr>
            </w:pPr>
            <w:r>
              <w:rPr>
                <w:rFonts w:ascii="宋体" w:hAnsi="宋体" w:cs="宋体" w:eastAsia="宋体" w:hint="default"/>
                <w:sz w:val="18"/>
                <w:szCs w:val="18"/>
              </w:rPr>
              <w:t>2029</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19,325,498.44</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239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153,333,556.10</w:t>
            </w:r>
          </w:p>
        </w:tc>
        <w:tc>
          <w:tcPr>
            <w:tcW w:w="2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138,611,258.73</w:t>
            </w:r>
          </w:p>
        </w:tc>
        <w:tc>
          <w:tcPr>
            <w:tcW w:w="2391"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3"/>
              <w:ind w:left="18" w:right="0"/>
              <w:jc w:val="center"/>
              <w:rPr>
                <w:rFonts w:ascii="宋体" w:hAnsi="宋体" w:cs="宋体" w:eastAsia="宋体" w:hint="default"/>
                <w:sz w:val="18"/>
                <w:szCs w:val="18"/>
              </w:rPr>
            </w:pPr>
            <w:r>
              <w:rPr>
                <w:rFonts w:ascii="宋体"/>
                <w:sz w:val="18"/>
              </w:rPr>
              <w:t>--</w:t>
            </w:r>
          </w:p>
        </w:tc>
      </w:tr>
    </w:tbl>
    <w:p>
      <w:pPr>
        <w:pStyle w:val="BodyText"/>
        <w:spacing w:line="408" w:lineRule="auto" w:before="67"/>
        <w:ind w:right="1024"/>
        <w:jc w:val="left"/>
      </w:pPr>
      <w:r>
        <w:rPr/>
        <w:t>根据财税（</w:t>
      </w:r>
      <w:r>
        <w:rPr>
          <w:rFonts w:ascii="宋体" w:hAnsi="宋体" w:cs="宋体" w:eastAsia="宋体" w:hint="default"/>
        </w:rPr>
        <w:t>2018</w:t>
      </w:r>
      <w:r>
        <w:rPr/>
        <w:t>）</w:t>
      </w:r>
      <w:r>
        <w:rPr>
          <w:rFonts w:ascii="宋体" w:hAnsi="宋体" w:cs="宋体" w:eastAsia="宋体" w:hint="default"/>
        </w:rPr>
        <w:t>76</w:t>
      </w:r>
      <w:r>
        <w:rPr/>
        <w:t>号的规定，当年具备高新技术企业或科技型中小企业资格（以下统称资格）的企业，</w:t>
      </w:r>
      <w:r>
        <w:rPr>
          <w:spacing w:val="-33"/>
        </w:rPr>
        <w:t> </w:t>
      </w:r>
      <w:r>
        <w:rPr>
          <w:spacing w:val="-33"/>
        </w:rPr>
      </w:r>
      <w:r>
        <w:rPr>
          <w:spacing w:val="-2"/>
        </w:rPr>
        <w:t>其具备资格年度之前</w:t>
      </w:r>
      <w:r>
        <w:rPr>
          <w:rFonts w:ascii="宋体" w:hAnsi="宋体" w:cs="宋体" w:eastAsia="宋体" w:hint="default"/>
          <w:spacing w:val="-2"/>
        </w:rPr>
        <w:t>5</w:t>
      </w:r>
      <w:r>
        <w:rPr>
          <w:spacing w:val="-2"/>
        </w:rPr>
        <w:t>个年度发生的尚未弥补完的亏损，准予结转以后年度弥补，最长结转年限由</w:t>
      </w:r>
      <w:r>
        <w:rPr>
          <w:rFonts w:ascii="宋体" w:hAnsi="宋体" w:cs="宋体" w:eastAsia="宋体" w:hint="default"/>
          <w:spacing w:val="-2"/>
        </w:rPr>
        <w:t>5</w:t>
      </w:r>
      <w:r>
        <w:rPr>
          <w:spacing w:val="-2"/>
        </w:rPr>
        <w:t>年延长</w:t>
      </w:r>
      <w:r>
        <w:rPr>
          <w:spacing w:val="-33"/>
        </w:rPr>
        <w:t> </w:t>
      </w:r>
      <w:r>
        <w:rPr>
          <w:spacing w:val="-33"/>
        </w:rPr>
      </w:r>
      <w:r>
        <w:rPr/>
        <w:t>至</w:t>
      </w:r>
      <w:r>
        <w:rPr>
          <w:rFonts w:ascii="宋体" w:hAnsi="宋体" w:cs="宋体" w:eastAsia="宋体" w:hint="default"/>
        </w:rPr>
        <w:t>10</w:t>
      </w:r>
      <w:r>
        <w:rPr/>
        <w:t>年。</w:t>
      </w:r>
    </w:p>
    <w:p>
      <w:pPr>
        <w:spacing w:line="410" w:lineRule="auto" w:before="43"/>
        <w:ind w:left="153" w:right="8661" w:firstLine="0"/>
        <w:jc w:val="left"/>
        <w:rPr>
          <w:rFonts w:ascii="宋体" w:hAnsi="宋体" w:cs="宋体" w:eastAsia="宋体" w:hint="default"/>
          <w:sz w:val="21"/>
          <w:szCs w:val="21"/>
        </w:rPr>
      </w:pPr>
      <w:bookmarkStart w:name="23、其他非流动资产" w:id="330"/>
      <w:bookmarkEnd w:id="330"/>
      <w:r>
        <w:rPr/>
      </w:r>
      <w:r>
        <w:rPr>
          <w:rFonts w:ascii="宋体" w:hAnsi="宋体" w:cs="宋体" w:eastAsia="宋体" w:hint="default"/>
          <w:b/>
          <w:bCs/>
          <w:sz w:val="21"/>
          <w:szCs w:val="21"/>
        </w:rPr>
        <w:t>23</w:t>
      </w:r>
      <w:r>
        <w:rPr>
          <w:rFonts w:ascii="宋体" w:hAnsi="宋体" w:cs="宋体" w:eastAsia="宋体" w:hint="default"/>
          <w:b/>
          <w:bCs/>
          <w:sz w:val="21"/>
          <w:szCs w:val="21"/>
        </w:rPr>
        <w:t>、其他非流动资产</w:t>
      </w:r>
      <w:r>
        <w:rPr>
          <w:rFonts w:ascii="宋体" w:hAnsi="宋体" w:cs="宋体" w:eastAsia="宋体" w:hint="default"/>
          <w:b/>
          <w:bCs/>
          <w:spacing w:val="-104"/>
          <w:sz w:val="21"/>
          <w:szCs w:val="21"/>
        </w:rPr>
        <w:t> </w:t>
      </w:r>
      <w:r>
        <w:rPr>
          <w:rFonts w:ascii="宋体" w:hAnsi="宋体" w:cs="宋体" w:eastAsia="宋体" w:hint="default"/>
          <w:spacing w:val="-1"/>
          <w:sz w:val="21"/>
          <w:szCs w:val="21"/>
        </w:rPr>
        <w:t>是否已执行新收入准则</w:t>
      </w:r>
    </w:p>
    <w:p>
      <w:pPr>
        <w:pStyle w:val="BodyText"/>
        <w:spacing w:line="240" w:lineRule="auto" w:before="41"/>
        <w:ind w:right="1024"/>
        <w:jc w:val="left"/>
      </w:pPr>
      <w:r>
        <w:rPr/>
        <w:t>□ 是 √</w:t>
      </w:r>
      <w:r>
        <w:rPr>
          <w:spacing w:val="5"/>
        </w:rPr>
        <w:t> </w:t>
      </w:r>
      <w:r>
        <w:rPr/>
        <w:t>否</w:t>
      </w:r>
    </w:p>
    <w:p>
      <w:pPr>
        <w:spacing w:line="240" w:lineRule="auto" w:before="13"/>
        <w:rPr>
          <w:rFonts w:ascii="宋体" w:hAnsi="宋体" w:cs="宋体" w:eastAsia="宋体" w:hint="default"/>
          <w:sz w:val="13"/>
          <w:szCs w:val="13"/>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498"/>
        <w:gridCol w:w="1738"/>
        <w:gridCol w:w="1081"/>
        <w:gridCol w:w="1503"/>
        <w:gridCol w:w="1628"/>
        <w:gridCol w:w="879"/>
        <w:gridCol w:w="1469"/>
      </w:tblGrid>
      <w:tr>
        <w:trPr>
          <w:trHeight w:val="410" w:hRule="exact"/>
        </w:trPr>
        <w:tc>
          <w:tcPr>
            <w:tcW w:w="1498"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22" w:type="dxa"/>
            <w:gridSpan w:val="3"/>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6" w:type="dxa"/>
            <w:gridSpan w:val="3"/>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1498" w:type="dxa"/>
            <w:vMerge/>
            <w:tcBorders>
              <w:left w:val="single" w:sz="12"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40" w:right="161" w:hanging="178"/>
              <w:jc w:val="left"/>
              <w:rPr>
                <w:rFonts w:ascii="宋体" w:hAnsi="宋体" w:cs="宋体" w:eastAsia="宋体" w:hint="default"/>
                <w:sz w:val="18"/>
                <w:szCs w:val="18"/>
              </w:rPr>
            </w:pPr>
            <w:r>
              <w:rPr>
                <w:rFonts w:ascii="宋体" w:hAnsi="宋体" w:cs="宋体" w:eastAsia="宋体" w:hint="default"/>
                <w:sz w:val="18"/>
                <w:szCs w:val="18"/>
              </w:rPr>
              <w:t>减值准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1469"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4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7" w:right="0"/>
              <w:jc w:val="left"/>
              <w:rPr>
                <w:rFonts w:ascii="宋体" w:hAnsi="宋体" w:cs="宋体" w:eastAsia="宋体" w:hint="default"/>
                <w:sz w:val="18"/>
                <w:szCs w:val="18"/>
              </w:rPr>
            </w:pPr>
            <w:r>
              <w:rPr>
                <w:rFonts w:ascii="宋体"/>
                <w:sz w:val="18"/>
              </w:rPr>
              <w:t>8,889,897.51</w:t>
            </w:r>
          </w:p>
        </w:tc>
        <w:tc>
          <w:tcPr>
            <w:tcW w:w="1081"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8,889,897.51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11,661,397.02</w:t>
            </w:r>
          </w:p>
        </w:tc>
        <w:tc>
          <w:tcPr>
            <w:tcW w:w="87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11,661,397.02</w:t>
            </w:r>
          </w:p>
        </w:tc>
      </w:tr>
      <w:tr>
        <w:trPr>
          <w:trHeight w:val="403" w:hRule="exact"/>
        </w:trPr>
        <w:tc>
          <w:tcPr>
            <w:tcW w:w="149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56" w:right="0"/>
              <w:jc w:val="left"/>
              <w:rPr>
                <w:rFonts w:ascii="宋体" w:hAnsi="宋体" w:cs="宋体" w:eastAsia="宋体" w:hint="default"/>
                <w:sz w:val="18"/>
                <w:szCs w:val="18"/>
              </w:rPr>
            </w:pPr>
            <w:r>
              <w:rPr>
                <w:rFonts w:ascii="宋体"/>
                <w:sz w:val="18"/>
              </w:rPr>
              <w:t>13,618,695.78</w:t>
            </w:r>
          </w:p>
        </w:tc>
        <w:tc>
          <w:tcPr>
            <w:tcW w:w="1081"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13,618,695.78</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5,350,736.60</w:t>
            </w:r>
          </w:p>
        </w:tc>
        <w:tc>
          <w:tcPr>
            <w:tcW w:w="879"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5,350,736.60</w:t>
            </w:r>
          </w:p>
        </w:tc>
      </w:tr>
      <w:tr>
        <w:trPr>
          <w:trHeight w:val="413" w:hRule="exact"/>
        </w:trPr>
        <w:tc>
          <w:tcPr>
            <w:tcW w:w="149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456" w:right="0"/>
              <w:jc w:val="left"/>
              <w:rPr>
                <w:rFonts w:ascii="宋体" w:hAnsi="宋体" w:cs="宋体" w:eastAsia="宋体" w:hint="default"/>
                <w:sz w:val="18"/>
                <w:szCs w:val="18"/>
              </w:rPr>
            </w:pPr>
            <w:r>
              <w:rPr>
                <w:rFonts w:ascii="宋体"/>
                <w:sz w:val="18"/>
              </w:rPr>
              <w:t>22,508,593.29</w:t>
            </w:r>
          </w:p>
        </w:tc>
        <w:tc>
          <w:tcPr>
            <w:tcW w:w="1081" w:type="dxa"/>
            <w:tcBorders>
              <w:top w:val="single" w:sz="4" w:space="0" w:color="000000"/>
              <w:left w:val="single" w:sz="4" w:space="0" w:color="000000"/>
              <w:bottom w:val="single" w:sz="12" w:space="0" w:color="000000"/>
              <w:right w:val="single" w:sz="4" w:space="0" w:color="000000"/>
            </w:tcBorders>
          </w:tcPr>
          <w:p>
            <w:pPr/>
          </w:p>
        </w:tc>
        <w:tc>
          <w:tcPr>
            <w:tcW w:w="15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22,508,593.29</w:t>
            </w:r>
          </w:p>
        </w:tc>
        <w:tc>
          <w:tcPr>
            <w:tcW w:w="16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17,012,133.62</w:t>
            </w:r>
          </w:p>
        </w:tc>
        <w:tc>
          <w:tcPr>
            <w:tcW w:w="879" w:type="dxa"/>
            <w:tcBorders>
              <w:top w:val="single" w:sz="4" w:space="0" w:color="000000"/>
              <w:left w:val="single" w:sz="4" w:space="0" w:color="000000"/>
              <w:bottom w:val="single" w:sz="12" w:space="0" w:color="000000"/>
              <w:right w:val="single" w:sz="4" w:space="0" w:color="000000"/>
            </w:tcBorders>
          </w:tcPr>
          <w:p>
            <w:pPr/>
          </w:p>
        </w:tc>
        <w:tc>
          <w:tcPr>
            <w:tcW w:w="146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spacing w:val="-1"/>
                <w:sz w:val="18"/>
              </w:rPr>
              <w:t>17,012,133.62</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24、短期借款" w:id="331"/>
      <w:bookmarkEnd w:id="331"/>
      <w:r>
        <w:rPr>
          <w:b w:val="0"/>
          <w:bCs w:val="0"/>
        </w:rPr>
      </w:r>
      <w:r>
        <w:rPr>
          <w:rFonts w:ascii="宋体" w:hAnsi="宋体" w:cs="宋体" w:eastAsia="宋体" w:hint="default"/>
        </w:rPr>
        <w:t>24</w:t>
      </w:r>
      <w:r>
        <w:rPr/>
        <w:t>、短期借款</w:t>
      </w:r>
      <w:r>
        <w:rPr>
          <w:b w:val="0"/>
          <w:bCs w:val="0"/>
        </w:rPr>
      </w:r>
    </w:p>
    <w:p>
      <w:pPr>
        <w:spacing w:line="240" w:lineRule="auto" w:before="8"/>
        <w:rPr>
          <w:rFonts w:ascii="宋体" w:hAnsi="宋体" w:cs="宋体" w:eastAsia="宋体" w:hint="default"/>
          <w:b/>
          <w:bCs/>
          <w:sz w:val="25"/>
          <w:szCs w:val="25"/>
        </w:rPr>
      </w:pPr>
    </w:p>
    <w:p>
      <w:pPr>
        <w:pStyle w:val="Heading4"/>
        <w:spacing w:line="240" w:lineRule="auto" w:before="0"/>
        <w:ind w:right="1024"/>
        <w:jc w:val="left"/>
        <w:rPr>
          <w:b w:val="0"/>
          <w:bCs w:val="0"/>
        </w:rPr>
      </w:pPr>
      <w:bookmarkStart w:name="（1）短期借款分类" w:id="332"/>
      <w:bookmarkEnd w:id="332"/>
      <w:r>
        <w:rPr>
          <w:b w:val="0"/>
          <w:bCs w:val="0"/>
        </w:rPr>
      </w:r>
      <w:r>
        <w:rPr/>
        <w:t>（</w:t>
      </w:r>
      <w:r>
        <w:rPr>
          <w:rFonts w:ascii="宋体" w:hAnsi="宋体" w:cs="宋体" w:eastAsia="宋体" w:hint="default"/>
        </w:rPr>
        <w:t>1</w:t>
      </w:r>
      <w:r>
        <w:rPr/>
        <w:t>）短期借款分类</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0"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2"/>
                <w:sz w:val="18"/>
              </w:rPr>
              <w:t>110,000,000.00</w:t>
            </w: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11,000,000.00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143,000,000.00</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273,223.96</w:t>
            </w: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承兑汇票贴现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3,510,533.27</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1,875,000.00</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2"/>
                <w:sz w:val="18"/>
              </w:rPr>
              <w:t>124,783,757.23</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spacing w:val="-2"/>
                <w:sz w:val="18"/>
              </w:rPr>
              <w:t>144,875,000.00</w:t>
            </w:r>
          </w:p>
        </w:tc>
      </w:tr>
    </w:tbl>
    <w:p>
      <w:pPr>
        <w:spacing w:after="0" w:line="240" w:lineRule="auto"/>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1"/>
        <w:rPr>
          <w:rFonts w:ascii="宋体" w:hAnsi="宋体" w:cs="宋体" w:eastAsia="宋体" w:hint="default"/>
          <w:sz w:val="26"/>
          <w:szCs w:val="26"/>
        </w:rPr>
      </w:pPr>
    </w:p>
    <w:p>
      <w:pPr>
        <w:pStyle w:val="Heading4"/>
        <w:spacing w:line="240" w:lineRule="auto"/>
        <w:ind w:right="1024"/>
        <w:jc w:val="left"/>
        <w:rPr>
          <w:b w:val="0"/>
          <w:bCs w:val="0"/>
        </w:rPr>
      </w:pPr>
      <w:bookmarkStart w:name="25、应付票据" w:id="333"/>
      <w:bookmarkEnd w:id="333"/>
      <w:r>
        <w:rPr>
          <w:b w:val="0"/>
          <w:bCs w:val="0"/>
        </w:rPr>
      </w:r>
      <w:r>
        <w:rPr>
          <w:rFonts w:ascii="宋体" w:hAnsi="宋体" w:cs="宋体" w:eastAsia="宋体" w:hint="default"/>
        </w:rPr>
        <w:t>25</w:t>
      </w:r>
      <w:r>
        <w:rPr/>
        <w:t>、应付票据</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2,990,000.00</w:t>
            </w: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2,990,000.00</w:t>
            </w:r>
          </w:p>
        </w:tc>
        <w:tc>
          <w:tcPr>
            <w:tcW w:w="3193"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26、应付账款" w:id="334"/>
      <w:bookmarkEnd w:id="334"/>
      <w:r>
        <w:rPr>
          <w:b w:val="0"/>
          <w:bCs w:val="0"/>
        </w:rPr>
      </w:r>
      <w:r>
        <w:rPr>
          <w:rFonts w:ascii="宋体" w:hAnsi="宋体" w:cs="宋体" w:eastAsia="宋体" w:hint="default"/>
        </w:rPr>
        <w:t>26</w:t>
      </w:r>
      <w:r>
        <w:rPr/>
        <w:t>、应付账款</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before="0"/>
        <w:ind w:right="1024"/>
        <w:jc w:val="left"/>
        <w:rPr>
          <w:b w:val="0"/>
          <w:bCs w:val="0"/>
        </w:rPr>
      </w:pPr>
      <w:bookmarkStart w:name="（1）应付账款列示" w:id="335"/>
      <w:bookmarkEnd w:id="335"/>
      <w:r>
        <w:rPr>
          <w:b w:val="0"/>
          <w:bCs w:val="0"/>
        </w:rPr>
      </w:r>
      <w:r>
        <w:rPr/>
        <w:t>（</w:t>
      </w:r>
      <w:r>
        <w:rPr>
          <w:rFonts w:ascii="宋体" w:hAnsi="宋体" w:cs="宋体" w:eastAsia="宋体" w:hint="default"/>
        </w:rPr>
        <w:t>1</w:t>
      </w:r>
      <w:r>
        <w:rPr/>
        <w:t>）应付账款列示</w:t>
      </w:r>
      <w:r>
        <w:rPr>
          <w:b w:val="0"/>
          <w:bCs w:val="0"/>
        </w:rPr>
      </w:r>
    </w:p>
    <w:p>
      <w:pPr>
        <w:spacing w:line="240" w:lineRule="auto" w:before="5"/>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131,426,533.65</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101,705,948.42</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12,385,467.01</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28,787,703.57</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13,392,783.37</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3,394,886.61</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3,454,504.66</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2,582,216.12</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160,659,288.69</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136,470,754.72</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2）账龄超过1年的重要应付账款" w:id="336"/>
      <w:bookmarkEnd w:id="336"/>
      <w:r>
        <w:rPr>
          <w:b w:val="0"/>
          <w:bCs w:val="0"/>
        </w:rPr>
      </w:r>
      <w:r>
        <w:rPr/>
        <w:t>（</w:t>
      </w:r>
      <w:r>
        <w:rPr>
          <w:rFonts w:ascii="宋体" w:hAnsi="宋体" w:cs="宋体" w:eastAsia="宋体" w:hint="default"/>
        </w:rPr>
        <w:t>2</w:t>
      </w:r>
      <w:r>
        <w:rPr/>
        <w:t>）账龄超过</w:t>
      </w:r>
      <w:r>
        <w:rPr>
          <w:spacing w:val="-51"/>
        </w:rPr>
        <w:t> </w:t>
      </w:r>
      <w:r>
        <w:rPr>
          <w:rFonts w:ascii="宋体" w:hAnsi="宋体" w:cs="宋体" w:eastAsia="宋体" w:hint="default"/>
        </w:rPr>
        <w:t>1</w:t>
      </w:r>
      <w:r>
        <w:rPr>
          <w:rFonts w:ascii="宋体" w:hAnsi="宋体" w:cs="宋体" w:eastAsia="宋体" w:hint="default"/>
          <w:spacing w:val="-52"/>
        </w:rPr>
        <w:t> </w:t>
      </w:r>
      <w:r>
        <w:rPr/>
        <w:t>年的重要应付账款</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716"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pacing w:val="-3"/>
                <w:sz w:val="18"/>
                <w:szCs w:val="18"/>
              </w:rPr>
              <w:t>北京联泰时代科技发展有限公司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8,588,590.60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319" w:lineRule="auto" w:before="53"/>
              <w:ind w:left="105" w:right="182"/>
              <w:jc w:val="left"/>
              <w:rPr>
                <w:rFonts w:ascii="宋体" w:hAnsi="宋体" w:cs="宋体" w:eastAsia="宋体" w:hint="default"/>
                <w:sz w:val="18"/>
                <w:szCs w:val="18"/>
              </w:rPr>
            </w:pPr>
            <w:r>
              <w:rPr>
                <w:rFonts w:ascii="宋体" w:hAnsi="宋体" w:cs="宋体" w:eastAsia="宋体" w:hint="default"/>
                <w:spacing w:val="-3"/>
                <w:sz w:val="18"/>
                <w:szCs w:val="18"/>
              </w:rPr>
              <w:t>双方对于实际应当支付的金额存有异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议</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广西华悦科技有限公司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4,587,801.44</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未到付款期限</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13,176,392.04</w:t>
            </w:r>
          </w:p>
        </w:tc>
        <w:tc>
          <w:tcPr>
            <w:tcW w:w="3193"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sz w:val="18"/>
              </w:rPr>
              <w:t>--</w:t>
            </w:r>
          </w:p>
        </w:tc>
      </w:tr>
    </w:tbl>
    <w:p>
      <w:pPr>
        <w:spacing w:line="408" w:lineRule="auto" w:before="66"/>
        <w:ind w:left="153" w:right="8661" w:firstLine="0"/>
        <w:jc w:val="left"/>
        <w:rPr>
          <w:rFonts w:ascii="宋体" w:hAnsi="宋体" w:cs="宋体" w:eastAsia="宋体" w:hint="default"/>
          <w:sz w:val="21"/>
          <w:szCs w:val="21"/>
        </w:rPr>
      </w:pPr>
      <w:bookmarkStart w:name="27、预收款项" w:id="337"/>
      <w:bookmarkEnd w:id="337"/>
      <w:r>
        <w:rPr/>
      </w:r>
      <w:r>
        <w:rPr>
          <w:rFonts w:ascii="宋体" w:hAnsi="宋体" w:cs="宋体" w:eastAsia="宋体" w:hint="default"/>
          <w:b/>
          <w:bCs/>
          <w:sz w:val="21"/>
          <w:szCs w:val="21"/>
        </w:rPr>
        <w:t>27</w:t>
      </w:r>
      <w:r>
        <w:rPr>
          <w:rFonts w:ascii="宋体" w:hAnsi="宋体" w:cs="宋体" w:eastAsia="宋体" w:hint="default"/>
          <w:b/>
          <w:bCs/>
          <w:sz w:val="21"/>
          <w:szCs w:val="21"/>
        </w:rPr>
        <w:t>、预收款项</w:t>
      </w:r>
      <w:r>
        <w:rPr>
          <w:rFonts w:ascii="宋体" w:hAnsi="宋体" w:cs="宋体" w:eastAsia="宋体" w:hint="default"/>
          <w:b/>
          <w:bCs/>
          <w:w w:val="100"/>
          <w:sz w:val="21"/>
          <w:szCs w:val="21"/>
        </w:rPr>
        <w:t> </w:t>
      </w:r>
      <w:r>
        <w:rPr>
          <w:rFonts w:ascii="宋体" w:hAnsi="宋体" w:cs="宋体" w:eastAsia="宋体" w:hint="default"/>
          <w:spacing w:val="-1"/>
          <w:sz w:val="21"/>
          <w:szCs w:val="21"/>
        </w:rPr>
        <w:t>是否已执行新收入准则</w:t>
      </w:r>
    </w:p>
    <w:p>
      <w:pPr>
        <w:pStyle w:val="BodyText"/>
        <w:spacing w:line="240" w:lineRule="auto" w:before="48"/>
        <w:ind w:right="1024"/>
        <w:jc w:val="left"/>
      </w:pPr>
      <w:r>
        <w:rPr/>
        <w:t>□ 是 √</w:t>
      </w:r>
      <w:r>
        <w:rPr>
          <w:spacing w:val="5"/>
        </w:rPr>
        <w:t> </w:t>
      </w:r>
      <w:r>
        <w:rPr/>
        <w:t>否</w:t>
      </w:r>
    </w:p>
    <w:p>
      <w:pPr>
        <w:spacing w:line="240" w:lineRule="auto" w:before="8"/>
        <w:rPr>
          <w:rFonts w:ascii="宋体" w:hAnsi="宋体" w:cs="宋体" w:eastAsia="宋体" w:hint="default"/>
          <w:sz w:val="14"/>
          <w:szCs w:val="14"/>
        </w:rPr>
      </w:pPr>
    </w:p>
    <w:p>
      <w:pPr>
        <w:pStyle w:val="Heading4"/>
        <w:spacing w:line="240" w:lineRule="auto" w:before="0"/>
        <w:ind w:right="1024"/>
        <w:jc w:val="left"/>
        <w:rPr>
          <w:b w:val="0"/>
          <w:bCs w:val="0"/>
        </w:rPr>
      </w:pPr>
      <w:bookmarkStart w:name="（1）预收款项列示" w:id="338"/>
      <w:bookmarkEnd w:id="338"/>
      <w:r>
        <w:rPr>
          <w:b w:val="0"/>
          <w:bCs w:val="0"/>
        </w:rPr>
      </w:r>
      <w:r>
        <w:rPr/>
        <w:t>（</w:t>
      </w:r>
      <w:r>
        <w:rPr>
          <w:rFonts w:ascii="宋体" w:hAnsi="宋体" w:cs="宋体" w:eastAsia="宋体" w:hint="default"/>
        </w:rPr>
        <w:t>1</w:t>
      </w:r>
      <w:r>
        <w:rPr/>
        <w:t>）预收款项列示</w:t>
      </w:r>
      <w:r>
        <w:rPr>
          <w:b w:val="0"/>
          <w:bCs w:val="0"/>
        </w:rPr>
      </w:r>
    </w:p>
    <w:p>
      <w:pPr>
        <w:spacing w:line="240" w:lineRule="auto" w:before="5"/>
        <w:rPr>
          <w:rFonts w:ascii="宋体" w:hAnsi="宋体" w:cs="宋体" w:eastAsia="宋体" w:hint="default"/>
          <w:b/>
          <w:bCs/>
          <w:sz w:val="10"/>
          <w:szCs w:val="10"/>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2002" w:right="0"/>
              <w:jc w:val="left"/>
              <w:rPr>
                <w:rFonts w:ascii="宋体" w:hAnsi="宋体" w:cs="宋体" w:eastAsia="宋体" w:hint="default"/>
                <w:sz w:val="18"/>
                <w:szCs w:val="18"/>
              </w:rPr>
            </w:pPr>
            <w:r>
              <w:rPr>
                <w:rFonts w:ascii="宋体"/>
                <w:sz w:val="18"/>
              </w:rPr>
              <w:t>4,364,038.61</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1997" w:right="0"/>
              <w:jc w:val="left"/>
              <w:rPr>
                <w:rFonts w:ascii="宋体" w:hAnsi="宋体" w:cs="宋体" w:eastAsia="宋体" w:hint="default"/>
                <w:sz w:val="18"/>
                <w:szCs w:val="18"/>
              </w:rPr>
            </w:pPr>
            <w:r>
              <w:rPr>
                <w:rFonts w:ascii="宋体"/>
                <w:sz w:val="18"/>
              </w:rPr>
              <w:t>9,299,087.15</w:t>
            </w:r>
          </w:p>
        </w:tc>
      </w:tr>
    </w:tbl>
    <w:p>
      <w:pPr>
        <w:spacing w:after="0" w:line="240" w:lineRule="auto"/>
        <w:jc w:val="left"/>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31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1,170,404.88</w:t>
            </w:r>
          </w:p>
        </w:tc>
        <w:tc>
          <w:tcPr>
            <w:tcW w:w="319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522,703.55</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342,880.94</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145,972.96</w:t>
            </w:r>
          </w:p>
        </w:tc>
      </w:tr>
      <w:tr>
        <w:trPr>
          <w:trHeight w:val="399"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252,430.26</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spacing w:val="-1"/>
                <w:sz w:val="18"/>
              </w:rPr>
              <w:t>170,000.00</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6,129,754.69</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10,137,763.66</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28、应付职工薪酬" w:id="339"/>
      <w:bookmarkEnd w:id="339"/>
      <w:r>
        <w:rPr>
          <w:b w:val="0"/>
          <w:bCs w:val="0"/>
        </w:rPr>
      </w:r>
      <w:r>
        <w:rPr>
          <w:rFonts w:ascii="宋体" w:hAnsi="宋体" w:cs="宋体" w:eastAsia="宋体" w:hint="default"/>
        </w:rPr>
        <w:t>28</w:t>
      </w:r>
      <w:r>
        <w:rPr/>
        <w:t>、应付职工薪酬</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before="0"/>
        <w:ind w:right="1024"/>
        <w:jc w:val="left"/>
        <w:rPr>
          <w:b w:val="0"/>
          <w:bCs w:val="0"/>
        </w:rPr>
      </w:pPr>
      <w:bookmarkStart w:name="（1）应付职工薪酬列示" w:id="340"/>
      <w:bookmarkEnd w:id="340"/>
      <w:r>
        <w:rPr>
          <w:b w:val="0"/>
          <w:bCs w:val="0"/>
        </w:rPr>
      </w:r>
      <w:r>
        <w:rPr/>
        <w:t>（</w:t>
      </w:r>
      <w:r>
        <w:rPr>
          <w:rFonts w:ascii="宋体" w:hAnsi="宋体" w:cs="宋体" w:eastAsia="宋体" w:hint="default"/>
        </w:rPr>
        <w:t>1</w:t>
      </w:r>
      <w:r>
        <w:rPr/>
        <w:t>）应付职工薪酬列示</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13" w:hRule="exact"/>
        </w:trPr>
        <w:tc>
          <w:tcPr>
            <w:tcW w:w="191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34" w:right="0"/>
              <w:jc w:val="left"/>
              <w:rPr>
                <w:rFonts w:ascii="宋体" w:hAnsi="宋体" w:cs="宋体" w:eastAsia="宋体" w:hint="default"/>
                <w:sz w:val="18"/>
                <w:szCs w:val="18"/>
              </w:rPr>
            </w:pPr>
            <w:r>
              <w:rPr>
                <w:rFonts w:ascii="宋体"/>
                <w:sz w:val="18"/>
              </w:rPr>
              <w:t>12,022,324.94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74,144,440.89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74,725,043.85</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633" w:right="0"/>
              <w:jc w:val="left"/>
              <w:rPr>
                <w:rFonts w:ascii="宋体" w:hAnsi="宋体" w:cs="宋体" w:eastAsia="宋体" w:hint="default"/>
                <w:sz w:val="18"/>
                <w:szCs w:val="18"/>
              </w:rPr>
            </w:pPr>
            <w:r>
              <w:rPr>
                <w:rFonts w:ascii="宋体"/>
                <w:sz w:val="18"/>
              </w:rPr>
              <w:t>11,441,721.98</w:t>
            </w:r>
          </w:p>
        </w:tc>
      </w:tr>
      <w:tr>
        <w:trPr>
          <w:trHeight w:val="716"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9"/>
              <w:ind w:left="95" w:right="98"/>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w:t>
            </w:r>
            <w:r>
              <w:rPr>
                <w:rFonts w:ascii="宋体" w:hAnsi="宋体" w:cs="宋体" w:eastAsia="宋体" w:hint="default"/>
                <w:spacing w:val="-68"/>
                <w:sz w:val="18"/>
                <w:szCs w:val="18"/>
              </w:rPr>
              <w:t> </w:t>
            </w:r>
            <w:r>
              <w:rPr>
                <w:rFonts w:ascii="宋体" w:hAnsi="宋体" w:cs="宋体" w:eastAsia="宋体" w:hint="default"/>
                <w:sz w:val="18"/>
                <w:szCs w:val="18"/>
              </w:rPr>
              <w:t>提存计划</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5,329,778.60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5,329,778.60</w:t>
            </w: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40,000.00</w:t>
            </w: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71"/>
              <w:jc w:val="left"/>
              <w:rPr>
                <w:rFonts w:ascii="宋体" w:hAnsi="宋体" w:cs="宋体" w:eastAsia="宋体" w:hint="default"/>
                <w:sz w:val="18"/>
                <w:szCs w:val="18"/>
              </w:rPr>
            </w:pPr>
            <w:r>
              <w:rPr>
                <w:rFonts w:ascii="宋体" w:hAnsi="宋体" w:cs="宋体" w:eastAsia="宋体" w:hint="default"/>
                <w:spacing w:val="-3"/>
                <w:sz w:val="18"/>
                <w:szCs w:val="18"/>
              </w:rPr>
              <w:t>四、一年内到期的其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他福利</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911" w:type="dxa"/>
            <w:tcBorders>
              <w:top w:val="single" w:sz="4" w:space="0" w:color="000000"/>
              <w:left w:val="single" w:sz="12"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191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left="634" w:right="0"/>
              <w:jc w:val="left"/>
              <w:rPr>
                <w:rFonts w:ascii="宋体" w:hAnsi="宋体" w:cs="宋体" w:eastAsia="宋体" w:hint="default"/>
                <w:sz w:val="18"/>
                <w:szCs w:val="18"/>
              </w:rPr>
            </w:pPr>
            <w:r>
              <w:rPr>
                <w:rFonts w:ascii="宋体"/>
                <w:sz w:val="18"/>
              </w:rPr>
              <w:t>12,022,324.94</w:t>
            </w:r>
          </w:p>
        </w:tc>
        <w:tc>
          <w:tcPr>
            <w:tcW w:w="1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79,514,219.49</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80,094,822.45</w:t>
            </w:r>
          </w:p>
        </w:tc>
        <w:tc>
          <w:tcPr>
            <w:tcW w:w="19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8"/>
              <w:ind w:left="633" w:right="0"/>
              <w:jc w:val="left"/>
              <w:rPr>
                <w:rFonts w:ascii="宋体" w:hAnsi="宋体" w:cs="宋体" w:eastAsia="宋体" w:hint="default"/>
                <w:sz w:val="18"/>
                <w:szCs w:val="18"/>
              </w:rPr>
            </w:pPr>
            <w:r>
              <w:rPr>
                <w:rFonts w:ascii="宋体"/>
                <w:sz w:val="18"/>
              </w:rPr>
              <w:t>11,441,721.98</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2）短期薪酬列示" w:id="341"/>
      <w:bookmarkEnd w:id="341"/>
      <w:r>
        <w:rPr>
          <w:b w:val="0"/>
          <w:bCs w:val="0"/>
        </w:rPr>
      </w:r>
      <w:r>
        <w:rPr/>
        <w:t>（</w:t>
      </w:r>
      <w:r>
        <w:rPr>
          <w:rFonts w:ascii="宋体" w:hAnsi="宋体" w:cs="宋体" w:eastAsia="宋体" w:hint="default"/>
        </w:rPr>
        <w:t>2</w:t>
      </w:r>
      <w:r>
        <w:rPr/>
        <w:t>）短期薪酬列示</w:t>
      </w:r>
      <w:r>
        <w:rPr>
          <w:b w:val="0"/>
          <w:bCs w:val="0"/>
        </w:rPr>
      </w:r>
    </w:p>
    <w:p>
      <w:pPr>
        <w:spacing w:line="240" w:lineRule="auto" w:before="1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13" w:hRule="exact"/>
        </w:trPr>
        <w:tc>
          <w:tcPr>
            <w:tcW w:w="191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94"/>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和补贴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34" w:right="0"/>
              <w:jc w:val="left"/>
              <w:rPr>
                <w:rFonts w:ascii="宋体" w:hAnsi="宋体" w:cs="宋体" w:eastAsia="宋体" w:hint="default"/>
                <w:sz w:val="18"/>
                <w:szCs w:val="18"/>
              </w:rPr>
            </w:pPr>
            <w:r>
              <w:rPr>
                <w:rFonts w:ascii="宋体"/>
                <w:sz w:val="18"/>
              </w:rPr>
              <w:t>12,022,324.94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65,886,839.31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66,467,442.27</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33" w:right="0"/>
              <w:jc w:val="left"/>
              <w:rPr>
                <w:rFonts w:ascii="宋体" w:hAnsi="宋体" w:cs="宋体" w:eastAsia="宋体" w:hint="default"/>
                <w:sz w:val="18"/>
                <w:szCs w:val="18"/>
              </w:rPr>
            </w:pPr>
            <w:r>
              <w:rPr>
                <w:rFonts w:ascii="宋体"/>
                <w:sz w:val="18"/>
              </w:rPr>
              <w:t>11,441,721.98</w:t>
            </w:r>
          </w:p>
        </w:tc>
      </w:tr>
      <w:tr>
        <w:trPr>
          <w:trHeight w:val="399"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3"/>
              <w:jc w:val="right"/>
              <w:rPr>
                <w:rFonts w:ascii="宋体" w:hAnsi="宋体" w:cs="宋体" w:eastAsia="宋体" w:hint="default"/>
                <w:sz w:val="18"/>
                <w:szCs w:val="18"/>
              </w:rPr>
            </w:pPr>
            <w:r>
              <w:rPr>
                <w:rFonts w:ascii="宋体"/>
                <w:spacing w:val="-1"/>
                <w:sz w:val="18"/>
              </w:rPr>
              <w:t>2,393,264.90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2,393,264.90</w:t>
            </w: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3"/>
              <w:jc w:val="right"/>
              <w:rPr>
                <w:rFonts w:ascii="宋体" w:hAnsi="宋体" w:cs="宋体" w:eastAsia="宋体" w:hint="default"/>
                <w:sz w:val="18"/>
                <w:szCs w:val="18"/>
              </w:rPr>
            </w:pPr>
            <w:r>
              <w:rPr>
                <w:rFonts w:ascii="宋体"/>
                <w:spacing w:val="-1"/>
                <w:sz w:val="18"/>
              </w:rPr>
              <w:t>3,255,826.59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3,255,826.59</w:t>
            </w: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其中：医疗保险</w:t>
            </w:r>
          </w:p>
          <w:p>
            <w:pPr>
              <w:pStyle w:val="TableParagraph"/>
              <w:spacing w:line="240" w:lineRule="auto" w:before="81"/>
              <w:ind w:left="95" w:right="0"/>
              <w:jc w:val="left"/>
              <w:rPr>
                <w:rFonts w:ascii="宋体" w:hAnsi="宋体" w:cs="宋体" w:eastAsia="宋体" w:hint="default"/>
                <w:sz w:val="18"/>
                <w:szCs w:val="18"/>
              </w:rPr>
            </w:pPr>
            <w:r>
              <w:rPr>
                <w:rFonts w:ascii="宋体" w:hAnsi="宋体" w:cs="宋体" w:eastAsia="宋体" w:hint="default"/>
                <w:w w:val="101"/>
                <w:sz w:val="18"/>
                <w:szCs w:val="18"/>
              </w:rPr>
              <w:t>费</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2,842,311.41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2,842,311.41</w:t>
            </w: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98" w:right="0"/>
              <w:jc w:val="left"/>
              <w:rPr>
                <w:rFonts w:ascii="宋体" w:hAnsi="宋体" w:cs="宋体" w:eastAsia="宋体" w:hint="default"/>
                <w:sz w:val="18"/>
                <w:szCs w:val="18"/>
              </w:rPr>
            </w:pPr>
            <w:r>
              <w:rPr>
                <w:rFonts w:ascii="宋体" w:hAnsi="宋体" w:cs="宋体" w:eastAsia="宋体" w:hint="default"/>
                <w:spacing w:val="-3"/>
                <w:sz w:val="18"/>
                <w:szCs w:val="18"/>
              </w:rPr>
              <w:t>工伤保险</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w w:val="101"/>
                <w:sz w:val="18"/>
                <w:szCs w:val="18"/>
              </w:rPr>
              <w:t>费</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186,956.36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186,956.36</w:t>
            </w: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pacing w:val="-3"/>
                <w:sz w:val="18"/>
                <w:szCs w:val="18"/>
              </w:rPr>
              <w:t>生育保险</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w w:val="101"/>
                <w:sz w:val="18"/>
                <w:szCs w:val="18"/>
              </w:rPr>
              <w:t>费</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226,558.82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226,558.82</w:t>
            </w: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3"/>
              <w:jc w:val="right"/>
              <w:rPr>
                <w:rFonts w:ascii="宋体" w:hAnsi="宋体" w:cs="宋体" w:eastAsia="宋体" w:hint="default"/>
                <w:sz w:val="18"/>
                <w:szCs w:val="18"/>
              </w:rPr>
            </w:pPr>
            <w:r>
              <w:rPr>
                <w:rFonts w:ascii="宋体"/>
                <w:spacing w:val="-1"/>
                <w:sz w:val="18"/>
              </w:rPr>
              <w:t>2,433,778.00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2,433,778.00</w:t>
            </w: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725" w:hRule="exact"/>
        </w:trPr>
        <w:tc>
          <w:tcPr>
            <w:tcW w:w="191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3"/>
              <w:ind w:left="95" w:right="94"/>
              <w:jc w:val="left"/>
              <w:rPr>
                <w:rFonts w:ascii="宋体" w:hAnsi="宋体" w:cs="宋体" w:eastAsia="宋体" w:hint="default"/>
                <w:sz w:val="18"/>
                <w:szCs w:val="18"/>
              </w:rPr>
            </w:pPr>
            <w:r>
              <w:rPr>
                <w:rFonts w:ascii="宋体" w:hAnsi="宋体" w:cs="宋体" w:eastAsia="宋体" w:hint="default"/>
                <w:spacing w:val="-4"/>
                <w:sz w:val="18"/>
                <w:szCs w:val="18"/>
              </w:rPr>
              <w:t>5</w:t>
            </w:r>
            <w:r>
              <w:rPr>
                <w:rFonts w:ascii="宋体" w:hAnsi="宋体" w:cs="宋体" w:eastAsia="宋体" w:hint="default"/>
                <w:spacing w:val="-4"/>
                <w:sz w:val="18"/>
                <w:szCs w:val="18"/>
              </w:rPr>
              <w:t>、工会经费和职工教</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育经费</w:t>
            </w:r>
          </w:p>
        </w:tc>
        <w:tc>
          <w:tcPr>
            <w:tcW w:w="1921" w:type="dxa"/>
            <w:tcBorders>
              <w:top w:val="single" w:sz="4" w:space="0" w:color="000000"/>
              <w:left w:val="single" w:sz="4" w:space="0" w:color="000000"/>
              <w:bottom w:val="single" w:sz="12" w:space="0" w:color="000000"/>
              <w:right w:val="single" w:sz="4" w:space="0" w:color="000000"/>
            </w:tcBorders>
          </w:tcPr>
          <w:p>
            <w:pPr/>
          </w:p>
        </w:tc>
        <w:tc>
          <w:tcPr>
            <w:tcW w:w="1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174,732.09</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174,732.09</w:t>
            </w:r>
          </w:p>
        </w:tc>
        <w:tc>
          <w:tcPr>
            <w:tcW w:w="1916"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13" w:hRule="exact"/>
        </w:trPr>
        <w:tc>
          <w:tcPr>
            <w:tcW w:w="191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、短期带薪缺勤</w:t>
            </w:r>
          </w:p>
        </w:tc>
        <w:tc>
          <w:tcPr>
            <w:tcW w:w="1921" w:type="dxa"/>
            <w:tcBorders>
              <w:top w:val="single" w:sz="12" w:space="0" w:color="000000"/>
              <w:left w:val="single" w:sz="4" w:space="0" w:color="000000"/>
              <w:bottom w:val="single" w:sz="4" w:space="0" w:color="000000"/>
              <w:right w:val="single" w:sz="4" w:space="0" w:color="000000"/>
            </w:tcBorders>
          </w:tcPr>
          <w:p>
            <w:pPr/>
          </w:p>
        </w:tc>
        <w:tc>
          <w:tcPr>
            <w:tcW w:w="1911" w:type="dxa"/>
            <w:tcBorders>
              <w:top w:val="single" w:sz="12" w:space="0" w:color="000000"/>
              <w:left w:val="single" w:sz="4" w:space="0" w:color="000000"/>
              <w:bottom w:val="single" w:sz="4" w:space="0" w:color="000000"/>
              <w:right w:val="single" w:sz="4" w:space="0" w:color="000000"/>
            </w:tcBorders>
          </w:tcPr>
          <w:p>
            <w:pPr/>
          </w:p>
        </w:tc>
        <w:tc>
          <w:tcPr>
            <w:tcW w:w="1916" w:type="dxa"/>
            <w:tcBorders>
              <w:top w:val="single" w:sz="12" w:space="0" w:color="000000"/>
              <w:left w:val="single" w:sz="4" w:space="0" w:color="000000"/>
              <w:bottom w:val="single" w:sz="4" w:space="0" w:color="000000"/>
              <w:right w:val="single" w:sz="4" w:space="0" w:color="000000"/>
            </w:tcBorders>
          </w:tcPr>
          <w:p>
            <w:pPr/>
          </w:p>
        </w:tc>
        <w:tc>
          <w:tcPr>
            <w:tcW w:w="1916" w:type="dxa"/>
            <w:tcBorders>
              <w:top w:val="single" w:sz="12" w:space="0" w:color="000000"/>
              <w:left w:val="single" w:sz="4" w:space="0" w:color="000000"/>
              <w:bottom w:val="single" w:sz="4" w:space="0" w:color="000000"/>
              <w:right w:val="single" w:sz="12" w:space="0" w:color="000000"/>
            </w:tcBorders>
          </w:tcPr>
          <w:p>
            <w:pP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4"/>
                <w:sz w:val="18"/>
                <w:szCs w:val="18"/>
              </w:rPr>
              <w:t>7</w:t>
            </w:r>
            <w:r>
              <w:rPr>
                <w:rFonts w:ascii="宋体" w:hAnsi="宋体" w:cs="宋体" w:eastAsia="宋体" w:hint="default"/>
                <w:spacing w:val="-4"/>
                <w:sz w:val="18"/>
                <w:szCs w:val="18"/>
              </w:rPr>
              <w:t>、短期利润分享计划</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1911" w:type="dxa"/>
            <w:tcBorders>
              <w:top w:val="single" w:sz="4" w:space="0" w:color="000000"/>
              <w:left w:val="single" w:sz="12"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191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634" w:right="0"/>
              <w:jc w:val="left"/>
              <w:rPr>
                <w:rFonts w:ascii="宋体" w:hAnsi="宋体" w:cs="宋体" w:eastAsia="宋体" w:hint="default"/>
                <w:sz w:val="18"/>
                <w:szCs w:val="18"/>
              </w:rPr>
            </w:pPr>
            <w:r>
              <w:rPr>
                <w:rFonts w:ascii="宋体"/>
                <w:sz w:val="18"/>
              </w:rPr>
              <w:t>12,022,324.94</w:t>
            </w:r>
          </w:p>
        </w:tc>
        <w:tc>
          <w:tcPr>
            <w:tcW w:w="1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628" w:right="0"/>
              <w:jc w:val="left"/>
              <w:rPr>
                <w:rFonts w:ascii="宋体" w:hAnsi="宋体" w:cs="宋体" w:eastAsia="宋体" w:hint="default"/>
                <w:sz w:val="18"/>
                <w:szCs w:val="18"/>
              </w:rPr>
            </w:pPr>
            <w:r>
              <w:rPr>
                <w:rFonts w:ascii="宋体"/>
                <w:sz w:val="18"/>
              </w:rPr>
              <w:t>74,144,440.89</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633" w:right="0"/>
              <w:jc w:val="left"/>
              <w:rPr>
                <w:rFonts w:ascii="宋体" w:hAnsi="宋体" w:cs="宋体" w:eastAsia="宋体" w:hint="default"/>
                <w:sz w:val="18"/>
                <w:szCs w:val="18"/>
              </w:rPr>
            </w:pPr>
            <w:r>
              <w:rPr>
                <w:rFonts w:ascii="宋体"/>
                <w:sz w:val="18"/>
              </w:rPr>
              <w:t>74,725,043.85</w:t>
            </w:r>
          </w:p>
        </w:tc>
        <w:tc>
          <w:tcPr>
            <w:tcW w:w="19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633" w:right="0"/>
              <w:jc w:val="left"/>
              <w:rPr>
                <w:rFonts w:ascii="宋体" w:hAnsi="宋体" w:cs="宋体" w:eastAsia="宋体" w:hint="default"/>
                <w:sz w:val="18"/>
                <w:szCs w:val="18"/>
              </w:rPr>
            </w:pPr>
            <w:r>
              <w:rPr>
                <w:rFonts w:ascii="宋体"/>
                <w:sz w:val="18"/>
              </w:rPr>
              <w:t>11,441,721.98</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3）设定提存计划列示" w:id="342"/>
      <w:bookmarkEnd w:id="342"/>
      <w:r>
        <w:rPr>
          <w:b w:val="0"/>
          <w:bCs w:val="0"/>
        </w:rPr>
      </w:r>
      <w:r>
        <w:rPr/>
        <w:t>（</w:t>
      </w:r>
      <w:r>
        <w:rPr>
          <w:rFonts w:ascii="宋体" w:hAnsi="宋体" w:cs="宋体" w:eastAsia="宋体" w:hint="default"/>
        </w:rPr>
        <w:t>3</w:t>
      </w:r>
      <w:r>
        <w:rPr/>
        <w:t>）设定提存计划列示</w:t>
      </w:r>
      <w:r>
        <w:rPr>
          <w:b w:val="0"/>
          <w:bCs w:val="0"/>
        </w:rPr>
      </w:r>
    </w:p>
    <w:p>
      <w:pPr>
        <w:spacing w:line="240" w:lineRule="auto" w:before="1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13" w:hRule="exact"/>
        </w:trPr>
        <w:tc>
          <w:tcPr>
            <w:tcW w:w="191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5,160,432.59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5,160,432.59</w:t>
            </w: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169,346.01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169,346.01</w:t>
            </w: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、企业年金缴费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191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12" w:space="0" w:color="000000"/>
              <w:right w:val="single" w:sz="4" w:space="0" w:color="000000"/>
            </w:tcBorders>
          </w:tcPr>
          <w:p>
            <w:pPr/>
          </w:p>
        </w:tc>
        <w:tc>
          <w:tcPr>
            <w:tcW w:w="1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5,329,778.60</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5,329,778.60</w:t>
            </w:r>
          </w:p>
        </w:tc>
        <w:tc>
          <w:tcPr>
            <w:tcW w:w="1916"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29、应交税费" w:id="343"/>
      <w:bookmarkEnd w:id="343"/>
      <w:r>
        <w:rPr>
          <w:b w:val="0"/>
          <w:bCs w:val="0"/>
        </w:rPr>
      </w:r>
      <w:r>
        <w:rPr>
          <w:rFonts w:ascii="宋体" w:hAnsi="宋体" w:cs="宋体" w:eastAsia="宋体" w:hint="default"/>
        </w:rPr>
        <w:t>29</w:t>
      </w:r>
      <w:r>
        <w:rPr/>
        <w:t>、应交税费</w:t>
      </w:r>
      <w:r>
        <w:rPr>
          <w:b w:val="0"/>
          <w:bCs w:val="0"/>
        </w:rPr>
      </w:r>
    </w:p>
    <w:p>
      <w:pPr>
        <w:spacing w:line="240" w:lineRule="auto" w:before="5"/>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08"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4,087,876.67</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1"/>
                <w:sz w:val="18"/>
              </w:rPr>
              <w:t>4,425,593.77</w:t>
            </w:r>
          </w:p>
        </w:tc>
      </w:tr>
      <w:tr>
        <w:trPr>
          <w:trHeight w:val="40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1,097,880.69</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2,560,033.16</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158,248.90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117,834.32</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255,913.26</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1"/>
                <w:sz w:val="18"/>
              </w:rPr>
              <w:t>311,410.40</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355,228.92</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396,555.76</w:t>
            </w:r>
          </w:p>
        </w:tc>
      </w:tr>
      <w:tr>
        <w:trPr>
          <w:trHeight w:val="404"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1,287,951.50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spacing w:val="-1"/>
                <w:sz w:val="18"/>
              </w:rPr>
              <w:t>1,198,986.86</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7,243,099.94</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9,010,414.27</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30、其他应付款" w:id="344"/>
      <w:bookmarkEnd w:id="344"/>
      <w:r>
        <w:rPr>
          <w:b w:val="0"/>
          <w:bCs w:val="0"/>
        </w:rPr>
      </w:r>
      <w:r>
        <w:rPr>
          <w:rFonts w:ascii="宋体" w:hAnsi="宋体" w:cs="宋体" w:eastAsia="宋体" w:hint="default"/>
        </w:rPr>
        <w:t>30</w:t>
      </w:r>
      <w:r>
        <w:rPr/>
        <w:t>、其他应付款</w:t>
      </w:r>
      <w:r>
        <w:rPr>
          <w:b w:val="0"/>
          <w:bCs w:val="0"/>
        </w:rPr>
      </w:r>
    </w:p>
    <w:p>
      <w:pPr>
        <w:spacing w:line="240" w:lineRule="auto" w:before="5"/>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0"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2,926,382.00</w:t>
            </w:r>
          </w:p>
        </w:tc>
      </w:tr>
      <w:tr>
        <w:trPr>
          <w:trHeight w:val="399"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17,380,133.50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spacing w:val="-1"/>
                <w:sz w:val="18"/>
              </w:rPr>
              <w:t>52,845,999.52</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17,380,133.50</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1"/>
                <w:sz w:val="18"/>
              </w:rPr>
              <w:t>55,772,381.52</w:t>
            </w:r>
          </w:p>
        </w:tc>
      </w:tr>
    </w:tbl>
    <w:p>
      <w:pPr>
        <w:spacing w:after="0" w:line="240" w:lineRule="auto"/>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1"/>
        <w:rPr>
          <w:rFonts w:ascii="宋体" w:hAnsi="宋体" w:cs="宋体" w:eastAsia="宋体" w:hint="default"/>
          <w:sz w:val="26"/>
          <w:szCs w:val="26"/>
        </w:rPr>
      </w:pPr>
    </w:p>
    <w:p>
      <w:pPr>
        <w:pStyle w:val="Heading4"/>
        <w:spacing w:line="240" w:lineRule="auto"/>
        <w:ind w:right="1024"/>
        <w:jc w:val="left"/>
        <w:rPr>
          <w:b w:val="0"/>
          <w:bCs w:val="0"/>
        </w:rPr>
      </w:pPr>
      <w:bookmarkStart w:name="（1）应付股利" w:id="345"/>
      <w:bookmarkEnd w:id="345"/>
      <w:r>
        <w:rPr>
          <w:b w:val="0"/>
          <w:bCs w:val="0"/>
        </w:rPr>
      </w:r>
      <w:r>
        <w:rPr/>
        <w:t>（</w:t>
      </w:r>
      <w:r>
        <w:rPr>
          <w:rFonts w:ascii="宋体" w:hAnsi="宋体" w:cs="宋体" w:eastAsia="宋体" w:hint="default"/>
        </w:rPr>
        <w:t>1</w:t>
      </w:r>
      <w:r>
        <w:rPr/>
        <w:t>）应付股利</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划分为权益工具的优先股</w:t>
            </w:r>
            <w:r>
              <w:rPr>
                <w:rFonts w:ascii="宋体" w:hAnsi="宋体" w:cs="宋体" w:eastAsia="宋体" w:hint="default"/>
                <w:spacing w:val="-3"/>
                <w:sz w:val="18"/>
                <w:szCs w:val="18"/>
              </w:rPr>
              <w:t>\</w:t>
            </w:r>
            <w:r>
              <w:rPr>
                <w:rFonts w:ascii="宋体" w:hAnsi="宋体" w:cs="宋体" w:eastAsia="宋体" w:hint="default"/>
                <w:spacing w:val="-3"/>
                <w:sz w:val="18"/>
                <w:szCs w:val="18"/>
              </w:rPr>
              <w:t>永续债股利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索瑞电气原股东股利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2,926,382.00</w:t>
            </w:r>
          </w:p>
        </w:tc>
      </w:tr>
      <w:tr>
        <w:trPr>
          <w:trHeight w:val="40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2,926,382.00</w:t>
            </w:r>
          </w:p>
        </w:tc>
      </w:tr>
    </w:tbl>
    <w:p>
      <w:pPr>
        <w:pStyle w:val="Heading4"/>
        <w:spacing w:line="410" w:lineRule="auto" w:before="66"/>
        <w:ind w:right="8221"/>
        <w:jc w:val="left"/>
        <w:rPr>
          <w:b w:val="0"/>
          <w:bCs w:val="0"/>
        </w:rPr>
      </w:pPr>
      <w:bookmarkStart w:name="（2）其他应付款" w:id="346"/>
      <w:bookmarkEnd w:id="346"/>
      <w:r>
        <w:rPr>
          <w:b w:val="0"/>
          <w:bCs w:val="0"/>
        </w:rPr>
      </w:r>
      <w:r>
        <w:rPr/>
        <w:t>（</w:t>
      </w:r>
      <w:r>
        <w:rPr>
          <w:rFonts w:ascii="宋体" w:hAnsi="宋体" w:cs="宋体" w:eastAsia="宋体" w:hint="default"/>
        </w:rPr>
        <w:t>2</w:t>
      </w:r>
      <w:r>
        <w:rPr/>
        <w:t>）其他应付款</w:t>
      </w:r>
      <w:r>
        <w:rPr>
          <w:spacing w:val="-104"/>
        </w:rPr>
        <w:t> </w:t>
      </w:r>
      <w:bookmarkStart w:name="按款项性质列示其他应付款" w:id="347"/>
      <w:bookmarkEnd w:id="347"/>
      <w:r>
        <w:rPr/>
        <w:t>按款项性质列示其他应付款</w:t>
      </w:r>
      <w:r>
        <w:rPr>
          <w:b w:val="0"/>
          <w:bCs w:val="0"/>
        </w:rPr>
      </w:r>
    </w:p>
    <w:p>
      <w:pPr>
        <w:spacing w:before="2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548,542.00</w:t>
            </w: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费用报销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1,774,186.34</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1,202,366.40</w:t>
            </w:r>
          </w:p>
        </w:tc>
      </w:tr>
      <w:tr>
        <w:trPr>
          <w:trHeight w:val="404"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spacing w:val="-1"/>
                <w:sz w:val="18"/>
              </w:rPr>
              <w:t>24,652,875.00</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借款及往来款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12,812,340.07</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16,421,740.97</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2,245,065.09</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10,569,017.15</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17,380,133.50</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52,845,999.52</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31、一年内到期的非流动负债" w:id="348"/>
      <w:bookmarkEnd w:id="348"/>
      <w:r>
        <w:rPr>
          <w:b w:val="0"/>
          <w:bCs w:val="0"/>
        </w:rPr>
      </w:r>
      <w:r>
        <w:rPr>
          <w:rFonts w:ascii="宋体" w:hAnsi="宋体" w:cs="宋体" w:eastAsia="宋体" w:hint="default"/>
        </w:rPr>
        <w:t>31</w:t>
      </w:r>
      <w:r>
        <w:rPr/>
        <w:t>、一年内到期的非流动负债</w:t>
      </w:r>
      <w:r>
        <w:rPr>
          <w:b w:val="0"/>
          <w:bCs w:val="0"/>
        </w:rPr>
      </w:r>
    </w:p>
    <w:p>
      <w:pPr>
        <w:spacing w:line="240" w:lineRule="auto" w:before="9"/>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21,260,000.00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spacing w:val="-1"/>
                <w:sz w:val="18"/>
              </w:rPr>
              <w:t>96,047,029.20</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21,260,000.00</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96,047,029.20</w:t>
            </w:r>
          </w:p>
        </w:tc>
      </w:tr>
    </w:tbl>
    <w:p>
      <w:pPr>
        <w:spacing w:line="405" w:lineRule="auto" w:before="66"/>
        <w:ind w:left="153" w:right="8661" w:firstLine="0"/>
        <w:jc w:val="left"/>
        <w:rPr>
          <w:rFonts w:ascii="宋体" w:hAnsi="宋体" w:cs="宋体" w:eastAsia="宋体" w:hint="default"/>
          <w:sz w:val="21"/>
          <w:szCs w:val="21"/>
        </w:rPr>
      </w:pPr>
      <w:bookmarkStart w:name="32、其他流动负债" w:id="349"/>
      <w:bookmarkEnd w:id="349"/>
      <w:r>
        <w:rPr/>
      </w:r>
      <w:r>
        <w:rPr>
          <w:rFonts w:ascii="宋体" w:hAnsi="宋体" w:cs="宋体" w:eastAsia="宋体" w:hint="default"/>
          <w:b/>
          <w:bCs/>
          <w:sz w:val="21"/>
          <w:szCs w:val="21"/>
        </w:rPr>
        <w:t>32</w:t>
      </w:r>
      <w:r>
        <w:rPr>
          <w:rFonts w:ascii="宋体" w:hAnsi="宋体" w:cs="宋体" w:eastAsia="宋体" w:hint="default"/>
          <w:b/>
          <w:bCs/>
          <w:sz w:val="21"/>
          <w:szCs w:val="21"/>
        </w:rPr>
        <w:t>、其他流动负债</w:t>
      </w:r>
      <w:r>
        <w:rPr>
          <w:rFonts w:ascii="宋体" w:hAnsi="宋体" w:cs="宋体" w:eastAsia="宋体" w:hint="default"/>
          <w:b/>
          <w:bCs/>
          <w:spacing w:val="-104"/>
          <w:sz w:val="21"/>
          <w:szCs w:val="21"/>
        </w:rPr>
        <w:t> </w:t>
      </w:r>
      <w:r>
        <w:rPr>
          <w:rFonts w:ascii="宋体" w:hAnsi="宋体" w:cs="宋体" w:eastAsia="宋体" w:hint="default"/>
          <w:spacing w:val="-1"/>
          <w:sz w:val="21"/>
          <w:szCs w:val="21"/>
        </w:rPr>
        <w:t>是否已执行新收入准则</w:t>
      </w:r>
    </w:p>
    <w:p>
      <w:pPr>
        <w:pStyle w:val="BodyText"/>
        <w:spacing w:line="240" w:lineRule="auto" w:before="51"/>
        <w:ind w:right="1024"/>
        <w:jc w:val="left"/>
      </w:pPr>
      <w:r>
        <w:rPr/>
        <w:t>□ 是 √</w:t>
      </w:r>
      <w:r>
        <w:rPr>
          <w:spacing w:val="5"/>
        </w:rPr>
        <w:t> </w:t>
      </w:r>
      <w:r>
        <w:rPr/>
        <w:t>否</w:t>
      </w:r>
    </w:p>
    <w:p>
      <w:pPr>
        <w:spacing w:line="240" w:lineRule="auto" w:before="0"/>
        <w:rPr>
          <w:rFonts w:ascii="宋体" w:hAnsi="宋体" w:cs="宋体" w:eastAsia="宋体" w:hint="default"/>
          <w:sz w:val="10"/>
          <w:szCs w:val="10"/>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长期借款应付利息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237,619.77</w:t>
            </w: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9"/>
              <w:ind w:left="95" w:right="185"/>
              <w:jc w:val="left"/>
              <w:rPr>
                <w:rFonts w:ascii="宋体" w:hAnsi="宋体" w:cs="宋体" w:eastAsia="宋体" w:hint="default"/>
                <w:sz w:val="18"/>
                <w:szCs w:val="18"/>
              </w:rPr>
            </w:pPr>
            <w:r>
              <w:rPr>
                <w:rFonts w:ascii="宋体" w:hAnsi="宋体" w:cs="宋体" w:eastAsia="宋体" w:hint="default"/>
                <w:spacing w:val="-3"/>
                <w:sz w:val="18"/>
                <w:szCs w:val="18"/>
              </w:rPr>
              <w:t>商业承兑汇票不终止确认潜在支付义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1,600,000.00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1,000,000.00</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1,837,619.77</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1,000,000.00</w:t>
            </w:r>
          </w:p>
        </w:tc>
      </w:tr>
    </w:tbl>
    <w:p>
      <w:pPr>
        <w:spacing w:after="0" w:line="240" w:lineRule="auto"/>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1"/>
        <w:rPr>
          <w:rFonts w:ascii="宋体" w:hAnsi="宋体" w:cs="宋体" w:eastAsia="宋体" w:hint="default"/>
          <w:sz w:val="26"/>
          <w:szCs w:val="26"/>
        </w:rPr>
      </w:pPr>
    </w:p>
    <w:p>
      <w:pPr>
        <w:pStyle w:val="Heading4"/>
        <w:spacing w:line="240" w:lineRule="auto"/>
        <w:ind w:right="1024"/>
        <w:jc w:val="left"/>
        <w:rPr>
          <w:b w:val="0"/>
          <w:bCs w:val="0"/>
        </w:rPr>
      </w:pPr>
      <w:bookmarkStart w:name="33、长期借款" w:id="350"/>
      <w:bookmarkEnd w:id="350"/>
      <w:r>
        <w:rPr>
          <w:b w:val="0"/>
          <w:bCs w:val="0"/>
        </w:rPr>
      </w:r>
      <w:r>
        <w:rPr>
          <w:rFonts w:ascii="宋体" w:hAnsi="宋体" w:cs="宋体" w:eastAsia="宋体" w:hint="default"/>
        </w:rPr>
        <w:t>33</w:t>
      </w:r>
      <w:r>
        <w:rPr/>
        <w:t>、长期借款</w:t>
      </w:r>
      <w:r>
        <w:rPr>
          <w:b w:val="0"/>
          <w:bCs w:val="0"/>
        </w:rPr>
      </w:r>
    </w:p>
    <w:p>
      <w:pPr>
        <w:spacing w:line="240" w:lineRule="auto" w:before="8"/>
        <w:rPr>
          <w:rFonts w:ascii="宋体" w:hAnsi="宋体" w:cs="宋体" w:eastAsia="宋体" w:hint="default"/>
          <w:b/>
          <w:bCs/>
          <w:sz w:val="25"/>
          <w:szCs w:val="25"/>
        </w:rPr>
      </w:pPr>
    </w:p>
    <w:p>
      <w:pPr>
        <w:pStyle w:val="Heading4"/>
        <w:spacing w:line="240" w:lineRule="auto" w:before="0"/>
        <w:ind w:right="1024"/>
        <w:jc w:val="left"/>
        <w:rPr>
          <w:b w:val="0"/>
          <w:bCs w:val="0"/>
        </w:rPr>
      </w:pPr>
      <w:bookmarkStart w:name="（1）长期借款分类" w:id="351"/>
      <w:bookmarkEnd w:id="351"/>
      <w:r>
        <w:rPr>
          <w:b w:val="0"/>
          <w:bCs w:val="0"/>
        </w:rPr>
      </w:r>
      <w:r>
        <w:rPr/>
        <w:t>（</w:t>
      </w:r>
      <w:r>
        <w:rPr>
          <w:rFonts w:ascii="宋体" w:hAnsi="宋体" w:cs="宋体" w:eastAsia="宋体" w:hint="default"/>
        </w:rPr>
        <w:t>1</w:t>
      </w:r>
      <w:r>
        <w:rPr/>
        <w:t>）长期借款分类</w:t>
      </w:r>
      <w:r>
        <w:rPr>
          <w:b w:val="0"/>
          <w:bCs w:val="0"/>
        </w:rPr>
      </w:r>
    </w:p>
    <w:p>
      <w:pPr>
        <w:spacing w:line="240" w:lineRule="auto" w:before="1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50,000,000.00</w:t>
            </w: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35,600,000.00</w:t>
            </w: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78,860,000.00</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85,600,000.00</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78,860,000.00</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34、长期应付款" w:id="352"/>
      <w:bookmarkEnd w:id="352"/>
      <w:r>
        <w:rPr>
          <w:b w:val="0"/>
          <w:bCs w:val="0"/>
        </w:rPr>
      </w:r>
      <w:r>
        <w:rPr>
          <w:rFonts w:ascii="宋体" w:hAnsi="宋体" w:cs="宋体" w:eastAsia="宋体" w:hint="default"/>
        </w:rPr>
        <w:t>34</w:t>
      </w:r>
      <w:r>
        <w:rPr/>
        <w:t>、长期应付款</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228,750,112.79</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211,923,287.67</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228,750,112.79</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211,923,287.67</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按款项性质列示长期应付款" w:id="353"/>
      <w:bookmarkEnd w:id="353"/>
      <w:r>
        <w:rPr>
          <w:b w:val="0"/>
          <w:bCs w:val="0"/>
        </w:rPr>
      </w:r>
      <w:r>
        <w:rPr/>
        <w:t>按款项性质列示长期应付款</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结构化主体本息</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825" w:right="0"/>
              <w:jc w:val="left"/>
              <w:rPr>
                <w:rFonts w:ascii="宋体" w:hAnsi="宋体" w:cs="宋体" w:eastAsia="宋体" w:hint="default"/>
                <w:sz w:val="18"/>
                <w:szCs w:val="18"/>
              </w:rPr>
            </w:pPr>
            <w:r>
              <w:rPr>
                <w:rFonts w:ascii="宋体"/>
                <w:sz w:val="18"/>
              </w:rPr>
              <w:t>228,750,112.79</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1819" w:right="0"/>
              <w:jc w:val="left"/>
              <w:rPr>
                <w:rFonts w:ascii="宋体" w:hAnsi="宋体" w:cs="宋体" w:eastAsia="宋体" w:hint="default"/>
                <w:sz w:val="18"/>
                <w:szCs w:val="18"/>
              </w:rPr>
            </w:pPr>
            <w:r>
              <w:rPr>
                <w:rFonts w:ascii="宋体"/>
                <w:sz w:val="18"/>
              </w:rPr>
              <w:t>211,923,287.67</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35、递延收益" w:id="354"/>
      <w:bookmarkEnd w:id="354"/>
      <w:r>
        <w:rPr>
          <w:b w:val="0"/>
          <w:bCs w:val="0"/>
        </w:rPr>
      </w:r>
      <w:r>
        <w:rPr>
          <w:rFonts w:ascii="宋体" w:hAnsi="宋体" w:cs="宋体" w:eastAsia="宋体" w:hint="default"/>
        </w:rPr>
        <w:t>35</w:t>
      </w:r>
      <w:r>
        <w:rPr/>
        <w:t>、递延收益</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13" w:hRule="exact"/>
        </w:trPr>
        <w:tc>
          <w:tcPr>
            <w:tcW w:w="159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99" w:hRule="exact"/>
        </w:trPr>
        <w:tc>
          <w:tcPr>
            <w:tcW w:w="159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07" w:right="0"/>
              <w:jc w:val="left"/>
              <w:rPr>
                <w:rFonts w:ascii="宋体" w:hAnsi="宋体" w:cs="宋体" w:eastAsia="宋体" w:hint="default"/>
                <w:sz w:val="18"/>
                <w:szCs w:val="18"/>
              </w:rPr>
            </w:pPr>
            <w:r>
              <w:rPr>
                <w:rFonts w:ascii="宋体"/>
                <w:sz w:val="18"/>
              </w:rPr>
              <w:t>7,189,326.62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98" w:right="0"/>
              <w:jc w:val="left"/>
              <w:rPr>
                <w:rFonts w:ascii="宋体" w:hAnsi="宋体" w:cs="宋体" w:eastAsia="宋体" w:hint="default"/>
                <w:sz w:val="18"/>
                <w:szCs w:val="18"/>
              </w:rPr>
            </w:pPr>
            <w:r>
              <w:rPr>
                <w:rFonts w:ascii="宋体"/>
                <w:sz w:val="18"/>
              </w:rPr>
              <w:t>5,245,567.14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98" w:right="0"/>
              <w:jc w:val="left"/>
              <w:rPr>
                <w:rFonts w:ascii="宋体" w:hAnsi="宋体" w:cs="宋体" w:eastAsia="宋体" w:hint="default"/>
                <w:sz w:val="18"/>
                <w:szCs w:val="18"/>
              </w:rPr>
            </w:pPr>
            <w:r>
              <w:rPr>
                <w:rFonts w:ascii="宋体"/>
                <w:sz w:val="18"/>
              </w:rPr>
              <w:t>1,943,759.48</w:t>
            </w:r>
          </w:p>
        </w:tc>
        <w:tc>
          <w:tcPr>
            <w:tcW w:w="1594"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594" w:type="dxa"/>
            <w:tcBorders>
              <w:top w:val="single" w:sz="4" w:space="0" w:color="000000"/>
              <w:left w:val="single" w:sz="12"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159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407" w:right="0"/>
              <w:jc w:val="left"/>
              <w:rPr>
                <w:rFonts w:ascii="宋体" w:hAnsi="宋体" w:cs="宋体" w:eastAsia="宋体" w:hint="default"/>
                <w:sz w:val="18"/>
                <w:szCs w:val="18"/>
              </w:rPr>
            </w:pPr>
            <w:r>
              <w:rPr>
                <w:rFonts w:ascii="宋体"/>
                <w:sz w:val="18"/>
              </w:rPr>
              <w:t>7,189,326.62</w:t>
            </w:r>
          </w:p>
        </w:tc>
        <w:tc>
          <w:tcPr>
            <w:tcW w:w="1595"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398" w:right="0"/>
              <w:jc w:val="left"/>
              <w:rPr>
                <w:rFonts w:ascii="宋体" w:hAnsi="宋体" w:cs="宋体" w:eastAsia="宋体" w:hint="default"/>
                <w:sz w:val="18"/>
                <w:szCs w:val="18"/>
              </w:rPr>
            </w:pPr>
            <w:r>
              <w:rPr>
                <w:rFonts w:ascii="宋体"/>
                <w:sz w:val="18"/>
              </w:rPr>
              <w:t>5,245,567.14</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398" w:right="0"/>
              <w:jc w:val="left"/>
              <w:rPr>
                <w:rFonts w:ascii="宋体" w:hAnsi="宋体" w:cs="宋体" w:eastAsia="宋体" w:hint="default"/>
                <w:sz w:val="18"/>
                <w:szCs w:val="18"/>
              </w:rPr>
            </w:pPr>
            <w:r>
              <w:rPr>
                <w:rFonts w:ascii="宋体"/>
                <w:sz w:val="18"/>
              </w:rPr>
              <w:t>1,943,759.48</w:t>
            </w:r>
          </w:p>
        </w:tc>
        <w:tc>
          <w:tcPr>
            <w:tcW w:w="1594"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1" w:footer="1037" w:top="1040" w:bottom="1220" w:left="980" w:right="0"/>
        </w:sectPr>
      </w:pPr>
    </w:p>
    <w:p>
      <w:pPr>
        <w:pStyle w:val="BodyText"/>
        <w:spacing w:line="240" w:lineRule="auto" w:before="28"/>
        <w:ind w:right="-8"/>
        <w:jc w:val="left"/>
      </w:pPr>
      <w:r>
        <w:rPr>
          <w:spacing w:val="-1"/>
        </w:rPr>
        <w:t>涉及政府补助的项目：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1220" w:left="980" w:right="0"/>
          <w:cols w:num="2" w:equalWidth="0">
            <w:col w:w="2256" w:space="6574"/>
            <w:col w:w="2100"/>
          </w:cols>
        </w:sectPr>
      </w:pP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013"/>
        <w:gridCol w:w="1460"/>
        <w:gridCol w:w="797"/>
        <w:gridCol w:w="1013"/>
        <w:gridCol w:w="1191"/>
        <w:gridCol w:w="831"/>
        <w:gridCol w:w="1009"/>
        <w:gridCol w:w="1248"/>
        <w:gridCol w:w="1013"/>
      </w:tblGrid>
      <w:tr>
        <w:trPr>
          <w:trHeight w:val="734" w:hRule="exact"/>
        </w:trPr>
        <w:tc>
          <w:tcPr>
            <w:tcW w:w="1013"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460"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312" w:lineRule="auto" w:before="77"/>
              <w:ind w:left="124" w:right="117"/>
              <w:jc w:val="left"/>
              <w:rPr>
                <w:rFonts w:ascii="宋体" w:hAnsi="宋体" w:cs="宋体" w:eastAsia="宋体" w:hint="default"/>
                <w:sz w:val="18"/>
                <w:szCs w:val="18"/>
              </w:rPr>
            </w:pPr>
            <w:r>
              <w:rPr>
                <w:rFonts w:ascii="宋体" w:hAnsi="宋体" w:cs="宋体" w:eastAsia="宋体" w:hint="default"/>
                <w:sz w:val="18"/>
                <w:szCs w:val="18"/>
              </w:rPr>
              <w:t>本期新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增补助</w:t>
            </w:r>
          </w:p>
        </w:tc>
        <w:tc>
          <w:tcPr>
            <w:tcW w:w="1013"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312" w:lineRule="auto" w:before="77"/>
              <w:ind w:left="139" w:right="137"/>
              <w:jc w:val="left"/>
              <w:rPr>
                <w:rFonts w:ascii="宋体" w:hAnsi="宋体" w:cs="宋体" w:eastAsia="宋体" w:hint="default"/>
                <w:sz w:val="18"/>
                <w:szCs w:val="18"/>
              </w:rPr>
            </w:pPr>
            <w:r>
              <w:rPr>
                <w:rFonts w:ascii="宋体" w:hAnsi="宋体" w:cs="宋体" w:eastAsia="宋体" w:hint="default"/>
                <w:sz w:val="18"/>
                <w:szCs w:val="18"/>
              </w:rPr>
              <w:t>本期计入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营业外收</w:t>
            </w:r>
          </w:p>
        </w:tc>
        <w:tc>
          <w:tcPr>
            <w:tcW w:w="1191"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321" w:lineRule="auto" w:before="53"/>
              <w:ind w:left="143" w:right="132"/>
              <w:jc w:val="left"/>
              <w:rPr>
                <w:rFonts w:ascii="宋体" w:hAnsi="宋体" w:cs="宋体" w:eastAsia="宋体" w:hint="default"/>
                <w:sz w:val="18"/>
                <w:szCs w:val="18"/>
              </w:rPr>
            </w:pPr>
            <w:r>
              <w:rPr>
                <w:rFonts w:ascii="宋体" w:hAnsi="宋体" w:cs="宋体" w:eastAsia="宋体" w:hint="default"/>
                <w:spacing w:val="-2"/>
                <w:sz w:val="18"/>
                <w:szCs w:val="18"/>
              </w:rPr>
              <w:t>本期计入其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他收益金额</w:t>
            </w:r>
          </w:p>
        </w:tc>
        <w:tc>
          <w:tcPr>
            <w:tcW w:w="831"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312" w:lineRule="auto" w:before="77"/>
              <w:ind w:left="143" w:right="132"/>
              <w:jc w:val="left"/>
              <w:rPr>
                <w:rFonts w:ascii="宋体" w:hAnsi="宋体" w:cs="宋体" w:eastAsia="宋体" w:hint="default"/>
                <w:sz w:val="18"/>
                <w:szCs w:val="18"/>
              </w:rPr>
            </w:pPr>
            <w:r>
              <w:rPr>
                <w:rFonts w:ascii="宋体" w:hAnsi="宋体" w:cs="宋体" w:eastAsia="宋体" w:hint="default"/>
                <w:sz w:val="18"/>
                <w:szCs w:val="18"/>
              </w:rPr>
              <w:t>本期冲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减成本</w:t>
            </w:r>
          </w:p>
        </w:tc>
        <w:tc>
          <w:tcPr>
            <w:tcW w:w="1009"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3" w:type="dxa"/>
            <w:tcBorders>
              <w:top w:val="single" w:sz="12" w:space="0" w:color="000000"/>
              <w:left w:val="single" w:sz="4" w:space="0" w:color="000000"/>
              <w:bottom w:val="single" w:sz="12" w:space="0" w:color="000000"/>
              <w:right w:val="single" w:sz="12" w:space="0" w:color="000000"/>
            </w:tcBorders>
            <w:shd w:val="clear" w:color="auto" w:fill="D2D2D2"/>
          </w:tcPr>
          <w:p>
            <w:pPr>
              <w:pStyle w:val="TableParagraph"/>
              <w:spacing w:line="312" w:lineRule="auto" w:before="77"/>
              <w:ind w:left="187" w:right="127" w:hanging="48"/>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关</w:t>
            </w:r>
            <w:r>
              <w:rPr>
                <w:rFonts w:ascii="宋体" w:hAnsi="宋体" w:cs="宋体" w:eastAsia="宋体" w:hint="default"/>
                <w:spacing w:val="-3"/>
                <w:sz w:val="18"/>
                <w:szCs w:val="18"/>
              </w:rPr>
              <w:t>/</w:t>
            </w:r>
            <w:r>
              <w:rPr>
                <w:rFonts w:ascii="宋体" w:hAnsi="宋体" w:cs="宋体" w:eastAsia="宋体" w:hint="default"/>
                <w:spacing w:val="-3"/>
                <w:sz w:val="18"/>
                <w:szCs w:val="18"/>
              </w:rPr>
              <w:t>与收</w:t>
            </w:r>
            <w:r>
              <w:rPr>
                <w:rFonts w:ascii="宋体" w:hAnsi="宋体" w:cs="宋体" w:eastAsia="宋体" w:hint="default"/>
                <w:sz w:val="18"/>
                <w:szCs w:val="18"/>
              </w:rPr>
            </w:r>
          </w:p>
        </w:tc>
      </w:tr>
    </w:tbl>
    <w:p>
      <w:pPr>
        <w:spacing w:after="0" w:line="312" w:lineRule="auto"/>
        <w:jc w:val="left"/>
        <w:rPr>
          <w:rFonts w:ascii="宋体" w:hAnsi="宋体" w:cs="宋体" w:eastAsia="宋体" w:hint="default"/>
          <w:sz w:val="18"/>
          <w:szCs w:val="18"/>
        </w:rPr>
        <w:sectPr>
          <w:type w:val="continuous"/>
          <w:pgSz w:w="11910" w:h="16840"/>
          <w:pgMar w:top="158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013"/>
        <w:gridCol w:w="1460"/>
        <w:gridCol w:w="797"/>
        <w:gridCol w:w="1013"/>
        <w:gridCol w:w="1191"/>
        <w:gridCol w:w="831"/>
        <w:gridCol w:w="1009"/>
        <w:gridCol w:w="1248"/>
        <w:gridCol w:w="1013"/>
      </w:tblGrid>
      <w:tr>
        <w:trPr>
          <w:trHeight w:val="686" w:hRule="exact"/>
        </w:trPr>
        <w:tc>
          <w:tcPr>
            <w:tcW w:w="1013"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460"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1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31" w:right="0"/>
              <w:jc w:val="left"/>
              <w:rPr>
                <w:rFonts w:ascii="宋体" w:hAnsi="宋体" w:cs="宋体" w:eastAsia="宋体" w:hint="default"/>
                <w:sz w:val="18"/>
                <w:szCs w:val="18"/>
              </w:rPr>
            </w:pPr>
            <w:r>
              <w:rPr>
                <w:rFonts w:ascii="宋体" w:hAnsi="宋体" w:cs="宋体" w:eastAsia="宋体" w:hint="default"/>
                <w:sz w:val="18"/>
                <w:szCs w:val="18"/>
              </w:rPr>
              <w:t>入金额</w:t>
            </w:r>
          </w:p>
        </w:tc>
        <w:tc>
          <w:tcPr>
            <w:tcW w:w="1191"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83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321" w:right="132" w:hanging="178"/>
              <w:jc w:val="left"/>
              <w:rPr>
                <w:rFonts w:ascii="宋体" w:hAnsi="宋体" w:cs="宋体" w:eastAsia="宋体" w:hint="default"/>
                <w:sz w:val="18"/>
                <w:szCs w:val="18"/>
              </w:rPr>
            </w:pPr>
            <w:r>
              <w:rPr>
                <w:rFonts w:ascii="宋体" w:hAnsi="宋体" w:cs="宋体" w:eastAsia="宋体" w:hint="default"/>
                <w:sz w:val="18"/>
                <w:szCs w:val="18"/>
              </w:rPr>
              <w:t>费用金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1009"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1248"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101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5"/>
              <w:ind w:left="230" w:right="0"/>
              <w:jc w:val="left"/>
              <w:rPr>
                <w:rFonts w:ascii="宋体" w:hAnsi="宋体" w:cs="宋体" w:eastAsia="宋体" w:hint="default"/>
                <w:sz w:val="18"/>
                <w:szCs w:val="18"/>
              </w:rPr>
            </w:pPr>
            <w:r>
              <w:rPr>
                <w:rFonts w:ascii="宋体" w:hAnsi="宋体" w:cs="宋体" w:eastAsia="宋体" w:hint="default"/>
                <w:sz w:val="18"/>
                <w:szCs w:val="18"/>
              </w:rPr>
              <w:t>益相关</w:t>
            </w:r>
          </w:p>
        </w:tc>
      </w:tr>
      <w:tr>
        <w:trPr>
          <w:trHeight w:val="1023" w:hRule="exact"/>
        </w:trPr>
        <w:tc>
          <w:tcPr>
            <w:tcW w:w="1013"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5" w:right="171"/>
              <w:jc w:val="both"/>
              <w:rPr>
                <w:rFonts w:ascii="宋体" w:hAnsi="宋体" w:cs="宋体" w:eastAsia="宋体" w:hint="default"/>
                <w:sz w:val="18"/>
                <w:szCs w:val="18"/>
              </w:rPr>
            </w:pPr>
            <w:r>
              <w:rPr>
                <w:rFonts w:ascii="宋体" w:hAnsi="宋体" w:cs="宋体" w:eastAsia="宋体" w:hint="default"/>
                <w:sz w:val="18"/>
                <w:szCs w:val="18"/>
              </w:rPr>
              <w:t>自动化改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造研究经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费补助</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4"/>
              <w:jc w:val="right"/>
              <w:rPr>
                <w:rFonts w:ascii="宋体" w:hAnsi="宋体" w:cs="宋体" w:eastAsia="宋体" w:hint="default"/>
                <w:sz w:val="18"/>
                <w:szCs w:val="18"/>
              </w:rPr>
            </w:pPr>
            <w:r>
              <w:rPr>
                <w:rFonts w:ascii="宋体"/>
                <w:spacing w:val="-1"/>
                <w:sz w:val="18"/>
              </w:rPr>
              <w:t>1,238,995.73</w:t>
            </w:r>
          </w:p>
        </w:tc>
        <w:tc>
          <w:tcPr>
            <w:tcW w:w="79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82" w:right="0"/>
              <w:jc w:val="left"/>
              <w:rPr>
                <w:rFonts w:ascii="宋体" w:hAnsi="宋体" w:cs="宋体" w:eastAsia="宋体" w:hint="default"/>
                <w:sz w:val="18"/>
                <w:szCs w:val="18"/>
              </w:rPr>
            </w:pPr>
            <w:r>
              <w:rPr>
                <w:rFonts w:ascii="宋体"/>
                <w:sz w:val="18"/>
              </w:rPr>
              <w:t>551,923.30</w:t>
            </w:r>
          </w:p>
        </w:tc>
        <w:tc>
          <w:tcPr>
            <w:tcW w:w="831"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0" w:right="0"/>
              <w:jc w:val="left"/>
              <w:rPr>
                <w:rFonts w:ascii="宋体" w:hAnsi="宋体" w:cs="宋体" w:eastAsia="宋体" w:hint="default"/>
                <w:sz w:val="18"/>
                <w:szCs w:val="18"/>
              </w:rPr>
            </w:pPr>
            <w:r>
              <w:rPr>
                <w:rFonts w:ascii="宋体"/>
                <w:sz w:val="18"/>
              </w:rPr>
              <w:t>687,072.43</w:t>
            </w:r>
          </w:p>
        </w:tc>
        <w:tc>
          <w:tcPr>
            <w:tcW w:w="10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5" w:right="161"/>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973" w:hRule="exact"/>
        </w:trPr>
        <w:tc>
          <w:tcPr>
            <w:tcW w:w="1013" w:type="dxa"/>
            <w:tcBorders>
              <w:top w:val="single" w:sz="4" w:space="0" w:color="000000"/>
              <w:left w:val="single" w:sz="12" w:space="0" w:color="000000"/>
              <w:bottom w:val="single" w:sz="12" w:space="0" w:color="000000"/>
              <w:right w:val="single" w:sz="4" w:space="0" w:color="000000"/>
            </w:tcBorders>
          </w:tcPr>
          <w:p>
            <w:pPr>
              <w:pStyle w:val="TableParagraph"/>
              <w:spacing w:line="319" w:lineRule="auto" w:before="53"/>
              <w:ind w:left="95" w:right="132"/>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1"/>
                <w:sz w:val="18"/>
                <w:szCs w:val="18"/>
              </w:rPr>
              <w:t> </w:t>
            </w:r>
            <w:r>
              <w:rPr>
                <w:rFonts w:ascii="宋体" w:hAnsi="宋体" w:cs="宋体" w:eastAsia="宋体" w:hint="default"/>
                <w:spacing w:val="-5"/>
                <w:sz w:val="18"/>
                <w:szCs w:val="18"/>
              </w:rPr>
              <w:t>年度</w:t>
            </w:r>
            <w:r>
              <w:rPr>
                <w:rFonts w:ascii="宋体" w:hAnsi="宋体" w:cs="宋体" w:eastAsia="宋体" w:hint="default"/>
                <w:spacing w:val="-87"/>
                <w:sz w:val="18"/>
                <w:szCs w:val="18"/>
              </w:rPr>
              <w:t> </w:t>
            </w:r>
            <w:r>
              <w:rPr>
                <w:rFonts w:ascii="宋体" w:hAnsi="宋体" w:cs="宋体" w:eastAsia="宋体" w:hint="default"/>
                <w:sz w:val="18"/>
                <w:szCs w:val="18"/>
              </w:rPr>
              <w:t>国家智能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电网产业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集聚发展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试点重点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项目补助</w:t>
            </w:r>
          </w:p>
        </w:tc>
        <w:tc>
          <w:tcPr>
            <w:tcW w:w="14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4"/>
              <w:jc w:val="right"/>
              <w:rPr>
                <w:rFonts w:ascii="宋体" w:hAnsi="宋体" w:cs="宋体" w:eastAsia="宋体" w:hint="default"/>
                <w:sz w:val="18"/>
                <w:szCs w:val="18"/>
              </w:rPr>
            </w:pPr>
            <w:r>
              <w:rPr>
                <w:rFonts w:ascii="宋体"/>
                <w:spacing w:val="-1"/>
                <w:sz w:val="18"/>
              </w:rPr>
              <w:t>5,950,330.89</w:t>
            </w:r>
          </w:p>
        </w:tc>
        <w:tc>
          <w:tcPr>
            <w:tcW w:w="797" w:type="dxa"/>
            <w:tcBorders>
              <w:top w:val="single" w:sz="4" w:space="0" w:color="000000"/>
              <w:left w:val="single" w:sz="4" w:space="0" w:color="000000"/>
              <w:bottom w:val="single" w:sz="12" w:space="0" w:color="000000"/>
              <w:right w:val="single" w:sz="4" w:space="0" w:color="000000"/>
            </w:tcBorders>
          </w:tcPr>
          <w:p>
            <w:pPr/>
          </w:p>
        </w:tc>
        <w:tc>
          <w:tcPr>
            <w:tcW w:w="1013" w:type="dxa"/>
            <w:tcBorders>
              <w:top w:val="single" w:sz="4" w:space="0" w:color="000000"/>
              <w:left w:val="single" w:sz="4" w:space="0" w:color="000000"/>
              <w:bottom w:val="single" w:sz="12" w:space="0" w:color="000000"/>
              <w:right w:val="single" w:sz="4" w:space="0" w:color="000000"/>
            </w:tcBorders>
          </w:tcPr>
          <w:p>
            <w:pPr/>
          </w:p>
        </w:tc>
        <w:tc>
          <w:tcPr>
            <w:tcW w:w="11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4,693,643.</w:t>
            </w:r>
          </w:p>
          <w:p>
            <w:pPr>
              <w:pStyle w:val="TableParagraph"/>
              <w:spacing w:line="240" w:lineRule="auto" w:before="81"/>
              <w:ind w:right="95"/>
              <w:jc w:val="right"/>
              <w:rPr>
                <w:rFonts w:ascii="宋体" w:hAnsi="宋体" w:cs="宋体" w:eastAsia="宋体" w:hint="default"/>
                <w:sz w:val="18"/>
                <w:szCs w:val="18"/>
              </w:rPr>
            </w:pPr>
            <w:r>
              <w:rPr>
                <w:rFonts w:ascii="宋体"/>
                <w:sz w:val="18"/>
              </w:rPr>
              <w:t>84</w:t>
            </w:r>
          </w:p>
        </w:tc>
        <w:tc>
          <w:tcPr>
            <w:tcW w:w="831" w:type="dxa"/>
            <w:tcBorders>
              <w:top w:val="single" w:sz="4" w:space="0" w:color="000000"/>
              <w:left w:val="single" w:sz="4" w:space="0" w:color="000000"/>
              <w:bottom w:val="single" w:sz="12" w:space="0" w:color="000000"/>
              <w:right w:val="single" w:sz="4" w:space="0" w:color="000000"/>
            </w:tcBorders>
          </w:tcPr>
          <w:p>
            <w:pPr/>
          </w:p>
        </w:tc>
        <w:tc>
          <w:tcPr>
            <w:tcW w:w="1009" w:type="dxa"/>
            <w:tcBorders>
              <w:top w:val="single" w:sz="4" w:space="0" w:color="000000"/>
              <w:left w:val="single" w:sz="4" w:space="0" w:color="000000"/>
              <w:bottom w:val="single" w:sz="12" w:space="0" w:color="000000"/>
              <w:right w:val="single" w:sz="4" w:space="0" w:color="000000"/>
            </w:tcBorders>
          </w:tcPr>
          <w:p>
            <w:pPr/>
          </w:p>
        </w:tc>
        <w:tc>
          <w:tcPr>
            <w:tcW w:w="12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1,256,687.0</w:t>
            </w:r>
          </w:p>
          <w:p>
            <w:pPr>
              <w:pStyle w:val="TableParagraph"/>
              <w:spacing w:line="240" w:lineRule="auto" w:before="81"/>
              <w:ind w:right="98"/>
              <w:jc w:val="right"/>
              <w:rPr>
                <w:rFonts w:ascii="宋体" w:hAnsi="宋体" w:cs="宋体" w:eastAsia="宋体" w:hint="default"/>
                <w:sz w:val="18"/>
                <w:szCs w:val="18"/>
              </w:rPr>
            </w:pPr>
            <w:r>
              <w:rPr>
                <w:rFonts w:ascii="宋体"/>
                <w:w w:val="101"/>
                <w:sz w:val="18"/>
              </w:rPr>
              <w:t>5</w:t>
            </w:r>
            <w:r>
              <w:rPr>
                <w:rFonts w:ascii="宋体"/>
                <w:sz w:val="18"/>
              </w:rPr>
            </w:r>
          </w:p>
        </w:tc>
        <w:tc>
          <w:tcPr>
            <w:tcW w:w="10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4" w:lineRule="auto"/>
              <w:ind w:left="105" w:right="161"/>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36、股本" w:id="355"/>
      <w:bookmarkEnd w:id="355"/>
      <w:r>
        <w:rPr>
          <w:b w:val="0"/>
          <w:bCs w:val="0"/>
        </w:rPr>
      </w:r>
      <w:r>
        <w:rPr>
          <w:rFonts w:ascii="宋体" w:hAnsi="宋体" w:cs="宋体" w:eastAsia="宋体" w:hint="default"/>
        </w:rPr>
        <w:t>36</w:t>
      </w:r>
      <w:r>
        <w:rPr/>
        <w:t>、股本</w:t>
      </w:r>
      <w:r>
        <w:rPr>
          <w:b w:val="0"/>
          <w:bCs w:val="0"/>
        </w:rPr>
      </w:r>
    </w:p>
    <w:p>
      <w:pPr>
        <w:spacing w:line="240" w:lineRule="auto" w:before="1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196"/>
        <w:gridCol w:w="1560"/>
        <w:gridCol w:w="1037"/>
        <w:gridCol w:w="994"/>
        <w:gridCol w:w="1196"/>
        <w:gridCol w:w="1196"/>
        <w:gridCol w:w="742"/>
        <w:gridCol w:w="1649"/>
      </w:tblGrid>
      <w:tr>
        <w:trPr>
          <w:trHeight w:val="413" w:hRule="exact"/>
        </w:trPr>
        <w:tc>
          <w:tcPr>
            <w:tcW w:w="1196" w:type="dxa"/>
            <w:vMerge w:val="restart"/>
            <w:tcBorders>
              <w:top w:val="single" w:sz="12" w:space="0" w:color="000000"/>
              <w:left w:val="single" w:sz="12" w:space="0" w:color="000000"/>
              <w:right w:val="single" w:sz="4" w:space="0" w:color="000000"/>
            </w:tcBorders>
            <w:shd w:val="clear" w:color="auto" w:fill="D2D2D2"/>
          </w:tcPr>
          <w:p>
            <w:pPr/>
          </w:p>
        </w:tc>
        <w:tc>
          <w:tcPr>
            <w:tcW w:w="1560"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164" w:type="dxa"/>
            <w:gridSpan w:val="5"/>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5"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649"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6" w:type="dxa"/>
            <w:vMerge/>
            <w:tcBorders>
              <w:left w:val="single" w:sz="12"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49" w:type="dxa"/>
            <w:vMerge/>
            <w:tcBorders>
              <w:left w:val="single" w:sz="4" w:space="0" w:color="000000"/>
              <w:bottom w:val="single" w:sz="4" w:space="0" w:color="000000"/>
              <w:right w:val="single" w:sz="12" w:space="0" w:color="000000"/>
            </w:tcBorders>
            <w:shd w:val="clear" w:color="auto" w:fill="D2D2D2"/>
          </w:tcPr>
          <w:p>
            <w:pPr/>
          </w:p>
        </w:tc>
      </w:tr>
      <w:tr>
        <w:trPr>
          <w:trHeight w:val="413" w:hRule="exact"/>
        </w:trPr>
        <w:tc>
          <w:tcPr>
            <w:tcW w:w="119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92" w:right="0"/>
              <w:jc w:val="left"/>
              <w:rPr>
                <w:rFonts w:ascii="宋体" w:hAnsi="宋体" w:cs="宋体" w:eastAsia="宋体" w:hint="default"/>
                <w:sz w:val="18"/>
                <w:szCs w:val="18"/>
              </w:rPr>
            </w:pPr>
            <w:r>
              <w:rPr>
                <w:rFonts w:ascii="宋体"/>
                <w:sz w:val="18"/>
              </w:rPr>
              <w:t>411,118,370.00</w:t>
            </w:r>
          </w:p>
        </w:tc>
        <w:tc>
          <w:tcPr>
            <w:tcW w:w="1037" w:type="dxa"/>
            <w:tcBorders>
              <w:top w:val="single" w:sz="4" w:space="0" w:color="000000"/>
              <w:left w:val="single" w:sz="4" w:space="0" w:color="000000"/>
              <w:bottom w:val="single" w:sz="12" w:space="0" w:color="000000"/>
              <w:right w:val="single" w:sz="4" w:space="0" w:color="000000"/>
            </w:tcBorders>
          </w:tcPr>
          <w:p>
            <w:pPr/>
          </w:p>
        </w:tc>
        <w:tc>
          <w:tcPr>
            <w:tcW w:w="994" w:type="dxa"/>
            <w:tcBorders>
              <w:top w:val="single" w:sz="4" w:space="0" w:color="000000"/>
              <w:left w:val="single" w:sz="4" w:space="0" w:color="000000"/>
              <w:bottom w:val="single" w:sz="12" w:space="0" w:color="000000"/>
              <w:right w:val="single" w:sz="4" w:space="0" w:color="000000"/>
            </w:tcBorders>
          </w:tcPr>
          <w:p>
            <w:pPr/>
          </w:p>
        </w:tc>
        <w:tc>
          <w:tcPr>
            <w:tcW w:w="1196" w:type="dxa"/>
            <w:tcBorders>
              <w:top w:val="single" w:sz="4" w:space="0" w:color="000000"/>
              <w:left w:val="single" w:sz="4" w:space="0" w:color="000000"/>
              <w:bottom w:val="single" w:sz="12" w:space="0" w:color="000000"/>
              <w:right w:val="single" w:sz="4" w:space="0" w:color="000000"/>
            </w:tcBorders>
          </w:tcPr>
          <w:p>
            <w:pPr/>
          </w:p>
        </w:tc>
        <w:tc>
          <w:tcPr>
            <w:tcW w:w="1196" w:type="dxa"/>
            <w:tcBorders>
              <w:top w:val="single" w:sz="4" w:space="0" w:color="000000"/>
              <w:left w:val="single" w:sz="4" w:space="0" w:color="000000"/>
              <w:bottom w:val="single" w:sz="12" w:space="0" w:color="000000"/>
              <w:right w:val="single" w:sz="4" w:space="0" w:color="000000"/>
            </w:tcBorders>
          </w:tcPr>
          <w:p>
            <w:pPr/>
          </w:p>
        </w:tc>
        <w:tc>
          <w:tcPr>
            <w:tcW w:w="742" w:type="dxa"/>
            <w:tcBorders>
              <w:top w:val="single" w:sz="4" w:space="0" w:color="000000"/>
              <w:left w:val="single" w:sz="4" w:space="0" w:color="000000"/>
              <w:bottom w:val="single" w:sz="12" w:space="0" w:color="000000"/>
              <w:right w:val="single" w:sz="4" w:space="0" w:color="000000"/>
            </w:tcBorders>
          </w:tcPr>
          <w:p>
            <w:pPr/>
          </w:p>
        </w:tc>
        <w:tc>
          <w:tcPr>
            <w:tcW w:w="164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280" w:right="0"/>
              <w:jc w:val="left"/>
              <w:rPr>
                <w:rFonts w:ascii="宋体" w:hAnsi="宋体" w:cs="宋体" w:eastAsia="宋体" w:hint="default"/>
                <w:sz w:val="18"/>
                <w:szCs w:val="18"/>
              </w:rPr>
            </w:pPr>
            <w:r>
              <w:rPr>
                <w:rFonts w:ascii="宋体"/>
                <w:sz w:val="18"/>
              </w:rPr>
              <w:t>411,118,370.00</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37、资本公积" w:id="356"/>
      <w:bookmarkEnd w:id="356"/>
      <w:r>
        <w:rPr>
          <w:b w:val="0"/>
          <w:bCs w:val="0"/>
        </w:rPr>
      </w:r>
      <w:r>
        <w:rPr>
          <w:rFonts w:ascii="宋体" w:hAnsi="宋体" w:cs="宋体" w:eastAsia="宋体" w:hint="default"/>
        </w:rPr>
        <w:t>37</w:t>
      </w:r>
      <w:r>
        <w:rPr/>
        <w:t>、资本公积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tbl>
      <w:tblPr>
        <w:tblW w:w="0" w:type="auto"/>
        <w:jc w:val="left"/>
        <w:tblInd w:w="138" w:type="dxa"/>
        <w:tblLayout w:type="fixed"/>
        <w:tblCellMar>
          <w:top w:w="0" w:type="dxa"/>
          <w:left w:w="0" w:type="dxa"/>
          <w:bottom w:w="0" w:type="dxa"/>
          <w:right w:w="0" w:type="dxa"/>
        </w:tblCellMar>
        <w:tblLook w:val="01E0"/>
      </w:tblPr>
      <w:tblGrid>
        <w:gridCol w:w="1916"/>
        <w:gridCol w:w="1916"/>
        <w:gridCol w:w="1916"/>
        <w:gridCol w:w="1916"/>
        <w:gridCol w:w="1911"/>
      </w:tblGrid>
      <w:tr>
        <w:trPr>
          <w:trHeight w:val="408" w:hRule="exact"/>
        </w:trPr>
        <w:tc>
          <w:tcPr>
            <w:tcW w:w="191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4"/>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714,524,367.62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470,123.71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542" w:right="0"/>
              <w:jc w:val="left"/>
              <w:rPr>
                <w:rFonts w:ascii="宋体" w:hAnsi="宋体" w:cs="宋体" w:eastAsia="宋体" w:hint="default"/>
                <w:sz w:val="18"/>
                <w:szCs w:val="18"/>
              </w:rPr>
            </w:pPr>
            <w:r>
              <w:rPr>
                <w:rFonts w:ascii="宋体"/>
                <w:sz w:val="18"/>
              </w:rPr>
              <w:t>714,994,491.33</w:t>
            </w: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24,761,422.08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176,464.79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530,953.80</w:t>
            </w:r>
          </w:p>
        </w:tc>
        <w:tc>
          <w:tcPr>
            <w:tcW w:w="191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628" w:right="0"/>
              <w:jc w:val="left"/>
              <w:rPr>
                <w:rFonts w:ascii="宋体" w:hAnsi="宋体" w:cs="宋体" w:eastAsia="宋体" w:hint="default"/>
                <w:sz w:val="18"/>
                <w:szCs w:val="18"/>
              </w:rPr>
            </w:pPr>
            <w:r>
              <w:rPr>
                <w:rFonts w:ascii="宋体"/>
                <w:sz w:val="18"/>
              </w:rPr>
              <w:t>24,406,933.07</w:t>
            </w: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191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739,285,789.70</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646,588.50</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530,953.80</w:t>
            </w:r>
          </w:p>
        </w:tc>
        <w:tc>
          <w:tcPr>
            <w:tcW w:w="191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542" w:right="0"/>
              <w:jc w:val="left"/>
              <w:rPr>
                <w:rFonts w:ascii="宋体" w:hAnsi="宋体" w:cs="宋体" w:eastAsia="宋体" w:hint="default"/>
                <w:sz w:val="18"/>
                <w:szCs w:val="18"/>
              </w:rPr>
            </w:pPr>
            <w:r>
              <w:rPr>
                <w:rFonts w:ascii="宋体"/>
                <w:sz w:val="18"/>
              </w:rPr>
              <w:t>739,401,424.40</w:t>
            </w: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12"/>
          <w:szCs w:val="12"/>
        </w:rPr>
      </w:pPr>
    </w:p>
    <w:p>
      <w:pPr>
        <w:pStyle w:val="BodyText"/>
        <w:spacing w:line="410" w:lineRule="auto"/>
        <w:ind w:right="1113" w:firstLine="422"/>
        <w:jc w:val="left"/>
      </w:pPr>
      <w:r>
        <w:rPr/>
        <w:t>本公司</w:t>
      </w:r>
      <w:r>
        <w:rPr>
          <w:spacing w:val="-38"/>
        </w:rPr>
        <w:t> </w:t>
      </w:r>
      <w:r>
        <w:rPr>
          <w:rFonts w:ascii="宋体" w:hAnsi="宋体" w:cs="宋体" w:eastAsia="宋体" w:hint="default"/>
        </w:rPr>
        <w:t>2019</w:t>
      </w:r>
      <w:r>
        <w:rPr>
          <w:rFonts w:ascii="宋体" w:hAnsi="宋体" w:cs="宋体" w:eastAsia="宋体" w:hint="default"/>
          <w:spacing w:val="-45"/>
        </w:rPr>
        <w:t> </w:t>
      </w:r>
      <w:r>
        <w:rPr/>
        <w:t>年度将江苏光一贵仁股权投资基金管理有限公司</w:t>
      </w:r>
      <w:r>
        <w:rPr>
          <w:spacing w:val="-37"/>
        </w:rPr>
        <w:t> </w:t>
      </w:r>
      <w:r>
        <w:rPr>
          <w:rFonts w:ascii="宋体" w:hAnsi="宋体" w:cs="宋体" w:eastAsia="宋体" w:hint="default"/>
          <w:spacing w:val="-6"/>
        </w:rPr>
        <w:t>45%</w:t>
      </w:r>
      <w:r>
        <w:rPr>
          <w:spacing w:val="-6"/>
        </w:rPr>
        <w:t>出资权对外转让，相应的根据持有份</w:t>
      </w:r>
      <w:r>
        <w:rPr>
          <w:w w:val="100"/>
        </w:rPr>
        <w:t> </w:t>
      </w:r>
      <w:r>
        <w:rPr/>
        <w:t>额净资产增加部分</w:t>
      </w:r>
      <w:r>
        <w:rPr>
          <w:spacing w:val="-50"/>
        </w:rPr>
        <w:t> </w:t>
      </w:r>
      <w:r>
        <w:rPr>
          <w:rFonts w:ascii="宋体" w:hAnsi="宋体" w:cs="宋体" w:eastAsia="宋体" w:hint="default"/>
        </w:rPr>
        <w:t>470,123.71</w:t>
      </w:r>
      <w:r>
        <w:rPr>
          <w:rFonts w:ascii="宋体" w:hAnsi="宋体" w:cs="宋体" w:eastAsia="宋体" w:hint="default"/>
          <w:spacing w:val="-56"/>
        </w:rPr>
        <w:t> </w:t>
      </w:r>
      <w:r>
        <w:rPr/>
        <w:t>元增加资本公积股本溢价；本公司联营企业中云文化大数据科技有限公司</w:t>
      </w:r>
    </w:p>
    <w:p>
      <w:pPr>
        <w:pStyle w:val="BodyText"/>
        <w:spacing w:line="408" w:lineRule="auto" w:before="42"/>
        <w:ind w:right="1024"/>
        <w:jc w:val="left"/>
      </w:pPr>
      <w:r>
        <w:rPr/>
        <w:t>子公司持有母公司股份，根据享有的份额变动增加资本公积其他资本公积</w:t>
      </w:r>
      <w:r>
        <w:rPr>
          <w:spacing w:val="-54"/>
        </w:rPr>
        <w:t> </w:t>
      </w:r>
      <w:r>
        <w:rPr>
          <w:rFonts w:ascii="宋体" w:hAnsi="宋体" w:cs="宋体" w:eastAsia="宋体" w:hint="default"/>
        </w:rPr>
        <w:t>157,750.93</w:t>
      </w:r>
      <w:r>
        <w:rPr>
          <w:rFonts w:ascii="宋体" w:hAnsi="宋体" w:cs="宋体" w:eastAsia="宋体" w:hint="default"/>
          <w:spacing w:val="-51"/>
        </w:rPr>
        <w:t> </w:t>
      </w:r>
      <w:r>
        <w:rPr/>
        <w:t>元；本公司联营企</w:t>
      </w:r>
      <w:r>
        <w:rPr>
          <w:w w:val="100"/>
        </w:rPr>
        <w:t> </w:t>
      </w:r>
      <w:r>
        <w:rPr>
          <w:spacing w:val="-2"/>
        </w:rPr>
        <w:t>业北京海誉动想科技股份有限公司引入投资者，导致本公司按持有部分公允价值减少的份额抵减资本公积</w:t>
      </w:r>
      <w:r>
        <w:rPr>
          <w:spacing w:val="-33"/>
        </w:rPr>
        <w:t> </w:t>
      </w:r>
      <w:r>
        <w:rPr>
          <w:spacing w:val="-33"/>
        </w:rPr>
      </w:r>
      <w:r>
        <w:rPr/>
        <w:t>其他资本公积</w:t>
      </w:r>
      <w:r>
        <w:rPr>
          <w:spacing w:val="-50"/>
        </w:rPr>
        <w:t> </w:t>
      </w:r>
      <w:r>
        <w:rPr>
          <w:rFonts w:ascii="宋体" w:hAnsi="宋体" w:cs="宋体" w:eastAsia="宋体" w:hint="default"/>
        </w:rPr>
        <w:t>530,953.80</w:t>
      </w:r>
      <w:r>
        <w:rPr>
          <w:rFonts w:ascii="宋体" w:hAnsi="宋体" w:cs="宋体" w:eastAsia="宋体" w:hint="default"/>
          <w:spacing w:val="-50"/>
        </w:rPr>
        <w:t> </w:t>
      </w:r>
      <w:r>
        <w:rPr/>
        <w:t>元。</w:t>
      </w:r>
    </w:p>
    <w:p>
      <w:pPr>
        <w:spacing w:line="240" w:lineRule="auto" w:before="8"/>
        <w:rPr>
          <w:rFonts w:ascii="宋体" w:hAnsi="宋体" w:cs="宋体" w:eastAsia="宋体" w:hint="default"/>
          <w:sz w:val="20"/>
          <w:szCs w:val="20"/>
        </w:rPr>
      </w:pPr>
    </w:p>
    <w:p>
      <w:pPr>
        <w:pStyle w:val="Heading4"/>
        <w:spacing w:line="240" w:lineRule="auto" w:before="0"/>
        <w:ind w:right="1024"/>
        <w:jc w:val="left"/>
        <w:rPr>
          <w:b w:val="0"/>
          <w:bCs w:val="0"/>
        </w:rPr>
      </w:pPr>
      <w:bookmarkStart w:name="38、库存股" w:id="357"/>
      <w:bookmarkEnd w:id="357"/>
      <w:r>
        <w:rPr>
          <w:b w:val="0"/>
          <w:bCs w:val="0"/>
        </w:rPr>
      </w:r>
      <w:r>
        <w:rPr>
          <w:rFonts w:ascii="宋体" w:hAnsi="宋体" w:cs="宋体" w:eastAsia="宋体" w:hint="default"/>
        </w:rPr>
        <w:t>38</w:t>
      </w:r>
      <w:r>
        <w:rPr/>
        <w:t>、库存股</w:t>
      </w:r>
      <w:r>
        <w:rPr>
          <w:b w:val="0"/>
          <w:bCs w:val="0"/>
        </w:rPr>
      </w:r>
    </w:p>
    <w:p>
      <w:pPr>
        <w:spacing w:line="240" w:lineRule="auto" w:before="12"/>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13" w:hRule="exact"/>
        </w:trPr>
        <w:tc>
          <w:tcPr>
            <w:tcW w:w="191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限制性股票回购义务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34" w:right="0"/>
              <w:jc w:val="left"/>
              <w:rPr>
                <w:rFonts w:ascii="宋体" w:hAnsi="宋体" w:cs="宋体" w:eastAsia="宋体" w:hint="default"/>
                <w:sz w:val="18"/>
                <w:szCs w:val="18"/>
              </w:rPr>
            </w:pPr>
            <w:r>
              <w:rPr>
                <w:rFonts w:ascii="宋体"/>
                <w:sz w:val="18"/>
              </w:rPr>
              <w:t>25,041,540.00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633" w:right="0"/>
              <w:jc w:val="left"/>
              <w:rPr>
                <w:rFonts w:ascii="宋体" w:hAnsi="宋体" w:cs="宋体" w:eastAsia="宋体" w:hint="default"/>
                <w:sz w:val="18"/>
                <w:szCs w:val="18"/>
              </w:rPr>
            </w:pPr>
            <w:r>
              <w:rPr>
                <w:rFonts w:ascii="宋体"/>
                <w:sz w:val="18"/>
              </w:rPr>
              <w:t>25,041,540.00</w:t>
            </w:r>
          </w:p>
        </w:tc>
      </w:tr>
      <w:tr>
        <w:trPr>
          <w:trHeight w:val="413" w:hRule="exact"/>
        </w:trPr>
        <w:tc>
          <w:tcPr>
            <w:tcW w:w="191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634" w:right="0"/>
              <w:jc w:val="left"/>
              <w:rPr>
                <w:rFonts w:ascii="宋体" w:hAnsi="宋体" w:cs="宋体" w:eastAsia="宋体" w:hint="default"/>
                <w:sz w:val="18"/>
                <w:szCs w:val="18"/>
              </w:rPr>
            </w:pPr>
            <w:r>
              <w:rPr>
                <w:rFonts w:ascii="宋体"/>
                <w:sz w:val="18"/>
              </w:rPr>
              <w:t>25,041,540.00</w:t>
            </w:r>
          </w:p>
        </w:tc>
        <w:tc>
          <w:tcPr>
            <w:tcW w:w="1911" w:type="dxa"/>
            <w:tcBorders>
              <w:top w:val="single" w:sz="4" w:space="0" w:color="000000"/>
              <w:left w:val="single" w:sz="4" w:space="0" w:color="000000"/>
              <w:bottom w:val="single" w:sz="12" w:space="0" w:color="000000"/>
              <w:right w:val="single" w:sz="4" w:space="0" w:color="000000"/>
            </w:tcBorders>
          </w:tcPr>
          <w:p>
            <w:pPr/>
          </w:p>
        </w:tc>
        <w:tc>
          <w:tcPr>
            <w:tcW w:w="1916" w:type="dxa"/>
            <w:tcBorders>
              <w:top w:val="single" w:sz="4" w:space="0" w:color="000000"/>
              <w:left w:val="single" w:sz="4" w:space="0" w:color="000000"/>
              <w:bottom w:val="single" w:sz="12" w:space="0" w:color="000000"/>
              <w:right w:val="single" w:sz="4" w:space="0" w:color="000000"/>
            </w:tcBorders>
          </w:tcPr>
          <w:p>
            <w:pPr/>
          </w:p>
        </w:tc>
        <w:tc>
          <w:tcPr>
            <w:tcW w:w="19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4"/>
              <w:ind w:left="633" w:right="0"/>
              <w:jc w:val="left"/>
              <w:rPr>
                <w:rFonts w:ascii="宋体" w:hAnsi="宋体" w:cs="宋体" w:eastAsia="宋体" w:hint="default"/>
                <w:sz w:val="18"/>
                <w:szCs w:val="18"/>
              </w:rPr>
            </w:pPr>
            <w:r>
              <w:rPr>
                <w:rFonts w:ascii="宋体"/>
                <w:sz w:val="18"/>
              </w:rPr>
              <w:t>25,041,540.00</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39、盈余公积" w:id="358"/>
      <w:bookmarkEnd w:id="358"/>
      <w:r>
        <w:rPr>
          <w:b w:val="0"/>
          <w:bCs w:val="0"/>
        </w:rPr>
      </w:r>
      <w:r>
        <w:rPr>
          <w:rFonts w:ascii="宋体" w:hAnsi="宋体" w:cs="宋体" w:eastAsia="宋体" w:hint="default"/>
        </w:rPr>
        <w:t>39</w:t>
      </w:r>
      <w:r>
        <w:rPr/>
        <w:t>、盈余公积</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13" w:hRule="exact"/>
        </w:trPr>
        <w:tc>
          <w:tcPr>
            <w:tcW w:w="191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9"/>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34" w:right="0"/>
              <w:jc w:val="left"/>
              <w:rPr>
                <w:rFonts w:ascii="宋体" w:hAnsi="宋体" w:cs="宋体" w:eastAsia="宋体" w:hint="default"/>
                <w:sz w:val="18"/>
                <w:szCs w:val="18"/>
              </w:rPr>
            </w:pPr>
            <w:r>
              <w:rPr>
                <w:rFonts w:ascii="宋体"/>
                <w:sz w:val="18"/>
              </w:rPr>
              <w:t>21,281,039.35</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633" w:right="0"/>
              <w:jc w:val="left"/>
              <w:rPr>
                <w:rFonts w:ascii="宋体" w:hAnsi="宋体" w:cs="宋体" w:eastAsia="宋体" w:hint="default"/>
                <w:sz w:val="18"/>
                <w:szCs w:val="18"/>
              </w:rPr>
            </w:pPr>
            <w:r>
              <w:rPr>
                <w:rFonts w:ascii="宋体"/>
                <w:sz w:val="18"/>
              </w:rPr>
              <w:t>21,281,039.35</w:t>
            </w:r>
          </w:p>
        </w:tc>
      </w:tr>
      <w:tr>
        <w:trPr>
          <w:trHeight w:val="413" w:hRule="exact"/>
        </w:trPr>
        <w:tc>
          <w:tcPr>
            <w:tcW w:w="191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634" w:right="0"/>
              <w:jc w:val="left"/>
              <w:rPr>
                <w:rFonts w:ascii="宋体" w:hAnsi="宋体" w:cs="宋体" w:eastAsia="宋体" w:hint="default"/>
                <w:sz w:val="18"/>
                <w:szCs w:val="18"/>
              </w:rPr>
            </w:pPr>
            <w:r>
              <w:rPr>
                <w:rFonts w:ascii="宋体"/>
                <w:sz w:val="18"/>
              </w:rPr>
              <w:t>21,281,039.35</w:t>
            </w:r>
          </w:p>
        </w:tc>
        <w:tc>
          <w:tcPr>
            <w:tcW w:w="1911" w:type="dxa"/>
            <w:tcBorders>
              <w:top w:val="single" w:sz="4" w:space="0" w:color="000000"/>
              <w:left w:val="single" w:sz="4" w:space="0" w:color="000000"/>
              <w:bottom w:val="single" w:sz="12" w:space="0" w:color="000000"/>
              <w:right w:val="single" w:sz="4" w:space="0" w:color="000000"/>
            </w:tcBorders>
          </w:tcPr>
          <w:p>
            <w:pPr/>
          </w:p>
        </w:tc>
        <w:tc>
          <w:tcPr>
            <w:tcW w:w="1916" w:type="dxa"/>
            <w:tcBorders>
              <w:top w:val="single" w:sz="4" w:space="0" w:color="000000"/>
              <w:left w:val="single" w:sz="4" w:space="0" w:color="000000"/>
              <w:bottom w:val="single" w:sz="12" w:space="0" w:color="000000"/>
              <w:right w:val="single" w:sz="4" w:space="0" w:color="000000"/>
            </w:tcBorders>
          </w:tcPr>
          <w:p>
            <w:pPr/>
          </w:p>
        </w:tc>
        <w:tc>
          <w:tcPr>
            <w:tcW w:w="19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633" w:right="0"/>
              <w:jc w:val="left"/>
              <w:rPr>
                <w:rFonts w:ascii="宋体" w:hAnsi="宋体" w:cs="宋体" w:eastAsia="宋体" w:hint="default"/>
                <w:sz w:val="18"/>
                <w:szCs w:val="18"/>
              </w:rPr>
            </w:pPr>
            <w:r>
              <w:rPr>
                <w:rFonts w:ascii="宋体"/>
                <w:sz w:val="18"/>
              </w:rPr>
              <w:t>21,281,039.35</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39、未分配利润" w:id="359"/>
      <w:bookmarkEnd w:id="359"/>
      <w:r>
        <w:rPr>
          <w:b w:val="0"/>
          <w:bCs w:val="0"/>
        </w:rPr>
      </w:r>
      <w:r>
        <w:rPr>
          <w:rFonts w:ascii="宋体" w:hAnsi="宋体" w:cs="宋体" w:eastAsia="宋体" w:hint="default"/>
        </w:rPr>
        <w:t>39</w:t>
      </w:r>
      <w:r>
        <w:rPr/>
        <w:t>、未分配利润</w:t>
      </w:r>
      <w:r>
        <w:rPr>
          <w:b w:val="0"/>
          <w:bCs w:val="0"/>
        </w:rPr>
      </w:r>
    </w:p>
    <w:p>
      <w:pPr>
        <w:spacing w:line="240" w:lineRule="auto" w:before="5"/>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726"/>
        <w:gridCol w:w="2924"/>
        <w:gridCol w:w="2920"/>
      </w:tblGrid>
      <w:tr>
        <w:trPr>
          <w:trHeight w:val="410" w:hRule="exact"/>
        </w:trPr>
        <w:tc>
          <w:tcPr>
            <w:tcW w:w="372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left="95"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4"/>
              <w:jc w:val="right"/>
              <w:rPr>
                <w:rFonts w:ascii="宋体" w:hAnsi="宋体" w:cs="宋体" w:eastAsia="宋体" w:hint="default"/>
                <w:sz w:val="18"/>
                <w:szCs w:val="18"/>
              </w:rPr>
            </w:pPr>
            <w:r>
              <w:rPr>
                <w:rFonts w:ascii="宋体"/>
                <w:spacing w:val="-2"/>
                <w:sz w:val="18"/>
              </w:rPr>
              <w:t>-93,456,318.93</w:t>
            </w:r>
          </w:p>
        </w:tc>
        <w:tc>
          <w:tcPr>
            <w:tcW w:w="29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6"/>
              <w:ind w:right="84"/>
              <w:jc w:val="right"/>
              <w:rPr>
                <w:rFonts w:ascii="宋体" w:hAnsi="宋体" w:cs="宋体" w:eastAsia="宋体" w:hint="default"/>
                <w:sz w:val="18"/>
                <w:szCs w:val="18"/>
              </w:rPr>
            </w:pPr>
            <w:r>
              <w:rPr>
                <w:rFonts w:ascii="宋体"/>
                <w:spacing w:val="-1"/>
                <w:sz w:val="18"/>
              </w:rPr>
              <w:t>-116,859,807.86</w:t>
            </w:r>
          </w:p>
        </w:tc>
      </w:tr>
      <w:tr>
        <w:trPr>
          <w:trHeight w:val="404" w:hRule="exact"/>
        </w:trPr>
        <w:tc>
          <w:tcPr>
            <w:tcW w:w="37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调整期初未分配利润合计数（调增</w:t>
            </w:r>
            <w:r>
              <w:rPr>
                <w:rFonts w:ascii="宋体" w:hAnsi="宋体" w:cs="宋体" w:eastAsia="宋体" w:hint="default"/>
                <w:spacing w:val="-3"/>
                <w:sz w:val="18"/>
                <w:szCs w:val="18"/>
              </w:rPr>
              <w:t>+</w:t>
            </w:r>
            <w:r>
              <w:rPr>
                <w:rFonts w:ascii="宋体" w:hAnsi="宋体" w:cs="宋体" w:eastAsia="宋体" w:hint="default"/>
                <w:spacing w:val="-3"/>
                <w:sz w:val="18"/>
                <w:szCs w:val="18"/>
              </w:rPr>
              <w:t>，调减</w:t>
            </w:r>
            <w:r>
              <w:rPr>
                <w:rFonts w:ascii="宋体" w:hAnsi="宋体" w:cs="宋体" w:eastAsia="宋体" w:hint="default"/>
                <w:spacing w:val="-3"/>
                <w:sz w:val="18"/>
                <w:szCs w:val="18"/>
              </w:rPr>
              <w:t>-</w:t>
            </w:r>
            <w:r>
              <w:rPr>
                <w:rFonts w:ascii="宋体" w:hAnsi="宋体" w:cs="宋体" w:eastAsia="宋体" w:hint="default"/>
                <w:spacing w:val="-3"/>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7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-93,456,318.93</w:t>
            </w:r>
          </w:p>
        </w:tc>
        <w:tc>
          <w:tcPr>
            <w:tcW w:w="29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-116,859,807.86</w:t>
            </w:r>
          </w:p>
        </w:tc>
      </w:tr>
      <w:tr>
        <w:trPr>
          <w:trHeight w:val="401" w:hRule="exact"/>
        </w:trPr>
        <w:tc>
          <w:tcPr>
            <w:tcW w:w="37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25,194,200.65</w:t>
            </w:r>
          </w:p>
        </w:tc>
        <w:tc>
          <w:tcPr>
            <w:tcW w:w="29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23,403,488.93</w:t>
            </w:r>
          </w:p>
        </w:tc>
      </w:tr>
      <w:tr>
        <w:trPr>
          <w:trHeight w:val="401" w:hRule="exact"/>
        </w:trPr>
        <w:tc>
          <w:tcPr>
            <w:tcW w:w="37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left="95"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37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7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7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401" w:hRule="exact"/>
        </w:trPr>
        <w:tc>
          <w:tcPr>
            <w:tcW w:w="372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left="455"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726" w:type="dxa"/>
            <w:tcBorders>
              <w:top w:val="single" w:sz="4" w:space="0" w:color="000000"/>
              <w:left w:val="single" w:sz="12" w:space="0" w:color="000000"/>
              <w:bottom w:val="single" w:sz="4" w:space="0" w:color="000000"/>
              <w:right w:val="single" w:sz="4" w:space="0" w:color="000000"/>
            </w:tcBorders>
          </w:tcPr>
          <w:p>
            <w:pPr/>
          </w:p>
        </w:tc>
        <w:tc>
          <w:tcPr>
            <w:tcW w:w="2924"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72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2"/>
                <w:sz w:val="18"/>
              </w:rPr>
              <w:t>-68,262,118.28</w:t>
            </w:r>
          </w:p>
        </w:tc>
        <w:tc>
          <w:tcPr>
            <w:tcW w:w="292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2"/>
                <w:sz w:val="18"/>
              </w:rPr>
              <w:t>-93,456,318.93</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40、营业收入和营业成本" w:id="360"/>
      <w:bookmarkEnd w:id="360"/>
      <w:r>
        <w:rPr>
          <w:b w:val="0"/>
          <w:bCs w:val="0"/>
        </w:rPr>
      </w:r>
      <w:r>
        <w:rPr>
          <w:rFonts w:ascii="宋体" w:hAnsi="宋体" w:cs="宋体" w:eastAsia="宋体" w:hint="default"/>
        </w:rPr>
        <w:t>40</w:t>
      </w:r>
      <w:r>
        <w:rPr/>
        <w:t>、营业收入和营业成本</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10" w:hRule="exact"/>
        </w:trPr>
        <w:tc>
          <w:tcPr>
            <w:tcW w:w="1911"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1" w:type="dxa"/>
            <w:vMerge/>
            <w:tcBorders>
              <w:left w:val="single" w:sz="12"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400,799,963.48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259,865,615.29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430,145,625.37</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281,513,735.62</w:t>
            </w:r>
          </w:p>
        </w:tc>
      </w:tr>
      <w:tr>
        <w:trPr>
          <w:trHeight w:val="403" w:hRule="exact"/>
        </w:trPr>
        <w:tc>
          <w:tcPr>
            <w:tcW w:w="191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8,298,720.18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5,519,956.40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5,785,787.96</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4,033,372.92</w:t>
            </w:r>
          </w:p>
        </w:tc>
      </w:tr>
      <w:tr>
        <w:trPr>
          <w:trHeight w:val="413" w:hRule="exact"/>
        </w:trPr>
        <w:tc>
          <w:tcPr>
            <w:tcW w:w="191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2"/>
                <w:sz w:val="18"/>
              </w:rPr>
              <w:t>409,098,683.66</w:t>
            </w:r>
          </w:p>
        </w:tc>
        <w:tc>
          <w:tcPr>
            <w:tcW w:w="1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2"/>
                <w:sz w:val="18"/>
              </w:rPr>
              <w:t>265,385,571.69</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2"/>
                <w:sz w:val="18"/>
              </w:rPr>
              <w:t>435,931,413.33</w:t>
            </w:r>
          </w:p>
        </w:tc>
        <w:tc>
          <w:tcPr>
            <w:tcW w:w="19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2"/>
                <w:sz w:val="18"/>
              </w:rPr>
              <w:t>285,547,108.54</w:t>
            </w:r>
          </w:p>
        </w:tc>
      </w:tr>
    </w:tbl>
    <w:p>
      <w:pPr>
        <w:spacing w:before="92"/>
        <w:ind w:left="153" w:right="1024"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after="0"/>
        <w:jc w:val="left"/>
        <w:rPr>
          <w:rFonts w:ascii="宋体" w:hAnsi="宋体" w:cs="宋体" w:eastAsia="宋体" w:hint="default"/>
          <w:sz w:val="18"/>
          <w:szCs w:val="18"/>
        </w:rPr>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0"/>
        <w:ind w:left="153" w:right="102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4"/>
        <w:spacing w:line="240" w:lineRule="auto" w:before="0"/>
        <w:ind w:right="1024"/>
        <w:jc w:val="left"/>
        <w:rPr>
          <w:b w:val="0"/>
          <w:bCs w:val="0"/>
        </w:rPr>
      </w:pPr>
      <w:bookmarkStart w:name="41、税金及附加" w:id="361"/>
      <w:bookmarkEnd w:id="361"/>
      <w:r>
        <w:rPr>
          <w:b w:val="0"/>
          <w:bCs w:val="0"/>
        </w:rPr>
      </w:r>
      <w:r>
        <w:rPr>
          <w:rFonts w:ascii="宋体" w:hAnsi="宋体" w:cs="宋体" w:eastAsia="宋体" w:hint="default"/>
        </w:rPr>
        <w:t>41</w:t>
      </w:r>
      <w:r>
        <w:rPr/>
        <w:t>、税金及附加</w:t>
      </w:r>
      <w:r>
        <w:rPr>
          <w:b w:val="0"/>
          <w:bCs w:val="0"/>
        </w:rPr>
      </w:r>
    </w:p>
    <w:p>
      <w:pPr>
        <w:spacing w:line="240" w:lineRule="auto" w:before="1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773,978.65</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spacing w:val="-1"/>
                <w:sz w:val="18"/>
              </w:rPr>
              <w:t>656,448.91</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531,817.85</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494,783.05</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3,381,965.79</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3,172,264.81</w:t>
            </w:r>
          </w:p>
        </w:tc>
      </w:tr>
      <w:tr>
        <w:trPr>
          <w:trHeight w:val="40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731,932.24</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1,102,570.09</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156,231.55</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87,561.07</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车船税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4,920.00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17,040.00</w:t>
            </w:r>
          </w:p>
        </w:tc>
      </w:tr>
      <w:tr>
        <w:trPr>
          <w:trHeight w:val="404"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68,357.99</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14,695.94</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45,831.63</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110,141.25</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5,695,035.70</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5,655,505.12</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42、销售费用" w:id="362"/>
      <w:bookmarkEnd w:id="362"/>
      <w:r>
        <w:rPr>
          <w:b w:val="0"/>
          <w:bCs w:val="0"/>
        </w:rPr>
      </w:r>
      <w:r>
        <w:rPr>
          <w:rFonts w:ascii="宋体" w:hAnsi="宋体" w:cs="宋体" w:eastAsia="宋体" w:hint="default"/>
        </w:rPr>
        <w:t>42</w:t>
      </w:r>
      <w:r>
        <w:rPr/>
        <w:t>、销售费用</w:t>
      </w:r>
      <w:r>
        <w:rPr>
          <w:b w:val="0"/>
          <w:bCs w:val="0"/>
        </w:rPr>
      </w:r>
    </w:p>
    <w:p>
      <w:pPr>
        <w:spacing w:line="240" w:lineRule="auto" w:before="1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19,287,526.16</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14,528,489.95</w:t>
            </w:r>
          </w:p>
        </w:tc>
      </w:tr>
      <w:tr>
        <w:trPr>
          <w:trHeight w:val="399"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3,007,446.90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5,510,357.77</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咨询、中标服务费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4,054,721.20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3,198,756.58</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5,150,947.40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3,891,824.26</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5,949,121.21</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4,674,498.74</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2,447,168.77</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3,003,544.60</w:t>
            </w:r>
          </w:p>
        </w:tc>
      </w:tr>
      <w:tr>
        <w:trPr>
          <w:trHeight w:val="404"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330,283.83</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243,101.04</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2,822,175.45</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5,998,681.34</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43,049,390.92</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41,049,254.28</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43、管理费用" w:id="363"/>
      <w:bookmarkEnd w:id="363"/>
      <w:r>
        <w:rPr>
          <w:b w:val="0"/>
          <w:bCs w:val="0"/>
        </w:rPr>
      </w:r>
      <w:r>
        <w:rPr>
          <w:rFonts w:ascii="宋体" w:hAnsi="宋体" w:cs="宋体" w:eastAsia="宋体" w:hint="default"/>
        </w:rPr>
        <w:t>43</w:t>
      </w:r>
      <w:r>
        <w:rPr/>
        <w:t>、管理费用</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18,783,452.80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19,363,527.61</w:t>
            </w:r>
          </w:p>
        </w:tc>
      </w:tr>
      <w:tr>
        <w:trPr>
          <w:trHeight w:val="399"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限制性股票摊销</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-3,609,933.81</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7,057,425.84</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7,758,505.72</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房租物业水电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5,667,608.28</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4,384,982.80</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2,425,182.16</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2,473,492.06</w:t>
            </w:r>
          </w:p>
        </w:tc>
      </w:tr>
      <w:tr>
        <w:trPr>
          <w:trHeight w:val="399"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1,640,357.88</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3,543,069.06</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4,381,256.89</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4,207,643.21</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3,101,315.88</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3,197,228.65</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社会保险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1,698,124.80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2,122,309.99</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820,822.34</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1,317,635.87</w:t>
            </w:r>
          </w:p>
        </w:tc>
      </w:tr>
      <w:tr>
        <w:trPr>
          <w:trHeight w:val="404"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1,456,795.21</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1,395,630.47</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678,141.49</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531,374.17</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509,598.01</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549,059.12</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董事会会费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220,790.64</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335,000.00</w:t>
            </w:r>
          </w:p>
        </w:tc>
      </w:tr>
      <w:tr>
        <w:trPr>
          <w:trHeight w:val="404"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2,888,782.52</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3,384,335.43</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51,329,654.74</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50,953,860.35</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44、研发费用" w:id="364"/>
      <w:bookmarkEnd w:id="364"/>
      <w:r>
        <w:rPr>
          <w:b w:val="0"/>
          <w:bCs w:val="0"/>
        </w:rPr>
      </w:r>
      <w:r>
        <w:rPr>
          <w:rFonts w:ascii="宋体" w:hAnsi="宋体" w:cs="宋体" w:eastAsia="宋体" w:hint="default"/>
        </w:rPr>
        <w:t>44</w:t>
      </w:r>
      <w:r>
        <w:rPr/>
        <w:t>、研发费用</w:t>
      </w:r>
      <w:r>
        <w:rPr>
          <w:b w:val="0"/>
          <w:bCs w:val="0"/>
        </w:rPr>
      </w:r>
    </w:p>
    <w:p>
      <w:pPr>
        <w:spacing w:line="240" w:lineRule="auto" w:before="5"/>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22,732,643.02</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25,533,420.29</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直接投入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3,281,720.49</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3,252,618.29</w:t>
            </w:r>
          </w:p>
        </w:tc>
      </w:tr>
      <w:tr>
        <w:trPr>
          <w:trHeight w:val="404"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折旧费用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1,467,431.90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1,834,579.58</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无形资产摊销费用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363,873.92</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341,580.36</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2,488,542.95</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4,217,553.17</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2,552,923.72</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4,789,746.50</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32,887,136.00</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39,969,498.19</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45、财务费用" w:id="365"/>
      <w:bookmarkEnd w:id="365"/>
      <w:r>
        <w:rPr>
          <w:b w:val="0"/>
          <w:bCs w:val="0"/>
        </w:rPr>
      </w:r>
      <w:r>
        <w:rPr>
          <w:rFonts w:ascii="宋体" w:hAnsi="宋体" w:cs="宋体" w:eastAsia="宋体" w:hint="default"/>
        </w:rPr>
        <w:t>45</w:t>
      </w:r>
      <w:r>
        <w:rPr/>
        <w:t>、财务费用</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35,454,425.79</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30,498,628.15</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3,845,304.59</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459,070.90</w:t>
            </w:r>
          </w:p>
        </w:tc>
      </w:tr>
    </w:tbl>
    <w:p>
      <w:pPr>
        <w:spacing w:after="0" w:line="240" w:lineRule="auto"/>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31,609,121.20</w:t>
            </w:r>
          </w:p>
        </w:tc>
        <w:tc>
          <w:tcPr>
            <w:tcW w:w="319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30,039,557.25</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1,905.88</w:t>
            </w: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汇兑收益</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-862.69</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1,905.88</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862.69</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181,112.65</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121,587.93</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31,792,139.73</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30,162,007.87</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46、其他收益" w:id="366"/>
      <w:bookmarkEnd w:id="366"/>
      <w:r>
        <w:rPr>
          <w:b w:val="0"/>
          <w:bCs w:val="0"/>
        </w:rPr>
      </w:r>
      <w:r>
        <w:rPr>
          <w:rFonts w:ascii="宋体" w:hAnsi="宋体" w:cs="宋体" w:eastAsia="宋体" w:hint="default"/>
        </w:rPr>
        <w:t>46</w:t>
      </w:r>
      <w:r>
        <w:rPr/>
        <w:t>、其他收益</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08"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773"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left="1911" w:right="0"/>
              <w:jc w:val="left"/>
              <w:rPr>
                <w:rFonts w:ascii="宋体" w:hAnsi="宋体" w:cs="宋体" w:eastAsia="宋体" w:hint="default"/>
                <w:sz w:val="18"/>
                <w:szCs w:val="18"/>
              </w:rPr>
            </w:pPr>
            <w:r>
              <w:rPr>
                <w:rFonts w:ascii="宋体"/>
                <w:sz w:val="18"/>
              </w:rPr>
              <w:t>10,576,597.78</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8"/>
              <w:ind w:left="1910" w:right="0"/>
              <w:jc w:val="left"/>
              <w:rPr>
                <w:rFonts w:ascii="宋体" w:hAnsi="宋体" w:cs="宋体" w:eastAsia="宋体" w:hint="default"/>
                <w:sz w:val="18"/>
                <w:szCs w:val="18"/>
              </w:rPr>
            </w:pPr>
            <w:r>
              <w:rPr>
                <w:rFonts w:ascii="宋体"/>
                <w:sz w:val="18"/>
              </w:rPr>
              <w:t>11,051,480.64</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47、投资收益" w:id="367"/>
      <w:bookmarkEnd w:id="367"/>
      <w:r>
        <w:rPr>
          <w:b w:val="0"/>
          <w:bCs w:val="0"/>
        </w:rPr>
      </w:r>
      <w:r>
        <w:rPr>
          <w:rFonts w:ascii="宋体" w:hAnsi="宋体" w:cs="宋体" w:eastAsia="宋体" w:hint="default"/>
        </w:rPr>
        <w:t>47</w:t>
      </w:r>
      <w:r>
        <w:rPr/>
        <w:t>、投资收益</w:t>
      </w:r>
      <w:r>
        <w:rPr>
          <w:b w:val="0"/>
          <w:bCs w:val="0"/>
        </w:rPr>
      </w:r>
    </w:p>
    <w:p>
      <w:pPr>
        <w:spacing w:line="240" w:lineRule="auto" w:before="9"/>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462"/>
        <w:gridCol w:w="3188"/>
        <w:gridCol w:w="2920"/>
      </w:tblGrid>
      <w:tr>
        <w:trPr>
          <w:trHeight w:val="413" w:hRule="exact"/>
        </w:trPr>
        <w:tc>
          <w:tcPr>
            <w:tcW w:w="3462"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0"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16,776,756.19</w:t>
            </w:r>
          </w:p>
        </w:tc>
        <w:tc>
          <w:tcPr>
            <w:tcW w:w="292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16,051,752.54</w:t>
            </w:r>
          </w:p>
        </w:tc>
      </w:tr>
      <w:tr>
        <w:trPr>
          <w:trHeight w:val="398" w:hRule="exact"/>
        </w:trPr>
        <w:tc>
          <w:tcPr>
            <w:tcW w:w="34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9,850,981.68</w:t>
            </w: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4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交易性金融资产在持有期间的投资收益</w:t>
            </w:r>
          </w:p>
        </w:tc>
        <w:tc>
          <w:tcPr>
            <w:tcW w:w="3188"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34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处置交易性金融资产取得的投资收益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6,533,762.91</w:t>
            </w: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34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99"/>
              <w:jc w:val="left"/>
              <w:rPr>
                <w:rFonts w:ascii="宋体" w:hAnsi="宋体" w:cs="宋体" w:eastAsia="宋体" w:hint="default"/>
                <w:sz w:val="18"/>
                <w:szCs w:val="18"/>
              </w:rPr>
            </w:pPr>
            <w:r>
              <w:rPr>
                <w:rFonts w:ascii="宋体" w:hAnsi="宋体" w:cs="宋体" w:eastAsia="宋体" w:hint="default"/>
                <w:spacing w:val="-3"/>
                <w:sz w:val="18"/>
                <w:szCs w:val="18"/>
              </w:rPr>
              <w:t>其他权益工具投资在持有期间取得的股利</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收入</w:t>
            </w:r>
          </w:p>
        </w:tc>
        <w:tc>
          <w:tcPr>
            <w:tcW w:w="3188"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34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持有至到期投资在持有期间的投资收益</w:t>
            </w:r>
          </w:p>
        </w:tc>
        <w:tc>
          <w:tcPr>
            <w:tcW w:w="3188"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4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pacing w:val="-3"/>
                <w:sz w:val="18"/>
                <w:szCs w:val="18"/>
              </w:rPr>
              <w:t>可供出售金融资产在持有期间的投资收益</w:t>
            </w:r>
          </w:p>
        </w:tc>
        <w:tc>
          <w:tcPr>
            <w:tcW w:w="3188"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34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处置可供出售金融资产取得的投资收益</w:t>
            </w:r>
          </w:p>
        </w:tc>
        <w:tc>
          <w:tcPr>
            <w:tcW w:w="3188"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4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处置持有至到期投资取得的投资收益</w:t>
            </w:r>
          </w:p>
        </w:tc>
        <w:tc>
          <w:tcPr>
            <w:tcW w:w="3188"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34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99"/>
              <w:jc w:val="left"/>
              <w:rPr>
                <w:rFonts w:ascii="宋体" w:hAnsi="宋体" w:cs="宋体" w:eastAsia="宋体" w:hint="default"/>
                <w:sz w:val="18"/>
                <w:szCs w:val="18"/>
              </w:rPr>
            </w:pPr>
            <w:r>
              <w:rPr>
                <w:rFonts w:ascii="宋体" w:hAnsi="宋体" w:cs="宋体" w:eastAsia="宋体" w:hint="default"/>
                <w:spacing w:val="-3"/>
                <w:sz w:val="18"/>
                <w:szCs w:val="18"/>
              </w:rPr>
              <w:t>丧失控制权后，剩余股权按公允价值重新</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计量产生的利得</w:t>
            </w:r>
          </w:p>
        </w:tc>
        <w:tc>
          <w:tcPr>
            <w:tcW w:w="3188"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34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9"/>
              <w:ind w:left="95" w:right="0"/>
              <w:jc w:val="left"/>
              <w:rPr>
                <w:rFonts w:ascii="宋体" w:hAnsi="宋体" w:cs="宋体" w:eastAsia="宋体" w:hint="default"/>
                <w:sz w:val="18"/>
                <w:szCs w:val="18"/>
              </w:rPr>
            </w:pPr>
            <w:r>
              <w:rPr>
                <w:rFonts w:ascii="宋体" w:hAnsi="宋体" w:cs="宋体" w:eastAsia="宋体" w:hint="default"/>
                <w:spacing w:val="-3"/>
                <w:sz w:val="18"/>
                <w:szCs w:val="18"/>
              </w:rPr>
              <w:t>债权投资在持有期间取得的利息收入</w:t>
            </w:r>
          </w:p>
        </w:tc>
        <w:tc>
          <w:tcPr>
            <w:tcW w:w="3188"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4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其他债权投资在持有期间取得的利息收入</w:t>
            </w:r>
          </w:p>
        </w:tc>
        <w:tc>
          <w:tcPr>
            <w:tcW w:w="3188"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46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处置其他债权投资取得的投资收益</w:t>
            </w:r>
          </w:p>
        </w:tc>
        <w:tc>
          <w:tcPr>
            <w:tcW w:w="3188" w:type="dxa"/>
            <w:tcBorders>
              <w:top w:val="single" w:sz="4" w:space="0" w:color="000000"/>
              <w:left w:val="single" w:sz="4" w:space="0" w:color="000000"/>
              <w:bottom w:val="single" w:sz="4" w:space="0" w:color="000000"/>
              <w:right w:val="single" w:sz="4" w:space="0" w:color="000000"/>
            </w:tcBorders>
          </w:tcPr>
          <w:p>
            <w:pP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3462"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-250,000.00</w:t>
            </w:r>
          </w:p>
        </w:tc>
        <w:tc>
          <w:tcPr>
            <w:tcW w:w="2920"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46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1"/>
                <w:sz w:val="18"/>
              </w:rPr>
              <w:t>32,911,500.78</w:t>
            </w:r>
          </w:p>
        </w:tc>
        <w:tc>
          <w:tcPr>
            <w:tcW w:w="292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16,051,752.54</w:t>
            </w:r>
          </w:p>
        </w:tc>
      </w:tr>
    </w:tbl>
    <w:p>
      <w:pPr>
        <w:pStyle w:val="BodyText"/>
        <w:spacing w:line="410" w:lineRule="auto" w:before="66"/>
        <w:ind w:right="1139" w:firstLine="422"/>
        <w:jc w:val="left"/>
      </w:pPr>
      <w:r>
        <w:rPr/>
        <w:t>本期投资收益发生额较上期增加</w:t>
      </w:r>
      <w:r>
        <w:rPr>
          <w:spacing w:val="-49"/>
        </w:rPr>
        <w:t> </w:t>
      </w:r>
      <w:r>
        <w:rPr>
          <w:rFonts w:ascii="宋体" w:hAnsi="宋体" w:cs="宋体" w:eastAsia="宋体" w:hint="default"/>
        </w:rPr>
        <w:t>16,859,748.24</w:t>
      </w:r>
      <w:r>
        <w:rPr>
          <w:rFonts w:ascii="宋体" w:hAnsi="宋体" w:cs="宋体" w:eastAsia="宋体" w:hint="default"/>
          <w:spacing w:val="-56"/>
        </w:rPr>
        <w:t> </w:t>
      </w:r>
      <w:r>
        <w:rPr/>
        <w:t>元，增长比例为</w:t>
      </w:r>
      <w:r>
        <w:rPr>
          <w:spacing w:val="-50"/>
        </w:rPr>
        <w:t> </w:t>
      </w:r>
      <w:r>
        <w:rPr>
          <w:rFonts w:ascii="宋体" w:hAnsi="宋体" w:cs="宋体" w:eastAsia="宋体" w:hint="default"/>
        </w:rPr>
        <w:t>105.03%</w:t>
      </w:r>
      <w:r>
        <w:rPr/>
        <w:t>，主要系报告期内处置了控</w:t>
      </w:r>
      <w:r>
        <w:rPr>
          <w:w w:val="100"/>
        </w:rPr>
        <w:t> </w:t>
      </w:r>
      <w:r>
        <w:rPr/>
        <w:t>股子公司江苏德能电力设计咨询有限公司</w:t>
      </w:r>
      <w:r>
        <w:rPr>
          <w:spacing w:val="-53"/>
        </w:rPr>
        <w:t> </w:t>
      </w:r>
      <w:r>
        <w:rPr>
          <w:rFonts w:ascii="宋体" w:hAnsi="宋体" w:cs="宋体" w:eastAsia="宋体" w:hint="default"/>
        </w:rPr>
        <w:t>60%</w:t>
      </w:r>
      <w:r>
        <w:rPr/>
        <w:t>的股权。</w:t>
      </w:r>
    </w:p>
    <w:p>
      <w:pPr>
        <w:spacing w:after="0" w:line="410" w:lineRule="auto"/>
        <w:jc w:val="left"/>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4"/>
        <w:spacing w:line="240" w:lineRule="auto" w:before="0"/>
        <w:ind w:right="1024"/>
        <w:jc w:val="left"/>
        <w:rPr>
          <w:b w:val="0"/>
          <w:bCs w:val="0"/>
        </w:rPr>
      </w:pPr>
      <w:bookmarkStart w:name="48、 净敞口套期收益" w:id="368"/>
      <w:bookmarkEnd w:id="368"/>
      <w:r>
        <w:rPr>
          <w:b w:val="0"/>
          <w:bCs w:val="0"/>
        </w:rPr>
      </w:r>
      <w:r>
        <w:rPr>
          <w:rFonts w:ascii="宋体" w:hAnsi="宋体" w:cs="宋体" w:eastAsia="宋体" w:hint="default"/>
        </w:rPr>
        <w:t>48</w:t>
      </w:r>
      <w:r>
        <w:rPr/>
        <w:t>、净敞口套期收益</w:t>
      </w:r>
      <w:r>
        <w:rPr>
          <w:b w:val="0"/>
          <w:bCs w:val="0"/>
        </w:rPr>
      </w:r>
    </w:p>
    <w:p>
      <w:pPr>
        <w:spacing w:line="240" w:lineRule="auto" w:before="8"/>
        <w:rPr>
          <w:rFonts w:ascii="宋体" w:hAnsi="宋体" w:cs="宋体" w:eastAsia="宋体" w:hint="default"/>
          <w:b/>
          <w:bCs/>
          <w:sz w:val="14"/>
          <w:szCs w:val="14"/>
        </w:rPr>
      </w:pPr>
    </w:p>
    <w:p>
      <w:pPr>
        <w:spacing w:line="410" w:lineRule="auto" w:before="0"/>
        <w:ind w:left="153" w:right="8641"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49、公允价值变动收益" w:id="369"/>
      <w:bookmarkEnd w:id="369"/>
      <w:r>
        <w:rPr>
          <w:rFonts w:ascii="宋体" w:hAnsi="宋体" w:cs="宋体" w:eastAsia="宋体" w:hint="default"/>
          <w:spacing w:val="-101"/>
          <w:sz w:val="21"/>
          <w:szCs w:val="21"/>
        </w:rPr>
      </w:r>
      <w:r>
        <w:rPr>
          <w:rFonts w:ascii="宋体" w:hAnsi="宋体" w:cs="宋体" w:eastAsia="宋体" w:hint="default"/>
          <w:b/>
          <w:bCs/>
          <w:sz w:val="21"/>
          <w:szCs w:val="21"/>
        </w:rPr>
        <w:t>49</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604" w:lineRule="auto" w:before="41"/>
        <w:ind w:left="15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50、信用减值损失" w:id="370"/>
      <w:bookmarkEnd w:id="370"/>
      <w:r>
        <w:rPr>
          <w:rFonts w:ascii="宋体" w:hAnsi="宋体" w:cs="宋体" w:eastAsia="宋体" w:hint="default"/>
          <w:w w:val="100"/>
          <w:sz w:val="21"/>
          <w:szCs w:val="21"/>
        </w:rPr>
      </w:r>
      <w:r>
        <w:rPr>
          <w:rFonts w:ascii="宋体" w:hAnsi="宋体" w:cs="宋体" w:eastAsia="宋体" w:hint="default"/>
          <w:b/>
          <w:bCs/>
          <w:sz w:val="21"/>
          <w:szCs w:val="21"/>
        </w:rPr>
        <w:t>50</w:t>
      </w:r>
      <w:r>
        <w:rPr>
          <w:rFonts w:ascii="宋体" w:hAnsi="宋体" w:cs="宋体" w:eastAsia="宋体" w:hint="default"/>
          <w:b/>
          <w:bCs/>
          <w:sz w:val="21"/>
          <w:szCs w:val="21"/>
        </w:rPr>
        <w:t>、信用减值损失</w:t>
      </w:r>
      <w:r>
        <w:rPr>
          <w:rFonts w:ascii="宋体" w:hAnsi="宋体" w:cs="宋体" w:eastAsia="宋体" w:hint="default"/>
          <w:sz w:val="21"/>
          <w:szCs w:val="21"/>
        </w:rPr>
      </w: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-1,801,904.42</w:t>
            </w: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债权投资减值损失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其他债权投资减值损失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长期应收款坏账损失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合同资产减值损失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11,078,696.71</w:t>
            </w: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9,276,792.29</w:t>
            </w:r>
          </w:p>
        </w:tc>
        <w:tc>
          <w:tcPr>
            <w:tcW w:w="3193" w:type="dxa"/>
            <w:tcBorders>
              <w:top w:val="single" w:sz="4" w:space="0" w:color="000000"/>
              <w:left w:val="single" w:sz="4" w:space="0" w:color="000000"/>
              <w:bottom w:val="single" w:sz="12" w:space="0" w:color="000000"/>
              <w:right w:val="single" w:sz="12" w:space="0" w:color="000000"/>
            </w:tcBorders>
          </w:tcPr>
          <w:p>
            <w:pPr/>
          </w:p>
        </w:tc>
      </w:tr>
    </w:tbl>
    <w:p>
      <w:pPr>
        <w:spacing w:line="410" w:lineRule="auto" w:before="66"/>
        <w:ind w:left="153" w:right="8661" w:firstLine="0"/>
        <w:jc w:val="left"/>
        <w:rPr>
          <w:rFonts w:ascii="宋体" w:hAnsi="宋体" w:cs="宋体" w:eastAsia="宋体" w:hint="default"/>
          <w:sz w:val="21"/>
          <w:szCs w:val="21"/>
        </w:rPr>
      </w:pPr>
      <w:bookmarkStart w:name="51、资产减值损失" w:id="371"/>
      <w:bookmarkEnd w:id="371"/>
      <w:r>
        <w:rPr/>
      </w:r>
      <w:r>
        <w:rPr>
          <w:rFonts w:ascii="宋体" w:hAnsi="宋体" w:cs="宋体" w:eastAsia="宋体" w:hint="default"/>
          <w:b/>
          <w:bCs/>
          <w:sz w:val="21"/>
          <w:szCs w:val="21"/>
        </w:rPr>
        <w:t>51</w:t>
      </w:r>
      <w:r>
        <w:rPr>
          <w:rFonts w:ascii="宋体" w:hAnsi="宋体" w:cs="宋体" w:eastAsia="宋体" w:hint="default"/>
          <w:b/>
          <w:bCs/>
          <w:sz w:val="21"/>
          <w:szCs w:val="21"/>
        </w:rPr>
        <w:t>、资产减值损失</w:t>
      </w:r>
      <w:r>
        <w:rPr>
          <w:rFonts w:ascii="宋体" w:hAnsi="宋体" w:cs="宋体" w:eastAsia="宋体" w:hint="default"/>
          <w:b/>
          <w:bCs/>
          <w:spacing w:val="-104"/>
          <w:sz w:val="21"/>
          <w:szCs w:val="21"/>
        </w:rPr>
        <w:t> </w:t>
      </w:r>
      <w:r>
        <w:rPr>
          <w:rFonts w:ascii="宋体" w:hAnsi="宋体" w:cs="宋体" w:eastAsia="宋体" w:hint="default"/>
          <w:spacing w:val="-1"/>
          <w:sz w:val="21"/>
          <w:szCs w:val="21"/>
        </w:rPr>
        <w:t>是否已执行新收入准则</w:t>
      </w:r>
    </w:p>
    <w:p>
      <w:pPr>
        <w:pStyle w:val="BodyText"/>
        <w:spacing w:line="240" w:lineRule="auto" w:before="41"/>
        <w:ind w:right="1024"/>
        <w:jc w:val="left"/>
      </w:pPr>
      <w:r>
        <w:rPr/>
        <w:t>□ 是 √</w:t>
      </w:r>
      <w:r>
        <w:rPr>
          <w:spacing w:val="5"/>
        </w:rPr>
        <w:t> </w:t>
      </w:r>
      <w:r>
        <w:rPr/>
        <w:t>否</w:t>
      </w:r>
    </w:p>
    <w:p>
      <w:pPr>
        <w:spacing w:line="240" w:lineRule="auto" w:before="6"/>
        <w:rPr>
          <w:rFonts w:ascii="宋体" w:hAnsi="宋体" w:cs="宋体" w:eastAsia="宋体" w:hint="default"/>
          <w:sz w:val="10"/>
          <w:szCs w:val="10"/>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-16,404,179.65</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-631,273.08</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-151,250.68</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-631,273.08</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spacing w:val="-2"/>
                <w:sz w:val="18"/>
              </w:rPr>
              <w:t>-16,555,430.33</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52、资产处置收益" w:id="372"/>
      <w:bookmarkEnd w:id="372"/>
      <w:r>
        <w:rPr>
          <w:b w:val="0"/>
          <w:bCs w:val="0"/>
        </w:rPr>
      </w:r>
      <w:r>
        <w:rPr>
          <w:rFonts w:ascii="宋体" w:hAnsi="宋体" w:cs="宋体" w:eastAsia="宋体" w:hint="default"/>
        </w:rPr>
        <w:t>52</w:t>
      </w:r>
      <w:r>
        <w:rPr/>
        <w:t>、资产处置收益</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773"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193" w:type="dxa"/>
            <w:tcBorders>
              <w:top w:val="single" w:sz="4" w:space="0" w:color="000000"/>
              <w:left w:val="single" w:sz="4" w:space="0" w:color="000000"/>
              <w:bottom w:val="single" w:sz="12" w:space="0" w:color="000000"/>
              <w:right w:val="single" w:sz="4" w:space="0" w:color="000000"/>
            </w:tcBorders>
          </w:tcPr>
          <w:p>
            <w:pP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1910" w:right="0"/>
              <w:jc w:val="left"/>
              <w:rPr>
                <w:rFonts w:ascii="宋体" w:hAnsi="宋体" w:cs="宋体" w:eastAsia="宋体" w:hint="default"/>
                <w:sz w:val="18"/>
                <w:szCs w:val="18"/>
              </w:rPr>
            </w:pPr>
            <w:r>
              <w:rPr>
                <w:rFonts w:ascii="宋体"/>
                <w:sz w:val="18"/>
              </w:rPr>
              <w:t>33,559,923.90</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53、营业外收入" w:id="373"/>
      <w:bookmarkEnd w:id="373"/>
      <w:r>
        <w:rPr>
          <w:b w:val="0"/>
          <w:bCs w:val="0"/>
        </w:rPr>
      </w:r>
      <w:r>
        <w:rPr>
          <w:rFonts w:ascii="宋体" w:hAnsi="宋体" w:cs="宋体" w:eastAsia="宋体" w:hint="default"/>
        </w:rPr>
        <w:t>53</w:t>
      </w:r>
      <w:r>
        <w:rPr/>
        <w:t>、营业外收入</w:t>
      </w:r>
      <w:r>
        <w:rPr>
          <w:b w:val="0"/>
          <w:bCs w:val="0"/>
        </w:rPr>
      </w:r>
    </w:p>
    <w:p>
      <w:pPr>
        <w:spacing w:line="240" w:lineRule="auto" w:before="5"/>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391"/>
        <w:gridCol w:w="2396"/>
        <w:gridCol w:w="2391"/>
        <w:gridCol w:w="2391"/>
      </w:tblGrid>
      <w:tr>
        <w:trPr>
          <w:trHeight w:val="422" w:hRule="exact"/>
        </w:trPr>
        <w:tc>
          <w:tcPr>
            <w:tcW w:w="2391"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12"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73"/>
              <w:ind w:left="110" w:right="0"/>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2391"/>
        <w:gridCol w:w="2396"/>
        <w:gridCol w:w="2391"/>
        <w:gridCol w:w="2391"/>
      </w:tblGrid>
      <w:tr>
        <w:trPr>
          <w:trHeight w:val="374" w:hRule="exact"/>
        </w:trPr>
        <w:tc>
          <w:tcPr>
            <w:tcW w:w="2391"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2396"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5"/>
              <w:ind w:left="18" w:right="0"/>
              <w:jc w:val="center"/>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r>
      <w:tr>
        <w:trPr>
          <w:trHeight w:val="398"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282,805.79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286,616.53</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282,805.79</w:t>
            </w:r>
          </w:p>
        </w:tc>
      </w:tr>
      <w:tr>
        <w:trPr>
          <w:trHeight w:val="413" w:hRule="exact"/>
        </w:trPr>
        <w:tc>
          <w:tcPr>
            <w:tcW w:w="239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282,805.79</w:t>
            </w:r>
          </w:p>
        </w:tc>
        <w:tc>
          <w:tcPr>
            <w:tcW w:w="2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286,616.53</w:t>
            </w:r>
          </w:p>
        </w:tc>
        <w:tc>
          <w:tcPr>
            <w:tcW w:w="23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282,805.79</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54、营业外支出" w:id="374"/>
      <w:bookmarkEnd w:id="374"/>
      <w:r>
        <w:rPr>
          <w:b w:val="0"/>
          <w:bCs w:val="0"/>
        </w:rPr>
      </w:r>
      <w:r>
        <w:rPr>
          <w:rFonts w:ascii="宋体" w:hAnsi="宋体" w:cs="宋体" w:eastAsia="宋体" w:hint="default"/>
        </w:rPr>
        <w:t>54</w:t>
      </w:r>
      <w:r>
        <w:rPr/>
        <w:t>、营业外支出</w:t>
      </w:r>
      <w:r>
        <w:rPr>
          <w:b w:val="0"/>
          <w:bCs w:val="0"/>
        </w:rPr>
      </w:r>
    </w:p>
    <w:p>
      <w:pPr>
        <w:spacing w:line="240" w:lineRule="auto" w:before="9"/>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391"/>
        <w:gridCol w:w="2396"/>
        <w:gridCol w:w="2391"/>
        <w:gridCol w:w="2391"/>
      </w:tblGrid>
      <w:tr>
        <w:trPr>
          <w:trHeight w:val="725" w:hRule="exact"/>
        </w:trPr>
        <w:tc>
          <w:tcPr>
            <w:tcW w:w="239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21" w:lineRule="auto" w:before="54"/>
              <w:ind w:left="1104" w:right="94"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23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26,157.20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37,099.66</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26,157.20</w:t>
            </w: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1,366,145.60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198,773.50</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1,366,145.64</w:t>
            </w:r>
          </w:p>
        </w:tc>
      </w:tr>
      <w:tr>
        <w:trPr>
          <w:trHeight w:val="413" w:hRule="exact"/>
        </w:trPr>
        <w:tc>
          <w:tcPr>
            <w:tcW w:w="239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1,392,302.84</w:t>
            </w:r>
          </w:p>
        </w:tc>
        <w:tc>
          <w:tcPr>
            <w:tcW w:w="2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235,873.16</w:t>
            </w:r>
          </w:p>
        </w:tc>
        <w:tc>
          <w:tcPr>
            <w:tcW w:w="23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1,392,302.84</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55、所得税费用" w:id="375"/>
      <w:bookmarkEnd w:id="375"/>
      <w:r>
        <w:rPr>
          <w:b w:val="0"/>
          <w:bCs w:val="0"/>
        </w:rPr>
      </w:r>
      <w:r>
        <w:rPr>
          <w:rFonts w:ascii="宋体" w:hAnsi="宋体" w:cs="宋体" w:eastAsia="宋体" w:hint="default"/>
        </w:rPr>
        <w:t>55</w:t>
      </w:r>
      <w:r>
        <w:rPr/>
        <w:t>、所得税费用</w:t>
      </w:r>
      <w:r>
        <w:rPr>
          <w:b w:val="0"/>
          <w:bCs w:val="0"/>
        </w:rPr>
      </w:r>
    </w:p>
    <w:p>
      <w:pPr>
        <w:spacing w:line="240" w:lineRule="auto" w:before="8"/>
        <w:rPr>
          <w:rFonts w:ascii="宋体" w:hAnsi="宋体" w:cs="宋体" w:eastAsia="宋体" w:hint="default"/>
          <w:b/>
          <w:bCs/>
          <w:sz w:val="25"/>
          <w:szCs w:val="25"/>
        </w:rPr>
      </w:pPr>
    </w:p>
    <w:p>
      <w:pPr>
        <w:pStyle w:val="Heading4"/>
        <w:spacing w:line="240" w:lineRule="auto" w:before="0"/>
        <w:ind w:right="1024"/>
        <w:jc w:val="left"/>
        <w:rPr>
          <w:b w:val="0"/>
          <w:bCs w:val="0"/>
        </w:rPr>
      </w:pPr>
      <w:bookmarkStart w:name="（1）所得税费用表" w:id="376"/>
      <w:bookmarkEnd w:id="376"/>
      <w:r>
        <w:rPr>
          <w:b w:val="0"/>
          <w:bCs w:val="0"/>
        </w:rPr>
      </w:r>
      <w:r>
        <w:rPr/>
        <w:t>（</w:t>
      </w:r>
      <w:r>
        <w:rPr>
          <w:rFonts w:ascii="宋体" w:hAnsi="宋体" w:cs="宋体" w:eastAsia="宋体" w:hint="default"/>
        </w:rPr>
        <w:t>1</w:t>
      </w:r>
      <w:r>
        <w:rPr/>
        <w:t>）所得税费用表</w:t>
      </w:r>
      <w:r>
        <w:rPr>
          <w:b w:val="0"/>
          <w:bCs w:val="0"/>
        </w:rPr>
      </w:r>
    </w:p>
    <w:p>
      <w:pPr>
        <w:spacing w:line="240" w:lineRule="auto" w:before="9"/>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1,719,942.73</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spacing w:val="-1"/>
                <w:sz w:val="18"/>
              </w:rPr>
              <w:t>7,335,142.87</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1,170,552.63</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-2,073,171.27</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2,890,495.36</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5,261,971.60</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2）会计利润与所得税费用调整过程" w:id="377"/>
      <w:bookmarkEnd w:id="377"/>
      <w:r>
        <w:rPr>
          <w:b w:val="0"/>
          <w:bCs w:val="0"/>
        </w:rPr>
      </w:r>
      <w:r>
        <w:rPr/>
        <w:t>（</w:t>
      </w:r>
      <w:r>
        <w:rPr>
          <w:rFonts w:ascii="宋体" w:hAnsi="宋体" w:cs="宋体" w:eastAsia="宋体" w:hint="default"/>
        </w:rPr>
        <w:t>2</w:t>
      </w:r>
      <w:r>
        <w:rPr/>
        <w:t>）会计利润与所得税费用调整过程</w:t>
      </w:r>
      <w:r>
        <w:rPr>
          <w:b w:val="0"/>
          <w:bCs w:val="0"/>
        </w:rPr>
      </w:r>
    </w:p>
    <w:p>
      <w:pPr>
        <w:spacing w:line="240" w:lineRule="auto" w:before="5"/>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783"/>
        <w:gridCol w:w="4787"/>
      </w:tblGrid>
      <w:tr>
        <w:trPr>
          <w:trHeight w:val="408" w:hRule="exact"/>
        </w:trPr>
        <w:tc>
          <w:tcPr>
            <w:tcW w:w="478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47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29,983,875.60</w:t>
            </w:r>
          </w:p>
        </w:tc>
      </w:tr>
      <w:tr>
        <w:trPr>
          <w:trHeight w:val="404" w:hRule="exact"/>
        </w:trPr>
        <w:tc>
          <w:tcPr>
            <w:tcW w:w="47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宋体" w:hAnsi="宋体" w:cs="宋体" w:eastAsia="宋体" w:hint="default"/>
                <w:spacing w:val="-3"/>
                <w:sz w:val="18"/>
                <w:szCs w:val="18"/>
              </w:rPr>
              <w:t>/</w:t>
            </w:r>
            <w:r>
              <w:rPr>
                <w:rFonts w:ascii="宋体" w:hAnsi="宋体" w:cs="宋体" w:eastAsia="宋体" w:hint="default"/>
                <w:spacing w:val="-3"/>
                <w:sz w:val="18"/>
                <w:szCs w:val="18"/>
              </w:rPr>
              <w:t>适用税率计算的所得税费用</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4,497,581.34</w:t>
            </w:r>
          </w:p>
        </w:tc>
      </w:tr>
      <w:tr>
        <w:trPr>
          <w:trHeight w:val="398" w:hRule="exact"/>
        </w:trPr>
        <w:tc>
          <w:tcPr>
            <w:tcW w:w="47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-1,620,211.77</w:t>
            </w:r>
          </w:p>
        </w:tc>
      </w:tr>
      <w:tr>
        <w:trPr>
          <w:trHeight w:val="403" w:hRule="exact"/>
        </w:trPr>
        <w:tc>
          <w:tcPr>
            <w:tcW w:w="47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87"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7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-5,646,602.13</w:t>
            </w:r>
          </w:p>
        </w:tc>
      </w:tr>
      <w:tr>
        <w:trPr>
          <w:trHeight w:val="404" w:hRule="exact"/>
        </w:trPr>
        <w:tc>
          <w:tcPr>
            <w:tcW w:w="47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969,393.26</w:t>
            </w:r>
          </w:p>
        </w:tc>
      </w:tr>
      <w:tr>
        <w:trPr>
          <w:trHeight w:val="398" w:hRule="exact"/>
        </w:trPr>
        <w:tc>
          <w:tcPr>
            <w:tcW w:w="478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-648,742.50</w:t>
            </w:r>
          </w:p>
        </w:tc>
      </w:tr>
      <w:tr>
        <w:trPr>
          <w:trHeight w:val="413" w:hRule="exact"/>
        </w:trPr>
        <w:tc>
          <w:tcPr>
            <w:tcW w:w="478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77"/>
              <w:ind w:left="95" w:right="0"/>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w:t>
            </w:r>
          </w:p>
        </w:tc>
        <w:tc>
          <w:tcPr>
            <w:tcW w:w="478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8,746,116.90</w:t>
            </w:r>
          </w:p>
        </w:tc>
      </w:tr>
    </w:tbl>
    <w:p>
      <w:pPr>
        <w:spacing w:after="0" w:line="240" w:lineRule="auto"/>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4783"/>
        <w:gridCol w:w="4787"/>
      </w:tblGrid>
      <w:tr>
        <w:trPr>
          <w:trHeight w:val="374" w:hRule="exact"/>
        </w:trPr>
        <w:tc>
          <w:tcPr>
            <w:tcW w:w="478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5"/>
              <w:ind w:left="95" w:right="0"/>
              <w:jc w:val="left"/>
              <w:rPr>
                <w:rFonts w:ascii="宋体" w:hAnsi="宋体" w:cs="宋体" w:eastAsia="宋体" w:hint="default"/>
                <w:sz w:val="18"/>
                <w:szCs w:val="18"/>
              </w:rPr>
            </w:pPr>
            <w:r>
              <w:rPr>
                <w:rFonts w:ascii="宋体" w:hAnsi="宋体" w:cs="宋体" w:eastAsia="宋体" w:hint="default"/>
                <w:sz w:val="18"/>
                <w:szCs w:val="18"/>
              </w:rPr>
              <w:t>亏损的影响</w:t>
            </w:r>
          </w:p>
        </w:tc>
        <w:tc>
          <w:tcPr>
            <w:tcW w:w="4787" w:type="dxa"/>
            <w:tcBorders>
              <w:top w:val="single" w:sz="12" w:space="0" w:color="000000"/>
              <w:left w:val="single" w:sz="4" w:space="0" w:color="000000"/>
              <w:bottom w:val="single" w:sz="4" w:space="0" w:color="000000"/>
              <w:right w:val="single" w:sz="12" w:space="0" w:color="000000"/>
            </w:tcBorders>
          </w:tcPr>
          <w:p>
            <w:pPr/>
          </w:p>
        </w:tc>
      </w:tr>
      <w:tr>
        <w:trPr>
          <w:trHeight w:val="398"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-3,407,039.74</w:t>
            </w:r>
          </w:p>
        </w:tc>
      </w:tr>
      <w:tr>
        <w:trPr>
          <w:trHeight w:val="413" w:hRule="exact"/>
        </w:trPr>
        <w:tc>
          <w:tcPr>
            <w:tcW w:w="478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2,890,495.36</w:t>
            </w:r>
          </w:p>
        </w:tc>
      </w:tr>
    </w:tbl>
    <w:p>
      <w:pPr>
        <w:pStyle w:val="Heading4"/>
        <w:spacing w:line="240" w:lineRule="auto" w:before="66"/>
        <w:ind w:right="1024"/>
        <w:jc w:val="left"/>
        <w:rPr>
          <w:b w:val="0"/>
          <w:bCs w:val="0"/>
        </w:rPr>
      </w:pPr>
      <w:bookmarkStart w:name="56、其他综合收益" w:id="378"/>
      <w:bookmarkEnd w:id="378"/>
      <w:r>
        <w:rPr>
          <w:b w:val="0"/>
          <w:bCs w:val="0"/>
        </w:rPr>
      </w:r>
      <w:r>
        <w:rPr>
          <w:rFonts w:ascii="宋体" w:hAnsi="宋体" w:cs="宋体" w:eastAsia="宋体" w:hint="default"/>
        </w:rPr>
        <w:t>56</w:t>
      </w:r>
      <w:r>
        <w:rPr/>
        <w:t>、其他综合收益</w:t>
      </w:r>
      <w:r>
        <w:rPr>
          <w:b w:val="0"/>
          <w:bCs w:val="0"/>
        </w:rPr>
      </w:r>
    </w:p>
    <w:p>
      <w:pPr>
        <w:spacing w:line="240" w:lineRule="auto" w:before="12"/>
        <w:rPr>
          <w:rFonts w:ascii="宋体" w:hAnsi="宋体" w:cs="宋体" w:eastAsia="宋体" w:hint="default"/>
          <w:b/>
          <w:bCs/>
          <w:sz w:val="14"/>
          <w:szCs w:val="14"/>
        </w:rPr>
      </w:pPr>
    </w:p>
    <w:p>
      <w:pPr>
        <w:spacing w:line="405" w:lineRule="auto" w:before="0"/>
        <w:ind w:left="153" w:right="8852"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57、现金流量表项目" w:id="379"/>
      <w:bookmarkEnd w:id="379"/>
      <w:r>
        <w:rPr>
          <w:rFonts w:ascii="宋体" w:hAnsi="宋体" w:cs="宋体" w:eastAsia="宋体" w:hint="default"/>
          <w:spacing w:val="-101"/>
          <w:sz w:val="21"/>
          <w:szCs w:val="21"/>
        </w:rPr>
      </w:r>
      <w:r>
        <w:rPr>
          <w:rFonts w:ascii="宋体" w:hAnsi="宋体" w:cs="宋体" w:eastAsia="宋体" w:hint="default"/>
          <w:b/>
          <w:bCs/>
          <w:sz w:val="21"/>
          <w:szCs w:val="21"/>
        </w:rPr>
        <w:t>57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51"/>
        <w:ind w:right="1024"/>
        <w:jc w:val="left"/>
        <w:rPr>
          <w:b w:val="0"/>
          <w:bCs w:val="0"/>
        </w:rPr>
      </w:pPr>
      <w:bookmarkStart w:name="（1）收到的其他与经营活动有关的现金" w:id="380"/>
      <w:bookmarkEnd w:id="380"/>
      <w:r>
        <w:rPr>
          <w:b w:val="0"/>
          <w:bCs w:val="0"/>
        </w:rPr>
      </w:r>
      <w:r>
        <w:rPr/>
        <w:t>（</w:t>
      </w:r>
      <w:r>
        <w:rPr>
          <w:rFonts w:ascii="宋体" w:hAnsi="宋体" w:cs="宋体" w:eastAsia="宋体" w:hint="default"/>
        </w:rPr>
        <w:t>1</w:t>
      </w:r>
      <w:r>
        <w:rPr/>
        <w:t>）收到的其他与经营活动有关的现金</w:t>
      </w:r>
      <w:r>
        <w:rPr>
          <w:b w:val="0"/>
          <w:bCs w:val="0"/>
        </w:rPr>
      </w:r>
    </w:p>
    <w:p>
      <w:pPr>
        <w:spacing w:line="240" w:lineRule="auto" w:before="0"/>
        <w:rPr>
          <w:rFonts w:ascii="宋体" w:hAnsi="宋体" w:cs="宋体" w:eastAsia="宋体" w:hint="default"/>
          <w:b/>
          <w:bCs/>
          <w:sz w:val="10"/>
          <w:szCs w:val="10"/>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4,032,900.00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2,641,575.20</w:t>
            </w:r>
          </w:p>
        </w:tc>
      </w:tr>
      <w:tr>
        <w:trPr>
          <w:trHeight w:val="399"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1,623,228.30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spacing w:val="-1"/>
                <w:sz w:val="18"/>
              </w:rPr>
              <w:t>442,321.69</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业务备用金还款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15,303,380.31</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6,344,165.37</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收回保证金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35,874,049.50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51,544,634.49</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往来及代收股权转让个人所得税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52,732,951.05</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26,400,000.00</w:t>
            </w:r>
          </w:p>
        </w:tc>
      </w:tr>
      <w:tr>
        <w:trPr>
          <w:trHeight w:val="399"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30,187,417.00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spacing w:val="-1"/>
                <w:sz w:val="18"/>
              </w:rPr>
              <w:t>15,469,415.30</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139,753,926.16</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102,842,112.05</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2）支付的其他与经营活动有关的现金" w:id="381"/>
      <w:bookmarkEnd w:id="381"/>
      <w:r>
        <w:rPr>
          <w:b w:val="0"/>
          <w:bCs w:val="0"/>
        </w:rPr>
      </w:r>
      <w:r>
        <w:rPr/>
        <w:t>（</w:t>
      </w:r>
      <w:r>
        <w:rPr>
          <w:rFonts w:ascii="宋体" w:hAnsi="宋体" w:cs="宋体" w:eastAsia="宋体" w:hint="default"/>
        </w:rPr>
        <w:t>2</w:t>
      </w:r>
      <w:r>
        <w:rPr/>
        <w:t>）支付的其他与经营活动有关的现金</w:t>
      </w:r>
      <w:r>
        <w:rPr>
          <w:b w:val="0"/>
          <w:bCs w:val="0"/>
        </w:rPr>
      </w:r>
    </w:p>
    <w:p>
      <w:pPr>
        <w:spacing w:line="240" w:lineRule="auto" w:before="1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26,605,101.00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40,194,023.84</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22,378,699.35</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18,662,054.26</w:t>
            </w:r>
          </w:p>
        </w:tc>
      </w:tr>
      <w:tr>
        <w:trPr>
          <w:trHeight w:val="404"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9"/>
              <w:ind w:left="95"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4"/>
              <w:jc w:val="right"/>
              <w:rPr>
                <w:rFonts w:ascii="宋体" w:hAnsi="宋体" w:cs="宋体" w:eastAsia="宋体" w:hint="default"/>
                <w:sz w:val="18"/>
                <w:szCs w:val="18"/>
              </w:rPr>
            </w:pPr>
            <w:r>
              <w:rPr>
                <w:rFonts w:ascii="宋体"/>
                <w:spacing w:val="-1"/>
                <w:sz w:val="18"/>
              </w:rPr>
              <w:t>179,122.75</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9"/>
              <w:ind w:right="89"/>
              <w:jc w:val="right"/>
              <w:rPr>
                <w:rFonts w:ascii="宋体" w:hAnsi="宋体" w:cs="宋体" w:eastAsia="宋体" w:hint="default"/>
                <w:sz w:val="18"/>
                <w:szCs w:val="18"/>
              </w:rPr>
            </w:pPr>
            <w:r>
              <w:rPr>
                <w:rFonts w:ascii="宋体"/>
                <w:spacing w:val="-1"/>
                <w:sz w:val="18"/>
              </w:rPr>
              <w:t>121,587.93</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业务备用金借款</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37,048,000.73</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15,846,080.22</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4"/>
                <w:sz w:val="18"/>
                <w:szCs w:val="18"/>
              </w:rPr>
              <w:t>支付保证金</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38,935,125.87</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43,447,157.77</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往来及代收付股权转让个人所得税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24,629,505.97</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29,000,000.00</w:t>
            </w:r>
          </w:p>
        </w:tc>
      </w:tr>
      <w:tr>
        <w:trPr>
          <w:trHeight w:val="404"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48,748,311.06</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1"/>
                <w:sz w:val="18"/>
              </w:rPr>
              <w:t>7,325,439.26</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198,523,866.73</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2"/>
                <w:sz w:val="18"/>
              </w:rPr>
              <w:t>154,596,343.28</w:t>
            </w:r>
          </w:p>
        </w:tc>
      </w:tr>
    </w:tbl>
    <w:p>
      <w:pPr>
        <w:pStyle w:val="Heading4"/>
        <w:spacing w:line="240" w:lineRule="auto" w:before="66"/>
        <w:ind w:right="1024"/>
        <w:jc w:val="left"/>
        <w:rPr>
          <w:b w:val="0"/>
          <w:bCs w:val="0"/>
        </w:rPr>
      </w:pPr>
      <w:bookmarkStart w:name="（3） 收到的其他与投资活动有关的现金" w:id="382"/>
      <w:bookmarkEnd w:id="382"/>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pStyle w:val="BodyText"/>
        <w:spacing w:line="240" w:lineRule="auto" w:before="179"/>
        <w:ind w:right="1024"/>
        <w:jc w:val="left"/>
      </w:pPr>
      <w:r>
        <w:rPr/>
        <w:t>□ 适用 √</w:t>
      </w:r>
      <w:r>
        <w:rPr>
          <w:spacing w:val="4"/>
        </w:rPr>
        <w:t> </w:t>
      </w:r>
      <w:r>
        <w:rPr/>
        <w:t>不适用</w:t>
      </w:r>
    </w:p>
    <w:p>
      <w:pPr>
        <w:spacing w:line="240" w:lineRule="auto" w:before="8"/>
        <w:rPr>
          <w:rFonts w:ascii="宋体" w:hAnsi="宋体" w:cs="宋体" w:eastAsia="宋体" w:hint="default"/>
          <w:sz w:val="14"/>
          <w:szCs w:val="14"/>
        </w:rPr>
      </w:pPr>
    </w:p>
    <w:p>
      <w:pPr>
        <w:pStyle w:val="Heading4"/>
        <w:spacing w:line="240" w:lineRule="auto" w:before="0"/>
        <w:ind w:right="1024"/>
        <w:jc w:val="left"/>
        <w:rPr>
          <w:b w:val="0"/>
          <w:bCs w:val="0"/>
        </w:rPr>
      </w:pPr>
      <w:bookmarkStart w:name="（4）支付的其他与投资活动有关的现金" w:id="383"/>
      <w:bookmarkEnd w:id="383"/>
      <w:r>
        <w:rPr>
          <w:b w:val="0"/>
          <w:bCs w:val="0"/>
        </w:rPr>
      </w:r>
      <w:r>
        <w:rPr/>
        <w:t>（</w:t>
      </w:r>
      <w:r>
        <w:rPr>
          <w:rFonts w:ascii="宋体" w:hAnsi="宋体" w:cs="宋体" w:eastAsia="宋体" w:hint="default"/>
        </w:rPr>
        <w:t>4</w:t>
      </w:r>
      <w:r>
        <w:rPr/>
        <w:t>）支付的其他与投资活动有关的现金</w:t>
      </w:r>
      <w:r>
        <w:rPr>
          <w:b w:val="0"/>
          <w:bCs w:val="0"/>
        </w:rPr>
      </w:r>
    </w:p>
    <w:p>
      <w:pPr>
        <w:spacing w:line="240" w:lineRule="auto" w:before="5"/>
        <w:rPr>
          <w:rFonts w:ascii="宋体" w:hAnsi="宋体" w:cs="宋体" w:eastAsia="宋体" w:hint="default"/>
          <w:b/>
          <w:bCs/>
          <w:sz w:val="10"/>
          <w:szCs w:val="10"/>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20" w:hRule="exact"/>
        </w:trPr>
        <w:tc>
          <w:tcPr>
            <w:tcW w:w="3188"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12"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6"/>
              <w:ind w:left="1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支付给索瑞原股东的股利</w:t>
            </w:r>
          </w:p>
        </w:tc>
        <w:tc>
          <w:tcPr>
            <w:tcW w:w="31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2,926,372.00</w:t>
            </w:r>
          </w:p>
        </w:tc>
        <w:tc>
          <w:tcPr>
            <w:tcW w:w="319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2,350,649.00</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支付的处置金融资产的增量费用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1,800,000.00</w:t>
            </w: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处置子公司减少的现金净额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92,185.28</w:t>
            </w: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4,818,557.28</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2,350,649.00</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5）收到的其他与筹资活动有关的现金" w:id="384"/>
      <w:bookmarkEnd w:id="384"/>
      <w:r>
        <w:rPr>
          <w:b w:val="0"/>
          <w:bCs w:val="0"/>
        </w:rPr>
      </w:r>
      <w:r>
        <w:rPr/>
        <w:t>（</w:t>
      </w:r>
      <w:r>
        <w:rPr>
          <w:rFonts w:ascii="宋体" w:hAnsi="宋体" w:cs="宋体" w:eastAsia="宋体" w:hint="default"/>
        </w:rPr>
        <w:t>5</w:t>
      </w:r>
      <w:r>
        <w:rPr/>
        <w:t>）收到的其他与筹资活动有关的现金</w:t>
      </w:r>
      <w:r>
        <w:rPr>
          <w:b w:val="0"/>
          <w:bCs w:val="0"/>
        </w:rPr>
      </w:r>
    </w:p>
    <w:p>
      <w:pPr>
        <w:spacing w:line="240" w:lineRule="auto" w:before="1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现金股利分配保证金及利息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132,875.00</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收到的有息往来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83,551,000.00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22,500,000.00</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83,551,000.00</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1"/>
                <w:sz w:val="18"/>
              </w:rPr>
              <w:t>22,632,875.00</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6）支付的其他与筹资活动有关的现金" w:id="385"/>
      <w:bookmarkEnd w:id="385"/>
      <w:r>
        <w:rPr>
          <w:b w:val="0"/>
          <w:bCs w:val="0"/>
        </w:rPr>
      </w:r>
      <w:r>
        <w:rPr/>
        <w:t>（</w:t>
      </w:r>
      <w:r>
        <w:rPr>
          <w:rFonts w:ascii="宋体" w:hAnsi="宋体" w:cs="宋体" w:eastAsia="宋体" w:hint="default"/>
        </w:rPr>
        <w:t>6</w:t>
      </w:r>
      <w:r>
        <w:rPr/>
        <w:t>）支付的其他与筹资活动有关的现金</w:t>
      </w:r>
      <w:r>
        <w:rPr>
          <w:b w:val="0"/>
          <w:bCs w:val="0"/>
        </w:rPr>
      </w:r>
    </w:p>
    <w:p>
      <w:pPr>
        <w:spacing w:line="240" w:lineRule="auto" w:before="9"/>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限制性股票回购款及个人所得税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25,254,489.13</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29,920,335.00</w:t>
            </w:r>
          </w:p>
        </w:tc>
      </w:tr>
      <w:tr>
        <w:trPr>
          <w:trHeight w:val="398"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支付的有息负债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85,800,000.00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6,289,000.00</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2"/>
                <w:sz w:val="18"/>
              </w:rPr>
              <w:t>111,054,489.13</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1"/>
                <w:sz w:val="18"/>
              </w:rPr>
              <w:t>36,209,335.00</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58、现金流量表补充资料" w:id="386"/>
      <w:bookmarkEnd w:id="386"/>
      <w:r>
        <w:rPr>
          <w:b w:val="0"/>
          <w:bCs w:val="0"/>
        </w:rPr>
      </w:r>
      <w:r>
        <w:rPr>
          <w:rFonts w:ascii="宋体" w:hAnsi="宋体" w:cs="宋体" w:eastAsia="宋体" w:hint="default"/>
        </w:rPr>
        <w:t>58</w:t>
      </w:r>
      <w:r>
        <w:rPr/>
        <w:t>、现金流量表补充资料</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before="0"/>
        <w:ind w:right="1024"/>
        <w:jc w:val="left"/>
        <w:rPr>
          <w:b w:val="0"/>
          <w:bCs w:val="0"/>
        </w:rPr>
      </w:pPr>
      <w:bookmarkStart w:name="（1）现金流量表补充资料" w:id="387"/>
      <w:bookmarkEnd w:id="387"/>
      <w:r>
        <w:rPr>
          <w:b w:val="0"/>
          <w:bCs w:val="0"/>
        </w:rPr>
      </w:r>
      <w:r>
        <w:rPr/>
        <w:t>（</w:t>
      </w:r>
      <w:r>
        <w:rPr>
          <w:rFonts w:ascii="宋体" w:hAnsi="宋体" w:cs="宋体" w:eastAsia="宋体" w:hint="default"/>
        </w:rPr>
        <w:t>1</w:t>
      </w:r>
      <w:r>
        <w:rPr/>
        <w:t>）现金流量表补充资料</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328"/>
        <w:gridCol w:w="3058"/>
        <w:gridCol w:w="3184"/>
      </w:tblGrid>
      <w:tr>
        <w:trPr>
          <w:trHeight w:val="413" w:hRule="exact"/>
        </w:trPr>
        <w:tc>
          <w:tcPr>
            <w:tcW w:w="332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8"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sz w:val="18"/>
              </w:rPr>
              <w:t>--</w:t>
            </w: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4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27,093,380.24</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21,490,677.50</w:t>
            </w: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-8,645,519.21</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16,555,430.33</w:t>
            </w:r>
          </w:p>
        </w:tc>
      </w:tr>
      <w:tr>
        <w:trPr>
          <w:trHeight w:val="716"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4"/>
              <w:ind w:left="95" w:right="3" w:firstLine="720"/>
              <w:jc w:val="left"/>
              <w:rPr>
                <w:rFonts w:ascii="宋体" w:hAnsi="宋体" w:cs="宋体" w:eastAsia="宋体" w:hint="default"/>
                <w:sz w:val="18"/>
                <w:szCs w:val="18"/>
              </w:rPr>
            </w:pPr>
            <w:r>
              <w:rPr>
                <w:rFonts w:ascii="宋体" w:hAnsi="宋体" w:cs="宋体" w:eastAsia="宋体" w:hint="default"/>
                <w:spacing w:val="-5"/>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21,367,580.54</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22,324,185.75</w:t>
            </w:r>
          </w:p>
        </w:tc>
      </w:tr>
      <w:tr>
        <w:trPr>
          <w:trHeight w:val="398"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816" w:right="0"/>
              <w:jc w:val="left"/>
              <w:rPr>
                <w:rFonts w:ascii="宋体" w:hAnsi="宋体" w:cs="宋体" w:eastAsia="宋体" w:hint="default"/>
                <w:sz w:val="18"/>
                <w:szCs w:val="18"/>
              </w:rPr>
            </w:pPr>
            <w:r>
              <w:rPr>
                <w:rFonts w:ascii="宋体" w:hAnsi="宋体" w:cs="宋体" w:eastAsia="宋体" w:hint="default"/>
                <w:spacing w:val="-3"/>
                <w:sz w:val="18"/>
                <w:szCs w:val="18"/>
              </w:rPr>
              <w:t>使用权资产折旧</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816"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宋体" w:hAnsi="宋体" w:cs="宋体" w:eastAsia="宋体" w:hint="default"/>
                <w:sz w:val="18"/>
                <w:szCs w:val="18"/>
              </w:rPr>
            </w:pPr>
            <w:r>
              <w:rPr>
                <w:rFonts w:ascii="宋体"/>
                <w:spacing w:val="-1"/>
                <w:sz w:val="18"/>
              </w:rPr>
              <w:t>1,713,861.76</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1,575,960.35</w:t>
            </w:r>
          </w:p>
        </w:tc>
      </w:tr>
      <w:tr>
        <w:trPr>
          <w:trHeight w:val="404"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816"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12" w:space="0" w:color="000000"/>
            </w:tcBorders>
          </w:tcPr>
          <w:p>
            <w:pPr/>
          </w:p>
        </w:tc>
      </w:tr>
      <w:tr>
        <w:trPr>
          <w:trHeight w:val="686" w:hRule="exact"/>
        </w:trPr>
        <w:tc>
          <w:tcPr>
            <w:tcW w:w="332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2" w:lineRule="auto" w:before="53"/>
              <w:ind w:left="95" w:right="147" w:firstLine="72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w:t>
            </w:r>
            <w:r>
              <w:rPr>
                <w:rFonts w:ascii="宋体" w:hAnsi="宋体" w:cs="宋体" w:eastAsia="宋体" w:hint="default"/>
                <w:w w:val="101"/>
                <w:sz w:val="18"/>
                <w:szCs w:val="18"/>
              </w:rPr>
              <w:t> </w:t>
            </w:r>
            <w:r>
              <w:rPr>
                <w:rFonts w:ascii="宋体" w:hAnsi="宋体" w:cs="宋体" w:eastAsia="宋体" w:hint="default"/>
                <w:spacing w:val="-3"/>
                <w:sz w:val="18"/>
                <w:szCs w:val="18"/>
              </w:rPr>
              <w:t>他长期资产的损失（收益以“－”号填</w:t>
            </w:r>
          </w:p>
        </w:tc>
        <w:tc>
          <w:tcPr>
            <w:tcW w:w="3058" w:type="dxa"/>
            <w:tcBorders>
              <w:top w:val="single" w:sz="4" w:space="0" w:color="000000"/>
              <w:left w:val="single" w:sz="4" w:space="0" w:color="000000"/>
              <w:bottom w:val="single" w:sz="12" w:space="0" w:color="000000"/>
              <w:right w:val="single" w:sz="4" w:space="0" w:color="000000"/>
            </w:tcBorders>
          </w:tcPr>
          <w:p>
            <w:pPr/>
          </w:p>
        </w:tc>
        <w:tc>
          <w:tcPr>
            <w:tcW w:w="318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84"/>
              <w:jc w:val="right"/>
              <w:rPr>
                <w:rFonts w:ascii="宋体" w:hAnsi="宋体" w:cs="宋体" w:eastAsia="宋体" w:hint="default"/>
                <w:sz w:val="18"/>
                <w:szCs w:val="18"/>
              </w:rPr>
            </w:pPr>
            <w:r>
              <w:rPr>
                <w:rFonts w:ascii="宋体"/>
                <w:spacing w:val="-2"/>
                <w:sz w:val="18"/>
              </w:rPr>
              <w:t>-33,559,923.90</w:t>
            </w:r>
          </w:p>
        </w:tc>
      </w:tr>
    </w:tbl>
    <w:p>
      <w:pPr>
        <w:spacing w:after="0" w:line="240" w:lineRule="auto"/>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3328"/>
        <w:gridCol w:w="3058"/>
        <w:gridCol w:w="3184"/>
      </w:tblGrid>
      <w:tr>
        <w:trPr>
          <w:trHeight w:val="374" w:hRule="exact"/>
        </w:trPr>
        <w:tc>
          <w:tcPr>
            <w:tcW w:w="332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5"/>
              <w:ind w:left="9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12" w:space="0" w:color="000000"/>
              <w:left w:val="single" w:sz="4" w:space="0" w:color="000000"/>
              <w:bottom w:val="single" w:sz="4" w:space="0" w:color="000000"/>
              <w:right w:val="single" w:sz="4" w:space="0" w:color="000000"/>
            </w:tcBorders>
          </w:tcPr>
          <w:p>
            <w:pPr/>
          </w:p>
        </w:tc>
        <w:tc>
          <w:tcPr>
            <w:tcW w:w="3184" w:type="dxa"/>
            <w:tcBorders>
              <w:top w:val="single" w:sz="12" w:space="0" w:color="000000"/>
              <w:left w:val="single" w:sz="4" w:space="0" w:color="000000"/>
              <w:bottom w:val="single" w:sz="4" w:space="0" w:color="000000"/>
              <w:right w:val="single" w:sz="12" w:space="0" w:color="000000"/>
            </w:tcBorders>
          </w:tcPr>
          <w:p>
            <w:pPr/>
          </w:p>
        </w:tc>
      </w:tr>
      <w:tr>
        <w:trPr>
          <w:trHeight w:val="711"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325"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固定资产报废损失（收益以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26,475.32</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37,099.66</w:t>
            </w:r>
          </w:p>
        </w:tc>
      </w:tr>
      <w:tr>
        <w:trPr>
          <w:trHeight w:val="715"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325" w:firstLine="720"/>
              <w:jc w:val="left"/>
              <w:rPr>
                <w:rFonts w:ascii="宋体" w:hAnsi="宋体" w:cs="宋体" w:eastAsia="宋体" w:hint="default"/>
                <w:sz w:val="18"/>
                <w:szCs w:val="18"/>
              </w:rPr>
            </w:pPr>
            <w:r>
              <w:rPr>
                <w:rFonts w:ascii="宋体" w:hAnsi="宋体" w:cs="宋体" w:eastAsia="宋体" w:hint="default"/>
                <w:spacing w:val="-3"/>
                <w:sz w:val="18"/>
                <w:szCs w:val="18"/>
              </w:rPr>
              <w:t>公允价值变动损失（收益以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816" w:right="0"/>
              <w:jc w:val="left"/>
              <w:rPr>
                <w:rFonts w:ascii="宋体" w:hAnsi="宋体" w:cs="宋体" w:eastAsia="宋体" w:hint="default"/>
                <w:sz w:val="18"/>
                <w:szCs w:val="18"/>
              </w:rPr>
            </w:pPr>
            <w:r>
              <w:rPr>
                <w:rFonts w:ascii="宋体" w:hAnsi="宋体" w:cs="宋体" w:eastAsia="宋体" w:hint="default"/>
                <w:spacing w:val="-3"/>
                <w:sz w:val="18"/>
                <w:szCs w:val="18"/>
              </w:rPr>
              <w:t>财务费用（收益以“－”号填</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35,454,425.79</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30,498,628.15</w:t>
            </w:r>
          </w:p>
        </w:tc>
      </w:tr>
      <w:tr>
        <w:trPr>
          <w:trHeight w:val="716"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816" w:right="0"/>
              <w:jc w:val="left"/>
              <w:rPr>
                <w:rFonts w:ascii="宋体" w:hAnsi="宋体" w:cs="宋体" w:eastAsia="宋体" w:hint="default"/>
                <w:sz w:val="18"/>
                <w:szCs w:val="18"/>
              </w:rPr>
            </w:pPr>
            <w:r>
              <w:rPr>
                <w:rFonts w:ascii="宋体" w:hAnsi="宋体" w:cs="宋体" w:eastAsia="宋体" w:hint="default"/>
                <w:spacing w:val="-3"/>
                <w:sz w:val="18"/>
                <w:szCs w:val="18"/>
              </w:rPr>
              <w:t>投资损失（收益以“－”号填</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-32,911,500.78</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2"/>
                <w:sz w:val="18"/>
              </w:rPr>
              <w:t>-16,051,752.54</w:t>
            </w:r>
          </w:p>
        </w:tc>
      </w:tr>
      <w:tr>
        <w:trPr>
          <w:trHeight w:val="710"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47" w:firstLine="72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1,328,092.57</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-1,921,461.13</w:t>
            </w:r>
          </w:p>
        </w:tc>
      </w:tr>
      <w:tr>
        <w:trPr>
          <w:trHeight w:val="716"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4" w:lineRule="auto" w:before="53"/>
              <w:ind w:left="95" w:right="147" w:firstLine="72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-157,539.94</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-151,710.14</w:t>
            </w:r>
          </w:p>
        </w:tc>
      </w:tr>
      <w:tr>
        <w:trPr>
          <w:trHeight w:val="715"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816"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存货的减少（增加以“－”号</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3,287,802.38</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-6,467,731.63</w:t>
            </w:r>
          </w:p>
        </w:tc>
      </w:tr>
      <w:tr>
        <w:trPr>
          <w:trHeight w:val="715"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47" w:firstLine="72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w:t>
            </w:r>
            <w:r>
              <w:rPr>
                <w:rFonts w:ascii="宋体" w:hAnsi="宋体" w:cs="宋体" w:eastAsia="宋体" w:hint="default"/>
                <w:w w:val="101"/>
                <w:sz w:val="18"/>
                <w:szCs w:val="18"/>
              </w:rPr>
              <w:t> </w:t>
            </w:r>
            <w:r>
              <w:rPr>
                <w:rFonts w:ascii="宋体" w:hAnsi="宋体" w:cs="宋体" w:eastAsia="宋体" w:hint="default"/>
                <w:sz w:val="18"/>
                <w:szCs w:val="18"/>
              </w:rPr>
              <w:t>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2"/>
                <w:sz w:val="18"/>
              </w:rPr>
              <w:t>112,007,472.52</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73,057,620.91</w:t>
            </w:r>
          </w:p>
        </w:tc>
      </w:tr>
      <w:tr>
        <w:trPr>
          <w:trHeight w:val="711"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4"/>
              <w:ind w:left="95" w:right="147" w:firstLine="72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w:t>
            </w:r>
            <w:r>
              <w:rPr>
                <w:rFonts w:ascii="宋体" w:hAnsi="宋体" w:cs="宋体" w:eastAsia="宋体" w:hint="default"/>
                <w:w w:val="101"/>
                <w:sz w:val="18"/>
                <w:szCs w:val="18"/>
              </w:rPr>
              <w:t> </w:t>
            </w:r>
            <w:r>
              <w:rPr>
                <w:rFonts w:ascii="宋体" w:hAnsi="宋体" w:cs="宋体" w:eastAsia="宋体" w:hint="default"/>
                <w:sz w:val="18"/>
                <w:szCs w:val="18"/>
              </w:rPr>
              <w:t>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55,713,704.74</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2"/>
                <w:sz w:val="18"/>
              </w:rPr>
              <w:t>-60,935,841.76</w:t>
            </w: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8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-3,609,933.81</w:t>
            </w: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816"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216,278,235.93</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42,841,247.74</w:t>
            </w:r>
          </w:p>
        </w:tc>
      </w:tr>
      <w:tr>
        <w:trPr>
          <w:trHeight w:val="716"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4"/>
              <w:ind w:left="95" w:right="95"/>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．不涉及现金收支的重大投资和筹资活</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动：</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5" w:right="0"/>
              <w:jc w:val="left"/>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98" w:right="0"/>
              <w:jc w:val="left"/>
              <w:rPr>
                <w:rFonts w:ascii="宋体" w:hAnsi="宋体" w:cs="宋体" w:eastAsia="宋体" w:hint="default"/>
                <w:sz w:val="18"/>
                <w:szCs w:val="18"/>
              </w:rPr>
            </w:pPr>
            <w:r>
              <w:rPr>
                <w:rFonts w:ascii="宋体"/>
                <w:sz w:val="18"/>
              </w:rPr>
              <w:t>--</w:t>
            </w:r>
          </w:p>
        </w:tc>
      </w:tr>
      <w:tr>
        <w:trPr>
          <w:trHeight w:val="398"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一年内到期的可转换公司债券</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35" w:right="0"/>
              <w:jc w:val="left"/>
              <w:rPr>
                <w:rFonts w:ascii="宋体" w:hAnsi="宋体" w:cs="宋体" w:eastAsia="宋体" w:hint="default"/>
                <w:sz w:val="18"/>
                <w:szCs w:val="18"/>
              </w:rPr>
            </w:pPr>
            <w:r>
              <w:rPr>
                <w:rFonts w:ascii="宋体"/>
                <w:sz w:val="18"/>
              </w:rPr>
              <w:t>--</w:t>
            </w:r>
          </w:p>
        </w:tc>
        <w:tc>
          <w:tcPr>
            <w:tcW w:w="3184"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98" w:right="0"/>
              <w:jc w:val="left"/>
              <w:rPr>
                <w:rFonts w:ascii="宋体" w:hAnsi="宋体" w:cs="宋体" w:eastAsia="宋体" w:hint="default"/>
                <w:sz w:val="18"/>
                <w:szCs w:val="18"/>
              </w:rPr>
            </w:pPr>
            <w:r>
              <w:rPr>
                <w:rFonts w:ascii="宋体"/>
                <w:sz w:val="18"/>
              </w:rPr>
              <w:t>--</w:t>
            </w:r>
          </w:p>
        </w:tc>
      </w:tr>
      <w:tr>
        <w:trPr>
          <w:trHeight w:val="398"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153,641,935.81</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84,091,363.73</w:t>
            </w: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84,091,363.73</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189,290,276.68</w:t>
            </w: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加：现金等价物的期末余额</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455" w:right="0"/>
              <w:jc w:val="left"/>
              <w:rPr>
                <w:rFonts w:ascii="宋体" w:hAnsi="宋体" w:cs="宋体" w:eastAsia="宋体" w:hint="default"/>
                <w:sz w:val="18"/>
                <w:szCs w:val="18"/>
              </w:rPr>
            </w:pPr>
            <w:r>
              <w:rPr>
                <w:rFonts w:ascii="宋体" w:hAnsi="宋体" w:cs="宋体" w:eastAsia="宋体" w:hint="default"/>
                <w:spacing w:val="-3"/>
                <w:sz w:val="18"/>
                <w:szCs w:val="18"/>
              </w:rPr>
              <w:t>减：现金等价物的期初余额</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32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69,550,572.08</w:t>
            </w:r>
          </w:p>
        </w:tc>
        <w:tc>
          <w:tcPr>
            <w:tcW w:w="318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-105,198,912.95</w:t>
            </w:r>
          </w:p>
        </w:tc>
      </w:tr>
    </w:tbl>
    <w:p>
      <w:pPr>
        <w:pStyle w:val="Heading4"/>
        <w:spacing w:line="240" w:lineRule="auto" w:before="28"/>
        <w:ind w:right="1024"/>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pStyle w:val="BodyText"/>
        <w:spacing w:line="240" w:lineRule="auto" w:before="136"/>
        <w:ind w:right="1024"/>
        <w:jc w:val="left"/>
      </w:pPr>
      <w:r>
        <w:rPr/>
        <w:t>□ 适用 √</w:t>
      </w:r>
      <w:r>
        <w:rPr>
          <w:spacing w:val="4"/>
        </w:rPr>
        <w:t> </w:t>
      </w:r>
      <w:r>
        <w:rPr/>
        <w:t>不适用</w:t>
      </w:r>
    </w:p>
    <w:p>
      <w:pPr>
        <w:spacing w:line="240" w:lineRule="auto" w:before="13"/>
        <w:rPr>
          <w:rFonts w:ascii="宋体" w:hAnsi="宋体" w:cs="宋体" w:eastAsia="宋体" w:hint="default"/>
          <w:sz w:val="14"/>
          <w:szCs w:val="14"/>
        </w:rPr>
      </w:pPr>
    </w:p>
    <w:p>
      <w:pPr>
        <w:pStyle w:val="Heading4"/>
        <w:spacing w:line="240" w:lineRule="auto" w:before="0"/>
        <w:ind w:right="1024"/>
        <w:jc w:val="left"/>
        <w:rPr>
          <w:b w:val="0"/>
          <w:bCs w:val="0"/>
        </w:rPr>
      </w:pPr>
      <w:bookmarkStart w:name="（3）本期收到的处置子公司的现金净额" w:id="388"/>
      <w:bookmarkEnd w:id="388"/>
      <w:r>
        <w:rPr>
          <w:b w:val="0"/>
          <w:bCs w:val="0"/>
        </w:rPr>
      </w:r>
      <w:r>
        <w:rPr/>
        <w:t>（</w:t>
      </w:r>
      <w:r>
        <w:rPr>
          <w:rFonts w:ascii="宋体" w:hAnsi="宋体" w:cs="宋体" w:eastAsia="宋体" w:hint="default"/>
        </w:rPr>
        <w:t>3</w:t>
      </w:r>
      <w:r>
        <w:rPr/>
        <w:t>）本期收到的处置子公司的现金净额</w:t>
      </w:r>
      <w:r>
        <w:rPr>
          <w:b w:val="0"/>
          <w:bCs w:val="0"/>
        </w:rPr>
      </w:r>
    </w:p>
    <w:p>
      <w:pPr>
        <w:spacing w:line="240" w:lineRule="auto" w:before="0"/>
        <w:rPr>
          <w:rFonts w:ascii="宋体" w:hAnsi="宋体" w:cs="宋体" w:eastAsia="宋体" w:hint="default"/>
          <w:b/>
          <w:bCs/>
          <w:sz w:val="10"/>
          <w:szCs w:val="10"/>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4989"/>
        <w:gridCol w:w="4581"/>
      </w:tblGrid>
      <w:tr>
        <w:trPr>
          <w:trHeight w:val="408" w:hRule="exact"/>
        </w:trPr>
        <w:tc>
          <w:tcPr>
            <w:tcW w:w="4989"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458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3" w:hRule="exact"/>
        </w:trPr>
        <w:tc>
          <w:tcPr>
            <w:tcW w:w="498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pacing w:val="-3"/>
                <w:sz w:val="18"/>
                <w:szCs w:val="18"/>
              </w:rPr>
              <w:t>本期处置子公司于本期收到的现金或现金等价物</w:t>
            </w:r>
          </w:p>
        </w:tc>
        <w:tc>
          <w:tcPr>
            <w:tcW w:w="4581" w:type="dxa"/>
            <w:tcBorders>
              <w:top w:val="single" w:sz="4" w:space="0" w:color="000000"/>
              <w:left w:val="single" w:sz="4" w:space="0" w:color="000000"/>
              <w:bottom w:val="single" w:sz="4" w:space="0" w:color="000000"/>
              <w:right w:val="single" w:sz="12" w:space="0" w:color="000000"/>
            </w:tcBorders>
          </w:tcPr>
          <w:p>
            <w:pPr/>
          </w:p>
        </w:tc>
      </w:tr>
      <w:tr>
        <w:trPr>
          <w:trHeight w:val="394" w:hRule="exact"/>
        </w:trPr>
        <w:tc>
          <w:tcPr>
            <w:tcW w:w="498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9"/>
              <w:ind w:left="19" w:right="0"/>
              <w:jc w:val="center"/>
              <w:rPr>
                <w:rFonts w:ascii="宋体" w:hAnsi="宋体" w:cs="宋体" w:eastAsia="宋体" w:hint="default"/>
                <w:sz w:val="18"/>
                <w:szCs w:val="18"/>
              </w:rPr>
            </w:pPr>
            <w:r>
              <w:rPr>
                <w:rFonts w:ascii="宋体"/>
                <w:sz w:val="18"/>
              </w:rPr>
              <w:t>--</w:t>
            </w:r>
          </w:p>
        </w:tc>
      </w:tr>
      <w:tr>
        <w:trPr>
          <w:trHeight w:val="403" w:hRule="exact"/>
        </w:trPr>
        <w:tc>
          <w:tcPr>
            <w:tcW w:w="4989" w:type="dxa"/>
            <w:tcBorders>
              <w:top w:val="single" w:sz="4" w:space="0" w:color="000000"/>
              <w:left w:val="single" w:sz="12" w:space="0" w:color="000000"/>
              <w:bottom w:val="single" w:sz="4" w:space="0" w:color="000000"/>
              <w:right w:val="single" w:sz="4" w:space="0" w:color="000000"/>
            </w:tcBorders>
          </w:tcPr>
          <w:p>
            <w:pPr/>
          </w:p>
        </w:tc>
        <w:tc>
          <w:tcPr>
            <w:tcW w:w="4581" w:type="dxa"/>
            <w:tcBorders>
              <w:top w:val="single" w:sz="4" w:space="0" w:color="000000"/>
              <w:left w:val="single" w:sz="4" w:space="0" w:color="000000"/>
              <w:bottom w:val="single" w:sz="4" w:space="0" w:color="000000"/>
              <w:right w:val="single" w:sz="12" w:space="0" w:color="000000"/>
            </w:tcBorders>
          </w:tcPr>
          <w:p>
            <w:pPr/>
          </w:p>
        </w:tc>
      </w:tr>
      <w:tr>
        <w:trPr>
          <w:trHeight w:val="408" w:hRule="exact"/>
        </w:trPr>
        <w:tc>
          <w:tcPr>
            <w:tcW w:w="498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减：丧失控制权日子公司持有的现金及现金等价物</w:t>
            </w:r>
          </w:p>
        </w:tc>
        <w:tc>
          <w:tcPr>
            <w:tcW w:w="458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92,185.28</w:t>
            </w:r>
          </w:p>
        </w:tc>
      </w:tr>
      <w:tr>
        <w:trPr>
          <w:trHeight w:val="398" w:hRule="exact"/>
        </w:trPr>
        <w:tc>
          <w:tcPr>
            <w:tcW w:w="498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9"/>
              <w:ind w:left="19" w:right="0"/>
              <w:jc w:val="center"/>
              <w:rPr>
                <w:rFonts w:ascii="宋体" w:hAnsi="宋体" w:cs="宋体" w:eastAsia="宋体" w:hint="default"/>
                <w:sz w:val="18"/>
                <w:szCs w:val="18"/>
              </w:rPr>
            </w:pPr>
            <w:r>
              <w:rPr>
                <w:rFonts w:ascii="宋体"/>
                <w:sz w:val="18"/>
              </w:rPr>
              <w:t>--</w:t>
            </w:r>
          </w:p>
        </w:tc>
      </w:tr>
      <w:tr>
        <w:trPr>
          <w:trHeight w:val="399" w:hRule="exact"/>
        </w:trPr>
        <w:tc>
          <w:tcPr>
            <w:tcW w:w="498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江苏德能电力设计咨询有限公司</w:t>
            </w:r>
          </w:p>
        </w:tc>
        <w:tc>
          <w:tcPr>
            <w:tcW w:w="458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92,185.28</w:t>
            </w:r>
          </w:p>
        </w:tc>
      </w:tr>
      <w:tr>
        <w:trPr>
          <w:trHeight w:val="408" w:hRule="exact"/>
        </w:trPr>
        <w:tc>
          <w:tcPr>
            <w:tcW w:w="498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加：以前期间处置子公司于本期收到的现金或现金等价物</w:t>
            </w:r>
          </w:p>
        </w:tc>
        <w:tc>
          <w:tcPr>
            <w:tcW w:w="4581"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4989"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49"/>
              <w:ind w:left="19" w:right="0"/>
              <w:jc w:val="center"/>
              <w:rPr>
                <w:rFonts w:ascii="宋体" w:hAnsi="宋体" w:cs="宋体" w:eastAsia="宋体" w:hint="default"/>
                <w:sz w:val="18"/>
                <w:szCs w:val="18"/>
              </w:rPr>
            </w:pPr>
            <w:r>
              <w:rPr>
                <w:rFonts w:ascii="宋体"/>
                <w:sz w:val="18"/>
              </w:rPr>
              <w:t>--</w:t>
            </w:r>
          </w:p>
        </w:tc>
      </w:tr>
      <w:tr>
        <w:trPr>
          <w:trHeight w:val="403" w:hRule="exact"/>
        </w:trPr>
        <w:tc>
          <w:tcPr>
            <w:tcW w:w="4989" w:type="dxa"/>
            <w:tcBorders>
              <w:top w:val="single" w:sz="4" w:space="0" w:color="000000"/>
              <w:left w:val="single" w:sz="12" w:space="0" w:color="000000"/>
              <w:bottom w:val="single" w:sz="4" w:space="0" w:color="000000"/>
              <w:right w:val="single" w:sz="4" w:space="0" w:color="000000"/>
            </w:tcBorders>
          </w:tcPr>
          <w:p>
            <w:pPr/>
          </w:p>
        </w:tc>
        <w:tc>
          <w:tcPr>
            <w:tcW w:w="4581"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498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处置子公司收到的现金净额</w:t>
            </w:r>
          </w:p>
        </w:tc>
        <w:tc>
          <w:tcPr>
            <w:tcW w:w="458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-92,185.28</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4）现金和现金等价物的构成" w:id="389"/>
      <w:bookmarkEnd w:id="389"/>
      <w:r>
        <w:rPr>
          <w:b w:val="0"/>
          <w:bCs w:val="0"/>
        </w:rPr>
      </w:r>
      <w:r>
        <w:rPr/>
        <w:t>（</w:t>
      </w:r>
      <w:r>
        <w:rPr>
          <w:rFonts w:ascii="宋体" w:hAnsi="宋体" w:cs="宋体" w:eastAsia="宋体" w:hint="default"/>
        </w:rPr>
        <w:t>4</w:t>
      </w:r>
      <w:r>
        <w:rPr/>
        <w:t>）现金和现金等价物的构成</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328"/>
        <w:gridCol w:w="3058"/>
        <w:gridCol w:w="3184"/>
      </w:tblGrid>
      <w:tr>
        <w:trPr>
          <w:trHeight w:val="411" w:hRule="exact"/>
        </w:trPr>
        <w:tc>
          <w:tcPr>
            <w:tcW w:w="332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1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153,641,935.81</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84,091,363.73</w:t>
            </w: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325,484.91</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258,185.05</w:t>
            </w:r>
          </w:p>
        </w:tc>
      </w:tr>
      <w:tr>
        <w:trPr>
          <w:trHeight w:val="398"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153,316,450.90</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83,833,178.68</w:t>
            </w: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right="147"/>
              <w:jc w:val="righ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147"/>
              <w:jc w:val="right"/>
              <w:rPr>
                <w:rFonts w:ascii="宋体" w:hAnsi="宋体" w:cs="宋体" w:eastAsia="宋体" w:hint="default"/>
                <w:sz w:val="18"/>
                <w:szCs w:val="18"/>
              </w:rPr>
            </w:pPr>
            <w:r>
              <w:rPr>
                <w:rFonts w:ascii="宋体" w:hAnsi="宋体" w:cs="宋体" w:eastAsia="宋体" w:hint="default"/>
                <w:spacing w:val="-3"/>
                <w:sz w:val="18"/>
                <w:szCs w:val="18"/>
              </w:rPr>
              <w:t>可用于支付的存放中央银行款项</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3"/>
                <w:sz w:val="18"/>
                <w:szCs w:val="18"/>
              </w:rPr>
              <w:t>存放同业款项</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3"/>
                <w:sz w:val="18"/>
                <w:szCs w:val="18"/>
              </w:rPr>
              <w:t>拆放同业款项</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pacing w:val="-3"/>
                <w:sz w:val="18"/>
                <w:szCs w:val="18"/>
              </w:rPr>
              <w:t>二、现金等价物</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其中：三个月内到期的债券投资</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153,641,935.81</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84,091,363.73</w:t>
            </w:r>
          </w:p>
        </w:tc>
      </w:tr>
      <w:tr>
        <w:trPr>
          <w:trHeight w:val="725" w:hRule="exact"/>
        </w:trPr>
        <w:tc>
          <w:tcPr>
            <w:tcW w:w="332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8"/>
              <w:ind w:left="95" w:right="147"/>
              <w:jc w:val="left"/>
              <w:rPr>
                <w:rFonts w:ascii="宋体" w:hAnsi="宋体" w:cs="宋体" w:eastAsia="宋体" w:hint="default"/>
                <w:sz w:val="18"/>
                <w:szCs w:val="18"/>
              </w:rPr>
            </w:pPr>
            <w:r>
              <w:rPr>
                <w:rFonts w:ascii="宋体" w:hAnsi="宋体" w:cs="宋体" w:eastAsia="宋体" w:hint="default"/>
                <w:spacing w:val="-3"/>
                <w:sz w:val="18"/>
                <w:szCs w:val="18"/>
              </w:rPr>
              <w:t>其中：母公司或集团内子公司使用受限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制的现金和现金等价物</w:t>
            </w:r>
          </w:p>
        </w:tc>
        <w:tc>
          <w:tcPr>
            <w:tcW w:w="30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22,418,573.26</w:t>
            </w:r>
          </w:p>
        </w:tc>
        <w:tc>
          <w:tcPr>
            <w:tcW w:w="318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8,714,226.35</w:t>
            </w:r>
          </w:p>
        </w:tc>
      </w:tr>
    </w:tbl>
    <w:p>
      <w:pPr>
        <w:pStyle w:val="Heading4"/>
        <w:spacing w:line="240" w:lineRule="auto" w:before="66"/>
        <w:ind w:right="1024"/>
        <w:jc w:val="left"/>
        <w:rPr>
          <w:b w:val="0"/>
          <w:bCs w:val="0"/>
        </w:rPr>
      </w:pPr>
      <w:bookmarkStart w:name="59、所有者权益变动表项目注释" w:id="390"/>
      <w:bookmarkEnd w:id="390"/>
      <w:r>
        <w:rPr>
          <w:b w:val="0"/>
          <w:bCs w:val="0"/>
        </w:rPr>
      </w:r>
      <w:r>
        <w:rPr>
          <w:rFonts w:ascii="宋体" w:hAnsi="宋体" w:cs="宋体" w:eastAsia="宋体" w:hint="default"/>
        </w:rPr>
        <w:t>59</w:t>
      </w:r>
      <w:r>
        <w:rPr/>
        <w:t>、所有者权益变动表项目注释</w:t>
      </w:r>
      <w:r>
        <w:rPr>
          <w:b w:val="0"/>
          <w:bCs w:val="0"/>
        </w:rPr>
      </w:r>
    </w:p>
    <w:p>
      <w:pPr>
        <w:spacing w:line="240" w:lineRule="auto" w:before="12"/>
        <w:rPr>
          <w:rFonts w:ascii="宋体" w:hAnsi="宋体" w:cs="宋体" w:eastAsia="宋体" w:hint="default"/>
          <w:b/>
          <w:bCs/>
          <w:sz w:val="14"/>
          <w:szCs w:val="14"/>
        </w:rPr>
      </w:pPr>
    </w:p>
    <w:p>
      <w:pPr>
        <w:spacing w:line="405" w:lineRule="auto" w:before="0"/>
        <w:ind w:left="153" w:right="7377"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60、所有权或使用权受到限制的资产" w:id="391"/>
      <w:bookmarkEnd w:id="391"/>
      <w:r>
        <w:rPr>
          <w:rFonts w:ascii="宋体" w:hAnsi="宋体" w:cs="宋体" w:eastAsia="宋体" w:hint="default"/>
          <w:spacing w:val="-101"/>
          <w:sz w:val="21"/>
          <w:szCs w:val="21"/>
        </w:rPr>
      </w:r>
      <w:r>
        <w:rPr>
          <w:rFonts w:ascii="宋体" w:hAnsi="宋体" w:cs="宋体" w:eastAsia="宋体" w:hint="default"/>
          <w:b/>
          <w:bCs/>
          <w:sz w:val="21"/>
          <w:szCs w:val="21"/>
        </w:rPr>
        <w:t>60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38"/>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328"/>
        <w:gridCol w:w="3058"/>
        <w:gridCol w:w="3184"/>
      </w:tblGrid>
      <w:tr>
        <w:trPr>
          <w:trHeight w:val="420" w:hRule="exact"/>
        </w:trPr>
        <w:tc>
          <w:tcPr>
            <w:tcW w:w="3328"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12"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after="0" w:line="240" w:lineRule="auto"/>
        <w:jc w:val="center"/>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3328"/>
        <w:gridCol w:w="3058"/>
        <w:gridCol w:w="3184"/>
      </w:tblGrid>
      <w:tr>
        <w:trPr>
          <w:trHeight w:val="413" w:hRule="exact"/>
        </w:trPr>
        <w:tc>
          <w:tcPr>
            <w:tcW w:w="332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22,418,573.26</w:t>
            </w:r>
          </w:p>
        </w:tc>
        <w:tc>
          <w:tcPr>
            <w:tcW w:w="3184"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保证金等</w:t>
            </w: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2"/>
                <w:sz w:val="18"/>
              </w:rPr>
              <w:t>222,068,219.30</w:t>
            </w:r>
            <w:r>
              <w:rPr>
                <w:rFonts w:ascii="宋体"/>
                <w:sz w:val="18"/>
              </w:rPr>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w:t>
            </w:r>
            <w:r>
              <w:rPr>
                <w:rFonts w:ascii="宋体" w:hAnsi="宋体" w:cs="宋体" w:eastAsia="宋体" w:hint="default"/>
                <w:sz w:val="18"/>
                <w:szCs w:val="18"/>
              </w:rPr>
              <w:t>索瑞电气</w:t>
            </w:r>
            <w:r>
              <w:rPr>
                <w:rFonts w:ascii="宋体" w:hAnsi="宋体" w:cs="宋体" w:eastAsia="宋体" w:hint="default"/>
                <w:spacing w:val="-31"/>
                <w:sz w:val="18"/>
                <w:szCs w:val="18"/>
              </w:rPr>
              <w:t> </w:t>
            </w:r>
            <w:r>
              <w:rPr>
                <w:rFonts w:ascii="宋体" w:hAnsi="宋体" w:cs="宋体" w:eastAsia="宋体" w:hint="default"/>
                <w:spacing w:val="-3"/>
                <w:sz w:val="18"/>
                <w:szCs w:val="18"/>
              </w:rPr>
              <w:t>100%</w:t>
            </w:r>
            <w:r>
              <w:rPr>
                <w:rFonts w:ascii="宋体" w:hAnsi="宋体" w:cs="宋体" w:eastAsia="宋体" w:hint="default"/>
                <w:spacing w:val="-3"/>
                <w:sz w:val="18"/>
                <w:szCs w:val="18"/>
              </w:rPr>
              <w:t>股权</w:t>
            </w:r>
            <w:r>
              <w:rPr>
                <w:rFonts w:ascii="宋体" w:hAnsi="宋体" w:cs="宋体" w:eastAsia="宋体" w:hint="default"/>
                <w:sz w:val="18"/>
                <w:szCs w:val="18"/>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610,781,001.56</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质押</w:t>
            </w:r>
          </w:p>
        </w:tc>
      </w:tr>
      <w:tr>
        <w:trPr>
          <w:trHeight w:val="711" w:hRule="exact"/>
        </w:trPr>
        <w:tc>
          <w:tcPr>
            <w:tcW w:w="3328"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5" w:right="190"/>
              <w:jc w:val="left"/>
              <w:rPr>
                <w:rFonts w:ascii="宋体" w:hAnsi="宋体" w:cs="宋体" w:eastAsia="宋体" w:hint="default"/>
                <w:sz w:val="18"/>
                <w:szCs w:val="18"/>
              </w:rPr>
            </w:pPr>
            <w:r>
              <w:rPr>
                <w:rFonts w:ascii="宋体" w:hAnsi="宋体" w:cs="宋体" w:eastAsia="宋体" w:hint="default"/>
                <w:sz w:val="18"/>
                <w:szCs w:val="18"/>
              </w:rPr>
              <w:t>长期股权投资</w:t>
            </w:r>
            <w:r>
              <w:rPr>
                <w:rFonts w:ascii="宋体" w:hAnsi="宋体" w:cs="宋体" w:eastAsia="宋体" w:hint="default"/>
                <w:sz w:val="18"/>
                <w:szCs w:val="18"/>
              </w:rPr>
              <w:t>-</w:t>
            </w:r>
            <w:r>
              <w:rPr>
                <w:rFonts w:ascii="宋体" w:hAnsi="宋体" w:cs="宋体" w:eastAsia="宋体" w:hint="default"/>
                <w:sz w:val="18"/>
                <w:szCs w:val="18"/>
              </w:rPr>
              <w:t>中云文化大数据</w:t>
            </w:r>
            <w:r>
              <w:rPr>
                <w:rFonts w:ascii="宋体" w:hAnsi="宋体" w:cs="宋体" w:eastAsia="宋体" w:hint="default"/>
                <w:spacing w:val="-47"/>
                <w:sz w:val="18"/>
                <w:szCs w:val="18"/>
              </w:rPr>
              <w:t> </w:t>
            </w:r>
            <w:r>
              <w:rPr>
                <w:rFonts w:ascii="宋体" w:hAnsi="宋体" w:cs="宋体" w:eastAsia="宋体" w:hint="default"/>
                <w:sz w:val="18"/>
                <w:szCs w:val="18"/>
              </w:rPr>
              <w:t>11.54%</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股权</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80,839,533.33</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质押</w:t>
            </w: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87,559,280.20</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质押</w:t>
            </w: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77,661,476.55</w:t>
            </w:r>
          </w:p>
        </w:tc>
        <w:tc>
          <w:tcPr>
            <w:tcW w:w="318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413" w:hRule="exact"/>
        </w:trPr>
        <w:tc>
          <w:tcPr>
            <w:tcW w:w="332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1,101,328,084.20</w:t>
            </w:r>
          </w:p>
        </w:tc>
        <w:tc>
          <w:tcPr>
            <w:tcW w:w="3184"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61、外币货币性项目" w:id="392"/>
      <w:bookmarkEnd w:id="392"/>
      <w:r>
        <w:rPr>
          <w:b w:val="0"/>
          <w:bCs w:val="0"/>
        </w:rPr>
      </w:r>
      <w:r>
        <w:rPr>
          <w:rFonts w:ascii="宋体" w:hAnsi="宋体" w:cs="宋体" w:eastAsia="宋体" w:hint="default"/>
        </w:rPr>
        <w:t>61</w:t>
      </w:r>
      <w:r>
        <w:rPr/>
        <w:t>、外币货币性项目</w:t>
      </w:r>
      <w:r>
        <w:rPr>
          <w:b w:val="0"/>
          <w:bCs w:val="0"/>
        </w:rPr>
      </w:r>
    </w:p>
    <w:p>
      <w:pPr>
        <w:spacing w:line="240" w:lineRule="auto" w:before="12"/>
        <w:rPr>
          <w:rFonts w:ascii="宋体" w:hAnsi="宋体" w:cs="宋体" w:eastAsia="宋体" w:hint="default"/>
          <w:b/>
          <w:bCs/>
          <w:sz w:val="25"/>
          <w:szCs w:val="25"/>
        </w:rPr>
      </w:pPr>
    </w:p>
    <w:p>
      <w:pPr>
        <w:spacing w:line="376" w:lineRule="auto" w:before="0"/>
        <w:ind w:left="15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62、套期" w:id="393"/>
      <w:bookmarkEnd w:id="393"/>
      <w:r>
        <w:rPr>
          <w:rFonts w:ascii="宋体" w:hAnsi="宋体" w:cs="宋体" w:eastAsia="宋体" w:hint="default"/>
          <w:w w:val="100"/>
          <w:sz w:val="21"/>
          <w:szCs w:val="21"/>
        </w:rPr>
      </w:r>
      <w:r>
        <w:rPr>
          <w:rFonts w:ascii="宋体" w:hAnsi="宋体" w:cs="宋体" w:eastAsia="宋体" w:hint="default"/>
          <w:b/>
          <w:bCs/>
          <w:sz w:val="21"/>
          <w:szCs w:val="21"/>
        </w:rPr>
        <w:t>62</w:t>
      </w:r>
      <w:r>
        <w:rPr>
          <w:rFonts w:ascii="宋体" w:hAnsi="宋体" w:cs="宋体" w:eastAsia="宋体" w:hint="default"/>
          <w:b/>
          <w:bCs/>
          <w:sz w:val="21"/>
          <w:szCs w:val="21"/>
        </w:rPr>
        <w:t>、套期</w:t>
      </w:r>
      <w:r>
        <w:rPr>
          <w:rFonts w:ascii="宋体" w:hAnsi="宋体" w:cs="宋体" w:eastAsia="宋体" w:hint="default"/>
          <w:sz w:val="21"/>
          <w:szCs w:val="21"/>
        </w:rPr>
      </w:r>
    </w:p>
    <w:p>
      <w:pPr>
        <w:spacing w:line="410" w:lineRule="auto" w:before="71"/>
        <w:ind w:left="15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63、政府补助" w:id="394"/>
      <w:bookmarkEnd w:id="394"/>
      <w:r>
        <w:rPr>
          <w:rFonts w:ascii="宋体" w:hAnsi="宋体" w:cs="宋体" w:eastAsia="宋体" w:hint="default"/>
          <w:w w:val="100"/>
          <w:sz w:val="21"/>
          <w:szCs w:val="21"/>
        </w:rPr>
      </w:r>
      <w:r>
        <w:rPr>
          <w:rFonts w:ascii="宋体" w:hAnsi="宋体" w:cs="宋体" w:eastAsia="宋体" w:hint="default"/>
          <w:b/>
          <w:bCs/>
          <w:sz w:val="21"/>
          <w:szCs w:val="21"/>
        </w:rPr>
        <w:t>63</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Heading4"/>
        <w:spacing w:line="240" w:lineRule="auto" w:before="41"/>
        <w:ind w:right="1024"/>
        <w:jc w:val="left"/>
        <w:rPr>
          <w:b w:val="0"/>
          <w:bCs w:val="0"/>
        </w:rPr>
      </w:pPr>
      <w:bookmarkStart w:name="（1）政府补助基本情况" w:id="395"/>
      <w:bookmarkEnd w:id="395"/>
      <w:r>
        <w:rPr>
          <w:b w:val="0"/>
          <w:bCs w:val="0"/>
        </w:rPr>
      </w:r>
      <w:r>
        <w:rPr/>
        <w:t>（</w:t>
      </w:r>
      <w:r>
        <w:rPr>
          <w:rFonts w:ascii="宋体" w:hAnsi="宋体" w:cs="宋体" w:eastAsia="宋体" w:hint="default"/>
        </w:rPr>
        <w:t>1</w:t>
      </w:r>
      <w:r>
        <w:rPr/>
        <w:t>）政府补助基本情况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391"/>
        <w:gridCol w:w="2396"/>
        <w:gridCol w:w="2391"/>
        <w:gridCol w:w="2391"/>
      </w:tblGrid>
      <w:tr>
        <w:trPr>
          <w:trHeight w:val="408" w:hRule="exact"/>
        </w:trPr>
        <w:tc>
          <w:tcPr>
            <w:tcW w:w="239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14"/>
                <w:sz w:val="18"/>
                <w:szCs w:val="18"/>
              </w:rPr>
              <w:t> </w:t>
            </w:r>
            <w:r>
              <w:rPr>
                <w:rFonts w:ascii="宋体" w:hAnsi="宋体" w:cs="宋体" w:eastAsia="宋体" w:hint="default"/>
                <w:spacing w:val="-3"/>
                <w:sz w:val="18"/>
                <w:szCs w:val="18"/>
              </w:rPr>
              <w:t>年企业研发费用奖励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18"/>
                <w:szCs w:val="18"/>
              </w:rPr>
            </w:pPr>
            <w:r>
              <w:rPr>
                <w:rFonts w:ascii="宋体"/>
                <w:spacing w:val="-1"/>
                <w:sz w:val="18"/>
              </w:rPr>
              <w:t>604,150.00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2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604,150.00</w:t>
            </w: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63,400.00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63,400.00</w:t>
            </w:r>
          </w:p>
        </w:tc>
      </w:tr>
      <w:tr>
        <w:trPr>
          <w:trHeight w:val="1028"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4"/>
              <w:ind w:left="95" w:right="109"/>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0"/>
                <w:sz w:val="18"/>
                <w:szCs w:val="18"/>
              </w:rPr>
              <w:t> </w:t>
            </w:r>
            <w:r>
              <w:rPr>
                <w:rFonts w:ascii="宋体" w:hAnsi="宋体" w:cs="宋体" w:eastAsia="宋体" w:hint="default"/>
                <w:spacing w:val="-3"/>
                <w:sz w:val="18"/>
                <w:szCs w:val="18"/>
              </w:rPr>
              <w:t>年度国家智能电网产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业集聚发展试点重点项目补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9"/>
              <w:jc w:val="right"/>
              <w:rPr>
                <w:rFonts w:ascii="宋体" w:hAnsi="宋体" w:cs="宋体" w:eastAsia="宋体" w:hint="default"/>
                <w:sz w:val="18"/>
                <w:szCs w:val="18"/>
              </w:rPr>
            </w:pPr>
            <w:r>
              <w:rPr>
                <w:rFonts w:ascii="宋体"/>
                <w:spacing w:val="-1"/>
                <w:sz w:val="18"/>
              </w:rPr>
              <w:t>4,693,643.84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82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84"/>
              <w:jc w:val="right"/>
              <w:rPr>
                <w:rFonts w:ascii="宋体" w:hAnsi="宋体" w:cs="宋体" w:eastAsia="宋体" w:hint="default"/>
                <w:sz w:val="18"/>
                <w:szCs w:val="18"/>
              </w:rPr>
            </w:pPr>
            <w:r>
              <w:rPr>
                <w:rFonts w:ascii="宋体"/>
                <w:spacing w:val="-1"/>
                <w:sz w:val="18"/>
              </w:rPr>
              <w:t>4,693,643.84</w:t>
            </w:r>
          </w:p>
        </w:tc>
      </w:tr>
      <w:tr>
        <w:trPr>
          <w:trHeight w:val="398"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19"/>
                <w:sz w:val="18"/>
                <w:szCs w:val="18"/>
              </w:rPr>
              <w:t> </w:t>
            </w:r>
            <w:r>
              <w:rPr>
                <w:rFonts w:ascii="宋体" w:hAnsi="宋体" w:cs="宋体" w:eastAsia="宋体" w:hint="default"/>
                <w:spacing w:val="-3"/>
                <w:sz w:val="18"/>
                <w:szCs w:val="18"/>
              </w:rPr>
              <w:t>年度知识产权奖励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13,000.00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13,000.00</w:t>
            </w:r>
          </w:p>
        </w:tc>
      </w:tr>
      <w:tr>
        <w:trPr>
          <w:trHeight w:val="716"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9"/>
              <w:ind w:left="95" w:right="243"/>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26"/>
                <w:sz w:val="18"/>
                <w:szCs w:val="18"/>
              </w:rPr>
              <w:t> </w:t>
            </w:r>
            <w:r>
              <w:rPr>
                <w:rFonts w:ascii="宋体" w:hAnsi="宋体" w:cs="宋体" w:eastAsia="宋体" w:hint="default"/>
                <w:spacing w:val="-3"/>
                <w:sz w:val="18"/>
                <w:szCs w:val="18"/>
              </w:rPr>
              <w:t>年度省级重点研发专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项资金项目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630,000.00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2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630,000.00</w:t>
            </w:r>
          </w:p>
        </w:tc>
      </w:tr>
      <w:tr>
        <w:trPr>
          <w:trHeight w:val="715"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321" w:lineRule="auto" w:before="53"/>
              <w:ind w:left="95" w:right="109"/>
              <w:jc w:val="left"/>
              <w:rPr>
                <w:rFonts w:ascii="宋体" w:hAnsi="宋体" w:cs="宋体" w:eastAsia="宋体" w:hint="default"/>
                <w:sz w:val="18"/>
                <w:szCs w:val="18"/>
              </w:rPr>
            </w:pPr>
            <w:r>
              <w:rPr>
                <w:rFonts w:ascii="宋体" w:hAnsi="宋体" w:cs="宋体" w:eastAsia="宋体" w:hint="default"/>
                <w:spacing w:val="-3"/>
                <w:sz w:val="18"/>
                <w:szCs w:val="18"/>
              </w:rPr>
              <w:t>科技型中小企业专项奖励资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2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250,000.00</w:t>
            </w:r>
          </w:p>
        </w:tc>
      </w:tr>
      <w:tr>
        <w:trPr>
          <w:trHeight w:val="1028"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5" w:right="151"/>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8"/>
                <w:sz w:val="18"/>
                <w:szCs w:val="18"/>
              </w:rPr>
              <w:t> </w:t>
            </w:r>
            <w:r>
              <w:rPr>
                <w:rFonts w:ascii="宋体" w:hAnsi="宋体" w:cs="宋体" w:eastAsia="宋体" w:hint="default"/>
                <w:spacing w:val="-3"/>
                <w:sz w:val="18"/>
                <w:szCs w:val="18"/>
              </w:rPr>
              <w:t>年度江苏省工业企业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质量信用 </w:t>
            </w:r>
            <w:r>
              <w:rPr>
                <w:rFonts w:ascii="宋体" w:hAnsi="宋体" w:cs="宋体" w:eastAsia="宋体" w:hint="default"/>
                <w:sz w:val="18"/>
                <w:szCs w:val="18"/>
              </w:rPr>
              <w:t>AA</w:t>
            </w:r>
            <w:r>
              <w:rPr>
                <w:rFonts w:ascii="宋体" w:hAnsi="宋体" w:cs="宋体" w:eastAsia="宋体" w:hint="default"/>
                <w:spacing w:val="-42"/>
                <w:sz w:val="18"/>
                <w:szCs w:val="18"/>
              </w:rPr>
              <w:t> </w:t>
            </w:r>
            <w:r>
              <w:rPr>
                <w:rFonts w:ascii="宋体" w:hAnsi="宋体" w:cs="宋体" w:eastAsia="宋体" w:hint="default"/>
                <w:sz w:val="18"/>
                <w:szCs w:val="18"/>
              </w:rPr>
              <w:t>级以上企业奖</w:t>
            </w:r>
            <w:r>
              <w:rPr>
                <w:rFonts w:ascii="宋体" w:hAnsi="宋体" w:cs="宋体" w:eastAsia="宋体" w:hint="default"/>
                <w:w w:val="101"/>
                <w:sz w:val="18"/>
                <w:szCs w:val="18"/>
              </w:rPr>
              <w:t> </w:t>
            </w:r>
            <w:r>
              <w:rPr>
                <w:rFonts w:ascii="宋体" w:hAnsi="宋体" w:cs="宋体" w:eastAsia="宋体" w:hint="default"/>
                <w:sz w:val="18"/>
                <w:szCs w:val="18"/>
              </w:rPr>
              <w:t>励资金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9"/>
              <w:jc w:val="right"/>
              <w:rPr>
                <w:rFonts w:ascii="宋体" w:hAnsi="宋体" w:cs="宋体" w:eastAsia="宋体" w:hint="default"/>
                <w:sz w:val="18"/>
                <w:szCs w:val="18"/>
              </w:rPr>
            </w:pPr>
            <w:r>
              <w:rPr>
                <w:rFonts w:ascii="宋体"/>
                <w:spacing w:val="-1"/>
                <w:sz w:val="18"/>
              </w:rPr>
              <w:t>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82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84"/>
              <w:jc w:val="right"/>
              <w:rPr>
                <w:rFonts w:ascii="宋体" w:hAnsi="宋体" w:cs="宋体" w:eastAsia="宋体" w:hint="default"/>
                <w:sz w:val="18"/>
                <w:szCs w:val="18"/>
              </w:rPr>
            </w:pPr>
            <w:r>
              <w:rPr>
                <w:rFonts w:ascii="宋体"/>
                <w:spacing w:val="-1"/>
                <w:sz w:val="18"/>
              </w:rPr>
              <w:t>50,000.00</w:t>
            </w:r>
          </w:p>
        </w:tc>
      </w:tr>
      <w:tr>
        <w:trPr>
          <w:trHeight w:val="413" w:hRule="exact"/>
        </w:trPr>
        <w:tc>
          <w:tcPr>
            <w:tcW w:w="239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开发区知识产权奖励资金</w:t>
            </w:r>
          </w:p>
        </w:tc>
        <w:tc>
          <w:tcPr>
            <w:tcW w:w="2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3,000.00</w:t>
            </w:r>
          </w:p>
        </w:tc>
        <w:tc>
          <w:tcPr>
            <w:tcW w:w="2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82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3,000.00</w:t>
            </w:r>
          </w:p>
        </w:tc>
      </w:tr>
    </w:tbl>
    <w:p>
      <w:pPr>
        <w:spacing w:after="0" w:line="240" w:lineRule="auto"/>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2391"/>
        <w:gridCol w:w="2396"/>
        <w:gridCol w:w="2391"/>
        <w:gridCol w:w="2391"/>
      </w:tblGrid>
      <w:tr>
        <w:trPr>
          <w:trHeight w:val="413" w:hRule="exact"/>
        </w:trPr>
        <w:tc>
          <w:tcPr>
            <w:tcW w:w="239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高企认定奖励</w:t>
            </w:r>
          </w:p>
        </w:tc>
        <w:tc>
          <w:tcPr>
            <w:tcW w:w="23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500,000.00</w:t>
            </w:r>
          </w:p>
        </w:tc>
        <w:tc>
          <w:tcPr>
            <w:tcW w:w="23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500,000.00</w:t>
            </w: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高企培育专项资金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50,000.00</w:t>
            </w:r>
          </w:p>
        </w:tc>
      </w:tr>
      <w:tr>
        <w:trPr>
          <w:trHeight w:val="399"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高企培育入库奖励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106,350.00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106,350.00</w:t>
            </w:r>
          </w:p>
        </w:tc>
      </w:tr>
      <w:tr>
        <w:trPr>
          <w:trHeight w:val="715"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321" w:lineRule="auto" w:before="53"/>
              <w:ind w:left="95" w:right="199"/>
              <w:jc w:val="left"/>
              <w:rPr>
                <w:rFonts w:ascii="宋体" w:hAnsi="宋体" w:cs="宋体" w:eastAsia="宋体" w:hint="default"/>
                <w:sz w:val="18"/>
                <w:szCs w:val="18"/>
              </w:rPr>
            </w:pPr>
            <w:r>
              <w:rPr>
                <w:rFonts w:ascii="宋体" w:hAnsi="宋体" w:cs="宋体" w:eastAsia="宋体" w:hint="default"/>
                <w:sz w:val="18"/>
                <w:szCs w:val="18"/>
              </w:rPr>
              <w:t>省下</w:t>
            </w:r>
            <w:r>
              <w:rPr>
                <w:rFonts w:ascii="宋体" w:hAnsi="宋体" w:cs="宋体" w:eastAsia="宋体" w:hint="default"/>
                <w:spacing w:val="-34"/>
                <w:sz w:val="18"/>
                <w:szCs w:val="18"/>
              </w:rPr>
              <w:t> </w:t>
            </w:r>
            <w:r>
              <w:rPr>
                <w:rFonts w:ascii="宋体" w:hAnsi="宋体" w:cs="宋体" w:eastAsia="宋体" w:hint="default"/>
                <w:sz w:val="18"/>
                <w:szCs w:val="18"/>
              </w:rPr>
              <w:t>2018</w:t>
            </w:r>
            <w:r>
              <w:rPr>
                <w:rFonts w:ascii="宋体" w:hAnsi="宋体" w:cs="宋体" w:eastAsia="宋体" w:hint="default"/>
                <w:spacing w:val="-41"/>
                <w:sz w:val="18"/>
                <w:szCs w:val="18"/>
              </w:rPr>
              <w:t> </w:t>
            </w:r>
            <w:r>
              <w:rPr>
                <w:rFonts w:ascii="宋体" w:hAnsi="宋体" w:cs="宋体" w:eastAsia="宋体" w:hint="default"/>
                <w:spacing w:val="-3"/>
                <w:sz w:val="18"/>
                <w:szCs w:val="18"/>
              </w:rPr>
              <w:t>年度企业研究发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展费用奖励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300,000.00</w:t>
            </w:r>
          </w:p>
        </w:tc>
      </w:tr>
      <w:tr>
        <w:trPr>
          <w:trHeight w:val="715"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321" w:lineRule="auto" w:before="53"/>
              <w:ind w:left="95" w:right="199"/>
              <w:jc w:val="left"/>
              <w:rPr>
                <w:rFonts w:ascii="宋体" w:hAnsi="宋体" w:cs="宋体" w:eastAsia="宋体" w:hint="default"/>
                <w:sz w:val="18"/>
                <w:szCs w:val="18"/>
              </w:rPr>
            </w:pPr>
            <w:r>
              <w:rPr>
                <w:rFonts w:ascii="宋体" w:hAnsi="宋体" w:cs="宋体" w:eastAsia="宋体" w:hint="default"/>
                <w:sz w:val="18"/>
                <w:szCs w:val="18"/>
              </w:rPr>
              <w:t>区级</w:t>
            </w:r>
            <w:r>
              <w:rPr>
                <w:rFonts w:ascii="宋体" w:hAnsi="宋体" w:cs="宋体" w:eastAsia="宋体" w:hint="default"/>
                <w:spacing w:val="-34"/>
                <w:sz w:val="18"/>
                <w:szCs w:val="18"/>
              </w:rPr>
              <w:t> </w:t>
            </w:r>
            <w:r>
              <w:rPr>
                <w:rFonts w:ascii="宋体" w:hAnsi="宋体" w:cs="宋体" w:eastAsia="宋体" w:hint="default"/>
                <w:sz w:val="18"/>
                <w:szCs w:val="18"/>
              </w:rPr>
              <w:t>2018</w:t>
            </w:r>
            <w:r>
              <w:rPr>
                <w:rFonts w:ascii="宋体" w:hAnsi="宋体" w:cs="宋体" w:eastAsia="宋体" w:hint="default"/>
                <w:spacing w:val="-41"/>
                <w:sz w:val="18"/>
                <w:szCs w:val="18"/>
              </w:rPr>
              <w:t> </w:t>
            </w:r>
            <w:r>
              <w:rPr>
                <w:rFonts w:ascii="宋体" w:hAnsi="宋体" w:cs="宋体" w:eastAsia="宋体" w:hint="default"/>
                <w:spacing w:val="-3"/>
                <w:sz w:val="18"/>
                <w:szCs w:val="18"/>
              </w:rPr>
              <w:t>年度企业研究发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展费用奖励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37,500.00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37,500.00</w:t>
            </w:r>
          </w:p>
        </w:tc>
      </w:tr>
      <w:tr>
        <w:trPr>
          <w:trHeight w:val="716"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4"/>
              <w:ind w:left="95" w:right="243"/>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26"/>
                <w:sz w:val="18"/>
                <w:szCs w:val="18"/>
              </w:rPr>
              <w:t> </w:t>
            </w:r>
            <w:r>
              <w:rPr>
                <w:rFonts w:ascii="宋体" w:hAnsi="宋体" w:cs="宋体" w:eastAsia="宋体" w:hint="default"/>
                <w:spacing w:val="-3"/>
                <w:sz w:val="18"/>
                <w:szCs w:val="18"/>
              </w:rPr>
              <w:t>年度企业研究发展费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用奖励开发区配套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37,500.00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37,500.00</w:t>
            </w:r>
          </w:p>
        </w:tc>
      </w:tr>
      <w:tr>
        <w:trPr>
          <w:trHeight w:val="710"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09"/>
              <w:jc w:val="left"/>
              <w:rPr>
                <w:rFonts w:ascii="宋体" w:hAnsi="宋体" w:cs="宋体" w:eastAsia="宋体" w:hint="default"/>
                <w:sz w:val="18"/>
                <w:szCs w:val="18"/>
              </w:rPr>
            </w:pPr>
            <w:r>
              <w:rPr>
                <w:rFonts w:ascii="宋体" w:hAnsi="宋体" w:cs="宋体" w:eastAsia="宋体" w:hint="default"/>
                <w:spacing w:val="-3"/>
                <w:sz w:val="18"/>
                <w:szCs w:val="18"/>
              </w:rPr>
              <w:t>经信局战略性新兴产业发展</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引导资金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400,000.00</w:t>
            </w:r>
          </w:p>
        </w:tc>
      </w:tr>
      <w:tr>
        <w:trPr>
          <w:trHeight w:val="716"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324" w:lineRule="auto" w:before="53"/>
              <w:ind w:left="95" w:right="243"/>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26"/>
                <w:sz w:val="18"/>
                <w:szCs w:val="18"/>
              </w:rPr>
              <w:t> </w:t>
            </w:r>
            <w:r>
              <w:rPr>
                <w:rFonts w:ascii="宋体" w:hAnsi="宋体" w:cs="宋体" w:eastAsia="宋体" w:hint="default"/>
                <w:spacing w:val="-3"/>
                <w:sz w:val="18"/>
                <w:szCs w:val="18"/>
              </w:rPr>
              <w:t>年知识产权示范优势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企业奖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50,000.00</w:t>
            </w: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18</w:t>
            </w:r>
            <w:r>
              <w:rPr>
                <w:rFonts w:ascii="宋体" w:hAnsi="宋体" w:cs="宋体" w:eastAsia="宋体" w:hint="default"/>
                <w:spacing w:val="-43"/>
                <w:sz w:val="18"/>
                <w:szCs w:val="18"/>
              </w:rPr>
              <w:t> </w:t>
            </w:r>
            <w:r>
              <w:rPr>
                <w:rFonts w:ascii="宋体" w:hAnsi="宋体" w:cs="宋体" w:eastAsia="宋体" w:hint="default"/>
                <w:sz w:val="18"/>
                <w:szCs w:val="18"/>
              </w:rPr>
              <w:t>年专利补助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55,000.00</w:t>
            </w:r>
          </w:p>
        </w:tc>
      </w:tr>
      <w:tr>
        <w:trPr>
          <w:trHeight w:val="715"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243"/>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26"/>
                <w:sz w:val="18"/>
                <w:szCs w:val="18"/>
              </w:rPr>
              <w:t> </w:t>
            </w:r>
            <w:r>
              <w:rPr>
                <w:rFonts w:ascii="宋体" w:hAnsi="宋体" w:cs="宋体" w:eastAsia="宋体" w:hint="default"/>
                <w:spacing w:val="-3"/>
                <w:sz w:val="18"/>
                <w:szCs w:val="18"/>
              </w:rPr>
              <w:t>年南京市工业和信息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化发展专项资金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400,000.00</w:t>
            </w:r>
          </w:p>
        </w:tc>
      </w:tr>
      <w:tr>
        <w:trPr>
          <w:trHeight w:val="711"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300" w:lineRule="auto" w:before="54"/>
              <w:ind w:left="95" w:right="243"/>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年企业研发费用省级</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财政奖励配套补助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84"/>
              <w:jc w:val="right"/>
              <w:rPr>
                <w:rFonts w:ascii="Times New Roman" w:hAnsi="Times New Roman" w:cs="Times New Roman" w:eastAsia="Times New Roman" w:hint="default"/>
                <w:sz w:val="18"/>
                <w:szCs w:val="18"/>
              </w:rPr>
            </w:pPr>
            <w:r>
              <w:rPr>
                <w:rFonts w:ascii="Times New Roman"/>
                <w:spacing w:val="-1"/>
                <w:sz w:val="18"/>
              </w:rPr>
              <w:t>375,000.00</w:t>
            </w: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软件企业增值税退税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1,179,956.37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1,179,956.37</w:t>
            </w:r>
          </w:p>
        </w:tc>
      </w:tr>
      <w:tr>
        <w:trPr>
          <w:trHeight w:val="715"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321" w:lineRule="auto" w:before="53"/>
              <w:ind w:left="95" w:right="109"/>
              <w:jc w:val="left"/>
              <w:rPr>
                <w:rFonts w:ascii="宋体" w:hAnsi="宋体" w:cs="宋体" w:eastAsia="宋体" w:hint="default"/>
                <w:sz w:val="18"/>
                <w:szCs w:val="18"/>
              </w:rPr>
            </w:pPr>
            <w:r>
              <w:rPr>
                <w:rFonts w:ascii="宋体" w:hAnsi="宋体" w:cs="宋体" w:eastAsia="宋体" w:hint="default"/>
                <w:spacing w:val="-3"/>
                <w:sz w:val="18"/>
                <w:szCs w:val="18"/>
              </w:rPr>
              <w:t>自动化项目集中供料系统政</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551,923.30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84"/>
              <w:jc w:val="right"/>
              <w:rPr>
                <w:rFonts w:ascii="Times New Roman" w:hAnsi="Times New Roman" w:cs="Times New Roman" w:eastAsia="Times New Roman" w:hint="default"/>
                <w:sz w:val="18"/>
                <w:szCs w:val="18"/>
              </w:rPr>
            </w:pPr>
            <w:r>
              <w:rPr>
                <w:rFonts w:ascii="Times New Roman"/>
                <w:spacing w:val="-1"/>
                <w:sz w:val="18"/>
              </w:rPr>
              <w:t>551,923.30</w:t>
            </w:r>
          </w:p>
        </w:tc>
      </w:tr>
      <w:tr>
        <w:trPr>
          <w:trHeight w:val="716"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4"/>
              <w:ind w:left="95" w:right="109"/>
              <w:jc w:val="left"/>
              <w:rPr>
                <w:rFonts w:ascii="宋体" w:hAnsi="宋体" w:cs="宋体" w:eastAsia="宋体" w:hint="default"/>
                <w:sz w:val="18"/>
                <w:szCs w:val="18"/>
              </w:rPr>
            </w:pPr>
            <w:r>
              <w:rPr>
                <w:rFonts w:ascii="宋体" w:hAnsi="宋体" w:cs="宋体" w:eastAsia="宋体" w:hint="default"/>
                <w:spacing w:val="-3"/>
                <w:sz w:val="18"/>
                <w:szCs w:val="18"/>
              </w:rPr>
              <w:t>企业建档立卡贫困人员就业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奖补款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1"/>
                <w:sz w:val="18"/>
              </w:rPr>
              <w:t>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8,000.00</w:t>
            </w:r>
          </w:p>
        </w:tc>
      </w:tr>
      <w:tr>
        <w:trPr>
          <w:trHeight w:val="413" w:hRule="exact"/>
        </w:trPr>
        <w:tc>
          <w:tcPr>
            <w:tcW w:w="239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两化融合奖励</w:t>
            </w:r>
          </w:p>
        </w:tc>
        <w:tc>
          <w:tcPr>
            <w:tcW w:w="2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100,000.00</w:t>
            </w:r>
          </w:p>
        </w:tc>
        <w:tc>
          <w:tcPr>
            <w:tcW w:w="2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23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6"/>
              <w:ind w:right="84"/>
              <w:jc w:val="right"/>
              <w:rPr>
                <w:rFonts w:ascii="Times New Roman" w:hAnsi="Times New Roman" w:cs="Times New Roman" w:eastAsia="Times New Roman" w:hint="default"/>
                <w:sz w:val="18"/>
                <w:szCs w:val="18"/>
              </w:rPr>
            </w:pPr>
            <w:r>
              <w:rPr>
                <w:rFonts w:ascii="Times New Roman"/>
                <w:spacing w:val="-1"/>
                <w:sz w:val="18"/>
              </w:rPr>
              <w:t>100,000.00</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2）政府补助退回情况" w:id="396"/>
      <w:bookmarkEnd w:id="396"/>
      <w:r>
        <w:rPr>
          <w:b w:val="0"/>
          <w:bCs w:val="0"/>
        </w:rPr>
      </w:r>
      <w:r>
        <w:rPr/>
        <w:t>（</w:t>
      </w:r>
      <w:r>
        <w:rPr>
          <w:rFonts w:ascii="宋体" w:hAnsi="宋体" w:cs="宋体" w:eastAsia="宋体" w:hint="default"/>
        </w:rPr>
        <w:t>2</w:t>
      </w:r>
      <w:r>
        <w:rPr/>
        <w:t>）政府补助退回情况</w:t>
      </w:r>
      <w:r>
        <w:rPr>
          <w:b w:val="0"/>
          <w:bCs w:val="0"/>
        </w:rPr>
      </w:r>
    </w:p>
    <w:p>
      <w:pPr>
        <w:spacing w:line="240" w:lineRule="auto" w:before="13"/>
        <w:rPr>
          <w:rFonts w:ascii="宋体" w:hAnsi="宋体" w:cs="宋体" w:eastAsia="宋体" w:hint="default"/>
          <w:b/>
          <w:bCs/>
          <w:sz w:val="25"/>
          <w:szCs w:val="25"/>
        </w:rPr>
      </w:pPr>
    </w:p>
    <w:p>
      <w:pPr>
        <w:spacing w:line="528" w:lineRule="auto" w:before="0"/>
        <w:ind w:left="15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64、 其他" w:id="397"/>
      <w:bookmarkEnd w:id="397"/>
      <w:r>
        <w:rPr>
          <w:rFonts w:ascii="宋体" w:hAnsi="宋体" w:cs="宋体" w:eastAsia="宋体" w:hint="default"/>
          <w:w w:val="100"/>
          <w:sz w:val="21"/>
          <w:szCs w:val="21"/>
        </w:rPr>
      </w:r>
      <w:r>
        <w:rPr>
          <w:rFonts w:ascii="宋体" w:hAnsi="宋体" w:cs="宋体" w:eastAsia="宋体" w:hint="default"/>
          <w:b/>
          <w:bCs/>
          <w:sz w:val="21"/>
          <w:szCs w:val="21"/>
        </w:rPr>
        <w:t>64</w:t>
      </w:r>
      <w:r>
        <w:rPr>
          <w:rFonts w:ascii="宋体" w:hAnsi="宋体" w:cs="宋体" w:eastAsia="宋体" w:hint="default"/>
          <w:b/>
          <w:bCs/>
          <w:sz w:val="21"/>
          <w:szCs w:val="21"/>
        </w:rPr>
        <w:t>、其他</w:t>
      </w:r>
      <w:r>
        <w:rPr>
          <w:rFonts w:ascii="宋体" w:hAnsi="宋体" w:cs="宋体" w:eastAsia="宋体" w:hint="default"/>
          <w:sz w:val="21"/>
          <w:szCs w:val="21"/>
        </w:rPr>
      </w:r>
    </w:p>
    <w:p>
      <w:pPr>
        <w:spacing w:line="496" w:lineRule="auto" w:before="92"/>
        <w:ind w:left="153" w:right="8326"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八、合并范围的变更" w:id="398"/>
      <w:bookmarkEnd w:id="398"/>
      <w:r>
        <w:rPr>
          <w:rFonts w:ascii="宋体" w:hAnsi="宋体" w:cs="宋体" w:eastAsia="宋体" w:hint="default"/>
          <w:spacing w:val="-101"/>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9"/>
      <w:bookmarkEnd w:id="39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157"/>
        <w:ind w:right="1024"/>
        <w:jc w:val="left"/>
        <w:rPr>
          <w:b w:val="0"/>
          <w:bCs w:val="0"/>
        </w:rPr>
      </w:pPr>
      <w:r>
        <w:rPr/>
        <w:t>（</w:t>
      </w:r>
      <w:r>
        <w:rPr>
          <w:rFonts w:ascii="宋体" w:hAnsi="宋体" w:cs="宋体" w:eastAsia="宋体" w:hint="default"/>
        </w:rPr>
        <w:t>1</w:t>
      </w:r>
      <w:r>
        <w:rPr/>
        <w:t>）本期发生的非同一控制下企业合并</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left="0" w:right="8402"/>
        <w:jc w:val="center"/>
      </w:pPr>
      <w:r>
        <w:rPr/>
        <w:t>□ 适用 √</w:t>
      </w:r>
      <w:r>
        <w:rPr>
          <w:spacing w:val="4"/>
        </w:rPr>
        <w:t> </w:t>
      </w:r>
      <w:r>
        <w:rPr/>
        <w:t>不适用</w:t>
      </w:r>
    </w:p>
    <w:p>
      <w:pPr>
        <w:spacing w:after="0" w:line="240" w:lineRule="auto"/>
        <w:jc w:val="center"/>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4"/>
        <w:spacing w:line="240" w:lineRule="auto" w:before="0"/>
        <w:ind w:left="733" w:right="0"/>
        <w:jc w:val="left"/>
        <w:rPr>
          <w:b w:val="0"/>
          <w:bCs w:val="0"/>
        </w:rPr>
      </w:pPr>
      <w:r>
        <w:rPr/>
        <w:t>（</w:t>
      </w:r>
      <w:r>
        <w:rPr>
          <w:rFonts w:ascii="宋体" w:hAnsi="宋体" w:cs="宋体" w:eastAsia="宋体" w:hint="default"/>
        </w:rPr>
        <w:t>2</w:t>
      </w:r>
      <w:r>
        <w:rPr/>
        <w:t>）合并成本及商誉</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left="944" w:right="0"/>
        <w:jc w:val="left"/>
      </w:pPr>
      <w:r>
        <w:rPr/>
        <w:t>□ 适用 √</w:t>
      </w:r>
      <w:r>
        <w:rPr>
          <w:spacing w:val="4"/>
        </w:rPr>
        <w:t> </w:t>
      </w:r>
      <w:r>
        <w:rPr/>
        <w:t>不适用</w:t>
      </w:r>
    </w:p>
    <w:p>
      <w:pPr>
        <w:spacing w:line="240" w:lineRule="auto" w:before="13"/>
        <w:rPr>
          <w:rFonts w:ascii="宋体" w:hAnsi="宋体" w:cs="宋体" w:eastAsia="宋体" w:hint="default"/>
          <w:sz w:val="14"/>
          <w:szCs w:val="14"/>
        </w:rPr>
      </w:pPr>
    </w:p>
    <w:p>
      <w:pPr>
        <w:pStyle w:val="Heading4"/>
        <w:spacing w:line="240" w:lineRule="auto" w:before="0"/>
        <w:ind w:left="733" w:right="0"/>
        <w:jc w:val="left"/>
        <w:rPr>
          <w:b w:val="0"/>
          <w:bCs w:val="0"/>
        </w:rPr>
      </w:pPr>
      <w:bookmarkStart w:name="（3） 被购买方于购买日可辨认资产、负债" w:id="400"/>
      <w:bookmarkEnd w:id="400"/>
      <w:r>
        <w:rPr>
          <w:b w:val="0"/>
          <w:bCs w:val="0"/>
        </w:rPr>
      </w:r>
      <w:r>
        <w:rPr/>
        <w:t>（</w:t>
      </w:r>
      <w:r>
        <w:rPr>
          <w:rFonts w:ascii="宋体" w:hAnsi="宋体" w:cs="宋体" w:eastAsia="宋体" w:hint="default"/>
        </w:rPr>
        <w:t>3</w:t>
      </w:r>
      <w:r>
        <w:rPr/>
        <w:t>）被购买方于购买日可辨认资产、负债</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left="944" w:right="0"/>
        <w:jc w:val="left"/>
      </w:pPr>
      <w:r>
        <w:rPr/>
        <w:t>□ 适用 √</w:t>
      </w:r>
      <w:r>
        <w:rPr>
          <w:spacing w:val="4"/>
        </w:rPr>
        <w:t> </w:t>
      </w:r>
      <w:r>
        <w:rPr/>
        <w:t>不适用</w:t>
      </w:r>
    </w:p>
    <w:p>
      <w:pPr>
        <w:spacing w:line="240" w:lineRule="auto" w:before="12"/>
        <w:rPr>
          <w:rFonts w:ascii="宋体" w:hAnsi="宋体" w:cs="宋体" w:eastAsia="宋体" w:hint="default"/>
          <w:sz w:val="14"/>
          <w:szCs w:val="14"/>
        </w:rPr>
      </w:pPr>
    </w:p>
    <w:p>
      <w:pPr>
        <w:spacing w:line="405" w:lineRule="auto" w:before="0"/>
        <w:ind w:left="733" w:right="0" w:firstLine="0"/>
        <w:jc w:val="left"/>
        <w:rPr>
          <w:rFonts w:ascii="宋体" w:hAnsi="宋体" w:cs="宋体" w:eastAsia="宋体" w:hint="default"/>
          <w:sz w:val="21"/>
          <w:szCs w:val="21"/>
        </w:rPr>
      </w:pPr>
      <w:bookmarkStart w:name="（4）购买日之前持有的股权按照公允价值重新计量产生的利得或损失" w:id="401"/>
      <w:bookmarkEnd w:id="401"/>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40" w:lineRule="auto" w:before="51"/>
        <w:ind w:left="944" w:right="0"/>
        <w:jc w:val="left"/>
      </w:pPr>
      <w:r>
        <w:rPr/>
        <w:t>□ 是 √</w:t>
      </w:r>
      <w:r>
        <w:rPr>
          <w:spacing w:val="5"/>
        </w:rPr>
        <w:t> </w:t>
      </w:r>
      <w:r>
        <w:rPr/>
        <w:t>否</w:t>
      </w:r>
    </w:p>
    <w:p>
      <w:pPr>
        <w:spacing w:line="240" w:lineRule="auto" w:before="8"/>
        <w:rPr>
          <w:rFonts w:ascii="宋体" w:hAnsi="宋体" w:cs="宋体" w:eastAsia="宋体" w:hint="default"/>
          <w:sz w:val="14"/>
          <w:szCs w:val="14"/>
        </w:rPr>
      </w:pPr>
    </w:p>
    <w:p>
      <w:pPr>
        <w:pStyle w:val="Heading4"/>
        <w:spacing w:line="240" w:lineRule="auto" w:before="0"/>
        <w:ind w:left="733" w:right="0"/>
        <w:jc w:val="left"/>
        <w:rPr>
          <w:b w:val="0"/>
          <w:bCs w:val="0"/>
        </w:rPr>
      </w:pPr>
      <w:bookmarkStart w:name="（4） 购买日或合并当期期末无法合理确定合并对价或被购买方可辨认资产、负债公允价" w:id="402"/>
      <w:bookmarkEnd w:id="402"/>
      <w:r>
        <w:rPr>
          <w:b w:val="0"/>
          <w:bCs w:val="0"/>
        </w:rPr>
      </w:r>
      <w:r>
        <w:rPr/>
        <w:t>（</w:t>
      </w:r>
      <w:r>
        <w:rPr>
          <w:rFonts w:ascii="宋体" w:hAnsi="宋体" w:cs="宋体" w:eastAsia="宋体" w:hint="default"/>
        </w:rPr>
        <w:t>4</w:t>
      </w:r>
      <w:r>
        <w:rPr/>
        <w:t>）购买日或合并当期期末无法合理确定合并对价或被购买方可辨认资产、负债公允价值的相关说明</w:t>
      </w:r>
      <w:r>
        <w:rPr>
          <w:b w:val="0"/>
          <w:bCs w:val="0"/>
        </w:rPr>
      </w:r>
    </w:p>
    <w:p>
      <w:pPr>
        <w:spacing w:line="240" w:lineRule="auto" w:before="12"/>
        <w:rPr>
          <w:rFonts w:ascii="宋体" w:hAnsi="宋体" w:cs="宋体" w:eastAsia="宋体" w:hint="default"/>
          <w:b/>
          <w:bCs/>
          <w:sz w:val="14"/>
          <w:szCs w:val="14"/>
        </w:rPr>
      </w:pPr>
    </w:p>
    <w:p>
      <w:pPr>
        <w:spacing w:line="600" w:lineRule="auto" w:before="0"/>
        <w:ind w:left="733" w:right="8536" w:firstLine="211"/>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w w:val="100"/>
          <w:sz w:val="21"/>
          <w:szCs w:val="21"/>
        </w:rPr>
        <w:t> </w:t>
      </w:r>
      <w:bookmarkStart w:name="2、同一控制下企业合并" w:id="403"/>
      <w:bookmarkEnd w:id="403"/>
      <w:r>
        <w:rPr>
          <w:rFonts w:ascii="宋体" w:hAnsi="宋体" w:cs="宋体" w:eastAsia="宋体" w:hint="default"/>
          <w:w w:val="100"/>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pStyle w:val="Heading4"/>
        <w:spacing w:line="240" w:lineRule="auto" w:before="106"/>
        <w:ind w:left="733" w:right="0"/>
        <w:jc w:val="left"/>
        <w:rPr>
          <w:b w:val="0"/>
          <w:bCs w:val="0"/>
        </w:rPr>
      </w:pPr>
      <w:r>
        <w:rPr/>
        <w:t>（</w:t>
      </w:r>
      <w:r>
        <w:rPr>
          <w:rFonts w:ascii="宋体" w:hAnsi="宋体" w:cs="宋体" w:eastAsia="宋体" w:hint="default"/>
        </w:rPr>
        <w:t>1</w:t>
      </w:r>
      <w:r>
        <w:rPr/>
        <w:t>）本期发生的同一控制下企业合并</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left="944" w:right="0"/>
        <w:jc w:val="left"/>
      </w:pPr>
      <w:r>
        <w:rPr/>
        <w:t>□ 适用 √</w:t>
      </w:r>
      <w:r>
        <w:rPr>
          <w:spacing w:val="4"/>
        </w:rPr>
        <w:t> </w:t>
      </w:r>
      <w:r>
        <w:rPr/>
        <w:t>不适用</w:t>
      </w:r>
    </w:p>
    <w:p>
      <w:pPr>
        <w:spacing w:line="240" w:lineRule="auto" w:before="13"/>
        <w:rPr>
          <w:rFonts w:ascii="宋体" w:hAnsi="宋体" w:cs="宋体" w:eastAsia="宋体" w:hint="default"/>
          <w:sz w:val="14"/>
          <w:szCs w:val="14"/>
        </w:rPr>
      </w:pPr>
    </w:p>
    <w:p>
      <w:pPr>
        <w:pStyle w:val="Heading4"/>
        <w:spacing w:line="240" w:lineRule="auto" w:before="0"/>
        <w:ind w:left="733" w:right="0"/>
        <w:jc w:val="left"/>
        <w:rPr>
          <w:b w:val="0"/>
          <w:bCs w:val="0"/>
        </w:rPr>
      </w:pPr>
      <w:r>
        <w:rPr/>
        <w:t>（</w:t>
      </w:r>
      <w:r>
        <w:rPr>
          <w:rFonts w:ascii="宋体" w:hAnsi="宋体" w:cs="宋体" w:eastAsia="宋体" w:hint="default"/>
        </w:rPr>
        <w:t>2</w:t>
      </w:r>
      <w:r>
        <w:rPr/>
        <w:t>）合并成本</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left="944" w:right="0"/>
        <w:jc w:val="left"/>
      </w:pPr>
      <w:r>
        <w:rPr/>
        <w:t>□ 适用 √</w:t>
      </w:r>
      <w:r>
        <w:rPr>
          <w:spacing w:val="4"/>
        </w:rPr>
        <w:t> </w:t>
      </w:r>
      <w:r>
        <w:rPr/>
        <w:t>不适用</w:t>
      </w:r>
    </w:p>
    <w:p>
      <w:pPr>
        <w:spacing w:line="240" w:lineRule="auto" w:before="12"/>
        <w:rPr>
          <w:rFonts w:ascii="宋体" w:hAnsi="宋体" w:cs="宋体" w:eastAsia="宋体" w:hint="default"/>
          <w:sz w:val="14"/>
          <w:szCs w:val="14"/>
        </w:rPr>
      </w:pPr>
    </w:p>
    <w:p>
      <w:pPr>
        <w:pStyle w:val="Heading4"/>
        <w:spacing w:line="240" w:lineRule="auto" w:before="0"/>
        <w:ind w:left="733" w:right="0"/>
        <w:jc w:val="left"/>
        <w:rPr>
          <w:b w:val="0"/>
          <w:bCs w:val="0"/>
        </w:rPr>
      </w:pPr>
      <w:r>
        <w:rPr/>
        <w:t>（</w:t>
      </w:r>
      <w:r>
        <w:rPr>
          <w:rFonts w:ascii="宋体" w:hAnsi="宋体" w:cs="宋体" w:eastAsia="宋体" w:hint="default"/>
        </w:rPr>
        <w:t>3</w:t>
      </w:r>
      <w:r>
        <w:rPr/>
        <w:t>）合并日被合并方资产、负债的账面价值</w:t>
      </w:r>
      <w:r>
        <w:rPr>
          <w:b w:val="0"/>
          <w:bCs w:val="0"/>
        </w:rPr>
      </w:r>
    </w:p>
    <w:p>
      <w:pPr>
        <w:spacing w:line="240" w:lineRule="auto" w:before="8"/>
        <w:rPr>
          <w:rFonts w:ascii="宋体" w:hAnsi="宋体" w:cs="宋体" w:eastAsia="宋体" w:hint="default"/>
          <w:b/>
          <w:bCs/>
          <w:sz w:val="14"/>
          <w:szCs w:val="14"/>
        </w:rPr>
      </w:pPr>
    </w:p>
    <w:p>
      <w:pPr>
        <w:spacing w:line="410" w:lineRule="auto" w:before="0"/>
        <w:ind w:left="733" w:right="8751" w:firstLine="211"/>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3、反向购买" w:id="404"/>
      <w:bookmarkEnd w:id="404"/>
      <w:r>
        <w:rPr>
          <w:rFonts w:ascii="宋体" w:hAnsi="宋体" w:cs="宋体" w:eastAsia="宋体" w:hint="default"/>
          <w:w w:val="100"/>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410" w:lineRule="auto" w:before="41"/>
        <w:ind w:left="73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4、处置子公司" w:id="405"/>
      <w:bookmarkEnd w:id="405"/>
      <w:r>
        <w:rPr>
          <w:rFonts w:ascii="宋体" w:hAnsi="宋体" w:cs="宋体" w:eastAsia="宋体" w:hint="default"/>
          <w:w w:val="100"/>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sz w:val="21"/>
          <w:szCs w:val="21"/>
        </w:rPr>
      </w:r>
    </w:p>
    <w:p>
      <w:pPr>
        <w:pStyle w:val="BodyText"/>
        <w:spacing w:line="240" w:lineRule="auto" w:before="42"/>
        <w:ind w:left="733" w:right="0"/>
        <w:jc w:val="left"/>
      </w:pPr>
      <w:r>
        <w:rPr/>
        <w:t>是否存在单次处置对子公司投资即丧失控制权的情形</w:t>
      </w:r>
    </w:p>
    <w:p>
      <w:pPr>
        <w:spacing w:line="240" w:lineRule="auto" w:before="12"/>
        <w:rPr>
          <w:rFonts w:ascii="宋体" w:hAnsi="宋体" w:cs="宋体" w:eastAsia="宋体" w:hint="default"/>
          <w:sz w:val="14"/>
          <w:szCs w:val="14"/>
        </w:rPr>
      </w:pPr>
    </w:p>
    <w:p>
      <w:pPr>
        <w:pStyle w:val="BodyText"/>
        <w:spacing w:line="240" w:lineRule="auto"/>
        <w:ind w:left="733" w:right="0"/>
        <w:jc w:val="left"/>
      </w:pPr>
      <w:r>
        <w:rPr/>
        <w:t>√ 是 □</w:t>
      </w:r>
      <w:r>
        <w:rPr>
          <w:spacing w:val="5"/>
        </w:rPr>
        <w:t> </w:t>
      </w:r>
      <w:r>
        <w:rPr/>
        <w:t>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809"/>
        <w:gridCol w:w="1282"/>
        <w:gridCol w:w="735"/>
        <w:gridCol w:w="734"/>
        <w:gridCol w:w="735"/>
        <w:gridCol w:w="734"/>
        <w:gridCol w:w="1258"/>
        <w:gridCol w:w="629"/>
        <w:gridCol w:w="614"/>
        <w:gridCol w:w="721"/>
        <w:gridCol w:w="735"/>
        <w:gridCol w:w="869"/>
        <w:gridCol w:w="797"/>
      </w:tblGrid>
      <w:tr>
        <w:trPr>
          <w:trHeight w:val="1983" w:hRule="exact"/>
        </w:trPr>
        <w:tc>
          <w:tcPr>
            <w:tcW w:w="809"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381" w:lineRule="auto"/>
              <w:ind w:left="242" w:right="175" w:hanging="77"/>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w w:val="99"/>
                <w:sz w:val="15"/>
                <w:szCs w:val="15"/>
              </w:rPr>
              <w:t> </w:t>
            </w:r>
            <w:r>
              <w:rPr>
                <w:rFonts w:ascii="宋体" w:hAnsi="宋体" w:cs="宋体" w:eastAsia="宋体" w:hint="default"/>
                <w:sz w:val="15"/>
                <w:szCs w:val="15"/>
              </w:rPr>
              <w:t>名称</w:t>
            </w:r>
          </w:p>
        </w:tc>
        <w:tc>
          <w:tcPr>
            <w:tcW w:w="1282"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187" w:right="0"/>
              <w:jc w:val="left"/>
              <w:rPr>
                <w:rFonts w:ascii="宋体" w:hAnsi="宋体" w:cs="宋体" w:eastAsia="宋体" w:hint="default"/>
                <w:sz w:val="15"/>
                <w:szCs w:val="15"/>
              </w:rPr>
            </w:pPr>
            <w:r>
              <w:rPr>
                <w:rFonts w:ascii="宋体" w:hAnsi="宋体" w:cs="宋体" w:eastAsia="宋体" w:hint="default"/>
                <w:sz w:val="15"/>
                <w:szCs w:val="15"/>
              </w:rPr>
              <w:t>股权处置价款</w:t>
            </w:r>
          </w:p>
        </w:tc>
        <w:tc>
          <w:tcPr>
            <w:tcW w:w="735"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381" w:lineRule="auto"/>
              <w:ind w:left="134" w:right="142"/>
              <w:jc w:val="left"/>
              <w:rPr>
                <w:rFonts w:ascii="宋体" w:hAnsi="宋体" w:cs="宋体" w:eastAsia="宋体" w:hint="default"/>
                <w:sz w:val="15"/>
                <w:szCs w:val="15"/>
              </w:rPr>
            </w:pPr>
            <w:r>
              <w:rPr>
                <w:rFonts w:ascii="宋体" w:hAnsi="宋体" w:cs="宋体" w:eastAsia="宋体" w:hint="default"/>
                <w:sz w:val="15"/>
                <w:szCs w:val="15"/>
              </w:rPr>
              <w:t>股权处</w:t>
            </w:r>
            <w:r>
              <w:rPr>
                <w:rFonts w:ascii="宋体" w:hAnsi="宋体" w:cs="宋体" w:eastAsia="宋体" w:hint="default"/>
                <w:w w:val="99"/>
                <w:sz w:val="15"/>
                <w:szCs w:val="15"/>
              </w:rPr>
              <w:t> </w:t>
            </w:r>
            <w:r>
              <w:rPr>
                <w:rFonts w:ascii="宋体" w:hAnsi="宋体" w:cs="宋体" w:eastAsia="宋体" w:hint="default"/>
                <w:sz w:val="15"/>
                <w:szCs w:val="15"/>
              </w:rPr>
              <w:t>置比例</w:t>
            </w:r>
          </w:p>
        </w:tc>
        <w:tc>
          <w:tcPr>
            <w:tcW w:w="734"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381" w:lineRule="auto"/>
              <w:ind w:left="139" w:right="137"/>
              <w:jc w:val="left"/>
              <w:rPr>
                <w:rFonts w:ascii="宋体" w:hAnsi="宋体" w:cs="宋体" w:eastAsia="宋体" w:hint="default"/>
                <w:sz w:val="15"/>
                <w:szCs w:val="15"/>
              </w:rPr>
            </w:pPr>
            <w:r>
              <w:rPr>
                <w:rFonts w:ascii="宋体" w:hAnsi="宋体" w:cs="宋体" w:eastAsia="宋体" w:hint="default"/>
                <w:sz w:val="15"/>
                <w:szCs w:val="15"/>
              </w:rPr>
              <w:t>股权处</w:t>
            </w:r>
            <w:r>
              <w:rPr>
                <w:rFonts w:ascii="宋体" w:hAnsi="宋体" w:cs="宋体" w:eastAsia="宋体" w:hint="default"/>
                <w:w w:val="99"/>
                <w:sz w:val="15"/>
                <w:szCs w:val="15"/>
              </w:rPr>
              <w:t> </w:t>
            </w:r>
            <w:r>
              <w:rPr>
                <w:rFonts w:ascii="宋体" w:hAnsi="宋体" w:cs="宋体" w:eastAsia="宋体" w:hint="default"/>
                <w:sz w:val="15"/>
                <w:szCs w:val="15"/>
              </w:rPr>
              <w:t>置方式</w:t>
            </w:r>
          </w:p>
        </w:tc>
        <w:tc>
          <w:tcPr>
            <w:tcW w:w="735"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81" w:lineRule="auto"/>
              <w:ind w:left="139" w:right="137"/>
              <w:jc w:val="both"/>
              <w:rPr>
                <w:rFonts w:ascii="宋体" w:hAnsi="宋体" w:cs="宋体" w:eastAsia="宋体" w:hint="default"/>
                <w:sz w:val="15"/>
                <w:szCs w:val="15"/>
              </w:rPr>
            </w:pPr>
            <w:r>
              <w:rPr>
                <w:rFonts w:ascii="宋体" w:hAnsi="宋体" w:cs="宋体" w:eastAsia="宋体" w:hint="default"/>
                <w:sz w:val="15"/>
                <w:szCs w:val="15"/>
              </w:rPr>
              <w:t>丧失控</w:t>
            </w:r>
            <w:r>
              <w:rPr>
                <w:rFonts w:ascii="宋体" w:hAnsi="宋体" w:cs="宋体" w:eastAsia="宋体" w:hint="default"/>
                <w:w w:val="99"/>
                <w:sz w:val="15"/>
                <w:szCs w:val="15"/>
              </w:rPr>
              <w:t> </w:t>
            </w:r>
            <w:r>
              <w:rPr>
                <w:rFonts w:ascii="宋体" w:hAnsi="宋体" w:cs="宋体" w:eastAsia="宋体" w:hint="default"/>
                <w:sz w:val="15"/>
                <w:szCs w:val="15"/>
              </w:rPr>
              <w:t>制权的</w:t>
            </w:r>
            <w:r>
              <w:rPr>
                <w:rFonts w:ascii="宋体" w:hAnsi="宋体" w:cs="宋体" w:eastAsia="宋体" w:hint="default"/>
                <w:w w:val="99"/>
                <w:sz w:val="15"/>
                <w:szCs w:val="15"/>
              </w:rPr>
              <w:t> </w:t>
            </w:r>
            <w:r>
              <w:rPr>
                <w:rFonts w:ascii="宋体" w:hAnsi="宋体" w:cs="宋体" w:eastAsia="宋体" w:hint="default"/>
                <w:sz w:val="15"/>
                <w:szCs w:val="15"/>
              </w:rPr>
              <w:t>时点</w:t>
            </w:r>
          </w:p>
        </w:tc>
        <w:tc>
          <w:tcPr>
            <w:tcW w:w="734"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381" w:lineRule="auto"/>
              <w:ind w:left="139" w:right="137"/>
              <w:jc w:val="both"/>
              <w:rPr>
                <w:rFonts w:ascii="宋体" w:hAnsi="宋体" w:cs="宋体" w:eastAsia="宋体" w:hint="default"/>
                <w:sz w:val="15"/>
                <w:szCs w:val="15"/>
              </w:rPr>
            </w:pPr>
            <w:r>
              <w:rPr>
                <w:rFonts w:ascii="宋体" w:hAnsi="宋体" w:cs="宋体" w:eastAsia="宋体" w:hint="default"/>
                <w:sz w:val="15"/>
                <w:szCs w:val="15"/>
              </w:rPr>
              <w:t>丧失控</w:t>
            </w:r>
            <w:r>
              <w:rPr>
                <w:rFonts w:ascii="宋体" w:hAnsi="宋体" w:cs="宋体" w:eastAsia="宋体" w:hint="default"/>
                <w:w w:val="99"/>
                <w:sz w:val="15"/>
                <w:szCs w:val="15"/>
              </w:rPr>
              <w:t> </w:t>
            </w:r>
            <w:r>
              <w:rPr>
                <w:rFonts w:ascii="宋体" w:hAnsi="宋体" w:cs="宋体" w:eastAsia="宋体" w:hint="default"/>
                <w:sz w:val="15"/>
                <w:szCs w:val="15"/>
              </w:rPr>
              <w:t>制权时</w:t>
            </w:r>
            <w:r>
              <w:rPr>
                <w:rFonts w:ascii="宋体" w:hAnsi="宋体" w:cs="宋体" w:eastAsia="宋体" w:hint="default"/>
                <w:w w:val="99"/>
                <w:sz w:val="15"/>
                <w:szCs w:val="15"/>
              </w:rPr>
              <w:t> </w:t>
            </w:r>
            <w:r>
              <w:rPr>
                <w:rFonts w:ascii="宋体" w:hAnsi="宋体" w:cs="宋体" w:eastAsia="宋体" w:hint="default"/>
                <w:sz w:val="15"/>
                <w:szCs w:val="15"/>
              </w:rPr>
              <w:t>点的确</w:t>
            </w:r>
            <w:r>
              <w:rPr>
                <w:rFonts w:ascii="宋体" w:hAnsi="宋体" w:cs="宋体" w:eastAsia="宋体" w:hint="default"/>
                <w:w w:val="99"/>
                <w:sz w:val="15"/>
                <w:szCs w:val="15"/>
              </w:rPr>
              <w:t> </w:t>
            </w:r>
            <w:r>
              <w:rPr>
                <w:rFonts w:ascii="宋体" w:hAnsi="宋体" w:cs="宋体" w:eastAsia="宋体" w:hint="default"/>
                <w:sz w:val="15"/>
                <w:szCs w:val="15"/>
              </w:rPr>
              <w:t>定依据</w:t>
            </w:r>
          </w:p>
        </w:tc>
        <w:tc>
          <w:tcPr>
            <w:tcW w:w="1258"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381" w:lineRule="auto" w:before="79"/>
              <w:ind w:left="173" w:right="180"/>
              <w:jc w:val="center"/>
              <w:rPr>
                <w:rFonts w:ascii="宋体" w:hAnsi="宋体" w:cs="宋体" w:eastAsia="宋体" w:hint="default"/>
                <w:sz w:val="15"/>
                <w:szCs w:val="15"/>
              </w:rPr>
            </w:pPr>
            <w:r>
              <w:rPr>
                <w:rFonts w:ascii="宋体" w:hAnsi="宋体" w:cs="宋体" w:eastAsia="宋体" w:hint="default"/>
                <w:w w:val="95"/>
                <w:sz w:val="15"/>
                <w:szCs w:val="15"/>
              </w:rPr>
              <w:t>处置价款与处</w:t>
            </w:r>
            <w:r>
              <w:rPr>
                <w:rFonts w:ascii="宋体" w:hAnsi="宋体" w:cs="宋体" w:eastAsia="宋体" w:hint="default"/>
                <w:spacing w:val="-40"/>
                <w:w w:val="95"/>
                <w:sz w:val="15"/>
                <w:szCs w:val="15"/>
              </w:rPr>
              <w:t> </w:t>
            </w:r>
            <w:r>
              <w:rPr>
                <w:rFonts w:ascii="宋体" w:hAnsi="宋体" w:cs="宋体" w:eastAsia="宋体" w:hint="default"/>
                <w:w w:val="95"/>
                <w:sz w:val="15"/>
                <w:szCs w:val="15"/>
              </w:rPr>
              <w:t>置投资对应的</w:t>
            </w:r>
            <w:r>
              <w:rPr>
                <w:rFonts w:ascii="宋体" w:hAnsi="宋体" w:cs="宋体" w:eastAsia="宋体" w:hint="default"/>
                <w:spacing w:val="-40"/>
                <w:w w:val="95"/>
                <w:sz w:val="15"/>
                <w:szCs w:val="15"/>
              </w:rPr>
              <w:t> </w:t>
            </w:r>
            <w:r>
              <w:rPr>
                <w:rFonts w:ascii="宋体" w:hAnsi="宋体" w:cs="宋体" w:eastAsia="宋体" w:hint="default"/>
                <w:w w:val="95"/>
                <w:sz w:val="15"/>
                <w:szCs w:val="15"/>
              </w:rPr>
              <w:t>合并财务报表</w:t>
            </w:r>
            <w:r>
              <w:rPr>
                <w:rFonts w:ascii="宋体" w:hAnsi="宋体" w:cs="宋体" w:eastAsia="宋体" w:hint="default"/>
                <w:spacing w:val="-40"/>
                <w:w w:val="95"/>
                <w:sz w:val="15"/>
                <w:szCs w:val="15"/>
              </w:rPr>
              <w:t> </w:t>
            </w:r>
            <w:r>
              <w:rPr>
                <w:rFonts w:ascii="宋体" w:hAnsi="宋体" w:cs="宋体" w:eastAsia="宋体" w:hint="default"/>
                <w:w w:val="95"/>
                <w:sz w:val="15"/>
                <w:szCs w:val="15"/>
              </w:rPr>
              <w:t>层面享有该子</w:t>
            </w:r>
            <w:r>
              <w:rPr>
                <w:rFonts w:ascii="宋体" w:hAnsi="宋体" w:cs="宋体" w:eastAsia="宋体" w:hint="default"/>
                <w:spacing w:val="-40"/>
                <w:w w:val="95"/>
                <w:sz w:val="15"/>
                <w:szCs w:val="15"/>
              </w:rPr>
              <w:t> </w:t>
            </w:r>
            <w:r>
              <w:rPr>
                <w:rFonts w:ascii="宋体" w:hAnsi="宋体" w:cs="宋体" w:eastAsia="宋体" w:hint="default"/>
                <w:w w:val="95"/>
                <w:sz w:val="15"/>
                <w:szCs w:val="15"/>
              </w:rPr>
              <w:t>公司净资产份</w:t>
            </w:r>
            <w:r>
              <w:rPr>
                <w:rFonts w:ascii="宋体" w:hAnsi="宋体" w:cs="宋体" w:eastAsia="宋体" w:hint="default"/>
                <w:spacing w:val="-40"/>
                <w:w w:val="95"/>
                <w:sz w:val="15"/>
                <w:szCs w:val="15"/>
              </w:rPr>
              <w:t> </w:t>
            </w:r>
            <w:r>
              <w:rPr>
                <w:rFonts w:ascii="宋体" w:hAnsi="宋体" w:cs="宋体" w:eastAsia="宋体" w:hint="default"/>
                <w:sz w:val="15"/>
                <w:szCs w:val="15"/>
              </w:rPr>
              <w:t>额的差额</w:t>
            </w:r>
          </w:p>
        </w:tc>
        <w:tc>
          <w:tcPr>
            <w:tcW w:w="629"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381" w:lineRule="auto" w:before="98"/>
              <w:ind w:left="158" w:right="161"/>
              <w:jc w:val="both"/>
              <w:rPr>
                <w:rFonts w:ascii="宋体" w:hAnsi="宋体" w:cs="宋体" w:eastAsia="宋体" w:hint="default"/>
                <w:sz w:val="15"/>
                <w:szCs w:val="15"/>
              </w:rPr>
            </w:pPr>
            <w:r>
              <w:rPr>
                <w:rFonts w:ascii="宋体" w:hAnsi="宋体" w:cs="宋体" w:eastAsia="宋体" w:hint="default"/>
                <w:sz w:val="15"/>
                <w:szCs w:val="15"/>
              </w:rPr>
              <w:t>丧失</w:t>
            </w:r>
            <w:r>
              <w:rPr>
                <w:rFonts w:ascii="宋体" w:hAnsi="宋体" w:cs="宋体" w:eastAsia="宋体" w:hint="default"/>
                <w:w w:val="99"/>
                <w:sz w:val="15"/>
                <w:szCs w:val="15"/>
              </w:rPr>
              <w:t> </w:t>
            </w:r>
            <w:r>
              <w:rPr>
                <w:rFonts w:ascii="宋体" w:hAnsi="宋体" w:cs="宋体" w:eastAsia="宋体" w:hint="default"/>
                <w:sz w:val="15"/>
                <w:szCs w:val="15"/>
              </w:rPr>
              <w:t>控制</w:t>
            </w:r>
            <w:r>
              <w:rPr>
                <w:rFonts w:ascii="宋体" w:hAnsi="宋体" w:cs="宋体" w:eastAsia="宋体" w:hint="default"/>
                <w:w w:val="99"/>
                <w:sz w:val="15"/>
                <w:szCs w:val="15"/>
              </w:rPr>
              <w:t> </w:t>
            </w:r>
            <w:r>
              <w:rPr>
                <w:rFonts w:ascii="宋体" w:hAnsi="宋体" w:cs="宋体" w:eastAsia="宋体" w:hint="default"/>
                <w:sz w:val="15"/>
                <w:szCs w:val="15"/>
              </w:rPr>
              <w:t>权之</w:t>
            </w:r>
            <w:r>
              <w:rPr>
                <w:rFonts w:ascii="宋体" w:hAnsi="宋体" w:cs="宋体" w:eastAsia="宋体" w:hint="default"/>
                <w:w w:val="99"/>
                <w:sz w:val="15"/>
                <w:szCs w:val="15"/>
              </w:rPr>
              <w:t> </w:t>
            </w:r>
            <w:r>
              <w:rPr>
                <w:rFonts w:ascii="宋体" w:hAnsi="宋体" w:cs="宋体" w:eastAsia="宋体" w:hint="default"/>
                <w:sz w:val="15"/>
                <w:szCs w:val="15"/>
              </w:rPr>
              <w:t>日剩</w:t>
            </w:r>
            <w:r>
              <w:rPr>
                <w:rFonts w:ascii="宋体" w:hAnsi="宋体" w:cs="宋体" w:eastAsia="宋体" w:hint="default"/>
                <w:w w:val="99"/>
                <w:sz w:val="15"/>
                <w:szCs w:val="15"/>
              </w:rPr>
              <w:t> </w:t>
            </w:r>
            <w:r>
              <w:rPr>
                <w:rFonts w:ascii="宋体" w:hAnsi="宋体" w:cs="宋体" w:eastAsia="宋体" w:hint="default"/>
                <w:sz w:val="15"/>
                <w:szCs w:val="15"/>
              </w:rPr>
              <w:t>余股</w:t>
            </w:r>
            <w:r>
              <w:rPr>
                <w:rFonts w:ascii="宋体" w:hAnsi="宋体" w:cs="宋体" w:eastAsia="宋体" w:hint="default"/>
                <w:w w:val="99"/>
                <w:sz w:val="15"/>
                <w:szCs w:val="15"/>
              </w:rPr>
              <w:t> </w:t>
            </w:r>
            <w:r>
              <w:rPr>
                <w:rFonts w:ascii="宋体" w:hAnsi="宋体" w:cs="宋体" w:eastAsia="宋体" w:hint="default"/>
                <w:sz w:val="15"/>
                <w:szCs w:val="15"/>
              </w:rPr>
              <w:t>权的</w:t>
            </w:r>
          </w:p>
        </w:tc>
        <w:tc>
          <w:tcPr>
            <w:tcW w:w="614"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381" w:lineRule="auto" w:before="98"/>
              <w:ind w:left="153" w:right="151"/>
              <w:jc w:val="both"/>
              <w:rPr>
                <w:rFonts w:ascii="宋体" w:hAnsi="宋体" w:cs="宋体" w:eastAsia="宋体" w:hint="default"/>
                <w:sz w:val="15"/>
                <w:szCs w:val="15"/>
              </w:rPr>
            </w:pPr>
            <w:r>
              <w:rPr>
                <w:rFonts w:ascii="宋体" w:hAnsi="宋体" w:cs="宋体" w:eastAsia="宋体" w:hint="default"/>
                <w:sz w:val="15"/>
                <w:szCs w:val="15"/>
              </w:rPr>
              <w:t>丧失</w:t>
            </w:r>
            <w:r>
              <w:rPr>
                <w:rFonts w:ascii="宋体" w:hAnsi="宋体" w:cs="宋体" w:eastAsia="宋体" w:hint="default"/>
                <w:w w:val="99"/>
                <w:sz w:val="15"/>
                <w:szCs w:val="15"/>
              </w:rPr>
              <w:t> </w:t>
            </w:r>
            <w:r>
              <w:rPr>
                <w:rFonts w:ascii="宋体" w:hAnsi="宋体" w:cs="宋体" w:eastAsia="宋体" w:hint="default"/>
                <w:sz w:val="15"/>
                <w:szCs w:val="15"/>
              </w:rPr>
              <w:t>控制</w:t>
            </w:r>
            <w:r>
              <w:rPr>
                <w:rFonts w:ascii="宋体" w:hAnsi="宋体" w:cs="宋体" w:eastAsia="宋体" w:hint="default"/>
                <w:w w:val="99"/>
                <w:sz w:val="15"/>
                <w:szCs w:val="15"/>
              </w:rPr>
              <w:t> </w:t>
            </w:r>
            <w:r>
              <w:rPr>
                <w:rFonts w:ascii="宋体" w:hAnsi="宋体" w:cs="宋体" w:eastAsia="宋体" w:hint="default"/>
                <w:sz w:val="15"/>
                <w:szCs w:val="15"/>
              </w:rPr>
              <w:t>权之</w:t>
            </w:r>
            <w:r>
              <w:rPr>
                <w:rFonts w:ascii="宋体" w:hAnsi="宋体" w:cs="宋体" w:eastAsia="宋体" w:hint="default"/>
                <w:w w:val="99"/>
                <w:sz w:val="15"/>
                <w:szCs w:val="15"/>
              </w:rPr>
              <w:t> </w:t>
            </w:r>
            <w:r>
              <w:rPr>
                <w:rFonts w:ascii="宋体" w:hAnsi="宋体" w:cs="宋体" w:eastAsia="宋体" w:hint="default"/>
                <w:sz w:val="15"/>
                <w:szCs w:val="15"/>
              </w:rPr>
              <w:t>日剩</w:t>
            </w:r>
            <w:r>
              <w:rPr>
                <w:rFonts w:ascii="宋体" w:hAnsi="宋体" w:cs="宋体" w:eastAsia="宋体" w:hint="default"/>
                <w:w w:val="99"/>
                <w:sz w:val="15"/>
                <w:szCs w:val="15"/>
              </w:rPr>
              <w:t> </w:t>
            </w:r>
            <w:r>
              <w:rPr>
                <w:rFonts w:ascii="宋体" w:hAnsi="宋体" w:cs="宋体" w:eastAsia="宋体" w:hint="default"/>
                <w:sz w:val="15"/>
                <w:szCs w:val="15"/>
              </w:rPr>
              <w:t>余股</w:t>
            </w:r>
            <w:r>
              <w:rPr>
                <w:rFonts w:ascii="宋体" w:hAnsi="宋体" w:cs="宋体" w:eastAsia="宋体" w:hint="default"/>
                <w:w w:val="99"/>
                <w:sz w:val="15"/>
                <w:szCs w:val="15"/>
              </w:rPr>
              <w:t> </w:t>
            </w:r>
            <w:r>
              <w:rPr>
                <w:rFonts w:ascii="宋体" w:hAnsi="宋体" w:cs="宋体" w:eastAsia="宋体" w:hint="default"/>
                <w:sz w:val="15"/>
                <w:szCs w:val="15"/>
              </w:rPr>
              <w:t>权的</w:t>
            </w:r>
          </w:p>
        </w:tc>
        <w:tc>
          <w:tcPr>
            <w:tcW w:w="721"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381" w:lineRule="auto" w:before="79"/>
              <w:ind w:left="129" w:right="134"/>
              <w:jc w:val="center"/>
              <w:rPr>
                <w:rFonts w:ascii="宋体" w:hAnsi="宋体" w:cs="宋体" w:eastAsia="宋体" w:hint="default"/>
                <w:sz w:val="15"/>
                <w:szCs w:val="15"/>
              </w:rPr>
            </w:pPr>
            <w:r>
              <w:rPr>
                <w:rFonts w:ascii="宋体" w:hAnsi="宋体" w:cs="宋体" w:eastAsia="宋体" w:hint="default"/>
                <w:sz w:val="15"/>
                <w:szCs w:val="15"/>
              </w:rPr>
              <w:t>丧失控</w:t>
            </w:r>
            <w:r>
              <w:rPr>
                <w:rFonts w:ascii="宋体" w:hAnsi="宋体" w:cs="宋体" w:eastAsia="宋体" w:hint="default"/>
                <w:w w:val="99"/>
                <w:sz w:val="15"/>
                <w:szCs w:val="15"/>
              </w:rPr>
              <w:t> </w:t>
            </w:r>
            <w:r>
              <w:rPr>
                <w:rFonts w:ascii="宋体" w:hAnsi="宋体" w:cs="宋体" w:eastAsia="宋体" w:hint="default"/>
                <w:sz w:val="15"/>
                <w:szCs w:val="15"/>
              </w:rPr>
              <w:t>制权之</w:t>
            </w:r>
            <w:r>
              <w:rPr>
                <w:rFonts w:ascii="宋体" w:hAnsi="宋体" w:cs="宋体" w:eastAsia="宋体" w:hint="default"/>
                <w:w w:val="99"/>
                <w:sz w:val="15"/>
                <w:szCs w:val="15"/>
              </w:rPr>
              <w:t> </w:t>
            </w:r>
            <w:r>
              <w:rPr>
                <w:rFonts w:ascii="宋体" w:hAnsi="宋体" w:cs="宋体" w:eastAsia="宋体" w:hint="default"/>
                <w:sz w:val="15"/>
                <w:szCs w:val="15"/>
              </w:rPr>
              <w:t>日剩余</w:t>
            </w:r>
            <w:r>
              <w:rPr>
                <w:rFonts w:ascii="宋体" w:hAnsi="宋体" w:cs="宋体" w:eastAsia="宋体" w:hint="default"/>
                <w:w w:val="99"/>
                <w:sz w:val="15"/>
                <w:szCs w:val="15"/>
              </w:rPr>
              <w:t> </w:t>
            </w:r>
            <w:r>
              <w:rPr>
                <w:rFonts w:ascii="宋体" w:hAnsi="宋体" w:cs="宋体" w:eastAsia="宋体" w:hint="default"/>
                <w:sz w:val="15"/>
                <w:szCs w:val="15"/>
              </w:rPr>
              <w:t>股权的</w:t>
            </w:r>
            <w:r>
              <w:rPr>
                <w:rFonts w:ascii="宋体" w:hAnsi="宋体" w:cs="宋体" w:eastAsia="宋体" w:hint="default"/>
                <w:w w:val="99"/>
                <w:sz w:val="15"/>
                <w:szCs w:val="15"/>
              </w:rPr>
              <w:t> </w:t>
            </w:r>
            <w:r>
              <w:rPr>
                <w:rFonts w:ascii="宋体" w:hAnsi="宋体" w:cs="宋体" w:eastAsia="宋体" w:hint="default"/>
                <w:sz w:val="15"/>
                <w:szCs w:val="15"/>
              </w:rPr>
              <w:t>公允价</w:t>
            </w:r>
            <w:r>
              <w:rPr>
                <w:rFonts w:ascii="宋体" w:hAnsi="宋体" w:cs="宋体" w:eastAsia="宋体" w:hint="default"/>
                <w:w w:val="99"/>
                <w:sz w:val="15"/>
                <w:szCs w:val="15"/>
              </w:rPr>
              <w:t> </w:t>
            </w:r>
            <w:r>
              <w:rPr>
                <w:rFonts w:ascii="宋体" w:hAnsi="宋体" w:cs="宋体" w:eastAsia="宋体" w:hint="default"/>
                <w:sz w:val="15"/>
                <w:szCs w:val="15"/>
              </w:rPr>
              <w:t>值</w:t>
            </w:r>
          </w:p>
        </w:tc>
        <w:tc>
          <w:tcPr>
            <w:tcW w:w="735"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381" w:lineRule="auto" w:before="98"/>
              <w:ind w:left="139" w:right="137"/>
              <w:jc w:val="both"/>
              <w:rPr>
                <w:rFonts w:ascii="宋体" w:hAnsi="宋体" w:cs="宋体" w:eastAsia="宋体" w:hint="default"/>
                <w:sz w:val="15"/>
                <w:szCs w:val="15"/>
              </w:rPr>
            </w:pPr>
            <w:r>
              <w:rPr>
                <w:rFonts w:ascii="宋体" w:hAnsi="宋体" w:cs="宋体" w:eastAsia="宋体" w:hint="default"/>
                <w:sz w:val="15"/>
                <w:szCs w:val="15"/>
              </w:rPr>
              <w:t>按照公</w:t>
            </w:r>
            <w:r>
              <w:rPr>
                <w:rFonts w:ascii="宋体" w:hAnsi="宋体" w:cs="宋体" w:eastAsia="宋体" w:hint="default"/>
                <w:w w:val="99"/>
                <w:sz w:val="15"/>
                <w:szCs w:val="15"/>
              </w:rPr>
              <w:t> </w:t>
            </w:r>
            <w:r>
              <w:rPr>
                <w:rFonts w:ascii="宋体" w:hAnsi="宋体" w:cs="宋体" w:eastAsia="宋体" w:hint="default"/>
                <w:sz w:val="15"/>
                <w:szCs w:val="15"/>
              </w:rPr>
              <w:t>允价值</w:t>
            </w:r>
            <w:r>
              <w:rPr>
                <w:rFonts w:ascii="宋体" w:hAnsi="宋体" w:cs="宋体" w:eastAsia="宋体" w:hint="default"/>
                <w:w w:val="99"/>
                <w:sz w:val="15"/>
                <w:szCs w:val="15"/>
              </w:rPr>
              <w:t> </w:t>
            </w:r>
            <w:r>
              <w:rPr>
                <w:rFonts w:ascii="宋体" w:hAnsi="宋体" w:cs="宋体" w:eastAsia="宋体" w:hint="default"/>
                <w:sz w:val="15"/>
                <w:szCs w:val="15"/>
              </w:rPr>
              <w:t>重新计</w:t>
            </w:r>
            <w:r>
              <w:rPr>
                <w:rFonts w:ascii="宋体" w:hAnsi="宋体" w:cs="宋体" w:eastAsia="宋体" w:hint="default"/>
                <w:w w:val="99"/>
                <w:sz w:val="15"/>
                <w:szCs w:val="15"/>
              </w:rPr>
              <w:t> </w:t>
            </w:r>
            <w:r>
              <w:rPr>
                <w:rFonts w:ascii="宋体" w:hAnsi="宋体" w:cs="宋体" w:eastAsia="宋体" w:hint="default"/>
                <w:sz w:val="15"/>
                <w:szCs w:val="15"/>
              </w:rPr>
              <w:t>量剩余</w:t>
            </w:r>
            <w:r>
              <w:rPr>
                <w:rFonts w:ascii="宋体" w:hAnsi="宋体" w:cs="宋体" w:eastAsia="宋体" w:hint="default"/>
                <w:w w:val="99"/>
                <w:sz w:val="15"/>
                <w:szCs w:val="15"/>
              </w:rPr>
              <w:t> </w:t>
            </w:r>
            <w:r>
              <w:rPr>
                <w:rFonts w:ascii="宋体" w:hAnsi="宋体" w:cs="宋体" w:eastAsia="宋体" w:hint="default"/>
                <w:sz w:val="15"/>
                <w:szCs w:val="15"/>
              </w:rPr>
              <w:t>股权产</w:t>
            </w:r>
            <w:r>
              <w:rPr>
                <w:rFonts w:ascii="宋体" w:hAnsi="宋体" w:cs="宋体" w:eastAsia="宋体" w:hint="default"/>
                <w:w w:val="99"/>
                <w:sz w:val="15"/>
                <w:szCs w:val="15"/>
              </w:rPr>
              <w:t> </w:t>
            </w:r>
            <w:r>
              <w:rPr>
                <w:rFonts w:ascii="宋体" w:hAnsi="宋体" w:cs="宋体" w:eastAsia="宋体" w:hint="default"/>
                <w:sz w:val="15"/>
                <w:szCs w:val="15"/>
              </w:rPr>
              <w:t>生的利</w:t>
            </w:r>
          </w:p>
        </w:tc>
        <w:tc>
          <w:tcPr>
            <w:tcW w:w="869"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381" w:lineRule="auto" w:before="98"/>
              <w:ind w:left="129" w:right="132"/>
              <w:jc w:val="both"/>
              <w:rPr>
                <w:rFonts w:ascii="宋体" w:hAnsi="宋体" w:cs="宋体" w:eastAsia="宋体" w:hint="default"/>
                <w:sz w:val="15"/>
                <w:szCs w:val="15"/>
              </w:rPr>
            </w:pPr>
            <w:r>
              <w:rPr>
                <w:rFonts w:ascii="宋体" w:hAnsi="宋体" w:cs="宋体" w:eastAsia="宋体" w:hint="default"/>
                <w:sz w:val="15"/>
                <w:szCs w:val="15"/>
              </w:rPr>
              <w:t>丧失控制</w:t>
            </w:r>
            <w:r>
              <w:rPr>
                <w:rFonts w:ascii="宋体" w:hAnsi="宋体" w:cs="宋体" w:eastAsia="宋体" w:hint="default"/>
                <w:w w:val="99"/>
                <w:sz w:val="15"/>
                <w:szCs w:val="15"/>
              </w:rPr>
              <w:t> </w:t>
            </w:r>
            <w:r>
              <w:rPr>
                <w:rFonts w:ascii="宋体" w:hAnsi="宋体" w:cs="宋体" w:eastAsia="宋体" w:hint="default"/>
                <w:sz w:val="15"/>
                <w:szCs w:val="15"/>
              </w:rPr>
              <w:t>权之日剩</w:t>
            </w:r>
            <w:r>
              <w:rPr>
                <w:rFonts w:ascii="宋体" w:hAnsi="宋体" w:cs="宋体" w:eastAsia="宋体" w:hint="default"/>
                <w:w w:val="99"/>
                <w:sz w:val="15"/>
                <w:szCs w:val="15"/>
              </w:rPr>
              <w:t> </w:t>
            </w:r>
            <w:r>
              <w:rPr>
                <w:rFonts w:ascii="宋体" w:hAnsi="宋体" w:cs="宋体" w:eastAsia="宋体" w:hint="default"/>
                <w:sz w:val="15"/>
                <w:szCs w:val="15"/>
              </w:rPr>
              <w:t>余股权公</w:t>
            </w:r>
            <w:r>
              <w:rPr>
                <w:rFonts w:ascii="宋体" w:hAnsi="宋体" w:cs="宋体" w:eastAsia="宋体" w:hint="default"/>
                <w:w w:val="99"/>
                <w:sz w:val="15"/>
                <w:szCs w:val="15"/>
              </w:rPr>
              <w:t> </w:t>
            </w:r>
            <w:r>
              <w:rPr>
                <w:rFonts w:ascii="宋体" w:hAnsi="宋体" w:cs="宋体" w:eastAsia="宋体" w:hint="default"/>
                <w:sz w:val="15"/>
                <w:szCs w:val="15"/>
              </w:rPr>
              <w:t>允价值的</w:t>
            </w:r>
            <w:r>
              <w:rPr>
                <w:rFonts w:ascii="宋体" w:hAnsi="宋体" w:cs="宋体" w:eastAsia="宋体" w:hint="default"/>
                <w:w w:val="99"/>
                <w:sz w:val="15"/>
                <w:szCs w:val="15"/>
              </w:rPr>
              <w:t> </w:t>
            </w:r>
            <w:r>
              <w:rPr>
                <w:rFonts w:ascii="宋体" w:hAnsi="宋体" w:cs="宋体" w:eastAsia="宋体" w:hint="default"/>
                <w:sz w:val="15"/>
                <w:szCs w:val="15"/>
              </w:rPr>
              <w:t>确定方法</w:t>
            </w:r>
            <w:r>
              <w:rPr>
                <w:rFonts w:ascii="宋体" w:hAnsi="宋体" w:cs="宋体" w:eastAsia="宋体" w:hint="default"/>
                <w:w w:val="99"/>
                <w:sz w:val="15"/>
                <w:szCs w:val="15"/>
              </w:rPr>
              <w:t> </w:t>
            </w:r>
            <w:r>
              <w:rPr>
                <w:rFonts w:ascii="宋体" w:hAnsi="宋体" w:cs="宋体" w:eastAsia="宋体" w:hint="default"/>
                <w:sz w:val="15"/>
                <w:szCs w:val="15"/>
              </w:rPr>
              <w:t>及主要假</w:t>
            </w:r>
          </w:p>
        </w:tc>
        <w:tc>
          <w:tcPr>
            <w:tcW w:w="797" w:type="dxa"/>
            <w:tcBorders>
              <w:top w:val="single" w:sz="12" w:space="0" w:color="000000"/>
              <w:left w:val="single" w:sz="4" w:space="0" w:color="000000"/>
              <w:bottom w:val="single" w:sz="12" w:space="0" w:color="000000"/>
              <w:right w:val="single" w:sz="12" w:space="0" w:color="000000"/>
            </w:tcBorders>
            <w:shd w:val="clear" w:color="auto" w:fill="D2D2D2"/>
          </w:tcPr>
          <w:p>
            <w:pPr>
              <w:pStyle w:val="TableParagraph"/>
              <w:spacing w:line="381" w:lineRule="auto" w:before="98"/>
              <w:ind w:left="167" w:right="161"/>
              <w:jc w:val="both"/>
              <w:rPr>
                <w:rFonts w:ascii="宋体" w:hAnsi="宋体" w:cs="宋体" w:eastAsia="宋体" w:hint="default"/>
                <w:sz w:val="15"/>
                <w:szCs w:val="15"/>
              </w:rPr>
            </w:pPr>
            <w:r>
              <w:rPr>
                <w:rFonts w:ascii="宋体" w:hAnsi="宋体" w:cs="宋体" w:eastAsia="宋体" w:hint="default"/>
                <w:sz w:val="15"/>
                <w:szCs w:val="15"/>
              </w:rPr>
              <w:t>与原子</w:t>
            </w:r>
            <w:r>
              <w:rPr>
                <w:rFonts w:ascii="宋体" w:hAnsi="宋体" w:cs="宋体" w:eastAsia="宋体" w:hint="default"/>
                <w:w w:val="99"/>
                <w:sz w:val="15"/>
                <w:szCs w:val="15"/>
              </w:rPr>
              <w:t> </w:t>
            </w:r>
            <w:r>
              <w:rPr>
                <w:rFonts w:ascii="宋体" w:hAnsi="宋体" w:cs="宋体" w:eastAsia="宋体" w:hint="default"/>
                <w:sz w:val="15"/>
                <w:szCs w:val="15"/>
              </w:rPr>
              <w:t>公司股</w:t>
            </w:r>
            <w:r>
              <w:rPr>
                <w:rFonts w:ascii="宋体" w:hAnsi="宋体" w:cs="宋体" w:eastAsia="宋体" w:hint="default"/>
                <w:w w:val="99"/>
                <w:sz w:val="15"/>
                <w:szCs w:val="15"/>
              </w:rPr>
              <w:t> </w:t>
            </w:r>
            <w:r>
              <w:rPr>
                <w:rFonts w:ascii="宋体" w:hAnsi="宋体" w:cs="宋体" w:eastAsia="宋体" w:hint="default"/>
                <w:sz w:val="15"/>
                <w:szCs w:val="15"/>
              </w:rPr>
              <w:t>权投资</w:t>
            </w:r>
            <w:r>
              <w:rPr>
                <w:rFonts w:ascii="宋体" w:hAnsi="宋体" w:cs="宋体" w:eastAsia="宋体" w:hint="default"/>
                <w:w w:val="99"/>
                <w:sz w:val="15"/>
                <w:szCs w:val="15"/>
              </w:rPr>
              <w:t> </w:t>
            </w:r>
            <w:r>
              <w:rPr>
                <w:rFonts w:ascii="宋体" w:hAnsi="宋体" w:cs="宋体" w:eastAsia="宋体" w:hint="default"/>
                <w:sz w:val="15"/>
                <w:szCs w:val="15"/>
              </w:rPr>
              <w:t>相关的</w:t>
            </w:r>
            <w:r>
              <w:rPr>
                <w:rFonts w:ascii="宋体" w:hAnsi="宋体" w:cs="宋体" w:eastAsia="宋体" w:hint="default"/>
                <w:w w:val="99"/>
                <w:sz w:val="15"/>
                <w:szCs w:val="15"/>
              </w:rPr>
              <w:t> </w:t>
            </w:r>
            <w:r>
              <w:rPr>
                <w:rFonts w:ascii="宋体" w:hAnsi="宋体" w:cs="宋体" w:eastAsia="宋体" w:hint="default"/>
                <w:sz w:val="15"/>
                <w:szCs w:val="15"/>
              </w:rPr>
              <w:t>其他综</w:t>
            </w:r>
            <w:r>
              <w:rPr>
                <w:rFonts w:ascii="宋体" w:hAnsi="宋体" w:cs="宋体" w:eastAsia="宋体" w:hint="default"/>
                <w:w w:val="99"/>
                <w:sz w:val="15"/>
                <w:szCs w:val="15"/>
              </w:rPr>
              <w:t> </w:t>
            </w:r>
            <w:r>
              <w:rPr>
                <w:rFonts w:ascii="宋体" w:hAnsi="宋体" w:cs="宋体" w:eastAsia="宋体" w:hint="default"/>
                <w:sz w:val="15"/>
                <w:szCs w:val="15"/>
              </w:rPr>
              <w:t>合收益</w:t>
            </w:r>
          </w:p>
        </w:tc>
      </w:tr>
    </w:tbl>
    <w:p>
      <w:pPr>
        <w:spacing w:after="0" w:line="381" w:lineRule="auto"/>
        <w:jc w:val="both"/>
        <w:rPr>
          <w:rFonts w:ascii="宋体" w:hAnsi="宋体" w:cs="宋体" w:eastAsia="宋体" w:hint="default"/>
          <w:sz w:val="15"/>
          <w:szCs w:val="15"/>
        </w:rPr>
        <w:sectPr>
          <w:pgSz w:w="11910" w:h="16840"/>
          <w:pgMar w:header="871" w:footer="1037" w:top="1040" w:bottom="1220" w:left="400" w:right="0"/>
        </w:sectPr>
      </w:pPr>
    </w:p>
    <w:p>
      <w:pPr>
        <w:spacing w:line="240" w:lineRule="auto" w:before="8"/>
        <w:rPr>
          <w:rFonts w:ascii="宋体" w:hAnsi="宋体" w:cs="宋体" w:eastAsia="宋体"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812"/>
        <w:gridCol w:w="1282"/>
        <w:gridCol w:w="735"/>
        <w:gridCol w:w="734"/>
        <w:gridCol w:w="735"/>
        <w:gridCol w:w="734"/>
        <w:gridCol w:w="1258"/>
        <w:gridCol w:w="629"/>
        <w:gridCol w:w="614"/>
        <w:gridCol w:w="721"/>
        <w:gridCol w:w="735"/>
        <w:gridCol w:w="869"/>
        <w:gridCol w:w="797"/>
      </w:tblGrid>
      <w:tr>
        <w:trPr>
          <w:trHeight w:val="998" w:hRule="exact"/>
        </w:trPr>
        <w:tc>
          <w:tcPr>
            <w:tcW w:w="812"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1282"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1258"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62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58"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61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86" w:lineRule="auto" w:before="36"/>
              <w:ind w:left="153" w:right="151"/>
              <w:jc w:val="left"/>
              <w:rPr>
                <w:rFonts w:ascii="宋体" w:hAnsi="宋体" w:cs="宋体" w:eastAsia="宋体" w:hint="default"/>
                <w:sz w:val="15"/>
                <w:szCs w:val="15"/>
              </w:rPr>
            </w:pPr>
            <w:r>
              <w:rPr>
                <w:rFonts w:ascii="宋体" w:hAnsi="宋体" w:cs="宋体" w:eastAsia="宋体" w:hint="default"/>
                <w:sz w:val="15"/>
                <w:szCs w:val="15"/>
              </w:rPr>
              <w:t>账面</w:t>
            </w:r>
            <w:r>
              <w:rPr>
                <w:rFonts w:ascii="宋体" w:hAnsi="宋体" w:cs="宋体" w:eastAsia="宋体" w:hint="default"/>
                <w:w w:val="99"/>
                <w:sz w:val="15"/>
                <w:szCs w:val="15"/>
              </w:rPr>
              <w:t> </w:t>
            </w:r>
            <w:r>
              <w:rPr>
                <w:rFonts w:ascii="宋体" w:hAnsi="宋体" w:cs="宋体" w:eastAsia="宋体" w:hint="default"/>
                <w:sz w:val="15"/>
                <w:szCs w:val="15"/>
              </w:rPr>
              <w:t>价值</w:t>
            </w:r>
          </w:p>
        </w:tc>
        <w:tc>
          <w:tcPr>
            <w:tcW w:w="721" w:type="dxa"/>
            <w:tcBorders>
              <w:top w:val="single" w:sz="12"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86" w:lineRule="auto" w:before="36"/>
              <w:ind w:left="287" w:right="137" w:hanging="149"/>
              <w:jc w:val="left"/>
              <w:rPr>
                <w:rFonts w:ascii="宋体" w:hAnsi="宋体" w:cs="宋体" w:eastAsia="宋体" w:hint="default"/>
                <w:sz w:val="15"/>
                <w:szCs w:val="15"/>
              </w:rPr>
            </w:pPr>
            <w:r>
              <w:rPr>
                <w:rFonts w:ascii="宋体" w:hAnsi="宋体" w:cs="宋体" w:eastAsia="宋体" w:hint="default"/>
                <w:sz w:val="15"/>
                <w:szCs w:val="15"/>
              </w:rPr>
              <w:t>得或损</w:t>
            </w:r>
            <w:r>
              <w:rPr>
                <w:rFonts w:ascii="宋体" w:hAnsi="宋体" w:cs="宋体" w:eastAsia="宋体" w:hint="default"/>
                <w:w w:val="99"/>
                <w:sz w:val="15"/>
                <w:szCs w:val="15"/>
              </w:rPr>
              <w:t> </w:t>
            </w:r>
            <w:r>
              <w:rPr>
                <w:rFonts w:ascii="宋体" w:hAnsi="宋体" w:cs="宋体" w:eastAsia="宋体" w:hint="default"/>
                <w:sz w:val="15"/>
                <w:szCs w:val="15"/>
              </w:rPr>
              <w:t>失</w:t>
            </w:r>
          </w:p>
        </w:tc>
        <w:tc>
          <w:tcPr>
            <w:tcW w:w="86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0"/>
              <w:jc w:val="center"/>
              <w:rPr>
                <w:rFonts w:ascii="宋体" w:hAnsi="宋体" w:cs="宋体" w:eastAsia="宋体" w:hint="default"/>
                <w:sz w:val="15"/>
                <w:szCs w:val="15"/>
              </w:rPr>
            </w:pPr>
            <w:r>
              <w:rPr>
                <w:rFonts w:ascii="宋体" w:hAnsi="宋体" w:cs="宋体" w:eastAsia="宋体" w:hint="default"/>
                <w:w w:val="99"/>
                <w:sz w:val="15"/>
                <w:szCs w:val="15"/>
              </w:rPr>
              <w:t>设</w:t>
            </w:r>
            <w:r>
              <w:rPr>
                <w:rFonts w:ascii="宋体" w:hAnsi="宋体" w:cs="宋体" w:eastAsia="宋体" w:hint="default"/>
                <w:sz w:val="15"/>
                <w:szCs w:val="15"/>
              </w:rPr>
            </w:r>
          </w:p>
        </w:tc>
        <w:tc>
          <w:tcPr>
            <w:tcW w:w="79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84" w:lineRule="auto" w:before="36"/>
              <w:ind w:left="167" w:right="161"/>
              <w:jc w:val="both"/>
              <w:rPr>
                <w:rFonts w:ascii="宋体" w:hAnsi="宋体" w:cs="宋体" w:eastAsia="宋体" w:hint="default"/>
                <w:sz w:val="15"/>
                <w:szCs w:val="15"/>
              </w:rPr>
            </w:pPr>
            <w:r>
              <w:rPr>
                <w:rFonts w:ascii="宋体" w:hAnsi="宋体" w:cs="宋体" w:eastAsia="宋体" w:hint="default"/>
                <w:sz w:val="15"/>
                <w:szCs w:val="15"/>
              </w:rPr>
              <w:t>转入投</w:t>
            </w:r>
            <w:r>
              <w:rPr>
                <w:rFonts w:ascii="宋体" w:hAnsi="宋体" w:cs="宋体" w:eastAsia="宋体" w:hint="default"/>
                <w:w w:val="99"/>
                <w:sz w:val="15"/>
                <w:szCs w:val="15"/>
              </w:rPr>
              <w:t> </w:t>
            </w:r>
            <w:r>
              <w:rPr>
                <w:rFonts w:ascii="宋体" w:hAnsi="宋体" w:cs="宋体" w:eastAsia="宋体" w:hint="default"/>
                <w:sz w:val="15"/>
                <w:szCs w:val="15"/>
              </w:rPr>
              <w:t>资损益</w:t>
            </w:r>
            <w:r>
              <w:rPr>
                <w:rFonts w:ascii="宋体" w:hAnsi="宋体" w:cs="宋体" w:eastAsia="宋体" w:hint="default"/>
                <w:w w:val="99"/>
                <w:sz w:val="15"/>
                <w:szCs w:val="15"/>
              </w:rPr>
              <w:t> </w:t>
            </w:r>
            <w:r>
              <w:rPr>
                <w:rFonts w:ascii="宋体" w:hAnsi="宋体" w:cs="宋体" w:eastAsia="宋体" w:hint="default"/>
                <w:sz w:val="15"/>
                <w:szCs w:val="15"/>
              </w:rPr>
              <w:t>的金额</w:t>
            </w:r>
          </w:p>
        </w:tc>
      </w:tr>
      <w:tr>
        <w:trPr>
          <w:trHeight w:val="1974" w:hRule="exact"/>
        </w:trPr>
        <w:tc>
          <w:tcPr>
            <w:tcW w:w="812"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81" w:lineRule="auto"/>
              <w:ind w:left="96" w:right="247"/>
              <w:jc w:val="both"/>
              <w:rPr>
                <w:rFonts w:ascii="宋体" w:hAnsi="宋体" w:cs="宋体" w:eastAsia="宋体" w:hint="default"/>
                <w:sz w:val="15"/>
                <w:szCs w:val="15"/>
              </w:rPr>
            </w:pPr>
            <w:r>
              <w:rPr>
                <w:rFonts w:ascii="宋体" w:hAnsi="宋体" w:cs="宋体" w:eastAsia="宋体" w:hint="default"/>
                <w:sz w:val="15"/>
                <w:szCs w:val="15"/>
              </w:rPr>
              <w:t>江苏德</w:t>
            </w:r>
            <w:r>
              <w:rPr>
                <w:rFonts w:ascii="宋体" w:hAnsi="宋体" w:cs="宋体" w:eastAsia="宋体" w:hint="default"/>
                <w:w w:val="99"/>
                <w:sz w:val="15"/>
                <w:szCs w:val="15"/>
              </w:rPr>
              <w:t> </w:t>
            </w:r>
            <w:r>
              <w:rPr>
                <w:rFonts w:ascii="宋体" w:hAnsi="宋体" w:cs="宋体" w:eastAsia="宋体" w:hint="default"/>
                <w:sz w:val="15"/>
                <w:szCs w:val="15"/>
              </w:rPr>
              <w:t>能电力</w:t>
            </w:r>
            <w:r>
              <w:rPr>
                <w:rFonts w:ascii="宋体" w:hAnsi="宋体" w:cs="宋体" w:eastAsia="宋体" w:hint="default"/>
                <w:w w:val="99"/>
                <w:sz w:val="15"/>
                <w:szCs w:val="15"/>
              </w:rPr>
              <w:t> </w:t>
            </w:r>
            <w:r>
              <w:rPr>
                <w:rFonts w:ascii="宋体" w:hAnsi="宋体" w:cs="宋体" w:eastAsia="宋体" w:hint="default"/>
                <w:sz w:val="15"/>
                <w:szCs w:val="15"/>
              </w:rPr>
              <w:t>设计咨</w:t>
            </w:r>
            <w:r>
              <w:rPr>
                <w:rFonts w:ascii="宋体" w:hAnsi="宋体" w:cs="宋体" w:eastAsia="宋体" w:hint="default"/>
                <w:w w:val="99"/>
                <w:sz w:val="15"/>
                <w:szCs w:val="15"/>
              </w:rPr>
              <w:t> </w:t>
            </w:r>
            <w:r>
              <w:rPr>
                <w:rFonts w:ascii="宋体" w:hAnsi="宋体" w:cs="宋体" w:eastAsia="宋体" w:hint="default"/>
                <w:sz w:val="15"/>
                <w:szCs w:val="15"/>
              </w:rPr>
              <w:t>询有限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12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4"/>
              <w:ind w:left="196" w:right="0"/>
              <w:jc w:val="left"/>
              <w:rPr>
                <w:rFonts w:ascii="宋体" w:hAnsi="宋体" w:cs="宋体" w:eastAsia="宋体" w:hint="default"/>
                <w:sz w:val="15"/>
                <w:szCs w:val="15"/>
              </w:rPr>
            </w:pPr>
            <w:r>
              <w:rPr>
                <w:rFonts w:ascii="宋体"/>
                <w:sz w:val="15"/>
              </w:rPr>
              <w:t>18,000,000.00</w:t>
            </w:r>
          </w:p>
        </w:tc>
        <w:tc>
          <w:tcPr>
            <w:tcW w:w="7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4"/>
              <w:ind w:left="167" w:right="0"/>
              <w:jc w:val="left"/>
              <w:rPr>
                <w:rFonts w:ascii="宋体" w:hAnsi="宋体" w:cs="宋体" w:eastAsia="宋体" w:hint="default"/>
                <w:sz w:val="15"/>
                <w:szCs w:val="15"/>
              </w:rPr>
            </w:pPr>
            <w:r>
              <w:rPr>
                <w:rFonts w:ascii="宋体"/>
                <w:sz w:val="15"/>
              </w:rPr>
              <w:t>60.00%</w:t>
            </w:r>
          </w:p>
        </w:tc>
        <w:tc>
          <w:tcPr>
            <w:tcW w:w="7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1"/>
                <w:szCs w:val="11"/>
              </w:rPr>
            </w:pPr>
          </w:p>
          <w:p>
            <w:pPr>
              <w:pStyle w:val="TableParagraph"/>
              <w:spacing w:line="381" w:lineRule="auto"/>
              <w:ind w:left="105" w:right="170"/>
              <w:jc w:val="left"/>
              <w:rPr>
                <w:rFonts w:ascii="宋体" w:hAnsi="宋体" w:cs="宋体" w:eastAsia="宋体" w:hint="default"/>
                <w:sz w:val="15"/>
                <w:szCs w:val="15"/>
              </w:rPr>
            </w:pPr>
            <w:r>
              <w:rPr>
                <w:rFonts w:ascii="宋体" w:hAnsi="宋体" w:cs="宋体" w:eastAsia="宋体" w:hint="default"/>
                <w:sz w:val="15"/>
                <w:szCs w:val="15"/>
              </w:rPr>
              <w:t>现金转</w:t>
            </w:r>
            <w:r>
              <w:rPr>
                <w:rFonts w:ascii="宋体" w:hAnsi="宋体" w:cs="宋体" w:eastAsia="宋体" w:hint="default"/>
                <w:w w:val="99"/>
                <w:sz w:val="15"/>
                <w:szCs w:val="15"/>
              </w:rPr>
              <w:t> </w:t>
            </w:r>
            <w:r>
              <w:rPr>
                <w:rFonts w:ascii="宋体" w:hAnsi="宋体" w:cs="宋体" w:eastAsia="宋体" w:hint="default"/>
                <w:sz w:val="15"/>
                <w:szCs w:val="15"/>
              </w:rPr>
              <w:t>让</w:t>
            </w:r>
          </w:p>
        </w:tc>
        <w:tc>
          <w:tcPr>
            <w:tcW w:w="7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2019</w:t>
            </w:r>
            <w:r>
              <w:rPr>
                <w:rFonts w:ascii="宋体" w:hAnsi="宋体" w:cs="宋体" w:eastAsia="宋体" w:hint="default"/>
                <w:spacing w:val="-37"/>
                <w:sz w:val="15"/>
                <w:szCs w:val="15"/>
              </w:rPr>
              <w:t> </w:t>
            </w:r>
            <w:r>
              <w:rPr>
                <w:rFonts w:ascii="宋体" w:hAnsi="宋体" w:cs="宋体" w:eastAsia="宋体" w:hint="default"/>
                <w:sz w:val="15"/>
                <w:szCs w:val="15"/>
              </w:rPr>
              <w:t>年</w:t>
            </w:r>
          </w:p>
          <w:p>
            <w:pPr>
              <w:pStyle w:val="TableParagraph"/>
              <w:spacing w:line="240" w:lineRule="auto" w:before="111"/>
              <w:ind w:left="105" w:right="0"/>
              <w:jc w:val="left"/>
              <w:rPr>
                <w:rFonts w:ascii="宋体" w:hAnsi="宋体" w:cs="宋体" w:eastAsia="宋体" w:hint="default"/>
                <w:sz w:val="15"/>
                <w:szCs w:val="15"/>
              </w:rPr>
            </w:pPr>
            <w:r>
              <w:rPr>
                <w:rFonts w:ascii="宋体" w:hAnsi="宋体" w:cs="宋体" w:eastAsia="宋体" w:hint="default"/>
                <w:sz w:val="15"/>
                <w:szCs w:val="15"/>
              </w:rPr>
              <w:t>07</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31</w:t>
            </w:r>
          </w:p>
          <w:p>
            <w:pPr>
              <w:pStyle w:val="TableParagraph"/>
              <w:spacing w:line="240" w:lineRule="auto" w:before="120"/>
              <w:ind w:left="105"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734" w:type="dxa"/>
            <w:tcBorders>
              <w:top w:val="single" w:sz="4" w:space="0" w:color="000000"/>
              <w:left w:val="single" w:sz="4" w:space="0" w:color="000000"/>
              <w:bottom w:val="single" w:sz="12" w:space="0" w:color="000000"/>
              <w:right w:val="single" w:sz="4" w:space="0" w:color="000000"/>
            </w:tcBorders>
          </w:tcPr>
          <w:p>
            <w:pPr>
              <w:pStyle w:val="TableParagraph"/>
              <w:spacing w:line="381" w:lineRule="auto" w:before="80"/>
              <w:ind w:left="105" w:right="170"/>
              <w:jc w:val="both"/>
              <w:rPr>
                <w:rFonts w:ascii="宋体" w:hAnsi="宋体" w:cs="宋体" w:eastAsia="宋体" w:hint="default"/>
                <w:sz w:val="15"/>
                <w:szCs w:val="15"/>
              </w:rPr>
            </w:pPr>
            <w:r>
              <w:rPr>
                <w:rFonts w:ascii="宋体" w:hAnsi="宋体" w:cs="宋体" w:eastAsia="宋体" w:hint="default"/>
                <w:sz w:val="15"/>
                <w:szCs w:val="15"/>
              </w:rPr>
              <w:t>移交控</w:t>
            </w:r>
            <w:r>
              <w:rPr>
                <w:rFonts w:ascii="宋体" w:hAnsi="宋体" w:cs="宋体" w:eastAsia="宋体" w:hint="default"/>
                <w:w w:val="99"/>
                <w:sz w:val="15"/>
                <w:szCs w:val="15"/>
              </w:rPr>
              <w:t> </w:t>
            </w:r>
            <w:r>
              <w:rPr>
                <w:rFonts w:ascii="宋体" w:hAnsi="宋体" w:cs="宋体" w:eastAsia="宋体" w:hint="default"/>
                <w:sz w:val="15"/>
                <w:szCs w:val="15"/>
              </w:rPr>
              <w:t>制权并</w:t>
            </w:r>
            <w:r>
              <w:rPr>
                <w:rFonts w:ascii="宋体" w:hAnsi="宋体" w:cs="宋体" w:eastAsia="宋体" w:hint="default"/>
                <w:w w:val="99"/>
                <w:sz w:val="15"/>
                <w:szCs w:val="15"/>
              </w:rPr>
              <w:t> </w:t>
            </w:r>
            <w:r>
              <w:rPr>
                <w:rFonts w:ascii="宋体" w:hAnsi="宋体" w:cs="宋体" w:eastAsia="宋体" w:hint="default"/>
                <w:sz w:val="15"/>
                <w:szCs w:val="15"/>
              </w:rPr>
              <w:t>办理工</w:t>
            </w:r>
            <w:r>
              <w:rPr>
                <w:rFonts w:ascii="宋体" w:hAnsi="宋体" w:cs="宋体" w:eastAsia="宋体" w:hint="default"/>
                <w:w w:val="99"/>
                <w:sz w:val="15"/>
                <w:szCs w:val="15"/>
              </w:rPr>
              <w:t> </w:t>
            </w:r>
            <w:r>
              <w:rPr>
                <w:rFonts w:ascii="宋体" w:hAnsi="宋体" w:cs="宋体" w:eastAsia="宋体" w:hint="default"/>
                <w:sz w:val="15"/>
                <w:szCs w:val="15"/>
              </w:rPr>
              <w:t>商过户</w:t>
            </w:r>
            <w:r>
              <w:rPr>
                <w:rFonts w:ascii="宋体" w:hAnsi="宋体" w:cs="宋体" w:eastAsia="宋体" w:hint="default"/>
                <w:w w:val="99"/>
                <w:sz w:val="15"/>
                <w:szCs w:val="15"/>
              </w:rPr>
              <w:t> </w:t>
            </w:r>
            <w:r>
              <w:rPr>
                <w:rFonts w:ascii="宋体" w:hAnsi="宋体" w:cs="宋体" w:eastAsia="宋体" w:hint="default"/>
                <w:sz w:val="15"/>
                <w:szCs w:val="15"/>
              </w:rPr>
              <w:t>登记手</w:t>
            </w:r>
            <w:r>
              <w:rPr>
                <w:rFonts w:ascii="宋体" w:hAnsi="宋体" w:cs="宋体" w:eastAsia="宋体" w:hint="default"/>
                <w:w w:val="99"/>
                <w:sz w:val="15"/>
                <w:szCs w:val="15"/>
              </w:rPr>
              <w:t> </w:t>
            </w:r>
            <w:r>
              <w:rPr>
                <w:rFonts w:ascii="宋体" w:hAnsi="宋体" w:cs="宋体" w:eastAsia="宋体" w:hint="default"/>
                <w:sz w:val="15"/>
                <w:szCs w:val="15"/>
              </w:rPr>
              <w:t>续</w:t>
            </w:r>
          </w:p>
        </w:tc>
        <w:tc>
          <w:tcPr>
            <w:tcW w:w="12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4"/>
              <w:ind w:left="245" w:right="0"/>
              <w:jc w:val="left"/>
              <w:rPr>
                <w:rFonts w:ascii="宋体" w:hAnsi="宋体" w:cs="宋体" w:eastAsia="宋体" w:hint="default"/>
                <w:sz w:val="15"/>
                <w:szCs w:val="15"/>
              </w:rPr>
            </w:pPr>
            <w:r>
              <w:rPr>
                <w:rFonts w:ascii="宋体"/>
                <w:sz w:val="15"/>
              </w:rPr>
              <w:t>9,742,487.92</w:t>
            </w:r>
          </w:p>
        </w:tc>
        <w:tc>
          <w:tcPr>
            <w:tcW w:w="629" w:type="dxa"/>
            <w:tcBorders>
              <w:top w:val="single" w:sz="4" w:space="0" w:color="000000"/>
              <w:left w:val="single" w:sz="4" w:space="0" w:color="000000"/>
              <w:bottom w:val="single" w:sz="12" w:space="0" w:color="000000"/>
              <w:right w:val="single" w:sz="4" w:space="0" w:color="000000"/>
            </w:tcBorders>
          </w:tcPr>
          <w:p>
            <w:pPr/>
          </w:p>
        </w:tc>
        <w:tc>
          <w:tcPr>
            <w:tcW w:w="614" w:type="dxa"/>
            <w:tcBorders>
              <w:top w:val="single" w:sz="4" w:space="0" w:color="000000"/>
              <w:left w:val="single" w:sz="4" w:space="0" w:color="000000"/>
              <w:bottom w:val="single" w:sz="12" w:space="0" w:color="000000"/>
              <w:right w:val="single" w:sz="4" w:space="0" w:color="000000"/>
            </w:tcBorders>
          </w:tcPr>
          <w:p>
            <w:pPr/>
          </w:p>
        </w:tc>
        <w:tc>
          <w:tcPr>
            <w:tcW w:w="721" w:type="dxa"/>
            <w:tcBorders>
              <w:top w:val="single" w:sz="4" w:space="0" w:color="000000"/>
              <w:left w:val="single" w:sz="4" w:space="0" w:color="000000"/>
              <w:bottom w:val="single" w:sz="12" w:space="0" w:color="000000"/>
              <w:right w:val="single" w:sz="4" w:space="0" w:color="000000"/>
            </w:tcBorders>
          </w:tcPr>
          <w:p>
            <w:pPr/>
          </w:p>
        </w:tc>
        <w:tc>
          <w:tcPr>
            <w:tcW w:w="735" w:type="dxa"/>
            <w:tcBorders>
              <w:top w:val="single" w:sz="4" w:space="0" w:color="000000"/>
              <w:left w:val="single" w:sz="4" w:space="0" w:color="000000"/>
              <w:bottom w:val="single" w:sz="12" w:space="0" w:color="000000"/>
              <w:right w:val="single" w:sz="4" w:space="0" w:color="000000"/>
            </w:tcBorders>
          </w:tcPr>
          <w:p>
            <w:pPr/>
          </w:p>
        </w:tc>
        <w:tc>
          <w:tcPr>
            <w:tcW w:w="869" w:type="dxa"/>
            <w:tcBorders>
              <w:top w:val="single" w:sz="4" w:space="0" w:color="000000"/>
              <w:left w:val="single" w:sz="4" w:space="0" w:color="000000"/>
              <w:bottom w:val="single" w:sz="12" w:space="0" w:color="000000"/>
              <w:right w:val="single" w:sz="4" w:space="0" w:color="000000"/>
            </w:tcBorders>
          </w:tcPr>
          <w:p>
            <w:pPr/>
          </w:p>
        </w:tc>
        <w:tc>
          <w:tcPr>
            <w:tcW w:w="797" w:type="dxa"/>
            <w:tcBorders>
              <w:top w:val="single" w:sz="4" w:space="0" w:color="000000"/>
              <w:left w:val="single" w:sz="4" w:space="0" w:color="000000"/>
              <w:bottom w:val="single" w:sz="12" w:space="0" w:color="000000"/>
              <w:right w:val="single" w:sz="12" w:space="0" w:color="000000"/>
            </w:tcBorders>
          </w:tcPr>
          <w:p>
            <w:pPr/>
          </w:p>
        </w:tc>
      </w:tr>
    </w:tbl>
    <w:p>
      <w:pPr>
        <w:pStyle w:val="Heading4"/>
        <w:spacing w:line="240" w:lineRule="auto" w:before="66"/>
        <w:ind w:left="753" w:right="0"/>
        <w:jc w:val="left"/>
        <w:rPr>
          <w:b w:val="0"/>
          <w:bCs w:val="0"/>
        </w:rPr>
      </w:pPr>
      <w:bookmarkStart w:name="5、其他原因的合并范围变动" w:id="406"/>
      <w:bookmarkEnd w:id="406"/>
      <w:r>
        <w:rPr>
          <w:b w:val="0"/>
          <w:bCs w:val="0"/>
        </w:rPr>
      </w:r>
      <w:r>
        <w:rPr>
          <w:rFonts w:ascii="宋体" w:hAnsi="宋体" w:cs="宋体" w:eastAsia="宋体" w:hint="default"/>
        </w:rPr>
        <w:t>5</w:t>
      </w:r>
      <w:r>
        <w:rPr/>
        <w:t>、其他原因的合并范围变动</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left="753" w:right="0"/>
        <w:jc w:val="left"/>
      </w:pPr>
      <w:r>
        <w:rPr/>
        <w:t>□ 适用 √</w:t>
      </w:r>
      <w:r>
        <w:rPr>
          <w:spacing w:val="4"/>
        </w:rPr>
        <w:t> </w:t>
      </w:r>
      <w:r>
        <w:rPr/>
        <w:t>不适用</w:t>
      </w:r>
    </w:p>
    <w:p>
      <w:pPr>
        <w:spacing w:line="240" w:lineRule="auto" w:before="7"/>
        <w:rPr>
          <w:rFonts w:ascii="宋体" w:hAnsi="宋体" w:cs="宋体" w:eastAsia="宋体" w:hint="default"/>
          <w:sz w:val="29"/>
          <w:szCs w:val="29"/>
        </w:rPr>
      </w:pPr>
    </w:p>
    <w:p>
      <w:pPr>
        <w:pStyle w:val="Heading2"/>
        <w:spacing w:line="240" w:lineRule="auto"/>
        <w:ind w:left="753" w:right="0"/>
        <w:jc w:val="left"/>
        <w:rPr>
          <w:b w:val="0"/>
          <w:bCs w:val="0"/>
        </w:rPr>
      </w:pPr>
      <w:bookmarkStart w:name="九、在其他主体中的权益" w:id="407"/>
      <w:bookmarkEnd w:id="407"/>
      <w:r>
        <w:rPr>
          <w:b w:val="0"/>
          <w:bCs w:val="0"/>
        </w:rPr>
      </w: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left="753" w:right="0"/>
        <w:jc w:val="left"/>
        <w:rPr>
          <w:b w:val="0"/>
          <w:bCs w:val="0"/>
        </w:rPr>
      </w:pPr>
      <w:bookmarkStart w:name="1、在子公司中的权益" w:id="408"/>
      <w:bookmarkEnd w:id="408"/>
      <w:r>
        <w:rPr>
          <w:b w:val="0"/>
          <w:bCs w:val="0"/>
        </w:rPr>
      </w:r>
      <w:r>
        <w:rPr>
          <w:rFonts w:ascii="宋体" w:hAnsi="宋体" w:cs="宋体" w:eastAsia="宋体" w:hint="default"/>
        </w:rPr>
        <w:t>1</w:t>
      </w:r>
      <w:r>
        <w:rPr/>
        <w:t>、在子公司中的权益</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before="0"/>
        <w:ind w:left="753" w:right="0"/>
        <w:jc w:val="left"/>
        <w:rPr>
          <w:b w:val="0"/>
          <w:bCs w:val="0"/>
        </w:rPr>
      </w:pPr>
      <w:bookmarkStart w:name="（1）企业集团的构成" w:id="409"/>
      <w:bookmarkEnd w:id="409"/>
      <w:r>
        <w:rPr>
          <w:b w:val="0"/>
          <w:bCs w:val="0"/>
        </w:rPr>
      </w:r>
      <w:r>
        <w:rPr/>
        <w:t>（</w:t>
      </w:r>
      <w:r>
        <w:rPr>
          <w:rFonts w:ascii="宋体" w:hAnsi="宋体" w:cs="宋体" w:eastAsia="宋体" w:hint="default"/>
        </w:rPr>
        <w:t>1</w:t>
      </w:r>
      <w:r>
        <w:rPr/>
        <w:t>）企业集团的构成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73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11" w:hRule="exact"/>
        </w:trPr>
        <w:tc>
          <w:tcPr>
            <w:tcW w:w="1373"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3" w:type="dxa"/>
            <w:vMerge/>
            <w:tcBorders>
              <w:left w:val="single" w:sz="12"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12" w:space="0" w:color="000000"/>
            </w:tcBorders>
            <w:shd w:val="clear" w:color="auto" w:fill="D2D2D2"/>
          </w:tcPr>
          <w:p>
            <w:pPr/>
          </w:p>
        </w:tc>
      </w:tr>
      <w:tr>
        <w:trPr>
          <w:trHeight w:val="1964" w:hRule="exact"/>
        </w:trPr>
        <w:tc>
          <w:tcPr>
            <w:tcW w:w="1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319" w:lineRule="auto"/>
              <w:ind w:left="95" w:right="171"/>
              <w:jc w:val="left"/>
              <w:rPr>
                <w:rFonts w:ascii="宋体" w:hAnsi="宋体" w:cs="宋体" w:eastAsia="宋体" w:hint="default"/>
                <w:sz w:val="18"/>
                <w:szCs w:val="18"/>
              </w:rPr>
            </w:pPr>
            <w:r>
              <w:rPr>
                <w:rFonts w:ascii="宋体" w:hAnsi="宋体" w:cs="宋体" w:eastAsia="宋体" w:hint="default"/>
                <w:sz w:val="18"/>
                <w:szCs w:val="18"/>
              </w:rPr>
              <w:t>江苏苏源光一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3"/>
              <w:jc w:val="left"/>
              <w:rPr>
                <w:rFonts w:ascii="宋体" w:hAnsi="宋体" w:cs="宋体" w:eastAsia="宋体" w:hint="default"/>
                <w:sz w:val="18"/>
                <w:szCs w:val="18"/>
              </w:rPr>
            </w:pPr>
            <w:r>
              <w:rPr>
                <w:rFonts w:ascii="宋体" w:hAnsi="宋体" w:cs="宋体" w:eastAsia="宋体" w:hint="default"/>
                <w:sz w:val="18"/>
                <w:szCs w:val="18"/>
              </w:rPr>
              <w:t>电子计算机软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件系统开发、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生产和销售；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能源管理；设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备开发、生产、</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93"/>
              <w:jc w:val="right"/>
              <w:rPr>
                <w:rFonts w:ascii="宋体" w:hAnsi="宋体" w:cs="宋体" w:eastAsia="宋体" w:hint="default"/>
                <w:sz w:val="18"/>
                <w:szCs w:val="18"/>
              </w:rPr>
            </w:pPr>
            <w:r>
              <w:rPr>
                <w:rFonts w:ascii="宋体"/>
                <w:spacing w:val="-1"/>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8" w:hRule="exact"/>
        </w:trPr>
        <w:tc>
          <w:tcPr>
            <w:tcW w:w="1373"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5" w:right="171"/>
              <w:jc w:val="both"/>
              <w:rPr>
                <w:rFonts w:ascii="宋体" w:hAnsi="宋体" w:cs="宋体" w:eastAsia="宋体" w:hint="default"/>
                <w:sz w:val="18"/>
                <w:szCs w:val="18"/>
              </w:rPr>
            </w:pPr>
            <w:r>
              <w:rPr>
                <w:rFonts w:ascii="宋体" w:hAnsi="宋体" w:cs="宋体" w:eastAsia="宋体" w:hint="default"/>
                <w:sz w:val="18"/>
                <w:szCs w:val="18"/>
              </w:rPr>
              <w:t>南京智友尚云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4" w:lineRule="auto"/>
              <w:ind w:left="105" w:right="166"/>
              <w:jc w:val="left"/>
              <w:rPr>
                <w:rFonts w:ascii="宋体" w:hAnsi="宋体" w:cs="宋体" w:eastAsia="宋体" w:hint="default"/>
                <w:sz w:val="18"/>
                <w:szCs w:val="18"/>
              </w:rPr>
            </w:pPr>
            <w:r>
              <w:rPr>
                <w:rFonts w:ascii="宋体" w:hAnsi="宋体" w:cs="宋体" w:eastAsia="宋体" w:hint="default"/>
                <w:spacing w:val="-2"/>
                <w:sz w:val="18"/>
                <w:szCs w:val="18"/>
              </w:rPr>
              <w:t>信息技术的开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发、服务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93"/>
              <w:jc w:val="right"/>
              <w:rPr>
                <w:rFonts w:ascii="宋体" w:hAnsi="宋体" w:cs="宋体" w:eastAsia="宋体" w:hint="default"/>
                <w:sz w:val="18"/>
                <w:szCs w:val="18"/>
              </w:rPr>
            </w:pPr>
            <w:r>
              <w:rPr>
                <w:rFonts w:ascii="宋体"/>
                <w:spacing w:val="-1"/>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647" w:hRule="exact"/>
        </w:trPr>
        <w:tc>
          <w:tcPr>
            <w:tcW w:w="1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95" w:right="171"/>
              <w:jc w:val="both"/>
              <w:rPr>
                <w:rFonts w:ascii="宋体" w:hAnsi="宋体" w:cs="宋体" w:eastAsia="宋体" w:hint="default"/>
                <w:sz w:val="18"/>
                <w:szCs w:val="18"/>
              </w:rPr>
            </w:pPr>
            <w:r>
              <w:rPr>
                <w:rFonts w:ascii="宋体" w:hAnsi="宋体" w:cs="宋体" w:eastAsia="宋体" w:hint="default"/>
                <w:sz w:val="18"/>
                <w:szCs w:val="18"/>
              </w:rPr>
              <w:t>江苏光一贵仁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股权投资基金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受托管理私募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股权投资基</w:t>
            </w:r>
            <w:r>
              <w:rPr>
                <w:rFonts w:ascii="宋体" w:hAnsi="宋体" w:cs="宋体" w:eastAsia="宋体" w:hint="default"/>
                <w:w w:val="101"/>
                <w:sz w:val="18"/>
                <w:szCs w:val="18"/>
              </w:rPr>
              <w:t> </w:t>
            </w:r>
            <w:r>
              <w:rPr>
                <w:rFonts w:ascii="宋体" w:hAnsi="宋体" w:cs="宋体" w:eastAsia="宋体" w:hint="default"/>
                <w:spacing w:val="-2"/>
                <w:sz w:val="18"/>
                <w:szCs w:val="18"/>
              </w:rPr>
              <w:t>金，投资管理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及相关咨询服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55.00%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40" w:hRule="exact"/>
        </w:trPr>
        <w:tc>
          <w:tcPr>
            <w:tcW w:w="1373"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5" w:right="171"/>
              <w:jc w:val="left"/>
              <w:rPr>
                <w:rFonts w:ascii="宋体" w:hAnsi="宋体" w:cs="宋体" w:eastAsia="宋体" w:hint="default"/>
                <w:sz w:val="18"/>
                <w:szCs w:val="18"/>
              </w:rPr>
            </w:pPr>
            <w:r>
              <w:rPr>
                <w:rFonts w:ascii="宋体" w:hAnsi="宋体" w:cs="宋体" w:eastAsia="宋体" w:hint="default"/>
                <w:sz w:val="18"/>
                <w:szCs w:val="18"/>
              </w:rPr>
              <w:t>南京领航光一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科技产业投资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合伙企业</w:t>
            </w:r>
            <w:r>
              <w:rPr>
                <w:rFonts w:ascii="宋体" w:hAnsi="宋体" w:cs="宋体" w:eastAsia="宋体" w:hint="default"/>
                <w:sz w:val="18"/>
                <w:szCs w:val="18"/>
              </w:rPr>
              <w:t>(</w:t>
            </w:r>
            <w:r>
              <w:rPr>
                <w:rFonts w:ascii="宋体" w:hAnsi="宋体" w:cs="宋体" w:eastAsia="宋体" w:hint="default"/>
                <w:sz w:val="18"/>
                <w:szCs w:val="18"/>
              </w:rPr>
              <w:t>有</w:t>
            </w:r>
            <w:r>
              <w:rPr>
                <w:rFonts w:ascii="宋体" w:hAnsi="宋体" w:cs="宋体" w:eastAsia="宋体" w:hint="default"/>
                <w:spacing w:val="-87"/>
                <w:sz w:val="18"/>
                <w:szCs w:val="18"/>
              </w:rPr>
              <w:t> </w:t>
            </w:r>
            <w:r>
              <w:rPr>
                <w:rFonts w:ascii="宋体" w:hAnsi="宋体" w:cs="宋体" w:eastAsia="宋体" w:hint="default"/>
                <w:sz w:val="18"/>
                <w:szCs w:val="18"/>
              </w:rPr>
              <w:t>限合伙</w:t>
            </w:r>
            <w:r>
              <w:rPr>
                <w:rFonts w:ascii="宋体" w:hAnsi="宋体" w:cs="宋体" w:eastAsia="宋体"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105" w:right="257"/>
              <w:jc w:val="left"/>
              <w:rPr>
                <w:rFonts w:ascii="宋体" w:hAnsi="宋体" w:cs="宋体" w:eastAsia="宋体" w:hint="default"/>
                <w:sz w:val="18"/>
                <w:szCs w:val="18"/>
              </w:rPr>
            </w:pPr>
            <w:r>
              <w:rPr>
                <w:rFonts w:ascii="宋体" w:hAnsi="宋体" w:cs="宋体" w:eastAsia="宋体" w:hint="default"/>
                <w:sz w:val="18"/>
                <w:szCs w:val="18"/>
              </w:rPr>
              <w:t>科技产业投</w:t>
            </w:r>
            <w:r>
              <w:rPr>
                <w:rFonts w:ascii="宋体" w:hAnsi="宋体" w:cs="宋体" w:eastAsia="宋体" w:hint="default"/>
                <w:w w:val="101"/>
                <w:sz w:val="18"/>
                <w:szCs w:val="18"/>
              </w:rPr>
              <w:t> </w:t>
            </w:r>
            <w:r>
              <w:rPr>
                <w:rFonts w:ascii="宋体" w:hAnsi="宋体" w:cs="宋体" w:eastAsia="宋体" w:hint="default"/>
                <w:spacing w:val="-2"/>
                <w:sz w:val="18"/>
                <w:szCs w:val="18"/>
              </w:rPr>
              <w:t>资</w:t>
            </w:r>
            <w:r>
              <w:rPr>
                <w:rFonts w:ascii="宋体" w:hAnsi="宋体" w:cs="宋体" w:eastAsia="宋体" w:hint="default"/>
                <w:spacing w:val="-2"/>
                <w:sz w:val="18"/>
                <w:szCs w:val="18"/>
              </w:rPr>
              <w:t>;</w:t>
            </w:r>
            <w:r>
              <w:rPr>
                <w:rFonts w:ascii="宋体" w:hAnsi="宋体" w:cs="宋体" w:eastAsia="宋体" w:hint="default"/>
                <w:spacing w:val="-2"/>
                <w:sz w:val="18"/>
                <w:szCs w:val="18"/>
              </w:rPr>
              <w:t>科技项目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投资咨询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89"/>
              <w:jc w:val="right"/>
              <w:rPr>
                <w:rFonts w:ascii="宋体" w:hAnsi="宋体" w:cs="宋体" w:eastAsia="宋体" w:hint="default"/>
                <w:sz w:val="18"/>
                <w:szCs w:val="18"/>
              </w:rPr>
            </w:pPr>
            <w:r>
              <w:rPr>
                <w:rFonts w:ascii="宋体"/>
                <w:sz w:val="18"/>
              </w:rPr>
              <w:t>0.50%</w:t>
            </w: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37" w:hRule="exact"/>
        </w:trPr>
        <w:tc>
          <w:tcPr>
            <w:tcW w:w="1373"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3"/>
              <w:ind w:left="95" w:right="171"/>
              <w:jc w:val="both"/>
              <w:rPr>
                <w:rFonts w:ascii="宋体" w:hAnsi="宋体" w:cs="宋体" w:eastAsia="宋体" w:hint="default"/>
                <w:sz w:val="18"/>
                <w:szCs w:val="18"/>
              </w:rPr>
            </w:pPr>
            <w:r>
              <w:rPr>
                <w:rFonts w:ascii="宋体" w:hAnsi="宋体" w:cs="宋体" w:eastAsia="宋体" w:hint="default"/>
                <w:sz w:val="18"/>
                <w:szCs w:val="18"/>
              </w:rPr>
              <w:t>上海光一贵仁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商务咨询有限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商务信息咨询</w:t>
            </w:r>
          </w:p>
        </w:tc>
        <w:tc>
          <w:tcPr>
            <w:tcW w:w="1368" w:type="dxa"/>
            <w:tcBorders>
              <w:top w:val="single" w:sz="4" w:space="0" w:color="000000"/>
              <w:left w:val="single" w:sz="4" w:space="0" w:color="000000"/>
              <w:bottom w:val="single" w:sz="12" w:space="0" w:color="000000"/>
              <w:right w:val="single" w:sz="4" w:space="0" w:color="000000"/>
            </w:tcBorders>
          </w:tcPr>
          <w:p>
            <w:pP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89"/>
              <w:jc w:val="right"/>
              <w:rPr>
                <w:rFonts w:ascii="宋体" w:hAnsi="宋体" w:cs="宋体" w:eastAsia="宋体" w:hint="default"/>
                <w:sz w:val="18"/>
                <w:szCs w:val="18"/>
              </w:rPr>
            </w:pPr>
            <w:r>
              <w:rPr>
                <w:rFonts w:ascii="宋体"/>
                <w:spacing w:val="-1"/>
                <w:sz w:val="18"/>
              </w:rPr>
              <w:t>55.00%</w:t>
            </w:r>
          </w:p>
        </w:tc>
        <w:tc>
          <w:tcPr>
            <w:tcW w:w="136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1" w:footer="1037" w:top="1040" w:bottom="1220" w:left="3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13" w:hRule="exact"/>
        </w:trPr>
        <w:tc>
          <w:tcPr>
            <w:tcW w:w="1373"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3" w:type="dxa"/>
            <w:vMerge/>
            <w:tcBorders>
              <w:left w:val="single" w:sz="12"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12" w:space="0" w:color="000000"/>
            </w:tcBorders>
            <w:shd w:val="clear" w:color="auto" w:fill="D2D2D2"/>
          </w:tcPr>
          <w:p>
            <w:pPr/>
          </w:p>
        </w:tc>
      </w:tr>
      <w:tr>
        <w:trPr>
          <w:trHeight w:val="2271" w:hRule="exact"/>
        </w:trPr>
        <w:tc>
          <w:tcPr>
            <w:tcW w:w="1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95" w:right="171"/>
              <w:jc w:val="both"/>
              <w:rPr>
                <w:rFonts w:ascii="宋体" w:hAnsi="宋体" w:cs="宋体" w:eastAsia="宋体" w:hint="default"/>
                <w:sz w:val="18"/>
                <w:szCs w:val="18"/>
              </w:rPr>
            </w:pPr>
            <w:r>
              <w:rPr>
                <w:rFonts w:ascii="宋体" w:hAnsi="宋体" w:cs="宋体" w:eastAsia="宋体" w:hint="default"/>
                <w:sz w:val="18"/>
                <w:szCs w:val="18"/>
              </w:rPr>
              <w:t>江苏光一德能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电气工程有限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67"/>
              <w:jc w:val="left"/>
              <w:rPr>
                <w:rFonts w:ascii="宋体" w:hAnsi="宋体" w:cs="宋体" w:eastAsia="宋体" w:hint="default"/>
                <w:sz w:val="18"/>
                <w:szCs w:val="18"/>
              </w:rPr>
            </w:pPr>
            <w:r>
              <w:rPr>
                <w:rFonts w:ascii="宋体" w:hAnsi="宋体" w:cs="宋体" w:eastAsia="宋体" w:hint="default"/>
                <w:spacing w:val="-2"/>
                <w:sz w:val="18"/>
                <w:szCs w:val="18"/>
              </w:rPr>
              <w:t>承装</w:t>
            </w:r>
            <w:r>
              <w:rPr>
                <w:rFonts w:ascii="宋体" w:hAnsi="宋体" w:cs="宋体" w:eastAsia="宋体" w:hint="default"/>
                <w:spacing w:val="-2"/>
                <w:sz w:val="18"/>
                <w:szCs w:val="18"/>
              </w:rPr>
              <w:t>(</w:t>
            </w:r>
            <w:r>
              <w:rPr>
                <w:rFonts w:ascii="宋体" w:hAnsi="宋体" w:cs="宋体" w:eastAsia="宋体" w:hint="default"/>
                <w:spacing w:val="-2"/>
                <w:sz w:val="18"/>
                <w:szCs w:val="18"/>
              </w:rPr>
              <w:t>修</w:t>
            </w:r>
            <w:r>
              <w:rPr>
                <w:rFonts w:ascii="宋体" w:hAnsi="宋体" w:cs="宋体" w:eastAsia="宋体" w:hint="default"/>
                <w:spacing w:val="-2"/>
                <w:sz w:val="18"/>
                <w:szCs w:val="18"/>
              </w:rPr>
              <w:t>)</w:t>
            </w:r>
            <w:r>
              <w:rPr>
                <w:rFonts w:ascii="宋体" w:hAnsi="宋体" w:cs="宋体" w:eastAsia="宋体" w:hint="default"/>
                <w:spacing w:val="-2"/>
                <w:sz w:val="18"/>
                <w:szCs w:val="18"/>
              </w:rPr>
              <w:t>电力</w:t>
            </w:r>
            <w:r>
              <w:rPr>
                <w:rFonts w:ascii="宋体" w:hAnsi="宋体" w:cs="宋体" w:eastAsia="宋体" w:hint="default"/>
                <w:spacing w:val="-72"/>
                <w:sz w:val="18"/>
                <w:szCs w:val="18"/>
              </w:rPr>
              <w:t> </w:t>
            </w:r>
            <w:r>
              <w:rPr>
                <w:rFonts w:ascii="宋体" w:hAnsi="宋体" w:cs="宋体" w:eastAsia="宋体" w:hint="default"/>
                <w:sz w:val="18"/>
                <w:szCs w:val="18"/>
              </w:rPr>
              <w:t>设施</w:t>
            </w:r>
            <w:r>
              <w:rPr>
                <w:rFonts w:ascii="宋体" w:hAnsi="宋体" w:cs="宋体" w:eastAsia="宋体" w:hint="default"/>
                <w:sz w:val="18"/>
                <w:szCs w:val="18"/>
              </w:rPr>
              <w:t>,</w:t>
            </w:r>
            <w:r>
              <w:rPr>
                <w:rFonts w:ascii="宋体" w:hAnsi="宋体" w:cs="宋体" w:eastAsia="宋体" w:hint="default"/>
                <w:sz w:val="18"/>
                <w:szCs w:val="18"/>
              </w:rPr>
              <w:t>电气工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程、送变电工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程、机电设备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安装工程的施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工</w:t>
            </w:r>
            <w:r>
              <w:rPr>
                <w:rFonts w:ascii="宋体" w:hAnsi="宋体" w:cs="宋体" w:eastAsia="宋体" w:hint="default"/>
                <w:sz w:val="18"/>
                <w:szCs w:val="18"/>
              </w:rPr>
              <w:t>,</w:t>
            </w:r>
            <w:r>
              <w:rPr>
                <w:rFonts w:ascii="宋体" w:hAnsi="宋体" w:cs="宋体" w:eastAsia="宋体" w:hint="default"/>
                <w:sz w:val="18"/>
                <w:szCs w:val="18"/>
              </w:rPr>
              <w:t>电力技术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21" w:lineRule="auto"/>
              <w:ind w:left="105" w:right="156"/>
              <w:jc w:val="left"/>
              <w:rPr>
                <w:rFonts w:ascii="宋体" w:hAnsi="宋体" w:cs="宋体" w:eastAsia="宋体" w:hint="default"/>
                <w:sz w:val="18"/>
                <w:szCs w:val="18"/>
              </w:rPr>
            </w:pPr>
            <w:r>
              <w:rPr>
                <w:rFonts w:ascii="宋体" w:hAnsi="宋体" w:cs="宋体" w:eastAsia="宋体" w:hint="default"/>
                <w:sz w:val="18"/>
                <w:szCs w:val="18"/>
              </w:rPr>
              <w:t>非同一控制下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企业合并</w:t>
            </w:r>
          </w:p>
        </w:tc>
      </w:tr>
      <w:tr>
        <w:trPr>
          <w:trHeight w:val="1964" w:hRule="exact"/>
        </w:trPr>
        <w:tc>
          <w:tcPr>
            <w:tcW w:w="1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95" w:right="171"/>
              <w:jc w:val="both"/>
              <w:rPr>
                <w:rFonts w:ascii="宋体" w:hAnsi="宋体" w:cs="宋体" w:eastAsia="宋体" w:hint="default"/>
                <w:sz w:val="18"/>
                <w:szCs w:val="18"/>
              </w:rPr>
            </w:pPr>
            <w:r>
              <w:rPr>
                <w:rFonts w:ascii="宋体" w:hAnsi="宋体" w:cs="宋体" w:eastAsia="宋体" w:hint="default"/>
                <w:sz w:val="18"/>
                <w:szCs w:val="18"/>
              </w:rPr>
              <w:t>光一数道（北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京）科技有限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3"/>
              <w:jc w:val="left"/>
              <w:rPr>
                <w:rFonts w:ascii="宋体" w:hAnsi="宋体" w:cs="宋体" w:eastAsia="宋体" w:hint="default"/>
                <w:sz w:val="18"/>
                <w:szCs w:val="18"/>
              </w:rPr>
            </w:pPr>
            <w:r>
              <w:rPr>
                <w:rFonts w:ascii="宋体" w:hAnsi="宋体" w:cs="宋体" w:eastAsia="宋体" w:hint="default"/>
                <w:sz w:val="18"/>
                <w:szCs w:val="18"/>
              </w:rPr>
              <w:t>技术开发、技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术咨询、技术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服务、技术推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广、技术转让；</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互联网信息服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70.00%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5397" w:hRule="exact"/>
        </w:trPr>
        <w:tc>
          <w:tcPr>
            <w:tcW w:w="1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21" w:lineRule="auto"/>
              <w:ind w:left="95" w:right="171"/>
              <w:jc w:val="both"/>
              <w:rPr>
                <w:rFonts w:ascii="宋体" w:hAnsi="宋体" w:cs="宋体" w:eastAsia="宋体" w:hint="default"/>
                <w:sz w:val="18"/>
                <w:szCs w:val="18"/>
              </w:rPr>
            </w:pPr>
            <w:r>
              <w:rPr>
                <w:rFonts w:ascii="宋体" w:hAnsi="宋体" w:cs="宋体" w:eastAsia="宋体" w:hint="default"/>
                <w:sz w:val="18"/>
                <w:szCs w:val="18"/>
              </w:rPr>
              <w:t>江苏德能电力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设计咨询有限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66"/>
              <w:jc w:val="left"/>
              <w:rPr>
                <w:rFonts w:ascii="宋体" w:hAnsi="宋体" w:cs="宋体" w:eastAsia="宋体" w:hint="default"/>
                <w:sz w:val="18"/>
                <w:szCs w:val="18"/>
              </w:rPr>
            </w:pPr>
            <w:r>
              <w:rPr>
                <w:rFonts w:ascii="宋体" w:hAnsi="宋体" w:cs="宋体" w:eastAsia="宋体" w:hint="default"/>
                <w:sz w:val="18"/>
                <w:szCs w:val="18"/>
              </w:rPr>
              <w:t>220KV</w:t>
            </w:r>
            <w:r>
              <w:rPr>
                <w:rFonts w:ascii="宋体" w:hAnsi="宋体" w:cs="宋体" w:eastAsia="宋体" w:hint="default"/>
                <w:spacing w:val="-44"/>
                <w:sz w:val="18"/>
                <w:szCs w:val="18"/>
              </w:rPr>
              <w:t> </w:t>
            </w:r>
            <w:r>
              <w:rPr>
                <w:rFonts w:ascii="宋体" w:hAnsi="宋体" w:cs="宋体" w:eastAsia="宋体" w:hint="default"/>
                <w:sz w:val="18"/>
                <w:szCs w:val="18"/>
              </w:rPr>
              <w:t>及以下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输电、变电、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配电工程设</w:t>
            </w:r>
            <w:r>
              <w:rPr>
                <w:rFonts w:ascii="宋体" w:hAnsi="宋体" w:cs="宋体" w:eastAsia="宋体" w:hint="default"/>
                <w:w w:val="101"/>
                <w:sz w:val="18"/>
                <w:szCs w:val="18"/>
              </w:rPr>
              <w:t> </w:t>
            </w:r>
            <w:r>
              <w:rPr>
                <w:rFonts w:ascii="宋体" w:hAnsi="宋体" w:cs="宋体" w:eastAsia="宋体" w:hint="default"/>
                <w:spacing w:val="-2"/>
                <w:sz w:val="18"/>
                <w:szCs w:val="18"/>
              </w:rPr>
              <w:t>计，电力工程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项目规划咨</w:t>
            </w:r>
            <w:r>
              <w:rPr>
                <w:rFonts w:ascii="宋体" w:hAnsi="宋体" w:cs="宋体" w:eastAsia="宋体" w:hint="default"/>
                <w:w w:val="101"/>
                <w:sz w:val="18"/>
                <w:szCs w:val="18"/>
              </w:rPr>
              <w:t> </w:t>
            </w:r>
            <w:r>
              <w:rPr>
                <w:rFonts w:ascii="宋体" w:hAnsi="宋体" w:cs="宋体" w:eastAsia="宋体" w:hint="default"/>
                <w:spacing w:val="-2"/>
                <w:sz w:val="18"/>
                <w:szCs w:val="18"/>
              </w:rPr>
              <w:t>询，电力技术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咨询，电力工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程项目可行性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研究，编制电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力工程项目建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议书，制定接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入系统方案，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电网规划、设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计服务，编制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电力工程项目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设计、施工概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预算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60.00%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9"/>
              <w:ind w:left="105" w:right="156"/>
              <w:jc w:val="left"/>
              <w:rPr>
                <w:rFonts w:ascii="宋体" w:hAnsi="宋体" w:cs="宋体" w:eastAsia="宋体" w:hint="default"/>
                <w:sz w:val="18"/>
                <w:szCs w:val="18"/>
              </w:rPr>
            </w:pPr>
            <w:r>
              <w:rPr>
                <w:rFonts w:ascii="宋体" w:hAnsi="宋体" w:cs="宋体" w:eastAsia="宋体" w:hint="default"/>
                <w:sz w:val="18"/>
                <w:szCs w:val="18"/>
              </w:rPr>
              <w:t>非同一控制下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企业合并</w:t>
            </w:r>
          </w:p>
        </w:tc>
      </w:tr>
      <w:tr>
        <w:trPr>
          <w:trHeight w:val="1028" w:hRule="exact"/>
        </w:trPr>
        <w:tc>
          <w:tcPr>
            <w:tcW w:w="1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95" w:right="171"/>
              <w:jc w:val="left"/>
              <w:rPr>
                <w:rFonts w:ascii="宋体" w:hAnsi="宋体" w:cs="宋体" w:eastAsia="宋体" w:hint="default"/>
                <w:sz w:val="18"/>
                <w:szCs w:val="18"/>
              </w:rPr>
            </w:pPr>
            <w:r>
              <w:rPr>
                <w:rFonts w:ascii="宋体" w:hAnsi="宋体" w:cs="宋体" w:eastAsia="宋体" w:hint="default"/>
                <w:sz w:val="18"/>
                <w:szCs w:val="18"/>
              </w:rPr>
              <w:t>南京勤能科技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0"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3"/>
              <w:jc w:val="left"/>
              <w:rPr>
                <w:rFonts w:ascii="宋体" w:hAnsi="宋体" w:cs="宋体" w:eastAsia="宋体" w:hint="default"/>
                <w:sz w:val="18"/>
                <w:szCs w:val="18"/>
              </w:rPr>
            </w:pPr>
            <w:r>
              <w:rPr>
                <w:rFonts w:ascii="宋体" w:hAnsi="宋体" w:cs="宋体" w:eastAsia="宋体" w:hint="default"/>
                <w:sz w:val="18"/>
                <w:szCs w:val="18"/>
              </w:rPr>
              <w:t>电力技术研</w:t>
            </w:r>
            <w:r>
              <w:rPr>
                <w:rFonts w:ascii="宋体" w:hAnsi="宋体" w:cs="宋体" w:eastAsia="宋体" w:hint="default"/>
                <w:w w:val="101"/>
                <w:sz w:val="18"/>
                <w:szCs w:val="18"/>
              </w:rPr>
              <w:t> </w:t>
            </w:r>
            <w:r>
              <w:rPr>
                <w:rFonts w:ascii="宋体" w:hAnsi="宋体" w:cs="宋体" w:eastAsia="宋体" w:hint="default"/>
                <w:spacing w:val="-5"/>
                <w:sz w:val="18"/>
                <w:szCs w:val="18"/>
              </w:rPr>
              <w:t>发、技术咨询、</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89"/>
              <w:jc w:val="right"/>
              <w:rPr>
                <w:rFonts w:ascii="宋体" w:hAnsi="宋体" w:cs="宋体" w:eastAsia="宋体" w:hint="default"/>
                <w:sz w:val="18"/>
                <w:szCs w:val="18"/>
              </w:rPr>
            </w:pPr>
            <w:r>
              <w:rPr>
                <w:rFonts w:ascii="宋体"/>
                <w:spacing w:val="-1"/>
                <w:sz w:val="18"/>
              </w:rPr>
              <w:t>60.00%</w:t>
            </w: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647" w:hRule="exact"/>
        </w:trPr>
        <w:tc>
          <w:tcPr>
            <w:tcW w:w="1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95" w:right="171"/>
              <w:jc w:val="both"/>
              <w:rPr>
                <w:rFonts w:ascii="宋体" w:hAnsi="宋体" w:cs="宋体" w:eastAsia="宋体" w:hint="default"/>
                <w:sz w:val="18"/>
                <w:szCs w:val="18"/>
              </w:rPr>
            </w:pPr>
            <w:r>
              <w:rPr>
                <w:rFonts w:ascii="宋体" w:hAnsi="宋体" w:cs="宋体" w:eastAsia="宋体" w:hint="default"/>
                <w:sz w:val="18"/>
                <w:szCs w:val="18"/>
              </w:rPr>
              <w:t>南京云商天下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江苏南京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66"/>
              <w:jc w:val="left"/>
              <w:rPr>
                <w:rFonts w:ascii="宋体" w:hAnsi="宋体" w:cs="宋体" w:eastAsia="宋体" w:hint="default"/>
                <w:sz w:val="18"/>
                <w:szCs w:val="18"/>
              </w:rPr>
            </w:pPr>
            <w:r>
              <w:rPr>
                <w:rFonts w:ascii="宋体" w:hAnsi="宋体" w:cs="宋体" w:eastAsia="宋体" w:hint="default"/>
                <w:sz w:val="18"/>
                <w:szCs w:val="18"/>
              </w:rPr>
              <w:t>电子产品开</w:t>
            </w:r>
            <w:r>
              <w:rPr>
                <w:rFonts w:ascii="宋体" w:hAnsi="宋体" w:cs="宋体" w:eastAsia="宋体" w:hint="default"/>
                <w:w w:val="101"/>
                <w:sz w:val="18"/>
                <w:szCs w:val="18"/>
              </w:rPr>
              <w:t> </w:t>
            </w:r>
            <w:r>
              <w:rPr>
                <w:rFonts w:ascii="宋体" w:hAnsi="宋体" w:cs="宋体" w:eastAsia="宋体" w:hint="default"/>
                <w:spacing w:val="-2"/>
                <w:sz w:val="18"/>
                <w:szCs w:val="18"/>
              </w:rPr>
              <w:t>发、销售、技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术咨询、技术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咨询、技术转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105" w:right="156"/>
              <w:jc w:val="left"/>
              <w:rPr>
                <w:rFonts w:ascii="宋体" w:hAnsi="宋体" w:cs="宋体" w:eastAsia="宋体" w:hint="default"/>
                <w:sz w:val="18"/>
                <w:szCs w:val="18"/>
              </w:rPr>
            </w:pPr>
            <w:r>
              <w:rPr>
                <w:rFonts w:ascii="宋体" w:hAnsi="宋体" w:cs="宋体" w:eastAsia="宋体" w:hint="default"/>
                <w:sz w:val="18"/>
                <w:szCs w:val="18"/>
              </w:rPr>
              <w:t>非同一控制下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企业合并</w:t>
            </w:r>
          </w:p>
        </w:tc>
      </w:tr>
      <w:tr>
        <w:trPr>
          <w:trHeight w:val="725" w:hRule="exact"/>
        </w:trPr>
        <w:tc>
          <w:tcPr>
            <w:tcW w:w="1373" w:type="dxa"/>
            <w:tcBorders>
              <w:top w:val="single" w:sz="4" w:space="0" w:color="000000"/>
              <w:left w:val="single" w:sz="12" w:space="0" w:color="000000"/>
              <w:bottom w:val="single" w:sz="12" w:space="0" w:color="000000"/>
              <w:right w:val="single" w:sz="4" w:space="0" w:color="000000"/>
            </w:tcBorders>
          </w:tcPr>
          <w:p>
            <w:pPr>
              <w:pStyle w:val="TableParagraph"/>
              <w:spacing w:line="321" w:lineRule="auto" w:before="53"/>
              <w:ind w:left="95" w:right="171"/>
              <w:jc w:val="left"/>
              <w:rPr>
                <w:rFonts w:ascii="宋体" w:hAnsi="宋体" w:cs="宋体" w:eastAsia="宋体" w:hint="default"/>
                <w:sz w:val="18"/>
                <w:szCs w:val="18"/>
              </w:rPr>
            </w:pPr>
            <w:r>
              <w:rPr>
                <w:rFonts w:ascii="宋体" w:hAnsi="宋体" w:cs="宋体" w:eastAsia="宋体" w:hint="default"/>
                <w:sz w:val="18"/>
                <w:szCs w:val="18"/>
              </w:rPr>
              <w:t>贵州健康云科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贵州贵阳</w:t>
            </w:r>
          </w:p>
        </w:tc>
        <w:tc>
          <w:tcPr>
            <w:tcW w:w="13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贵州贵阳</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312" w:lineRule="auto" w:before="77"/>
              <w:ind w:left="105" w:right="166"/>
              <w:jc w:val="left"/>
              <w:rPr>
                <w:rFonts w:ascii="宋体" w:hAnsi="宋体" w:cs="宋体" w:eastAsia="宋体" w:hint="default"/>
                <w:sz w:val="18"/>
                <w:szCs w:val="18"/>
              </w:rPr>
            </w:pPr>
            <w:r>
              <w:rPr>
                <w:rFonts w:ascii="宋体" w:hAnsi="宋体" w:cs="宋体" w:eastAsia="宋体" w:hint="default"/>
                <w:spacing w:val="-2"/>
                <w:sz w:val="18"/>
                <w:szCs w:val="18"/>
              </w:rPr>
              <w:t>咨询服务；计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算机软硬件产</w:t>
            </w:r>
          </w:p>
        </w:tc>
        <w:tc>
          <w:tcPr>
            <w:tcW w:w="1368" w:type="dxa"/>
            <w:tcBorders>
              <w:top w:val="single" w:sz="4" w:space="0" w:color="000000"/>
              <w:left w:val="single" w:sz="4" w:space="0" w:color="000000"/>
              <w:bottom w:val="single" w:sz="12" w:space="0" w:color="000000"/>
              <w:right w:val="single" w:sz="4" w:space="0" w:color="000000"/>
            </w:tcBorders>
          </w:tcPr>
          <w:p>
            <w:pP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51.00%</w:t>
            </w:r>
          </w:p>
        </w:tc>
        <w:tc>
          <w:tcPr>
            <w:tcW w:w="1369" w:type="dxa"/>
            <w:tcBorders>
              <w:top w:val="single" w:sz="4" w:space="0" w:color="000000"/>
              <w:left w:val="single" w:sz="4" w:space="0" w:color="000000"/>
              <w:bottom w:val="single" w:sz="12" w:space="0" w:color="000000"/>
              <w:right w:val="single" w:sz="12" w:space="0" w:color="000000"/>
            </w:tcBorders>
          </w:tcPr>
          <w:p>
            <w:pPr>
              <w:pStyle w:val="TableParagraph"/>
              <w:spacing w:line="321" w:lineRule="auto" w:before="53"/>
              <w:ind w:left="105" w:right="156"/>
              <w:jc w:val="left"/>
              <w:rPr>
                <w:rFonts w:ascii="宋体" w:hAnsi="宋体" w:cs="宋体" w:eastAsia="宋体" w:hint="default"/>
                <w:sz w:val="18"/>
                <w:szCs w:val="18"/>
              </w:rPr>
            </w:pPr>
            <w:r>
              <w:rPr>
                <w:rFonts w:ascii="宋体" w:hAnsi="宋体" w:cs="宋体" w:eastAsia="宋体" w:hint="default"/>
                <w:sz w:val="18"/>
                <w:szCs w:val="18"/>
              </w:rPr>
              <w:t>非同一控制下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企业合并</w:t>
            </w:r>
          </w:p>
        </w:tc>
      </w:tr>
    </w:tbl>
    <w:p>
      <w:pPr>
        <w:spacing w:after="0" w:line="321" w:lineRule="auto"/>
        <w:jc w:val="left"/>
        <w:rPr>
          <w:rFonts w:ascii="宋体" w:hAnsi="宋体" w:cs="宋体" w:eastAsia="宋体" w:hint="default"/>
          <w:sz w:val="18"/>
          <w:szCs w:val="18"/>
        </w:rPr>
        <w:sectPr>
          <w:pgSz w:w="11910" w:h="16840"/>
          <w:pgMar w:header="871" w:footer="1037" w:top="1040" w:bottom="12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13" w:hRule="exact"/>
        </w:trPr>
        <w:tc>
          <w:tcPr>
            <w:tcW w:w="1373"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3" w:type="dxa"/>
            <w:vMerge/>
            <w:tcBorders>
              <w:left w:val="single" w:sz="12"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12" w:space="0" w:color="000000"/>
            </w:tcBorders>
            <w:shd w:val="clear" w:color="auto" w:fill="D2D2D2"/>
          </w:tcPr>
          <w:p>
            <w:pPr/>
          </w:p>
        </w:tc>
      </w:tr>
      <w:tr>
        <w:trPr>
          <w:trHeight w:val="673" w:hRule="exact"/>
        </w:trPr>
        <w:tc>
          <w:tcPr>
            <w:tcW w:w="1373" w:type="dxa"/>
            <w:tcBorders>
              <w:top w:val="single" w:sz="4" w:space="0" w:color="000000"/>
              <w:left w:val="single" w:sz="12"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10"/>
              <w:ind w:left="105" w:right="3"/>
              <w:jc w:val="left"/>
              <w:rPr>
                <w:rFonts w:ascii="宋体" w:hAnsi="宋体" w:cs="宋体" w:eastAsia="宋体" w:hint="default"/>
                <w:sz w:val="18"/>
                <w:szCs w:val="18"/>
              </w:rPr>
            </w:pPr>
            <w:r>
              <w:rPr>
                <w:rFonts w:ascii="宋体" w:hAnsi="宋体" w:cs="宋体" w:eastAsia="宋体" w:hint="default"/>
                <w:spacing w:val="-5"/>
                <w:sz w:val="18"/>
                <w:szCs w:val="18"/>
              </w:rPr>
              <w:t>品开发、销售、</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咨询、服务等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12" w:space="0" w:color="000000"/>
            </w:tcBorders>
          </w:tcPr>
          <w:p>
            <w:pPr/>
          </w:p>
        </w:tc>
      </w:tr>
      <w:tr>
        <w:trPr>
          <w:trHeight w:val="3524" w:hRule="exact"/>
        </w:trPr>
        <w:tc>
          <w:tcPr>
            <w:tcW w:w="1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95" w:right="171"/>
              <w:jc w:val="left"/>
              <w:rPr>
                <w:rFonts w:ascii="宋体" w:hAnsi="宋体" w:cs="宋体" w:eastAsia="宋体" w:hint="default"/>
                <w:sz w:val="18"/>
                <w:szCs w:val="18"/>
              </w:rPr>
            </w:pPr>
            <w:r>
              <w:rPr>
                <w:rFonts w:ascii="宋体" w:hAnsi="宋体" w:cs="宋体" w:eastAsia="宋体" w:hint="default"/>
                <w:sz w:val="18"/>
                <w:szCs w:val="18"/>
              </w:rPr>
              <w:t>湖北索瑞电气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3"/>
              <w:jc w:val="left"/>
              <w:rPr>
                <w:rFonts w:ascii="宋体" w:hAnsi="宋体" w:cs="宋体" w:eastAsia="宋体" w:hint="default"/>
                <w:sz w:val="18"/>
                <w:szCs w:val="18"/>
              </w:rPr>
            </w:pPr>
            <w:r>
              <w:rPr>
                <w:rFonts w:ascii="宋体" w:hAnsi="宋体" w:cs="宋体" w:eastAsia="宋体" w:hint="default"/>
                <w:sz w:val="18"/>
                <w:szCs w:val="18"/>
              </w:rPr>
              <w:t>电能计量箱的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设计、生产和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销售，高低压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电气成套开关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设备及控制设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备的设计、生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产和销售，电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力电子产品技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术开发、应用、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销售，电力工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程安装服务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629" w:right="0"/>
              <w:jc w:val="left"/>
              <w:rPr>
                <w:rFonts w:ascii="宋体" w:hAnsi="宋体" w:cs="宋体" w:eastAsia="宋体" w:hint="default"/>
                <w:sz w:val="18"/>
                <w:szCs w:val="18"/>
              </w:rPr>
            </w:pPr>
            <w:r>
              <w:rPr>
                <w:rFonts w:ascii="宋体"/>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105" w:right="156"/>
              <w:jc w:val="left"/>
              <w:rPr>
                <w:rFonts w:ascii="宋体" w:hAnsi="宋体" w:cs="宋体" w:eastAsia="宋体" w:hint="default"/>
                <w:sz w:val="18"/>
                <w:szCs w:val="18"/>
              </w:rPr>
            </w:pPr>
            <w:r>
              <w:rPr>
                <w:rFonts w:ascii="宋体" w:hAnsi="宋体" w:cs="宋体" w:eastAsia="宋体" w:hint="default"/>
                <w:sz w:val="18"/>
                <w:szCs w:val="18"/>
              </w:rPr>
              <w:t>非同一控制下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企业合并</w:t>
            </w:r>
          </w:p>
        </w:tc>
      </w:tr>
      <w:tr>
        <w:trPr>
          <w:trHeight w:val="2588" w:hRule="exact"/>
        </w:trPr>
        <w:tc>
          <w:tcPr>
            <w:tcW w:w="1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95" w:right="171"/>
              <w:jc w:val="left"/>
              <w:rPr>
                <w:rFonts w:ascii="宋体" w:hAnsi="宋体" w:cs="宋体" w:eastAsia="宋体" w:hint="default"/>
                <w:sz w:val="18"/>
                <w:szCs w:val="18"/>
              </w:rPr>
            </w:pPr>
            <w:r>
              <w:rPr>
                <w:rFonts w:ascii="宋体" w:hAnsi="宋体" w:cs="宋体" w:eastAsia="宋体" w:hint="default"/>
                <w:sz w:val="18"/>
                <w:szCs w:val="18"/>
              </w:rPr>
              <w:t>湖北鼎瑞科技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0"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5"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高低压电器及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成套设备、塑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料制品的生</w:t>
            </w:r>
            <w:r>
              <w:rPr>
                <w:rFonts w:ascii="宋体" w:hAnsi="宋体" w:cs="宋体" w:eastAsia="宋体" w:hint="default"/>
                <w:w w:val="101"/>
                <w:sz w:val="18"/>
                <w:szCs w:val="18"/>
              </w:rPr>
              <w:t> </w:t>
            </w:r>
            <w:r>
              <w:rPr>
                <w:rFonts w:ascii="宋体" w:hAnsi="宋体" w:cs="宋体" w:eastAsia="宋体" w:hint="default"/>
                <w:spacing w:val="-2"/>
                <w:sz w:val="18"/>
                <w:szCs w:val="18"/>
              </w:rPr>
              <w:t>产、销售；电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力系统技术开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发及应用；电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子产品技术开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发和销售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89"/>
              <w:jc w:val="right"/>
              <w:rPr>
                <w:rFonts w:ascii="宋体" w:hAnsi="宋体" w:cs="宋体" w:eastAsia="宋体" w:hint="default"/>
                <w:sz w:val="18"/>
                <w:szCs w:val="18"/>
              </w:rPr>
            </w:pPr>
            <w:r>
              <w:rPr>
                <w:rFonts w:ascii="宋体"/>
                <w:spacing w:val="-1"/>
                <w:sz w:val="18"/>
              </w:rPr>
              <w:t>100.00%</w:t>
            </w: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105" w:right="156"/>
              <w:jc w:val="left"/>
              <w:rPr>
                <w:rFonts w:ascii="宋体" w:hAnsi="宋体" w:cs="宋体" w:eastAsia="宋体" w:hint="default"/>
                <w:sz w:val="18"/>
                <w:szCs w:val="18"/>
              </w:rPr>
            </w:pPr>
            <w:r>
              <w:rPr>
                <w:rFonts w:ascii="宋体" w:hAnsi="宋体" w:cs="宋体" w:eastAsia="宋体" w:hint="default"/>
                <w:sz w:val="18"/>
                <w:szCs w:val="18"/>
              </w:rPr>
              <w:t>非同一控制下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企业合并</w:t>
            </w:r>
          </w:p>
        </w:tc>
      </w:tr>
      <w:tr>
        <w:trPr>
          <w:trHeight w:val="3519" w:hRule="exact"/>
        </w:trPr>
        <w:tc>
          <w:tcPr>
            <w:tcW w:w="137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95" w:right="171"/>
              <w:jc w:val="left"/>
              <w:rPr>
                <w:rFonts w:ascii="宋体" w:hAnsi="宋体" w:cs="宋体" w:eastAsia="宋体" w:hint="default"/>
                <w:sz w:val="18"/>
                <w:szCs w:val="18"/>
              </w:rPr>
            </w:pPr>
            <w:r>
              <w:rPr>
                <w:rFonts w:ascii="宋体" w:hAnsi="宋体" w:cs="宋体" w:eastAsia="宋体" w:hint="default"/>
                <w:sz w:val="18"/>
                <w:szCs w:val="18"/>
              </w:rPr>
              <w:t>武汉睿博电气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有限责任公司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湖北武汉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湖北武汉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66"/>
              <w:jc w:val="both"/>
              <w:rPr>
                <w:rFonts w:ascii="宋体" w:hAnsi="宋体" w:cs="宋体" w:eastAsia="宋体" w:hint="default"/>
                <w:sz w:val="18"/>
                <w:szCs w:val="18"/>
              </w:rPr>
            </w:pPr>
            <w:r>
              <w:rPr>
                <w:rFonts w:ascii="宋体" w:hAnsi="宋体" w:cs="宋体" w:eastAsia="宋体" w:hint="default"/>
                <w:spacing w:val="-2"/>
                <w:sz w:val="18"/>
                <w:szCs w:val="18"/>
              </w:rPr>
              <w:t>高低压电器及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成套设备、塑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料制品、五金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钣金加工制品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生产、销售；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电力电子产品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技术开发、应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用、销售；光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纤复合网络系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统技术研发及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应用。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100.00%</w:t>
            </w:r>
          </w:p>
        </w:tc>
        <w:tc>
          <w:tcPr>
            <w:tcW w:w="136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105" w:right="156"/>
              <w:jc w:val="left"/>
              <w:rPr>
                <w:rFonts w:ascii="宋体" w:hAnsi="宋体" w:cs="宋体" w:eastAsia="宋体" w:hint="default"/>
                <w:sz w:val="18"/>
                <w:szCs w:val="18"/>
              </w:rPr>
            </w:pPr>
            <w:r>
              <w:rPr>
                <w:rFonts w:ascii="宋体" w:hAnsi="宋体" w:cs="宋体" w:eastAsia="宋体" w:hint="default"/>
                <w:sz w:val="18"/>
                <w:szCs w:val="18"/>
              </w:rPr>
              <w:t>非同一控制下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企业合并</w:t>
            </w:r>
          </w:p>
        </w:tc>
      </w:tr>
      <w:tr>
        <w:trPr>
          <w:trHeight w:val="2559" w:hRule="exact"/>
        </w:trPr>
        <w:tc>
          <w:tcPr>
            <w:tcW w:w="137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3"/>
              <w:ind w:left="95" w:right="171"/>
              <w:jc w:val="left"/>
              <w:rPr>
                <w:rFonts w:ascii="宋体" w:hAnsi="宋体" w:cs="宋体" w:eastAsia="宋体" w:hint="default"/>
                <w:sz w:val="18"/>
                <w:szCs w:val="18"/>
              </w:rPr>
            </w:pPr>
            <w:r>
              <w:rPr>
                <w:rFonts w:ascii="宋体" w:hAnsi="宋体" w:cs="宋体" w:eastAsia="宋体" w:hint="default"/>
                <w:sz w:val="18"/>
                <w:szCs w:val="18"/>
              </w:rPr>
              <w:t>荆州市山源科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技有限公司</w:t>
            </w: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13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4"/>
              <w:ind w:left="105" w:right="166"/>
              <w:jc w:val="both"/>
              <w:rPr>
                <w:rFonts w:ascii="宋体" w:hAnsi="宋体" w:cs="宋体" w:eastAsia="宋体" w:hint="default"/>
                <w:sz w:val="18"/>
                <w:szCs w:val="18"/>
              </w:rPr>
            </w:pPr>
            <w:r>
              <w:rPr>
                <w:rFonts w:ascii="宋体" w:hAnsi="宋体" w:cs="宋体" w:eastAsia="宋体" w:hint="default"/>
                <w:spacing w:val="-2"/>
                <w:sz w:val="18"/>
                <w:szCs w:val="18"/>
              </w:rPr>
              <w:t>高低压电器及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成套设备、塑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料制品生产、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销售；五金钣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金制品加工、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销售；电力电</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子产品技术开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发、应用、销</w:t>
            </w:r>
          </w:p>
        </w:tc>
        <w:tc>
          <w:tcPr>
            <w:tcW w:w="1368" w:type="dxa"/>
            <w:tcBorders>
              <w:top w:val="single" w:sz="4" w:space="0" w:color="000000"/>
              <w:left w:val="single" w:sz="4" w:space="0" w:color="000000"/>
              <w:bottom w:val="single" w:sz="12" w:space="0" w:color="000000"/>
              <w:right w:val="single" w:sz="4" w:space="0" w:color="000000"/>
            </w:tcBorders>
          </w:tcPr>
          <w:p>
            <w:pP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100.00%</w:t>
            </w:r>
          </w:p>
        </w:tc>
        <w:tc>
          <w:tcPr>
            <w:tcW w:w="136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43"/>
              <w:ind w:left="105" w:right="156"/>
              <w:jc w:val="left"/>
              <w:rPr>
                <w:rFonts w:ascii="宋体" w:hAnsi="宋体" w:cs="宋体" w:eastAsia="宋体" w:hint="default"/>
                <w:sz w:val="18"/>
                <w:szCs w:val="18"/>
              </w:rPr>
            </w:pPr>
            <w:r>
              <w:rPr>
                <w:rFonts w:ascii="宋体" w:hAnsi="宋体" w:cs="宋体" w:eastAsia="宋体" w:hint="default"/>
                <w:sz w:val="18"/>
                <w:szCs w:val="18"/>
              </w:rPr>
              <w:t>非同一控制下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企业合并</w:t>
            </w:r>
          </w:p>
        </w:tc>
      </w:tr>
    </w:tbl>
    <w:p>
      <w:pPr>
        <w:spacing w:after="0" w:line="321" w:lineRule="auto"/>
        <w:jc w:val="left"/>
        <w:rPr>
          <w:rFonts w:ascii="宋体" w:hAnsi="宋体" w:cs="宋体" w:eastAsia="宋体" w:hint="default"/>
          <w:sz w:val="18"/>
          <w:szCs w:val="18"/>
        </w:rPr>
        <w:sectPr>
          <w:pgSz w:w="11910" w:h="16840"/>
          <w:pgMar w:header="871" w:footer="1037" w:top="1040" w:bottom="12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71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13" w:hRule="exact"/>
        </w:trPr>
        <w:tc>
          <w:tcPr>
            <w:tcW w:w="1373"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3" w:type="dxa"/>
            <w:vMerge/>
            <w:tcBorders>
              <w:left w:val="single" w:sz="12"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12" w:space="0" w:color="000000"/>
            </w:tcBorders>
            <w:shd w:val="clear" w:color="auto" w:fill="D2D2D2"/>
          </w:tcPr>
          <w:p>
            <w:pPr/>
          </w:p>
        </w:tc>
      </w:tr>
      <w:tr>
        <w:trPr>
          <w:trHeight w:val="985" w:hRule="exact"/>
        </w:trPr>
        <w:tc>
          <w:tcPr>
            <w:tcW w:w="1373" w:type="dxa"/>
            <w:tcBorders>
              <w:top w:val="single" w:sz="4" w:space="0" w:color="000000"/>
              <w:left w:val="single" w:sz="12"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105" w:right="166"/>
              <w:jc w:val="both"/>
              <w:rPr>
                <w:rFonts w:ascii="宋体" w:hAnsi="宋体" w:cs="宋体" w:eastAsia="宋体" w:hint="default"/>
                <w:sz w:val="18"/>
                <w:szCs w:val="18"/>
              </w:rPr>
            </w:pPr>
            <w:r>
              <w:rPr>
                <w:rFonts w:ascii="宋体" w:hAnsi="宋体" w:cs="宋体" w:eastAsia="宋体" w:hint="default"/>
                <w:spacing w:val="-2"/>
                <w:sz w:val="18"/>
                <w:szCs w:val="18"/>
              </w:rPr>
              <w:t>售；光纤复合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网络系统技术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研发及应用。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12" w:space="0" w:color="000000"/>
            </w:tcBorders>
          </w:tcPr>
          <w:p>
            <w:pPr/>
          </w:p>
        </w:tc>
      </w:tr>
      <w:tr>
        <w:trPr>
          <w:trHeight w:val="3534" w:hRule="exact"/>
        </w:trPr>
        <w:tc>
          <w:tcPr>
            <w:tcW w:w="137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95" w:right="171"/>
              <w:jc w:val="left"/>
              <w:rPr>
                <w:rFonts w:ascii="宋体" w:hAnsi="宋体" w:cs="宋体" w:eastAsia="宋体" w:hint="default"/>
                <w:sz w:val="18"/>
                <w:szCs w:val="18"/>
              </w:rPr>
            </w:pPr>
            <w:r>
              <w:rPr>
                <w:rFonts w:ascii="宋体" w:hAnsi="宋体" w:cs="宋体" w:eastAsia="宋体" w:hint="default"/>
                <w:sz w:val="18"/>
                <w:szCs w:val="18"/>
              </w:rPr>
              <w:t>湖北瑞云软件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科技有限公司</w:t>
            </w: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13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湖北荆州</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319" w:lineRule="auto" w:before="53"/>
              <w:ind w:left="105" w:right="3"/>
              <w:jc w:val="left"/>
              <w:rPr>
                <w:rFonts w:ascii="宋体" w:hAnsi="宋体" w:cs="宋体" w:eastAsia="宋体" w:hint="default"/>
                <w:sz w:val="18"/>
                <w:szCs w:val="18"/>
              </w:rPr>
            </w:pPr>
            <w:r>
              <w:rPr>
                <w:rFonts w:ascii="宋体" w:hAnsi="宋体" w:cs="宋体" w:eastAsia="宋体" w:hint="default"/>
                <w:sz w:val="18"/>
                <w:szCs w:val="18"/>
              </w:rPr>
              <w:t>计算机软件、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硬件产品的开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发、设计、销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售、技术服务；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计算机系统集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成设计、施工；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网络工程技术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咨询服务（电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w w:val="101"/>
                <w:sz w:val="18"/>
                <w:szCs w:val="18"/>
              </w:rPr>
              <w:t>信业务除外）；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电子产品的研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发、生产</w:t>
            </w:r>
          </w:p>
        </w:tc>
        <w:tc>
          <w:tcPr>
            <w:tcW w:w="1368" w:type="dxa"/>
            <w:tcBorders>
              <w:top w:val="single" w:sz="4" w:space="0" w:color="000000"/>
              <w:left w:val="single" w:sz="4" w:space="0" w:color="000000"/>
              <w:bottom w:val="single" w:sz="12" w:space="0" w:color="000000"/>
              <w:right w:val="single" w:sz="4" w:space="0" w:color="000000"/>
            </w:tcBorders>
          </w:tcPr>
          <w:p>
            <w:pP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629" w:right="0"/>
              <w:jc w:val="left"/>
              <w:rPr>
                <w:rFonts w:ascii="宋体" w:hAnsi="宋体" w:cs="宋体" w:eastAsia="宋体" w:hint="default"/>
                <w:sz w:val="18"/>
                <w:szCs w:val="18"/>
              </w:rPr>
            </w:pPr>
            <w:r>
              <w:rPr>
                <w:rFonts w:ascii="宋体"/>
                <w:sz w:val="18"/>
              </w:rPr>
              <w:t>100.00%</w:t>
            </w:r>
          </w:p>
        </w:tc>
        <w:tc>
          <w:tcPr>
            <w:tcW w:w="136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410" w:lineRule="auto" w:before="66"/>
        <w:ind w:left="1155" w:right="0" w:hanging="423"/>
        <w:jc w:val="left"/>
      </w:pPr>
      <w:r>
        <w:rPr/>
        <w:t>在子公司的持股比例不同于表决权比例的说明：</w:t>
      </w:r>
      <w:r>
        <w:rPr>
          <w:spacing w:val="-100"/>
        </w:rPr>
        <w:t> </w:t>
      </w:r>
      <w:r>
        <w:rPr>
          <w:spacing w:val="-100"/>
        </w:rPr>
      </w:r>
      <w:r>
        <w:rPr>
          <w:spacing w:val="-2"/>
        </w:rPr>
        <w:t>南京领航光一科技产业投资合伙企业</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为公司设立的结构化主体，持股比例与实际表决权比</w:t>
      </w:r>
    </w:p>
    <w:p>
      <w:pPr>
        <w:pStyle w:val="BodyText"/>
        <w:spacing w:line="410" w:lineRule="auto" w:before="41"/>
        <w:ind w:left="733" w:right="4959"/>
        <w:jc w:val="left"/>
      </w:pPr>
      <w:r>
        <w:rPr/>
        <w:t>例不同。</w:t>
      </w:r>
      <w:r>
        <w:rPr>
          <w:spacing w:val="-101"/>
        </w:rPr>
        <w:t> </w:t>
      </w:r>
      <w:r>
        <w:rPr>
          <w:spacing w:val="-2"/>
        </w:rPr>
        <w:t>对于纳入合并范围的重要的结构化主体，控制的依据：</w:t>
      </w:r>
    </w:p>
    <w:p>
      <w:pPr>
        <w:pStyle w:val="BodyText"/>
        <w:spacing w:line="408" w:lineRule="auto" w:before="41"/>
        <w:ind w:left="733" w:right="1125" w:firstLine="422"/>
        <w:jc w:val="both"/>
      </w:pPr>
      <w:r>
        <w:rPr>
          <w:spacing w:val="-7"/>
        </w:rPr>
        <w:t>对于纳入合并范围的重要的结构化主体，本公司拥有对其的绝对、完全、独占的投资标的主导选择权，</w:t>
      </w:r>
      <w:r>
        <w:rPr>
          <w:w w:val="100"/>
        </w:rPr>
        <w:t> </w:t>
      </w:r>
      <w:r>
        <w:rPr>
          <w:spacing w:val="-2"/>
        </w:rPr>
        <w:t>优先级合伙人无权撤销公司投资标的选取的权力，公司能够对其实施控制；并且本公司承担了该结构化主</w:t>
      </w:r>
      <w:r>
        <w:rPr>
          <w:spacing w:val="-33"/>
        </w:rPr>
        <w:t> </w:t>
      </w:r>
      <w:r>
        <w:rPr>
          <w:spacing w:val="-33"/>
        </w:rPr>
      </w:r>
      <w:r>
        <w:rPr/>
        <w:t>体大部分的可变收益；因此本公司将该其纳入合并范围。</w:t>
      </w:r>
    </w:p>
    <w:p>
      <w:pPr>
        <w:pStyle w:val="Heading4"/>
        <w:spacing w:line="240" w:lineRule="auto" w:before="48"/>
        <w:ind w:left="733" w:right="0"/>
        <w:jc w:val="left"/>
        <w:rPr>
          <w:b w:val="0"/>
          <w:bCs w:val="0"/>
        </w:rPr>
      </w:pPr>
      <w:bookmarkStart w:name="（2）重要的非全资子公司" w:id="410"/>
      <w:bookmarkEnd w:id="410"/>
      <w:r>
        <w:rPr>
          <w:b w:val="0"/>
          <w:bCs w:val="0"/>
        </w:rPr>
      </w:r>
      <w:r>
        <w:rPr/>
        <w:t>（</w:t>
      </w:r>
      <w:r>
        <w:rPr>
          <w:rFonts w:ascii="宋体" w:hAnsi="宋体" w:cs="宋体" w:eastAsia="宋体" w:hint="default"/>
        </w:rPr>
        <w:t>2</w:t>
      </w:r>
      <w:r>
        <w:rPr/>
        <w:t>）重要的非全资子公司</w:t>
      </w:r>
      <w:r>
        <w:rPr>
          <w:b w:val="0"/>
          <w:bCs w:val="0"/>
        </w:rPr>
      </w:r>
    </w:p>
    <w:p>
      <w:pPr>
        <w:spacing w:before="178"/>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71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73" w:hRule="exact"/>
        </w:trPr>
        <w:tc>
          <w:tcPr>
            <w:tcW w:w="191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7"/>
              <w:ind w:left="686" w:right="137" w:hanging="543"/>
              <w:jc w:val="left"/>
              <w:rPr>
                <w:rFonts w:ascii="宋体" w:hAnsi="宋体" w:cs="宋体" w:eastAsia="宋体" w:hint="default"/>
                <w:sz w:val="18"/>
                <w:szCs w:val="18"/>
              </w:rPr>
            </w:pPr>
            <w:r>
              <w:rPr>
                <w:rFonts w:ascii="宋体" w:hAnsi="宋体" w:cs="宋体" w:eastAsia="宋体" w:hint="default"/>
                <w:spacing w:val="-3"/>
                <w:sz w:val="18"/>
                <w:szCs w:val="18"/>
              </w:rPr>
              <w:t>本期归属于少数股东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的损益</w:t>
            </w:r>
          </w:p>
        </w:tc>
        <w:tc>
          <w:tcPr>
            <w:tcW w:w="191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7"/>
              <w:ind w:left="499" w:right="137" w:hanging="360"/>
              <w:jc w:val="left"/>
              <w:rPr>
                <w:rFonts w:ascii="宋体" w:hAnsi="宋体" w:cs="宋体" w:eastAsia="宋体" w:hint="default"/>
                <w:sz w:val="18"/>
                <w:szCs w:val="18"/>
              </w:rPr>
            </w:pPr>
            <w:r>
              <w:rPr>
                <w:rFonts w:ascii="宋体" w:hAnsi="宋体" w:cs="宋体" w:eastAsia="宋体" w:hint="default"/>
                <w:spacing w:val="-3"/>
                <w:sz w:val="18"/>
                <w:szCs w:val="18"/>
              </w:rPr>
              <w:t>本期向少数股东宣告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分派的股利</w:t>
            </w:r>
          </w:p>
        </w:tc>
        <w:tc>
          <w:tcPr>
            <w:tcW w:w="191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21" w:lineRule="auto" w:before="77"/>
              <w:ind w:left="864" w:right="127" w:hanging="721"/>
              <w:jc w:val="left"/>
              <w:rPr>
                <w:rFonts w:ascii="宋体" w:hAnsi="宋体" w:cs="宋体" w:eastAsia="宋体" w:hint="default"/>
                <w:sz w:val="18"/>
                <w:szCs w:val="18"/>
              </w:rPr>
            </w:pPr>
            <w:r>
              <w:rPr>
                <w:rFonts w:ascii="宋体" w:hAnsi="宋体" w:cs="宋体" w:eastAsia="宋体" w:hint="default"/>
                <w:spacing w:val="-3"/>
                <w:sz w:val="18"/>
                <w:szCs w:val="18"/>
              </w:rPr>
              <w:t>期末少数股东权益余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额</w:t>
            </w:r>
          </w:p>
        </w:tc>
      </w:tr>
      <w:tr>
        <w:trPr>
          <w:trHeight w:val="725" w:hRule="exact"/>
        </w:trPr>
        <w:tc>
          <w:tcPr>
            <w:tcW w:w="1916"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江苏德能电力设计咨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询有限公司</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67" w:right="0"/>
              <w:jc w:val="left"/>
              <w:rPr>
                <w:rFonts w:ascii="宋体" w:hAnsi="宋体" w:cs="宋体" w:eastAsia="宋体" w:hint="default"/>
                <w:sz w:val="18"/>
                <w:szCs w:val="18"/>
              </w:rPr>
            </w:pPr>
            <w:r>
              <w:rPr>
                <w:rFonts w:ascii="宋体"/>
                <w:sz w:val="18"/>
              </w:rPr>
              <w:t>40.00%</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25" w:right="0"/>
              <w:jc w:val="left"/>
              <w:rPr>
                <w:rFonts w:ascii="宋体" w:hAnsi="宋体" w:cs="宋体" w:eastAsia="宋体" w:hint="default"/>
                <w:sz w:val="18"/>
                <w:szCs w:val="18"/>
              </w:rPr>
            </w:pPr>
            <w:r>
              <w:rPr>
                <w:rFonts w:ascii="宋体"/>
                <w:sz w:val="18"/>
              </w:rPr>
              <w:t>2,328,676.82</w:t>
            </w:r>
          </w:p>
        </w:tc>
        <w:tc>
          <w:tcPr>
            <w:tcW w:w="1911" w:type="dxa"/>
            <w:tcBorders>
              <w:top w:val="single" w:sz="4" w:space="0" w:color="000000"/>
              <w:left w:val="single" w:sz="4" w:space="0" w:color="000000"/>
              <w:bottom w:val="single" w:sz="12" w:space="0" w:color="000000"/>
              <w:right w:val="single" w:sz="4" w:space="0" w:color="000000"/>
            </w:tcBorders>
          </w:tcPr>
          <w:p>
            <w:pPr/>
          </w:p>
        </w:tc>
        <w:tc>
          <w:tcPr>
            <w:tcW w:w="1916"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left="733" w:right="0"/>
        <w:jc w:val="left"/>
        <w:rPr>
          <w:b w:val="0"/>
          <w:bCs w:val="0"/>
        </w:rPr>
      </w:pPr>
      <w:bookmarkStart w:name="（3）重要非全资子公司的主要财务信息" w:id="411"/>
      <w:bookmarkEnd w:id="41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340"/>
        <w:gridCol w:w="1455"/>
        <w:gridCol w:w="1513"/>
        <w:gridCol w:w="1455"/>
        <w:gridCol w:w="1474"/>
        <w:gridCol w:w="1244"/>
        <w:gridCol w:w="1546"/>
      </w:tblGrid>
      <w:tr>
        <w:trPr>
          <w:trHeight w:val="413" w:hRule="exact"/>
        </w:trPr>
        <w:tc>
          <w:tcPr>
            <w:tcW w:w="1340"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687" w:type="dxa"/>
            <w:gridSpan w:val="6"/>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340" w:type="dxa"/>
            <w:vMerge/>
            <w:tcBorders>
              <w:left w:val="single" w:sz="12"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0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46"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407"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686" w:hRule="exact"/>
        </w:trPr>
        <w:tc>
          <w:tcPr>
            <w:tcW w:w="1340"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3"/>
              <w:ind w:left="96" w:right="137"/>
              <w:jc w:val="left"/>
              <w:rPr>
                <w:rFonts w:ascii="宋体" w:hAnsi="宋体" w:cs="宋体" w:eastAsia="宋体" w:hint="default"/>
                <w:sz w:val="18"/>
                <w:szCs w:val="18"/>
              </w:rPr>
            </w:pPr>
            <w:r>
              <w:rPr>
                <w:rFonts w:ascii="宋体" w:hAnsi="宋体" w:cs="宋体" w:eastAsia="宋体" w:hint="default"/>
                <w:sz w:val="18"/>
                <w:szCs w:val="18"/>
              </w:rPr>
              <w:t>江苏德能电力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设计咨询有限</w:t>
            </w:r>
          </w:p>
        </w:tc>
        <w:tc>
          <w:tcPr>
            <w:tcW w:w="14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7" w:right="0"/>
              <w:jc w:val="center"/>
              <w:rPr>
                <w:rFonts w:ascii="宋体" w:hAnsi="宋体" w:cs="宋体" w:eastAsia="宋体" w:hint="default"/>
                <w:sz w:val="18"/>
                <w:szCs w:val="18"/>
              </w:rPr>
            </w:pPr>
            <w:r>
              <w:rPr>
                <w:rFonts w:ascii="宋体"/>
                <w:sz w:val="18"/>
              </w:rPr>
              <w:t>35,603,420.87</w:t>
            </w:r>
          </w:p>
        </w:tc>
        <w:tc>
          <w:tcPr>
            <w:tcW w:w="15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sz w:val="18"/>
              </w:rPr>
              <w:t>1,435,977.50</w:t>
            </w:r>
          </w:p>
        </w:tc>
        <w:tc>
          <w:tcPr>
            <w:tcW w:w="14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6" w:right="0"/>
              <w:jc w:val="center"/>
              <w:rPr>
                <w:rFonts w:ascii="宋体" w:hAnsi="宋体" w:cs="宋体" w:eastAsia="宋体" w:hint="default"/>
                <w:sz w:val="18"/>
                <w:szCs w:val="18"/>
              </w:rPr>
            </w:pPr>
            <w:r>
              <w:rPr>
                <w:rFonts w:ascii="宋体"/>
                <w:sz w:val="18"/>
              </w:rPr>
              <w:t>37,039,398.37</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86" w:right="0"/>
              <w:jc w:val="center"/>
              <w:rPr>
                <w:rFonts w:ascii="宋体" w:hAnsi="宋体" w:cs="宋体" w:eastAsia="宋体" w:hint="default"/>
                <w:sz w:val="18"/>
                <w:szCs w:val="18"/>
              </w:rPr>
            </w:pPr>
            <w:r>
              <w:rPr>
                <w:rFonts w:ascii="宋体"/>
                <w:sz w:val="18"/>
              </w:rPr>
              <w:t>23,276,878.22</w:t>
            </w:r>
          </w:p>
        </w:tc>
        <w:tc>
          <w:tcPr>
            <w:tcW w:w="1244" w:type="dxa"/>
            <w:tcBorders>
              <w:top w:val="single" w:sz="4" w:space="0" w:color="000000"/>
              <w:left w:val="single" w:sz="4" w:space="0" w:color="000000"/>
              <w:bottom w:val="single" w:sz="12" w:space="0" w:color="000000"/>
              <w:right w:val="single" w:sz="4" w:space="0" w:color="000000"/>
            </w:tcBorders>
          </w:tcPr>
          <w:p>
            <w:pPr/>
          </w:p>
        </w:tc>
        <w:tc>
          <w:tcPr>
            <w:tcW w:w="154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63" w:right="0"/>
              <w:jc w:val="left"/>
              <w:rPr>
                <w:rFonts w:ascii="宋体" w:hAnsi="宋体" w:cs="宋体" w:eastAsia="宋体" w:hint="default"/>
                <w:sz w:val="18"/>
                <w:szCs w:val="18"/>
              </w:rPr>
            </w:pPr>
            <w:r>
              <w:rPr>
                <w:rFonts w:ascii="宋体"/>
                <w:sz w:val="18"/>
              </w:rPr>
              <w:t>23,276,878.22</w:t>
            </w:r>
          </w:p>
        </w:tc>
      </w:tr>
    </w:tbl>
    <w:p>
      <w:pPr>
        <w:spacing w:after="0" w:line="240" w:lineRule="auto"/>
        <w:jc w:val="left"/>
        <w:rPr>
          <w:rFonts w:ascii="宋体" w:hAnsi="宋体" w:cs="宋体" w:eastAsia="宋体" w:hint="default"/>
          <w:sz w:val="18"/>
          <w:szCs w:val="18"/>
        </w:rPr>
        <w:sectPr>
          <w:pgSz w:w="11910" w:h="16840"/>
          <w:pgMar w:header="871" w:footer="1037" w:top="1040" w:bottom="1220" w:left="400" w:right="0"/>
        </w:sectPr>
      </w:pPr>
    </w:p>
    <w:p>
      <w:pPr>
        <w:spacing w:line="240" w:lineRule="auto" w:before="8"/>
        <w:rPr>
          <w:rFonts w:ascii="宋体" w:hAnsi="宋体" w:cs="宋体" w:eastAsia="宋体" w:hint="default"/>
          <w:sz w:val="29"/>
          <w:szCs w:val="29"/>
        </w:rPr>
      </w:pPr>
    </w:p>
    <w:tbl>
      <w:tblPr>
        <w:tblW w:w="0" w:type="auto"/>
        <w:jc w:val="left"/>
        <w:tblInd w:w="113" w:type="dxa"/>
        <w:tblLayout w:type="fixed"/>
        <w:tblCellMar>
          <w:top w:w="0" w:type="dxa"/>
          <w:left w:w="0" w:type="dxa"/>
          <w:bottom w:w="0" w:type="dxa"/>
          <w:right w:w="0" w:type="dxa"/>
        </w:tblCellMar>
        <w:tblLook w:val="01E0"/>
      </w:tblPr>
      <w:tblGrid>
        <w:gridCol w:w="1340"/>
        <w:gridCol w:w="1455"/>
        <w:gridCol w:w="1513"/>
        <w:gridCol w:w="1455"/>
        <w:gridCol w:w="1474"/>
        <w:gridCol w:w="1244"/>
        <w:gridCol w:w="1546"/>
      </w:tblGrid>
      <w:tr>
        <w:trPr>
          <w:trHeight w:val="384" w:hRule="exact"/>
        </w:trPr>
        <w:tc>
          <w:tcPr>
            <w:tcW w:w="1340" w:type="dxa"/>
            <w:tcBorders>
              <w:top w:val="single" w:sz="12" w:space="0" w:color="000000"/>
              <w:left w:val="single" w:sz="12" w:space="0" w:color="000000"/>
              <w:bottom w:val="single" w:sz="12" w:space="0" w:color="000000"/>
              <w:right w:val="single" w:sz="4" w:space="0" w:color="000000"/>
            </w:tcBorders>
          </w:tcPr>
          <w:p>
            <w:pPr>
              <w:pStyle w:val="TableParagraph"/>
              <w:spacing w:line="240" w:lineRule="auto" w:before="15"/>
              <w:ind w:left="9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55" w:type="dxa"/>
            <w:tcBorders>
              <w:top w:val="single" w:sz="12" w:space="0" w:color="000000"/>
              <w:left w:val="single" w:sz="4" w:space="0" w:color="000000"/>
              <w:bottom w:val="single" w:sz="12" w:space="0" w:color="000000"/>
              <w:right w:val="single" w:sz="4" w:space="0" w:color="000000"/>
            </w:tcBorders>
          </w:tcPr>
          <w:p>
            <w:pPr/>
          </w:p>
        </w:tc>
        <w:tc>
          <w:tcPr>
            <w:tcW w:w="1513" w:type="dxa"/>
            <w:tcBorders>
              <w:top w:val="single" w:sz="12" w:space="0" w:color="000000"/>
              <w:left w:val="single" w:sz="4" w:space="0" w:color="000000"/>
              <w:bottom w:val="single" w:sz="12" w:space="0" w:color="000000"/>
              <w:right w:val="single" w:sz="4" w:space="0" w:color="000000"/>
            </w:tcBorders>
          </w:tcPr>
          <w:p>
            <w:pPr/>
          </w:p>
        </w:tc>
        <w:tc>
          <w:tcPr>
            <w:tcW w:w="1455" w:type="dxa"/>
            <w:tcBorders>
              <w:top w:val="single" w:sz="12" w:space="0" w:color="000000"/>
              <w:left w:val="single" w:sz="4" w:space="0" w:color="000000"/>
              <w:bottom w:val="single" w:sz="12" w:space="0" w:color="000000"/>
              <w:right w:val="single" w:sz="4" w:space="0" w:color="000000"/>
            </w:tcBorders>
          </w:tcPr>
          <w:p>
            <w:pPr/>
          </w:p>
        </w:tc>
        <w:tc>
          <w:tcPr>
            <w:tcW w:w="1474" w:type="dxa"/>
            <w:tcBorders>
              <w:top w:val="single" w:sz="12" w:space="0" w:color="000000"/>
              <w:left w:val="single" w:sz="4" w:space="0" w:color="000000"/>
              <w:bottom w:val="single" w:sz="12" w:space="0" w:color="000000"/>
              <w:right w:val="single" w:sz="4" w:space="0" w:color="000000"/>
            </w:tcBorders>
          </w:tcPr>
          <w:p>
            <w:pPr/>
          </w:p>
        </w:tc>
        <w:tc>
          <w:tcPr>
            <w:tcW w:w="1244" w:type="dxa"/>
            <w:tcBorders>
              <w:top w:val="single" w:sz="12" w:space="0" w:color="000000"/>
              <w:left w:val="single" w:sz="4" w:space="0" w:color="000000"/>
              <w:bottom w:val="single" w:sz="12" w:space="0" w:color="000000"/>
              <w:right w:val="single" w:sz="4" w:space="0" w:color="000000"/>
            </w:tcBorders>
          </w:tcPr>
          <w:p>
            <w:pPr/>
          </w:p>
        </w:tc>
        <w:tc>
          <w:tcPr>
            <w:tcW w:w="1546" w:type="dxa"/>
            <w:tcBorders>
              <w:top w:val="single" w:sz="12" w:space="0" w:color="000000"/>
              <w:left w:val="single" w:sz="4" w:space="0" w:color="000000"/>
              <w:bottom w:val="single" w:sz="12" w:space="0" w:color="000000"/>
              <w:right w:val="single" w:sz="12" w:space="0" w:color="000000"/>
            </w:tcBorders>
          </w:tcPr>
          <w:p>
            <w:pP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340"/>
        <w:gridCol w:w="1422"/>
        <w:gridCol w:w="1580"/>
        <w:gridCol w:w="1407"/>
        <w:gridCol w:w="1503"/>
        <w:gridCol w:w="1215"/>
        <w:gridCol w:w="1560"/>
      </w:tblGrid>
      <w:tr>
        <w:trPr>
          <w:trHeight w:val="411" w:hRule="exact"/>
        </w:trPr>
        <w:tc>
          <w:tcPr>
            <w:tcW w:w="1340"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687" w:type="dxa"/>
            <w:gridSpan w:val="6"/>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1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40" w:type="dxa"/>
            <w:vMerge/>
            <w:tcBorders>
              <w:left w:val="single" w:sz="12" w:space="0" w:color="000000"/>
              <w:bottom w:val="single" w:sz="4" w:space="0" w:color="000000"/>
              <w:right w:val="single" w:sz="4" w:space="0" w:color="000000"/>
            </w:tcBorders>
            <w:shd w:val="clear" w:color="auto" w:fill="D2D2D2"/>
          </w:tcPr>
          <w:p>
            <w:pPr/>
          </w:p>
        </w:tc>
        <w:tc>
          <w:tcPr>
            <w:tcW w:w="1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60"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417"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1037" w:hRule="exact"/>
        </w:trPr>
        <w:tc>
          <w:tcPr>
            <w:tcW w:w="1340" w:type="dxa"/>
            <w:tcBorders>
              <w:top w:val="single" w:sz="4" w:space="0" w:color="000000"/>
              <w:left w:val="single" w:sz="12" w:space="0" w:color="000000"/>
              <w:bottom w:val="single" w:sz="12" w:space="0" w:color="000000"/>
              <w:right w:val="single" w:sz="4" w:space="0" w:color="000000"/>
            </w:tcBorders>
          </w:tcPr>
          <w:p>
            <w:pPr>
              <w:pStyle w:val="TableParagraph"/>
              <w:spacing w:line="319" w:lineRule="auto" w:before="53"/>
              <w:ind w:left="96" w:right="137"/>
              <w:jc w:val="both"/>
              <w:rPr>
                <w:rFonts w:ascii="宋体" w:hAnsi="宋体" w:cs="宋体" w:eastAsia="宋体" w:hint="default"/>
                <w:sz w:val="18"/>
                <w:szCs w:val="18"/>
              </w:rPr>
            </w:pPr>
            <w:r>
              <w:rPr>
                <w:rFonts w:ascii="宋体" w:hAnsi="宋体" w:cs="宋体" w:eastAsia="宋体" w:hint="default"/>
                <w:sz w:val="18"/>
                <w:szCs w:val="18"/>
              </w:rPr>
              <w:t>江苏德能电力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设计咨询有限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4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3" w:right="0"/>
              <w:jc w:val="center"/>
              <w:rPr>
                <w:rFonts w:ascii="宋体" w:hAnsi="宋体" w:cs="宋体" w:eastAsia="宋体" w:hint="default"/>
                <w:sz w:val="18"/>
                <w:szCs w:val="18"/>
              </w:rPr>
            </w:pPr>
            <w:r>
              <w:rPr>
                <w:rFonts w:ascii="宋体"/>
                <w:sz w:val="18"/>
              </w:rPr>
              <w:t>30,596,364.80</w:t>
            </w:r>
          </w:p>
        </w:tc>
        <w:tc>
          <w:tcPr>
            <w:tcW w:w="1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83" w:right="0"/>
              <w:jc w:val="left"/>
              <w:rPr>
                <w:rFonts w:ascii="宋体" w:hAnsi="宋体" w:cs="宋体" w:eastAsia="宋体" w:hint="default"/>
                <w:sz w:val="18"/>
                <w:szCs w:val="18"/>
              </w:rPr>
            </w:pPr>
            <w:r>
              <w:rPr>
                <w:rFonts w:ascii="宋体"/>
                <w:sz w:val="18"/>
              </w:rPr>
              <w:t>1,648,307.07</w:t>
            </w:r>
          </w:p>
        </w:tc>
        <w:tc>
          <w:tcPr>
            <w:tcW w:w="140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center"/>
              <w:rPr>
                <w:rFonts w:ascii="宋体" w:hAnsi="宋体" w:cs="宋体" w:eastAsia="宋体" w:hint="default"/>
                <w:sz w:val="18"/>
                <w:szCs w:val="18"/>
              </w:rPr>
            </w:pPr>
            <w:r>
              <w:rPr>
                <w:rFonts w:ascii="宋体"/>
                <w:sz w:val="18"/>
              </w:rPr>
              <w:t>32,244,671.87</w:t>
            </w:r>
          </w:p>
        </w:tc>
        <w:tc>
          <w:tcPr>
            <w:tcW w:w="15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5" w:right="0"/>
              <w:jc w:val="left"/>
              <w:rPr>
                <w:rFonts w:ascii="宋体" w:hAnsi="宋体" w:cs="宋体" w:eastAsia="宋体" w:hint="default"/>
                <w:sz w:val="18"/>
                <w:szCs w:val="18"/>
              </w:rPr>
            </w:pPr>
            <w:r>
              <w:rPr>
                <w:rFonts w:ascii="宋体"/>
                <w:sz w:val="18"/>
              </w:rPr>
              <w:t>24,303,843.77</w:t>
            </w:r>
          </w:p>
        </w:tc>
        <w:tc>
          <w:tcPr>
            <w:tcW w:w="1215" w:type="dxa"/>
            <w:tcBorders>
              <w:top w:val="single" w:sz="4" w:space="0" w:color="000000"/>
              <w:left w:val="single" w:sz="4" w:space="0" w:color="000000"/>
              <w:bottom w:val="single" w:sz="12" w:space="0" w:color="000000"/>
              <w:right w:val="single" w:sz="4" w:space="0" w:color="000000"/>
            </w:tcBorders>
          </w:tcPr>
          <w:p>
            <w:pPr/>
          </w:p>
        </w:tc>
        <w:tc>
          <w:tcPr>
            <w:tcW w:w="156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78" w:right="0"/>
              <w:jc w:val="left"/>
              <w:rPr>
                <w:rFonts w:ascii="宋体" w:hAnsi="宋体" w:cs="宋体" w:eastAsia="宋体" w:hint="default"/>
                <w:sz w:val="18"/>
                <w:szCs w:val="18"/>
              </w:rPr>
            </w:pPr>
            <w:r>
              <w:rPr>
                <w:rFonts w:ascii="宋体"/>
                <w:sz w:val="18"/>
              </w:rPr>
              <w:t>24,303,843.77</w:t>
            </w:r>
          </w:p>
        </w:tc>
      </w:tr>
    </w:tbl>
    <w:p>
      <w:pPr>
        <w:spacing w:before="54"/>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340"/>
        <w:gridCol w:w="1455"/>
        <w:gridCol w:w="1513"/>
        <w:gridCol w:w="1455"/>
        <w:gridCol w:w="1474"/>
        <w:gridCol w:w="1244"/>
        <w:gridCol w:w="1546"/>
      </w:tblGrid>
      <w:tr>
        <w:trPr>
          <w:trHeight w:val="413" w:hRule="exact"/>
        </w:trPr>
        <w:tc>
          <w:tcPr>
            <w:tcW w:w="1340"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687" w:type="dxa"/>
            <w:gridSpan w:val="6"/>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710" w:hRule="exact"/>
        </w:trPr>
        <w:tc>
          <w:tcPr>
            <w:tcW w:w="1340" w:type="dxa"/>
            <w:vMerge/>
            <w:tcBorders>
              <w:left w:val="single" w:sz="12"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51" w:right="185" w:hanging="360"/>
              <w:jc w:val="left"/>
              <w:rPr>
                <w:rFonts w:ascii="宋体" w:hAnsi="宋体" w:cs="宋体" w:eastAsia="宋体" w:hint="default"/>
                <w:sz w:val="18"/>
                <w:szCs w:val="18"/>
              </w:rPr>
            </w:pPr>
            <w:r>
              <w:rPr>
                <w:rFonts w:ascii="宋体" w:hAnsi="宋体" w:cs="宋体" w:eastAsia="宋体" w:hint="default"/>
                <w:spacing w:val="-2"/>
                <w:sz w:val="18"/>
                <w:szCs w:val="18"/>
              </w:rPr>
              <w:t>经营活动现金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流量</w:t>
            </w:r>
          </w:p>
        </w:tc>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6"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1037" w:hRule="exact"/>
        </w:trPr>
        <w:tc>
          <w:tcPr>
            <w:tcW w:w="1340"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9"/>
              <w:ind w:left="96" w:right="137"/>
              <w:jc w:val="both"/>
              <w:rPr>
                <w:rFonts w:ascii="宋体" w:hAnsi="宋体" w:cs="宋体" w:eastAsia="宋体" w:hint="default"/>
                <w:sz w:val="18"/>
                <w:szCs w:val="18"/>
              </w:rPr>
            </w:pPr>
            <w:r>
              <w:rPr>
                <w:rFonts w:ascii="宋体" w:hAnsi="宋体" w:cs="宋体" w:eastAsia="宋体" w:hint="default"/>
                <w:sz w:val="18"/>
                <w:szCs w:val="18"/>
              </w:rPr>
              <w:t>江苏德能电力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设计咨询有限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4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67" w:right="0"/>
              <w:jc w:val="center"/>
              <w:rPr>
                <w:rFonts w:ascii="宋体" w:hAnsi="宋体" w:cs="宋体" w:eastAsia="宋体" w:hint="default"/>
                <w:sz w:val="18"/>
                <w:szCs w:val="18"/>
              </w:rPr>
            </w:pPr>
            <w:r>
              <w:rPr>
                <w:rFonts w:ascii="宋体"/>
                <w:sz w:val="18"/>
              </w:rPr>
              <w:t>16,326,664.06</w:t>
            </w:r>
          </w:p>
        </w:tc>
        <w:tc>
          <w:tcPr>
            <w:tcW w:w="15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21" w:right="0"/>
              <w:jc w:val="left"/>
              <w:rPr>
                <w:rFonts w:ascii="宋体" w:hAnsi="宋体" w:cs="宋体" w:eastAsia="宋体" w:hint="default"/>
                <w:sz w:val="18"/>
                <w:szCs w:val="18"/>
              </w:rPr>
            </w:pPr>
            <w:r>
              <w:rPr>
                <w:rFonts w:ascii="宋体"/>
                <w:sz w:val="18"/>
              </w:rPr>
              <w:t>5,821,692.05</w:t>
            </w:r>
          </w:p>
        </w:tc>
        <w:tc>
          <w:tcPr>
            <w:tcW w:w="14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63" w:right="0"/>
              <w:jc w:val="left"/>
              <w:rPr>
                <w:rFonts w:ascii="宋体" w:hAnsi="宋体" w:cs="宋体" w:eastAsia="宋体" w:hint="default"/>
                <w:sz w:val="18"/>
                <w:szCs w:val="18"/>
              </w:rPr>
            </w:pPr>
            <w:r>
              <w:rPr>
                <w:rFonts w:ascii="宋体"/>
                <w:sz w:val="18"/>
              </w:rPr>
              <w:t>5,821,692.05</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78" w:right="0"/>
              <w:jc w:val="left"/>
              <w:rPr>
                <w:rFonts w:ascii="宋体" w:hAnsi="宋体" w:cs="宋体" w:eastAsia="宋体" w:hint="default"/>
                <w:sz w:val="18"/>
                <w:szCs w:val="18"/>
              </w:rPr>
            </w:pPr>
            <w:r>
              <w:rPr>
                <w:rFonts w:ascii="宋体"/>
                <w:sz w:val="18"/>
              </w:rPr>
              <w:t>3,179,571.45</w:t>
            </w:r>
          </w:p>
        </w:tc>
        <w:tc>
          <w:tcPr>
            <w:tcW w:w="1244" w:type="dxa"/>
            <w:tcBorders>
              <w:top w:val="single" w:sz="4" w:space="0" w:color="000000"/>
              <w:left w:val="single" w:sz="4" w:space="0" w:color="000000"/>
              <w:bottom w:val="single" w:sz="12" w:space="0" w:color="000000"/>
              <w:right w:val="single" w:sz="4" w:space="0" w:color="000000"/>
            </w:tcBorders>
          </w:tcPr>
          <w:p>
            <w:pPr/>
          </w:p>
        </w:tc>
        <w:tc>
          <w:tcPr>
            <w:tcW w:w="1546" w:type="dxa"/>
            <w:tcBorders>
              <w:top w:val="single" w:sz="4" w:space="0" w:color="000000"/>
              <w:left w:val="single" w:sz="4" w:space="0" w:color="000000"/>
              <w:bottom w:val="single" w:sz="12" w:space="0" w:color="000000"/>
              <w:right w:val="single" w:sz="12" w:space="0" w:color="000000"/>
            </w:tcBorders>
          </w:tcPr>
          <w:p>
            <w:pP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340"/>
        <w:gridCol w:w="1455"/>
        <w:gridCol w:w="1513"/>
        <w:gridCol w:w="1455"/>
        <w:gridCol w:w="1474"/>
        <w:gridCol w:w="1244"/>
        <w:gridCol w:w="1546"/>
      </w:tblGrid>
      <w:tr>
        <w:trPr>
          <w:trHeight w:val="413" w:hRule="exact"/>
        </w:trPr>
        <w:tc>
          <w:tcPr>
            <w:tcW w:w="1340"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687" w:type="dxa"/>
            <w:gridSpan w:val="6"/>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340" w:type="dxa"/>
            <w:vMerge/>
            <w:tcBorders>
              <w:left w:val="single" w:sz="12"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551" w:right="185" w:hanging="360"/>
              <w:jc w:val="left"/>
              <w:rPr>
                <w:rFonts w:ascii="宋体" w:hAnsi="宋体" w:cs="宋体" w:eastAsia="宋体" w:hint="default"/>
                <w:sz w:val="18"/>
                <w:szCs w:val="18"/>
              </w:rPr>
            </w:pPr>
            <w:r>
              <w:rPr>
                <w:rFonts w:ascii="宋体" w:hAnsi="宋体" w:cs="宋体" w:eastAsia="宋体" w:hint="default"/>
                <w:spacing w:val="-2"/>
                <w:sz w:val="18"/>
                <w:szCs w:val="18"/>
              </w:rPr>
              <w:t>经营活动现金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流量</w:t>
            </w:r>
          </w:p>
        </w:tc>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6"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1037" w:hRule="exact"/>
        </w:trPr>
        <w:tc>
          <w:tcPr>
            <w:tcW w:w="1340"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3"/>
              <w:ind w:left="96" w:right="137"/>
              <w:jc w:val="both"/>
              <w:rPr>
                <w:rFonts w:ascii="宋体" w:hAnsi="宋体" w:cs="宋体" w:eastAsia="宋体" w:hint="default"/>
                <w:sz w:val="18"/>
                <w:szCs w:val="18"/>
              </w:rPr>
            </w:pPr>
            <w:r>
              <w:rPr>
                <w:rFonts w:ascii="宋体" w:hAnsi="宋体" w:cs="宋体" w:eastAsia="宋体" w:hint="default"/>
                <w:sz w:val="18"/>
                <w:szCs w:val="18"/>
              </w:rPr>
              <w:t>江苏德能电力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设计咨询有限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4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67" w:right="0"/>
              <w:jc w:val="center"/>
              <w:rPr>
                <w:rFonts w:ascii="宋体" w:hAnsi="宋体" w:cs="宋体" w:eastAsia="宋体" w:hint="default"/>
                <w:sz w:val="18"/>
                <w:szCs w:val="18"/>
              </w:rPr>
            </w:pPr>
            <w:r>
              <w:rPr>
                <w:rFonts w:ascii="宋体"/>
                <w:sz w:val="18"/>
              </w:rPr>
              <w:t>20,300,389.34</w:t>
            </w:r>
          </w:p>
        </w:tc>
        <w:tc>
          <w:tcPr>
            <w:tcW w:w="15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sz w:val="18"/>
              </w:rPr>
              <w:t>-1,875,020.19</w:t>
            </w:r>
          </w:p>
        </w:tc>
        <w:tc>
          <w:tcPr>
            <w:tcW w:w="14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72" w:right="0"/>
              <w:jc w:val="left"/>
              <w:rPr>
                <w:rFonts w:ascii="宋体" w:hAnsi="宋体" w:cs="宋体" w:eastAsia="宋体" w:hint="default"/>
                <w:sz w:val="18"/>
                <w:szCs w:val="18"/>
              </w:rPr>
            </w:pPr>
            <w:r>
              <w:rPr>
                <w:rFonts w:ascii="宋体"/>
                <w:sz w:val="18"/>
              </w:rPr>
              <w:t>-1,875,020.19</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78" w:right="0"/>
              <w:jc w:val="left"/>
              <w:rPr>
                <w:rFonts w:ascii="宋体" w:hAnsi="宋体" w:cs="宋体" w:eastAsia="宋体" w:hint="default"/>
                <w:sz w:val="18"/>
                <w:szCs w:val="18"/>
              </w:rPr>
            </w:pPr>
            <w:r>
              <w:rPr>
                <w:rFonts w:ascii="宋体"/>
                <w:sz w:val="18"/>
              </w:rPr>
              <w:t>2,939,521.72</w:t>
            </w:r>
          </w:p>
        </w:tc>
        <w:tc>
          <w:tcPr>
            <w:tcW w:w="1244" w:type="dxa"/>
            <w:tcBorders>
              <w:top w:val="single" w:sz="4" w:space="0" w:color="000000"/>
              <w:left w:val="single" w:sz="4" w:space="0" w:color="000000"/>
              <w:bottom w:val="single" w:sz="12" w:space="0" w:color="000000"/>
              <w:right w:val="single" w:sz="4" w:space="0" w:color="000000"/>
            </w:tcBorders>
          </w:tcPr>
          <w:p>
            <w:pPr/>
          </w:p>
        </w:tc>
        <w:tc>
          <w:tcPr>
            <w:tcW w:w="1546" w:type="dxa"/>
            <w:tcBorders>
              <w:top w:val="single" w:sz="4" w:space="0" w:color="000000"/>
              <w:left w:val="single" w:sz="4" w:space="0" w:color="000000"/>
              <w:bottom w:val="single" w:sz="12" w:space="0" w:color="000000"/>
              <w:right w:val="single" w:sz="12" w:space="0" w:color="000000"/>
            </w:tcBorders>
          </w:tcPr>
          <w:p>
            <w:pPr/>
          </w:p>
        </w:tc>
      </w:tr>
    </w:tbl>
    <w:p>
      <w:pPr>
        <w:pStyle w:val="BodyText"/>
        <w:spacing w:line="405" w:lineRule="auto" w:before="66"/>
        <w:ind w:left="733" w:right="1208"/>
        <w:jc w:val="both"/>
      </w:pPr>
      <w:r>
        <w:rPr>
          <w:spacing w:val="-2"/>
        </w:rPr>
        <w:t>本公司报告期内将江苏德能电力设计咨询有限公司予以处置，丧失了对其控制权，并于</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13</w:t>
      </w:r>
      <w:r>
        <w:rPr>
          <w:spacing w:val="-2"/>
        </w:rPr>
        <w:t>日办</w:t>
      </w:r>
      <w:r>
        <w:rPr>
          <w:spacing w:val="-5"/>
        </w:rPr>
        <w:t> </w:t>
      </w:r>
      <w:r>
        <w:rPr/>
        <w:t>理工商过户登记。</w:t>
      </w:r>
    </w:p>
    <w:p>
      <w:pPr>
        <w:pStyle w:val="Heading4"/>
        <w:spacing w:line="240" w:lineRule="auto" w:before="50"/>
        <w:ind w:left="733" w:right="0"/>
        <w:jc w:val="both"/>
        <w:rPr>
          <w:b w:val="0"/>
          <w:bCs w:val="0"/>
        </w:rPr>
      </w:pPr>
      <w:bookmarkStart w:name="（4） 使用企业集团资产和清偿企业集团债务的重大限制" w:id="412"/>
      <w:bookmarkEnd w:id="412"/>
      <w:r>
        <w:rPr>
          <w:b w:val="0"/>
          <w:bCs w:val="0"/>
        </w:rPr>
      </w:r>
      <w:r>
        <w:rPr/>
        <w:t>（</w:t>
      </w:r>
      <w:r>
        <w:rPr>
          <w:rFonts w:ascii="宋体" w:hAnsi="宋体" w:cs="宋体" w:eastAsia="宋体"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left="944" w:right="0"/>
        <w:jc w:val="left"/>
      </w:pPr>
      <w:r>
        <w:rPr/>
        <w:t>□ 适用 √</w:t>
      </w:r>
      <w:r>
        <w:rPr>
          <w:spacing w:val="4"/>
        </w:rPr>
        <w:t> </w:t>
      </w:r>
      <w:r>
        <w:rPr/>
        <w:t>不适用</w:t>
      </w:r>
    </w:p>
    <w:p>
      <w:pPr>
        <w:spacing w:line="240" w:lineRule="auto" w:before="12"/>
        <w:rPr>
          <w:rFonts w:ascii="宋体" w:hAnsi="宋体" w:cs="宋体" w:eastAsia="宋体" w:hint="default"/>
          <w:sz w:val="14"/>
          <w:szCs w:val="14"/>
        </w:rPr>
      </w:pPr>
    </w:p>
    <w:p>
      <w:pPr>
        <w:pStyle w:val="Heading4"/>
        <w:spacing w:line="240" w:lineRule="auto" w:before="0"/>
        <w:ind w:left="733" w:right="0"/>
        <w:jc w:val="both"/>
        <w:rPr>
          <w:b w:val="0"/>
          <w:bCs w:val="0"/>
        </w:rPr>
      </w:pPr>
      <w:bookmarkStart w:name="（5）向纳入合并财务报表范围的结构化主体提供的财务支持或其他支持" w:id="413"/>
      <w:bookmarkEnd w:id="413"/>
      <w:r>
        <w:rPr>
          <w:b w:val="0"/>
          <w:bCs w:val="0"/>
        </w:rPr>
      </w:r>
      <w:r>
        <w:rPr/>
        <w:t>（</w:t>
      </w:r>
      <w:r>
        <w:rPr>
          <w:rFonts w:ascii="宋体" w:hAnsi="宋体" w:cs="宋体" w:eastAsia="宋体"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14"/>
          <w:szCs w:val="14"/>
        </w:rPr>
      </w:pPr>
    </w:p>
    <w:p>
      <w:pPr>
        <w:spacing w:line="410" w:lineRule="auto" w:before="0"/>
        <w:ind w:left="733" w:right="4959" w:firstLine="211"/>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2、在子公司的所有者权益份额发生变化且仍控制子公司的交易" w:id="414"/>
      <w:bookmarkEnd w:id="414"/>
      <w:r>
        <w:rPr>
          <w:rFonts w:ascii="宋体" w:hAnsi="宋体" w:cs="宋体" w:eastAsia="宋体" w:hint="default"/>
          <w:w w:val="100"/>
          <w:sz w:val="21"/>
          <w:szCs w:val="21"/>
        </w:rPr>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、在子公司的所有者权益份额发生变化且仍控制子公司的交易</w:t>
      </w:r>
      <w:r>
        <w:rPr>
          <w:rFonts w:ascii="宋体" w:hAnsi="宋体" w:cs="宋体" w:eastAsia="宋体" w:hint="default"/>
          <w:spacing w:val="-1"/>
          <w:sz w:val="21"/>
          <w:szCs w:val="21"/>
        </w:rPr>
      </w:r>
    </w:p>
    <w:p>
      <w:pPr>
        <w:spacing w:line="410" w:lineRule="auto" w:before="42"/>
        <w:ind w:left="1155" w:right="0" w:hanging="423"/>
        <w:jc w:val="left"/>
        <w:rPr>
          <w:rFonts w:ascii="宋体" w:hAnsi="宋体" w:cs="宋体" w:eastAsia="宋体" w:hint="default"/>
          <w:sz w:val="21"/>
          <w:szCs w:val="21"/>
        </w:rPr>
      </w:pPr>
      <w:bookmarkStart w:name="（1）在子公司所有者权益份额发生变化的情况说明" w:id="415"/>
      <w:bookmarkEnd w:id="415"/>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本报告期内本公司将持有的江苏光一贵仁股权投资基金管理有限公司</w:t>
      </w:r>
      <w:r>
        <w:rPr>
          <w:rFonts w:ascii="宋体" w:hAnsi="宋体" w:cs="宋体" w:eastAsia="宋体" w:hint="default"/>
          <w:spacing w:val="-2"/>
          <w:sz w:val="21"/>
          <w:szCs w:val="21"/>
        </w:rPr>
        <w:t>45%</w:t>
      </w:r>
      <w:r>
        <w:rPr>
          <w:rFonts w:ascii="宋体" w:hAnsi="宋体" w:cs="宋体" w:eastAsia="宋体" w:hint="default"/>
          <w:spacing w:val="-2"/>
          <w:sz w:val="21"/>
          <w:szCs w:val="21"/>
        </w:rPr>
        <w:t>的份额站让予杭州增氧投资</w:t>
      </w:r>
    </w:p>
    <w:p>
      <w:pPr>
        <w:pStyle w:val="BodyText"/>
        <w:spacing w:line="408" w:lineRule="auto" w:before="41"/>
        <w:ind w:left="733" w:right="1125"/>
        <w:jc w:val="both"/>
      </w:pPr>
      <w:r>
        <w:rPr>
          <w:spacing w:val="-2"/>
        </w:rPr>
        <w:t>有限公司，根据双方签署的股权转让协议，江苏光一贵仁股权投资基金管理有限公司对参投基金的收益归</w:t>
      </w:r>
      <w:r>
        <w:rPr>
          <w:spacing w:val="-33"/>
        </w:rPr>
        <w:t> </w:t>
      </w:r>
      <w:r>
        <w:rPr>
          <w:spacing w:val="-33"/>
        </w:rPr>
      </w:r>
      <w:r>
        <w:rPr>
          <w:spacing w:val="-2"/>
        </w:rPr>
        <w:t>属于本公司，相应的杭州增氧投资有限公司不享受参投基金的收益，也不承担其损失份额，也不承担为优</w:t>
      </w:r>
      <w:r>
        <w:rPr>
          <w:spacing w:val="-33"/>
        </w:rPr>
        <w:t> </w:t>
      </w:r>
      <w:r>
        <w:rPr>
          <w:spacing w:val="-33"/>
        </w:rPr>
      </w:r>
      <w:r>
        <w:rPr/>
        <w:t>先级合伙人提供固定收益与本金的差额补助承诺。</w:t>
      </w:r>
    </w:p>
    <w:p>
      <w:pPr>
        <w:spacing w:after="0" w:line="408" w:lineRule="auto"/>
        <w:jc w:val="both"/>
        <w:sectPr>
          <w:pgSz w:w="11910" w:h="16840"/>
          <w:pgMar w:header="871" w:footer="1037" w:top="1040" w:bottom="1220" w:left="400" w:right="0"/>
        </w:sectPr>
      </w:pPr>
    </w:p>
    <w:p>
      <w:pPr>
        <w:spacing w:line="240" w:lineRule="auto" w:before="1"/>
        <w:rPr>
          <w:rFonts w:ascii="宋体" w:hAnsi="宋体" w:cs="宋体" w:eastAsia="宋体" w:hint="default"/>
          <w:sz w:val="26"/>
          <w:szCs w:val="26"/>
        </w:rPr>
      </w:pPr>
    </w:p>
    <w:p>
      <w:pPr>
        <w:pStyle w:val="Heading4"/>
        <w:spacing w:line="240" w:lineRule="auto"/>
        <w:ind w:right="1024"/>
        <w:jc w:val="left"/>
        <w:rPr>
          <w:b w:val="0"/>
          <w:bCs w:val="0"/>
        </w:rPr>
      </w:pPr>
      <w:bookmarkStart w:name="（2）交易对于少数股东权益及归属于母公司所有者权益的影响" w:id="416"/>
      <w:bookmarkEnd w:id="416"/>
      <w:r>
        <w:rPr>
          <w:b w:val="0"/>
          <w:bCs w:val="0"/>
        </w:rPr>
      </w:r>
      <w:r>
        <w:rPr/>
        <w:t>（</w:t>
      </w:r>
      <w:r>
        <w:rPr>
          <w:rFonts w:ascii="宋体" w:hAnsi="宋体" w:cs="宋体" w:eastAsia="宋体" w:hint="default"/>
        </w:rPr>
        <w:t>2</w:t>
      </w:r>
      <w:r>
        <w:rPr/>
        <w:t>）交易对于少数股东权益及归属于母公司所有者权益的影响</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788"/>
        <w:gridCol w:w="4782"/>
      </w:tblGrid>
      <w:tr>
        <w:trPr>
          <w:trHeight w:val="409" w:hRule="exact"/>
        </w:trPr>
        <w:tc>
          <w:tcPr>
            <w:tcW w:w="4788"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478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763" w:right="0"/>
              <w:jc w:val="left"/>
              <w:rPr>
                <w:rFonts w:ascii="宋体" w:hAnsi="宋体" w:cs="宋体" w:eastAsia="宋体" w:hint="default"/>
                <w:sz w:val="18"/>
                <w:szCs w:val="18"/>
              </w:rPr>
            </w:pPr>
            <w:r>
              <w:rPr>
                <w:rFonts w:ascii="宋体" w:hAnsi="宋体" w:cs="宋体" w:eastAsia="宋体" w:hint="default"/>
                <w:spacing w:val="-3"/>
                <w:sz w:val="18"/>
                <w:szCs w:val="18"/>
              </w:rPr>
              <w:t>江苏光一贵仁股权投资基金管理有限公司</w:t>
            </w:r>
          </w:p>
        </w:tc>
      </w:tr>
      <w:tr>
        <w:trPr>
          <w:trHeight w:val="408"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宋体" w:hAnsi="宋体" w:cs="宋体" w:eastAsia="宋体" w:hint="default"/>
                <w:sz w:val="18"/>
                <w:szCs w:val="18"/>
              </w:rPr>
              <w:t>/</w:t>
            </w:r>
            <w:r>
              <w:rPr>
                <w:rFonts w:ascii="宋体" w:hAnsi="宋体" w:cs="宋体" w:eastAsia="宋体" w:hint="default"/>
                <w:sz w:val="18"/>
                <w:szCs w:val="18"/>
              </w:rPr>
              <w:t>处置对价</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4,500,000.00</w:t>
            </w: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现金</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4,500,000.00</w:t>
            </w:r>
          </w:p>
        </w:tc>
      </w:tr>
      <w:tr>
        <w:trPr>
          <w:trHeight w:val="398"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非现金资产的公允价值</w:t>
            </w:r>
          </w:p>
        </w:tc>
        <w:tc>
          <w:tcPr>
            <w:tcW w:w="4782"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
        </w:tc>
        <w:tc>
          <w:tcPr>
            <w:tcW w:w="4782"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宋体" w:hAnsi="宋体" w:cs="宋体" w:eastAsia="宋体" w:hint="default"/>
                <w:sz w:val="18"/>
                <w:szCs w:val="18"/>
              </w:rPr>
              <w:t>/</w:t>
            </w:r>
            <w:r>
              <w:rPr>
                <w:rFonts w:ascii="宋体" w:hAnsi="宋体" w:cs="宋体" w:eastAsia="宋体" w:hint="default"/>
                <w:sz w:val="18"/>
                <w:szCs w:val="18"/>
              </w:rPr>
              <w:t>处置对价合计</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4,500,000.00</w:t>
            </w: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减：按取得</w:t>
            </w:r>
            <w:r>
              <w:rPr>
                <w:rFonts w:ascii="宋体" w:hAnsi="宋体" w:cs="宋体" w:eastAsia="宋体" w:hint="default"/>
                <w:spacing w:val="-3"/>
                <w:sz w:val="18"/>
                <w:szCs w:val="18"/>
              </w:rPr>
              <w:t>/</w:t>
            </w:r>
            <w:r>
              <w:rPr>
                <w:rFonts w:ascii="宋体" w:hAnsi="宋体" w:cs="宋体" w:eastAsia="宋体" w:hint="default"/>
                <w:spacing w:val="-3"/>
                <w:sz w:val="18"/>
                <w:szCs w:val="18"/>
              </w:rPr>
              <w:t>处置的股权比例计算的子公司净资产份额</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4,029,876.29</w:t>
            </w:r>
          </w:p>
        </w:tc>
      </w:tr>
      <w:tr>
        <w:trPr>
          <w:trHeight w:val="398"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470,123.71</w:t>
            </w:r>
          </w:p>
        </w:tc>
      </w:tr>
      <w:tr>
        <w:trPr>
          <w:trHeight w:val="404"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其中：调整资本公积</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470,123.71</w:t>
            </w: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3"/>
                <w:sz w:val="18"/>
                <w:szCs w:val="18"/>
              </w:rPr>
              <w:t>调整盈余公积</w:t>
            </w:r>
          </w:p>
        </w:tc>
        <w:tc>
          <w:tcPr>
            <w:tcW w:w="4782"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47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3"/>
                <w:sz w:val="18"/>
                <w:szCs w:val="18"/>
              </w:rPr>
              <w:t>调整未分配利润</w:t>
            </w:r>
          </w:p>
        </w:tc>
        <w:tc>
          <w:tcPr>
            <w:tcW w:w="4782"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3、在合营安排或联营企业中的权益" w:id="417"/>
      <w:bookmarkEnd w:id="417"/>
      <w:r>
        <w:rPr>
          <w:b w:val="0"/>
          <w:bCs w:val="0"/>
        </w:rPr>
      </w:r>
      <w:r>
        <w:rPr>
          <w:rFonts w:ascii="宋体" w:hAnsi="宋体" w:cs="宋体" w:eastAsia="宋体" w:hint="default"/>
        </w:rPr>
        <w:t>3</w:t>
      </w:r>
      <w:r>
        <w:rPr/>
        <w:t>、在合营安排或联营企业中的权益</w:t>
      </w:r>
      <w:r>
        <w:rPr>
          <w:b w:val="0"/>
          <w:bCs w:val="0"/>
        </w:rPr>
      </w:r>
    </w:p>
    <w:p>
      <w:pPr>
        <w:spacing w:line="240" w:lineRule="auto" w:before="8"/>
        <w:rPr>
          <w:rFonts w:ascii="宋体" w:hAnsi="宋体" w:cs="宋体" w:eastAsia="宋体" w:hint="default"/>
          <w:b/>
          <w:bCs/>
          <w:sz w:val="25"/>
          <w:szCs w:val="25"/>
        </w:rPr>
      </w:pPr>
    </w:p>
    <w:p>
      <w:pPr>
        <w:pStyle w:val="Heading4"/>
        <w:spacing w:line="240" w:lineRule="auto" w:before="0"/>
        <w:ind w:right="1024"/>
        <w:jc w:val="left"/>
        <w:rPr>
          <w:b w:val="0"/>
          <w:bCs w:val="0"/>
        </w:rPr>
      </w:pPr>
      <w:bookmarkStart w:name="（1）重要的合营企业或联营企业" w:id="418"/>
      <w:bookmarkEnd w:id="418"/>
      <w:r>
        <w:rPr>
          <w:b w:val="0"/>
          <w:bCs w:val="0"/>
        </w:rPr>
      </w:r>
      <w:r>
        <w:rPr/>
        <w:t>（</w:t>
      </w:r>
      <w:r>
        <w:rPr>
          <w:rFonts w:ascii="宋体" w:hAnsi="宋体" w:cs="宋体" w:eastAsia="宋体" w:hint="default"/>
        </w:rPr>
        <w:t>1</w:t>
      </w:r>
      <w:r>
        <w:rPr/>
        <w:t>）重要的合营企业或联营企业</w:t>
      </w:r>
      <w:r>
        <w:rPr>
          <w:b w:val="0"/>
          <w:bCs w:val="0"/>
        </w:rPr>
      </w:r>
    </w:p>
    <w:p>
      <w:pPr>
        <w:spacing w:line="240" w:lineRule="auto" w:before="1"/>
        <w:rPr>
          <w:rFonts w:ascii="宋体" w:hAnsi="宋体" w:cs="宋体" w:eastAsia="宋体" w:hint="default"/>
          <w:b/>
          <w:bCs/>
          <w:sz w:val="27"/>
          <w:szCs w:val="27"/>
        </w:rPr>
      </w:pPr>
    </w:p>
    <w:tbl>
      <w:tblPr>
        <w:tblW w:w="0" w:type="auto"/>
        <w:jc w:val="left"/>
        <w:tblInd w:w="13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13" w:hRule="exact"/>
        </w:trPr>
        <w:tc>
          <w:tcPr>
            <w:tcW w:w="1373"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225" w:right="132" w:hanging="92"/>
              <w:jc w:val="left"/>
              <w:rPr>
                <w:rFonts w:ascii="宋体" w:hAnsi="宋体" w:cs="宋体" w:eastAsia="宋体" w:hint="default"/>
                <w:sz w:val="18"/>
                <w:szCs w:val="18"/>
              </w:rPr>
            </w:pPr>
            <w:r>
              <w:rPr>
                <w:rFonts w:ascii="宋体" w:hAnsi="宋体" w:cs="宋体" w:eastAsia="宋体" w:hint="default"/>
                <w:sz w:val="18"/>
                <w:szCs w:val="18"/>
              </w:rPr>
              <w:t>合营企业或联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营企业名称</w:t>
            </w:r>
          </w:p>
        </w:tc>
        <w:tc>
          <w:tcPr>
            <w:tcW w:w="1364"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12" w:space="0" w:color="000000"/>
              <w:left w:val="single" w:sz="4" w:space="0" w:color="000000"/>
              <w:right w:val="single" w:sz="12" w:space="0" w:color="000000"/>
            </w:tcBorders>
            <w:shd w:val="clear" w:color="auto" w:fill="D2D2D2"/>
          </w:tcPr>
          <w:p>
            <w:pPr>
              <w:pStyle w:val="TableParagraph"/>
              <w:spacing w:line="319" w:lineRule="auto" w:before="53"/>
              <w:ind w:left="139" w:right="122"/>
              <w:jc w:val="center"/>
              <w:rPr>
                <w:rFonts w:ascii="宋体" w:hAnsi="宋体" w:cs="宋体" w:eastAsia="宋体" w:hint="default"/>
                <w:sz w:val="18"/>
                <w:szCs w:val="18"/>
              </w:rPr>
            </w:pPr>
            <w:r>
              <w:rPr>
                <w:rFonts w:ascii="宋体" w:hAnsi="宋体" w:cs="宋体" w:eastAsia="宋体" w:hint="default"/>
                <w:spacing w:val="-2"/>
                <w:sz w:val="18"/>
                <w:szCs w:val="18"/>
              </w:rPr>
              <w:t>对合营企业或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联营企业投资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的会计处理方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w:t>
            </w:r>
          </w:p>
        </w:tc>
      </w:tr>
      <w:tr>
        <w:trPr>
          <w:trHeight w:val="936" w:hRule="exact"/>
        </w:trPr>
        <w:tc>
          <w:tcPr>
            <w:tcW w:w="1373" w:type="dxa"/>
            <w:vMerge/>
            <w:tcBorders>
              <w:left w:val="single" w:sz="12"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12" w:space="0" w:color="000000"/>
            </w:tcBorders>
            <w:shd w:val="clear" w:color="auto" w:fill="D2D2D2"/>
          </w:tcPr>
          <w:p>
            <w:pPr/>
          </w:p>
        </w:tc>
      </w:tr>
      <w:tr>
        <w:trPr>
          <w:trHeight w:val="1037" w:hRule="exact"/>
        </w:trPr>
        <w:tc>
          <w:tcPr>
            <w:tcW w:w="1373"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3"/>
              <w:ind w:left="95" w:right="171"/>
              <w:jc w:val="both"/>
              <w:rPr>
                <w:rFonts w:ascii="宋体" w:hAnsi="宋体" w:cs="宋体" w:eastAsia="宋体" w:hint="default"/>
                <w:sz w:val="18"/>
                <w:szCs w:val="18"/>
              </w:rPr>
            </w:pPr>
            <w:r>
              <w:rPr>
                <w:rFonts w:ascii="宋体" w:hAnsi="宋体" w:cs="宋体" w:eastAsia="宋体" w:hint="default"/>
                <w:sz w:val="18"/>
                <w:szCs w:val="18"/>
              </w:rPr>
              <w:t>北京海誉动想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科技股份有限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12" w:space="0" w:color="000000"/>
              <w:right w:val="single" w:sz="4" w:space="0" w:color="000000"/>
            </w:tcBorders>
          </w:tcPr>
          <w:p>
            <w:pP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720" w:right="0"/>
              <w:jc w:val="left"/>
              <w:rPr>
                <w:rFonts w:ascii="宋体" w:hAnsi="宋体" w:cs="宋体" w:eastAsia="宋体" w:hint="default"/>
                <w:sz w:val="18"/>
                <w:szCs w:val="18"/>
              </w:rPr>
            </w:pPr>
            <w:r>
              <w:rPr>
                <w:rFonts w:ascii="宋体"/>
                <w:sz w:val="18"/>
              </w:rPr>
              <w:t>15.23%</w:t>
            </w:r>
          </w:p>
        </w:tc>
        <w:tc>
          <w:tcPr>
            <w:tcW w:w="136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1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405" w:lineRule="auto" w:before="67"/>
        <w:ind w:left="575" w:right="1024" w:hanging="423"/>
        <w:jc w:val="left"/>
      </w:pPr>
      <w:r>
        <w:rPr/>
        <w:t>持有</w:t>
      </w:r>
      <w:r>
        <w:rPr>
          <w:spacing w:val="-53"/>
        </w:rPr>
        <w:t> </w:t>
      </w:r>
      <w:r>
        <w:rPr>
          <w:rFonts w:ascii="宋体" w:hAnsi="宋体" w:cs="宋体" w:eastAsia="宋体" w:hint="default"/>
        </w:rPr>
        <w:t>20%</w:t>
      </w:r>
      <w:r>
        <w:rPr/>
        <w:t>以下表决权但具有重大影响，或者持有</w:t>
      </w:r>
      <w:r>
        <w:rPr>
          <w:spacing w:val="-56"/>
        </w:rPr>
        <w:t> </w:t>
      </w:r>
      <w:r>
        <w:rPr>
          <w:rFonts w:ascii="宋体" w:hAnsi="宋体" w:cs="宋体" w:eastAsia="宋体" w:hint="default"/>
        </w:rPr>
        <w:t>20%</w:t>
      </w:r>
      <w:r>
        <w:rPr/>
        <w:t>或以上表决权但不具有重大影响的依据：</w:t>
      </w:r>
      <w:r>
        <w:rPr>
          <w:spacing w:val="-103"/>
        </w:rPr>
        <w:t> </w:t>
      </w:r>
      <w:r>
        <w:rPr>
          <w:spacing w:val="-103"/>
        </w:rPr>
      </w:r>
      <w:r>
        <w:rPr>
          <w:spacing w:val="-2"/>
        </w:rPr>
        <w:t>公司通过子公司间接持有北京海誉动想科技股份有限公司</w:t>
      </w:r>
      <w:r>
        <w:rPr>
          <w:rFonts w:ascii="宋体" w:hAnsi="宋体" w:cs="宋体" w:eastAsia="宋体" w:hint="default"/>
          <w:spacing w:val="-2"/>
        </w:rPr>
        <w:t>15.23%</w:t>
      </w:r>
      <w:r>
        <w:rPr>
          <w:spacing w:val="-2"/>
        </w:rPr>
        <w:t>的股份，根据投资协议的约定，本公</w:t>
      </w:r>
    </w:p>
    <w:p>
      <w:pPr>
        <w:pStyle w:val="BodyText"/>
        <w:spacing w:line="240" w:lineRule="auto" w:before="50"/>
        <w:ind w:right="1024"/>
        <w:jc w:val="left"/>
      </w:pPr>
      <w:r>
        <w:rPr/>
        <w:t>司向北京海誉动想科技股份有限公司提名一名董事，因此认定为该企业为公司的联营企业。</w:t>
      </w:r>
    </w:p>
    <w:p>
      <w:pPr>
        <w:spacing w:line="240" w:lineRule="auto" w:before="8"/>
        <w:rPr>
          <w:rFonts w:ascii="宋体" w:hAnsi="宋体" w:cs="宋体" w:eastAsia="宋体" w:hint="default"/>
          <w:sz w:val="14"/>
          <w:szCs w:val="14"/>
        </w:rPr>
      </w:pPr>
    </w:p>
    <w:p>
      <w:pPr>
        <w:pStyle w:val="Heading4"/>
        <w:spacing w:line="240" w:lineRule="auto" w:before="0"/>
        <w:ind w:right="1024"/>
        <w:jc w:val="left"/>
        <w:rPr>
          <w:b w:val="0"/>
          <w:bCs w:val="0"/>
        </w:rPr>
      </w:pPr>
      <w:bookmarkStart w:name="（2） 重要合营企业的主要财务信息" w:id="419"/>
      <w:bookmarkEnd w:id="419"/>
      <w:r>
        <w:rPr>
          <w:b w:val="0"/>
          <w:bCs w:val="0"/>
        </w:rPr>
      </w:r>
      <w:r>
        <w:rPr/>
        <w:t>（</w:t>
      </w:r>
      <w:r>
        <w:rPr>
          <w:rFonts w:ascii="宋体" w:hAnsi="宋体" w:cs="宋体" w:eastAsia="宋体" w:hint="default"/>
        </w:rPr>
        <w:t>2</w:t>
      </w:r>
      <w:r>
        <w:rPr/>
        <w:t>）重要合营企业的主要财务信息</w:t>
      </w:r>
      <w:r>
        <w:rPr>
          <w:b w:val="0"/>
          <w:bCs w:val="0"/>
        </w:rPr>
      </w:r>
    </w:p>
    <w:p>
      <w:pPr>
        <w:spacing w:line="240" w:lineRule="auto" w:before="13"/>
        <w:rPr>
          <w:rFonts w:ascii="宋体" w:hAnsi="宋体" w:cs="宋体" w:eastAsia="宋体" w:hint="default"/>
          <w:b/>
          <w:bCs/>
          <w:sz w:val="14"/>
          <w:szCs w:val="14"/>
        </w:rPr>
      </w:pPr>
    </w:p>
    <w:p>
      <w:pPr>
        <w:pStyle w:val="BodyText"/>
        <w:spacing w:line="240" w:lineRule="auto"/>
        <w:ind w:right="1024"/>
        <w:jc w:val="left"/>
      </w:pPr>
      <w:r>
        <w:rPr/>
        <w:t>□ 适用 √</w:t>
      </w:r>
      <w:r>
        <w:rPr>
          <w:spacing w:val="4"/>
        </w:rPr>
        <w:t> </w:t>
      </w:r>
      <w:r>
        <w:rPr/>
        <w:t>不适用</w:t>
      </w:r>
    </w:p>
    <w:p>
      <w:pPr>
        <w:spacing w:line="240" w:lineRule="auto" w:before="0"/>
        <w:rPr>
          <w:rFonts w:ascii="宋体" w:hAnsi="宋体" w:cs="宋体" w:eastAsia="宋体" w:hint="default"/>
          <w:sz w:val="20"/>
          <w:szCs w:val="20"/>
        </w:rPr>
      </w:pPr>
    </w:p>
    <w:p>
      <w:pPr>
        <w:pStyle w:val="Heading4"/>
        <w:spacing w:line="240" w:lineRule="auto" w:before="150"/>
        <w:ind w:right="1024"/>
        <w:jc w:val="left"/>
        <w:rPr>
          <w:b w:val="0"/>
          <w:bCs w:val="0"/>
        </w:rPr>
      </w:pPr>
      <w:bookmarkStart w:name="（3）重要联营企业的主要财务信息" w:id="420"/>
      <w:bookmarkEnd w:id="420"/>
      <w:r>
        <w:rPr>
          <w:b w:val="0"/>
          <w:bCs w:val="0"/>
        </w:rPr>
      </w:r>
      <w:r>
        <w:rPr/>
        <w:t>（</w:t>
      </w:r>
      <w:r>
        <w:rPr>
          <w:rFonts w:ascii="宋体" w:hAnsi="宋体" w:cs="宋体" w:eastAsia="宋体" w:hint="default"/>
        </w:rPr>
        <w:t>3</w:t>
      </w:r>
      <w:r>
        <w:rPr/>
        <w:t>）重要联营企业的主要财务信息</w:t>
      </w:r>
      <w:r>
        <w:rPr>
          <w:b w:val="0"/>
          <w:bCs w:val="0"/>
        </w:rPr>
      </w:r>
    </w:p>
    <w:p>
      <w:pPr>
        <w:spacing w:line="240" w:lineRule="auto" w:before="12"/>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3193"/>
        <w:gridCol w:w="3189"/>
        <w:gridCol w:w="3193"/>
      </w:tblGrid>
      <w:tr>
        <w:trPr>
          <w:trHeight w:val="413" w:hRule="exact"/>
        </w:trPr>
        <w:tc>
          <w:tcPr>
            <w:tcW w:w="3193" w:type="dxa"/>
            <w:tcBorders>
              <w:top w:val="single" w:sz="12" w:space="0" w:color="000000"/>
              <w:left w:val="single" w:sz="12" w:space="0" w:color="000000"/>
              <w:bottom w:val="single" w:sz="4" w:space="0" w:color="000000"/>
              <w:right w:val="single" w:sz="4" w:space="0" w:color="000000"/>
            </w:tcBorders>
            <w:shd w:val="clear" w:color="auto" w:fill="D2D2D2"/>
          </w:tcPr>
          <w:p>
            <w:pPr/>
          </w:p>
        </w:tc>
        <w:tc>
          <w:tcPr>
            <w:tcW w:w="318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pacing w:val="-3"/>
                <w:sz w:val="18"/>
                <w:szCs w:val="18"/>
              </w:rPr>
              <w:t>期初余额</w:t>
            </w:r>
            <w:r>
              <w:rPr>
                <w:rFonts w:ascii="宋体" w:hAnsi="宋体" w:cs="宋体" w:eastAsia="宋体" w:hint="default"/>
                <w:spacing w:val="-3"/>
                <w:sz w:val="18"/>
                <w:szCs w:val="18"/>
              </w:rPr>
              <w:t>/</w:t>
            </w:r>
            <w:r>
              <w:rPr>
                <w:rFonts w:ascii="宋体" w:hAnsi="宋体" w:cs="宋体" w:eastAsia="宋体" w:hint="default"/>
                <w:spacing w:val="-3"/>
                <w:sz w:val="18"/>
                <w:szCs w:val="18"/>
              </w:rPr>
              <w:t>上期发生额</w:t>
            </w:r>
          </w:p>
        </w:tc>
      </w:tr>
      <w:tr>
        <w:trPr>
          <w:trHeight w:val="410" w:hRule="exact"/>
        </w:trPr>
        <w:tc>
          <w:tcPr>
            <w:tcW w:w="3193" w:type="dxa"/>
            <w:tcBorders>
              <w:top w:val="single" w:sz="4" w:space="0" w:color="000000"/>
              <w:left w:val="single" w:sz="12" w:space="0" w:color="000000"/>
              <w:bottom w:val="single" w:sz="12"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北京海誉动想科技股份有限公司</w:t>
            </w:r>
          </w:p>
        </w:tc>
        <w:tc>
          <w:tcPr>
            <w:tcW w:w="3193"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pacing w:val="-3"/>
                <w:sz w:val="18"/>
                <w:szCs w:val="18"/>
              </w:rPr>
              <w:t>北京海誉动想科技股份有限公司</w:t>
            </w:r>
          </w:p>
        </w:tc>
      </w:tr>
    </w:tbl>
    <w:p>
      <w:pPr>
        <w:spacing w:after="0" w:line="240" w:lineRule="auto"/>
        <w:jc w:val="center"/>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3193"/>
        <w:gridCol w:w="3189"/>
        <w:gridCol w:w="3193"/>
      </w:tblGrid>
      <w:tr>
        <w:trPr>
          <w:trHeight w:val="413" w:hRule="exact"/>
        </w:trPr>
        <w:tc>
          <w:tcPr>
            <w:tcW w:w="319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491,695,454.07</w:t>
            </w:r>
          </w:p>
        </w:tc>
        <w:tc>
          <w:tcPr>
            <w:tcW w:w="319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96"/>
              <w:ind w:right="84"/>
              <w:jc w:val="right"/>
              <w:rPr>
                <w:rFonts w:ascii="Times New Roman" w:hAnsi="Times New Roman" w:cs="Times New Roman" w:eastAsia="Times New Roman" w:hint="default"/>
                <w:sz w:val="18"/>
                <w:szCs w:val="18"/>
              </w:rPr>
            </w:pPr>
            <w:r>
              <w:rPr>
                <w:rFonts w:ascii="Times New Roman"/>
                <w:spacing w:val="-1"/>
                <w:sz w:val="18"/>
              </w:rPr>
              <w:t>491,831,629.33</w:t>
            </w:r>
          </w:p>
        </w:tc>
      </w:tr>
      <w:tr>
        <w:trPr>
          <w:trHeight w:val="40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289,542,989.34</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84"/>
              <w:jc w:val="right"/>
              <w:rPr>
                <w:rFonts w:ascii="Times New Roman" w:hAnsi="Times New Roman" w:cs="Times New Roman" w:eastAsia="Times New Roman" w:hint="default"/>
                <w:sz w:val="18"/>
                <w:szCs w:val="18"/>
              </w:rPr>
            </w:pPr>
            <w:r>
              <w:rPr>
                <w:rFonts w:ascii="Times New Roman"/>
                <w:spacing w:val="-1"/>
                <w:sz w:val="18"/>
              </w:rPr>
              <w:t>212,780,801.33</w:t>
            </w:r>
          </w:p>
        </w:tc>
      </w:tr>
      <w:tr>
        <w:trPr>
          <w:trHeight w:val="399"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781,238,443.41</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84"/>
              <w:jc w:val="right"/>
              <w:rPr>
                <w:rFonts w:ascii="Times New Roman" w:hAnsi="Times New Roman" w:cs="Times New Roman" w:eastAsia="Times New Roman" w:hint="default"/>
                <w:sz w:val="18"/>
                <w:szCs w:val="18"/>
              </w:rPr>
            </w:pPr>
            <w:r>
              <w:rPr>
                <w:rFonts w:ascii="Times New Roman"/>
                <w:spacing w:val="-1"/>
                <w:sz w:val="18"/>
              </w:rPr>
              <w:t>704,612,430.66</w:t>
            </w:r>
          </w:p>
        </w:tc>
      </w:tr>
      <w:tr>
        <w:trPr>
          <w:trHeight w:val="40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112,470,759.36</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84"/>
              <w:jc w:val="right"/>
              <w:rPr>
                <w:rFonts w:ascii="Times New Roman" w:hAnsi="Times New Roman" w:cs="Times New Roman" w:eastAsia="Times New Roman" w:hint="default"/>
                <w:sz w:val="18"/>
                <w:szCs w:val="18"/>
              </w:rPr>
            </w:pPr>
            <w:r>
              <w:rPr>
                <w:rFonts w:ascii="Times New Roman"/>
                <w:spacing w:val="-1"/>
                <w:sz w:val="18"/>
              </w:rPr>
              <w:t>151,490,388.96</w:t>
            </w:r>
          </w:p>
        </w:tc>
      </w:tr>
      <w:tr>
        <w:trPr>
          <w:trHeight w:val="40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66,007,891.59</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84"/>
              <w:jc w:val="right"/>
              <w:rPr>
                <w:rFonts w:ascii="Times New Roman" w:hAnsi="Times New Roman" w:cs="Times New Roman" w:eastAsia="Times New Roman" w:hint="default"/>
                <w:sz w:val="18"/>
                <w:szCs w:val="18"/>
              </w:rPr>
            </w:pPr>
            <w:r>
              <w:rPr>
                <w:rFonts w:ascii="Times New Roman"/>
                <w:spacing w:val="-1"/>
                <w:sz w:val="18"/>
              </w:rPr>
              <w:t>52,406,226.35</w:t>
            </w:r>
          </w:p>
        </w:tc>
      </w:tr>
      <w:tr>
        <w:trPr>
          <w:trHeight w:val="40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178,478,650.95</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84"/>
              <w:jc w:val="right"/>
              <w:rPr>
                <w:rFonts w:ascii="Times New Roman" w:hAnsi="Times New Roman" w:cs="Times New Roman" w:eastAsia="Times New Roman" w:hint="default"/>
                <w:sz w:val="18"/>
                <w:szCs w:val="18"/>
              </w:rPr>
            </w:pPr>
            <w:r>
              <w:rPr>
                <w:rFonts w:ascii="Times New Roman"/>
                <w:spacing w:val="-1"/>
                <w:sz w:val="18"/>
              </w:rPr>
              <w:t>203,896,615.31</w:t>
            </w:r>
          </w:p>
        </w:tc>
      </w:tr>
      <w:tr>
        <w:trPr>
          <w:trHeight w:val="399"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602,759,792.46</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84"/>
              <w:jc w:val="right"/>
              <w:rPr>
                <w:rFonts w:ascii="Times New Roman" w:hAnsi="Times New Roman" w:cs="Times New Roman" w:eastAsia="Times New Roman" w:hint="default"/>
                <w:sz w:val="18"/>
                <w:szCs w:val="18"/>
              </w:rPr>
            </w:pPr>
            <w:r>
              <w:rPr>
                <w:rFonts w:ascii="Times New Roman"/>
                <w:spacing w:val="-1"/>
                <w:sz w:val="18"/>
              </w:rPr>
              <w:t>500,715,815.35</w:t>
            </w:r>
          </w:p>
        </w:tc>
      </w:tr>
      <w:tr>
        <w:trPr>
          <w:trHeight w:val="40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按持股比例计算的净资产份额</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商誉</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内部交易未实现利润</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其他</w:t>
            </w:r>
            <w:r>
              <w:rPr>
                <w:rFonts w:ascii="宋体" w:hAnsi="宋体" w:cs="宋体" w:eastAsia="宋体" w:hint="default"/>
                <w:sz w:val="18"/>
                <w:szCs w:val="18"/>
              </w:rPr>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对联营企业权益投资的账面价值</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4"/>
              <w:ind w:left="95" w:right="190"/>
              <w:jc w:val="left"/>
              <w:rPr>
                <w:rFonts w:ascii="宋体" w:hAnsi="宋体" w:cs="宋体" w:eastAsia="宋体" w:hint="default"/>
                <w:sz w:val="18"/>
                <w:szCs w:val="18"/>
              </w:rPr>
            </w:pPr>
            <w:r>
              <w:rPr>
                <w:rFonts w:ascii="宋体" w:hAnsi="宋体" w:cs="宋体" w:eastAsia="宋体" w:hint="default"/>
                <w:spacing w:val="-3"/>
                <w:sz w:val="18"/>
                <w:szCs w:val="18"/>
              </w:rPr>
              <w:t>存在公开报价的联营企业权益投资的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公允价值</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248,245,840.68</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84"/>
              <w:jc w:val="right"/>
              <w:rPr>
                <w:rFonts w:ascii="Times New Roman" w:hAnsi="Times New Roman" w:cs="Times New Roman" w:eastAsia="Times New Roman" w:hint="default"/>
                <w:sz w:val="18"/>
                <w:szCs w:val="18"/>
              </w:rPr>
            </w:pPr>
            <w:r>
              <w:rPr>
                <w:rFonts w:ascii="Times New Roman"/>
                <w:spacing w:val="-1"/>
                <w:sz w:val="18"/>
              </w:rPr>
              <w:t>291,137,069.02</w:t>
            </w:r>
          </w:p>
        </w:tc>
      </w:tr>
      <w:tr>
        <w:trPr>
          <w:trHeight w:val="40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39,043,977.11</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84"/>
              <w:jc w:val="right"/>
              <w:rPr>
                <w:rFonts w:ascii="Times New Roman" w:hAnsi="Times New Roman" w:cs="Times New Roman" w:eastAsia="Times New Roman" w:hint="default"/>
                <w:sz w:val="18"/>
                <w:szCs w:val="18"/>
              </w:rPr>
            </w:pPr>
            <w:r>
              <w:rPr>
                <w:rFonts w:ascii="Times New Roman"/>
                <w:spacing w:val="-1"/>
                <w:sz w:val="18"/>
              </w:rPr>
              <w:t>74,376,495.54</w:t>
            </w:r>
          </w:p>
        </w:tc>
      </w:tr>
      <w:tr>
        <w:trPr>
          <w:trHeight w:val="399"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193" w:type="dxa"/>
            <w:tcBorders>
              <w:top w:val="single" w:sz="4" w:space="0" w:color="000000"/>
              <w:left w:val="single" w:sz="12"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19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本年度收到的来自联营企业的股利</w:t>
            </w:r>
          </w:p>
        </w:tc>
        <w:tc>
          <w:tcPr>
            <w:tcW w:w="3189" w:type="dxa"/>
            <w:tcBorders>
              <w:top w:val="single" w:sz="4" w:space="0" w:color="000000"/>
              <w:left w:val="single" w:sz="4" w:space="0" w:color="000000"/>
              <w:bottom w:val="single" w:sz="12" w:space="0" w:color="000000"/>
              <w:right w:val="single" w:sz="4" w:space="0" w:color="000000"/>
            </w:tcBorders>
          </w:tcPr>
          <w:p>
            <w:pPr/>
          </w:p>
        </w:tc>
        <w:tc>
          <w:tcPr>
            <w:tcW w:w="3193" w:type="dxa"/>
            <w:tcBorders>
              <w:top w:val="single" w:sz="4" w:space="0" w:color="000000"/>
              <w:left w:val="single" w:sz="4" w:space="0" w:color="000000"/>
              <w:bottom w:val="single" w:sz="12" w:space="0" w:color="000000"/>
              <w:right w:val="single" w:sz="12" w:space="0" w:color="000000"/>
            </w:tcBorders>
          </w:tcPr>
          <w:p>
            <w:pPr/>
          </w:p>
        </w:tc>
      </w:tr>
    </w:tbl>
    <w:p>
      <w:pPr>
        <w:pStyle w:val="Heading4"/>
        <w:spacing w:line="240" w:lineRule="auto" w:before="66"/>
        <w:ind w:right="1024"/>
        <w:jc w:val="left"/>
        <w:rPr>
          <w:b w:val="0"/>
          <w:bCs w:val="0"/>
        </w:rPr>
      </w:pPr>
      <w:bookmarkStart w:name="（4）不重要的合营企业和联营企业的汇总财务信息" w:id="421"/>
      <w:bookmarkEnd w:id="421"/>
      <w:r>
        <w:rPr>
          <w:b w:val="0"/>
          <w:bCs w:val="0"/>
        </w:rPr>
      </w:r>
      <w:r>
        <w:rPr/>
        <w:t>（</w:t>
      </w:r>
      <w:r>
        <w:rPr>
          <w:rFonts w:ascii="宋体" w:hAnsi="宋体" w:cs="宋体" w:eastAsia="宋体" w:hint="default"/>
        </w:rPr>
        <w:t>4</w:t>
      </w:r>
      <w:r>
        <w:rPr/>
        <w:t>）不重要的合营企业和联营企业的汇总财务信息</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right="1024"/>
        <w:jc w:val="left"/>
      </w:pPr>
      <w:r>
        <w:rPr/>
        <w:t>□ 适用 √</w:t>
      </w:r>
      <w:r>
        <w:rPr>
          <w:spacing w:val="4"/>
        </w:rPr>
        <w:t> </w:t>
      </w:r>
      <w:r>
        <w:rPr/>
        <w:t>不适用</w:t>
      </w:r>
    </w:p>
    <w:p>
      <w:pPr>
        <w:spacing w:line="240" w:lineRule="auto" w:before="12"/>
        <w:rPr>
          <w:rFonts w:ascii="宋体" w:hAnsi="宋体" w:cs="宋体" w:eastAsia="宋体" w:hint="default"/>
          <w:sz w:val="14"/>
          <w:szCs w:val="14"/>
        </w:rPr>
      </w:pPr>
    </w:p>
    <w:p>
      <w:pPr>
        <w:pStyle w:val="Heading4"/>
        <w:spacing w:line="240" w:lineRule="auto" w:before="0"/>
        <w:ind w:right="1024"/>
        <w:jc w:val="left"/>
        <w:rPr>
          <w:b w:val="0"/>
          <w:bCs w:val="0"/>
        </w:rPr>
      </w:pPr>
      <w:bookmarkStart w:name="（5） 合营企业或联营企业向本公司转移资金的能力存在重大限制的说明" w:id="422"/>
      <w:bookmarkEnd w:id="422"/>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pStyle w:val="BodyText"/>
        <w:spacing w:line="240" w:lineRule="auto" w:before="175"/>
        <w:ind w:left="364" w:right="1024"/>
        <w:jc w:val="left"/>
      </w:pPr>
      <w:r>
        <w:rPr/>
        <w:t>□ 适用 √</w:t>
      </w:r>
      <w:r>
        <w:rPr>
          <w:spacing w:val="4"/>
        </w:rPr>
        <w:t> </w:t>
      </w:r>
      <w:r>
        <w:rPr/>
        <w:t>不适用</w:t>
      </w:r>
    </w:p>
    <w:p>
      <w:pPr>
        <w:spacing w:line="240" w:lineRule="auto" w:before="12"/>
        <w:rPr>
          <w:rFonts w:ascii="宋体" w:hAnsi="宋体" w:cs="宋体" w:eastAsia="宋体" w:hint="default"/>
          <w:sz w:val="14"/>
          <w:szCs w:val="14"/>
        </w:rPr>
      </w:pPr>
    </w:p>
    <w:p>
      <w:pPr>
        <w:pStyle w:val="Heading4"/>
        <w:spacing w:line="240" w:lineRule="auto" w:before="0"/>
        <w:ind w:right="1024"/>
        <w:jc w:val="left"/>
        <w:rPr>
          <w:b w:val="0"/>
          <w:bCs w:val="0"/>
        </w:rPr>
      </w:pPr>
      <w:r>
        <w:rPr/>
        <w:t>（</w:t>
      </w:r>
      <w:r>
        <w:rPr>
          <w:rFonts w:ascii="宋体" w:hAnsi="宋体" w:cs="宋体" w:eastAsia="宋体" w:hint="default"/>
        </w:rPr>
        <w:t>6</w:t>
      </w:r>
      <w:r>
        <w:rPr/>
        <w:t>）合营企业或联营企业发生的超额亏损</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left="364" w:right="1024"/>
        <w:jc w:val="left"/>
      </w:pPr>
      <w:r>
        <w:rPr/>
        <w:t>□ 适用 √</w:t>
      </w:r>
      <w:r>
        <w:rPr>
          <w:spacing w:val="4"/>
        </w:rPr>
        <w:t> </w:t>
      </w:r>
      <w:r>
        <w:rPr/>
        <w:t>不适用</w:t>
      </w:r>
    </w:p>
    <w:p>
      <w:pPr>
        <w:spacing w:line="240" w:lineRule="auto" w:before="12"/>
        <w:rPr>
          <w:rFonts w:ascii="宋体" w:hAnsi="宋体" w:cs="宋体" w:eastAsia="宋体" w:hint="default"/>
          <w:sz w:val="14"/>
          <w:szCs w:val="14"/>
        </w:rPr>
      </w:pPr>
    </w:p>
    <w:p>
      <w:pPr>
        <w:pStyle w:val="Heading4"/>
        <w:spacing w:line="240" w:lineRule="auto" w:before="0"/>
        <w:ind w:right="1024"/>
        <w:jc w:val="left"/>
        <w:rPr>
          <w:b w:val="0"/>
          <w:bCs w:val="0"/>
        </w:rPr>
      </w:pPr>
      <w:bookmarkStart w:name="（7） 与合营企业投资相关的未确认承诺" w:id="423"/>
      <w:bookmarkEnd w:id="423"/>
      <w:r>
        <w:rPr>
          <w:b w:val="0"/>
          <w:bCs w:val="0"/>
        </w:rPr>
      </w:r>
      <w:r>
        <w:rPr/>
        <w:t>（</w:t>
      </w:r>
      <w:r>
        <w:rPr>
          <w:rFonts w:ascii="宋体" w:hAnsi="宋体" w:cs="宋体" w:eastAsia="宋体" w:hint="default"/>
        </w:rPr>
        <w:t>7</w:t>
      </w:r>
      <w:r>
        <w:rPr/>
        <w:t>）与合营企业投资相关的未确认承诺</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left="364" w:right="1024"/>
        <w:jc w:val="left"/>
      </w:pPr>
      <w:r>
        <w:rPr/>
        <w:t>□ 适用 √</w:t>
      </w:r>
      <w:r>
        <w:rPr>
          <w:spacing w:val="4"/>
        </w:rPr>
        <w:t> </w:t>
      </w:r>
      <w:r>
        <w:rPr/>
        <w:t>不适用</w:t>
      </w:r>
    </w:p>
    <w:p>
      <w:pPr>
        <w:spacing w:after="0" w:line="240" w:lineRule="auto"/>
        <w:jc w:val="left"/>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4"/>
        <w:spacing w:line="240" w:lineRule="auto" w:before="0"/>
        <w:ind w:right="1024"/>
        <w:jc w:val="left"/>
        <w:rPr>
          <w:b w:val="0"/>
          <w:bCs w:val="0"/>
        </w:rPr>
      </w:pPr>
      <w:bookmarkStart w:name="（8） 与合营企业或联营企业投资相关的或有负债" w:id="424"/>
      <w:bookmarkEnd w:id="424"/>
      <w:r>
        <w:rPr>
          <w:b w:val="0"/>
          <w:bCs w:val="0"/>
        </w:rPr>
      </w:r>
      <w:r>
        <w:rPr/>
        <w:t>（</w:t>
      </w:r>
      <w:r>
        <w:rPr>
          <w:rFonts w:ascii="宋体" w:hAnsi="宋体" w:cs="宋体" w:eastAsia="宋体"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left="364" w:right="1024"/>
        <w:jc w:val="left"/>
      </w:pPr>
      <w:r>
        <w:rPr/>
        <w:t>□ 适用 √</w:t>
      </w:r>
      <w:r>
        <w:rPr>
          <w:spacing w:val="4"/>
        </w:rPr>
        <w:t> </w:t>
      </w:r>
      <w:r>
        <w:rPr/>
        <w:t>不适用</w:t>
      </w:r>
    </w:p>
    <w:p>
      <w:pPr>
        <w:pStyle w:val="Heading2"/>
        <w:spacing w:line="240" w:lineRule="auto" w:before="170"/>
        <w:ind w:right="1024"/>
        <w:jc w:val="left"/>
        <w:rPr>
          <w:b w:val="0"/>
          <w:bCs w:val="0"/>
        </w:rPr>
      </w:pPr>
      <w:bookmarkStart w:name="十、与金融工具相关的风险" w:id="425"/>
      <w:bookmarkEnd w:id="425"/>
      <w:r>
        <w:rPr>
          <w:b w:val="0"/>
          <w:bCs w:val="0"/>
        </w:rPr>
      </w:r>
      <w:r>
        <w:rPr/>
        <w:t>十、与金融工具相关的风险</w:t>
      </w:r>
      <w:r>
        <w:rPr>
          <w:b w:val="0"/>
          <w:bCs w:val="0"/>
        </w:rPr>
      </w:r>
    </w:p>
    <w:p>
      <w:pPr>
        <w:pStyle w:val="BodyText"/>
        <w:spacing w:line="408" w:lineRule="auto" w:before="177"/>
        <w:ind w:right="1024" w:firstLine="422"/>
        <w:jc w:val="left"/>
      </w:pPr>
      <w:r>
        <w:rPr>
          <w:spacing w:val="-5"/>
        </w:rPr>
        <w:t>公司的主要金融工具包括应收账款、应付账款等，各项金融工具的详细情况说明见本附注五相关项目。</w:t>
      </w:r>
      <w:r>
        <w:rPr>
          <w:w w:val="100"/>
        </w:rPr>
        <w:t> </w:t>
      </w:r>
      <w:r>
        <w:rPr/>
        <w:t>与这些金融工具有关的风险，以及公司为降低这些风险所采取的风险管理政策如下所述。公司管理层对这</w:t>
      </w:r>
      <w:r>
        <w:rPr>
          <w:w w:val="100"/>
        </w:rPr>
        <w:t> </w:t>
      </w:r>
      <w:r>
        <w:rPr/>
        <w:t>些风险敞口进行管理和监控以确保将上述风险控制在限定的范围之内。</w:t>
      </w:r>
    </w:p>
    <w:p>
      <w:pPr>
        <w:pStyle w:val="BodyText"/>
        <w:spacing w:line="408" w:lineRule="auto" w:before="49"/>
        <w:ind w:right="1024" w:firstLine="422"/>
        <w:jc w:val="left"/>
      </w:pPr>
      <w:r>
        <w:rPr/>
        <w:t>公司采用敏感性分析技术分析风险变量的合理、可能变化对当期损益或所有者权益可能产生的影响。</w:t>
      </w:r>
      <w:r>
        <w:rPr>
          <w:w w:val="100"/>
        </w:rPr>
        <w:t> </w:t>
      </w:r>
      <w:r>
        <w:rPr>
          <w:spacing w:val="-2"/>
        </w:rPr>
        <w:t>由于任何风险变量很少孤立地发生变化，而变量之间存在的相关性对某一风险变量的变化的最终影响金额</w:t>
      </w:r>
      <w:r>
        <w:rPr>
          <w:spacing w:val="-33"/>
        </w:rPr>
        <w:t> </w:t>
      </w:r>
      <w:r>
        <w:rPr>
          <w:spacing w:val="-33"/>
        </w:rPr>
      </w:r>
      <w:r>
        <w:rPr/>
        <w:t>将产生重大作用，因此下述内容是在假设每一变量的变化是在独立的情况下进行的。</w:t>
      </w:r>
    </w:p>
    <w:p>
      <w:pPr>
        <w:pStyle w:val="BodyText"/>
        <w:spacing w:line="410" w:lineRule="auto" w:before="44"/>
        <w:ind w:right="1125" w:firstLine="422"/>
        <w:jc w:val="both"/>
      </w:pPr>
      <w:r>
        <w:rPr>
          <w:spacing w:val="-2"/>
        </w:rPr>
        <w:t>公司从事风险管理的目标是在风险和收益之间取得适当的平衡，将风险对本公司经营业绩的负面影响</w:t>
      </w:r>
      <w:r>
        <w:rPr>
          <w:w w:val="100"/>
        </w:rPr>
        <w:t> </w:t>
      </w:r>
      <w:r>
        <w:rPr>
          <w:spacing w:val="-2"/>
        </w:rPr>
        <w:t>降低到最低水平，使股东及其其他权益投资者的利益最大化。基于该风险管理目标，本公司风险管理的基</w:t>
      </w:r>
      <w:r>
        <w:rPr>
          <w:spacing w:val="-33"/>
        </w:rPr>
        <w:t> </w:t>
      </w:r>
      <w:r>
        <w:rPr>
          <w:spacing w:val="-33"/>
        </w:rPr>
      </w:r>
      <w:r>
        <w:rPr>
          <w:spacing w:val="-2"/>
        </w:rPr>
        <w:t>本策略是确定和分析本公司所面临的各种风险，建立适当的风险承受底线和进行风险管理，并及时可靠地</w:t>
      </w:r>
      <w:r>
        <w:rPr>
          <w:spacing w:val="-33"/>
        </w:rPr>
        <w:t> </w:t>
      </w:r>
      <w:r>
        <w:rPr>
          <w:spacing w:val="-33"/>
        </w:rPr>
      </w:r>
      <w:r>
        <w:rPr/>
        <w:t>对各种风险进行监督，将风险控制在限定的范围之内。</w:t>
      </w:r>
    </w:p>
    <w:p>
      <w:pPr>
        <w:pStyle w:val="BodyText"/>
        <w:spacing w:line="410" w:lineRule="auto" w:before="42"/>
        <w:ind w:left="575" w:right="1024"/>
        <w:jc w:val="left"/>
      </w:pPr>
      <w:r>
        <w:rPr>
          <w:rFonts w:ascii="宋体" w:hAnsi="宋体" w:cs="宋体" w:eastAsia="宋体" w:hint="default"/>
        </w:rPr>
        <w:t>1</w:t>
      </w:r>
      <w:r>
        <w:rPr/>
        <w:t>、信用风险</w:t>
      </w:r>
      <w:r>
        <w:rPr>
          <w:spacing w:val="-99"/>
        </w:rPr>
        <w:t> </w:t>
      </w:r>
      <w:r>
        <w:rPr>
          <w:spacing w:val="-2"/>
        </w:rPr>
        <w:t>信用风险，是指金融工具的一方不履行义务，造成另一方发生财务损失的风险。本公司的信用风险主</w:t>
      </w:r>
    </w:p>
    <w:p>
      <w:pPr>
        <w:pStyle w:val="BodyText"/>
        <w:spacing w:line="240" w:lineRule="auto" w:before="41"/>
        <w:ind w:right="1024"/>
        <w:jc w:val="left"/>
      </w:pPr>
      <w:r>
        <w:rPr/>
        <w:t>要来自银行存款和应收款项。为控制上述相关风险，本公司分别采取了以下措施：</w:t>
      </w:r>
    </w:p>
    <w:p>
      <w:pPr>
        <w:spacing w:line="240" w:lineRule="auto" w:before="12"/>
        <w:rPr>
          <w:rFonts w:ascii="宋体" w:hAnsi="宋体" w:cs="宋体" w:eastAsia="宋体" w:hint="default"/>
          <w:sz w:val="14"/>
          <w:szCs w:val="14"/>
        </w:rPr>
      </w:pPr>
    </w:p>
    <w:p>
      <w:pPr>
        <w:pStyle w:val="BodyText"/>
        <w:spacing w:line="408" w:lineRule="auto"/>
        <w:ind w:left="575" w:right="2353"/>
        <w:jc w:val="left"/>
      </w:pPr>
      <w:r>
        <w:rPr/>
        <w:t>（</w:t>
      </w:r>
      <w:r>
        <w:rPr>
          <w:rFonts w:ascii="宋体" w:hAnsi="宋体" w:cs="宋体" w:eastAsia="宋体" w:hint="default"/>
        </w:rPr>
        <w:t>1</w:t>
      </w:r>
      <w:r>
        <w:rPr/>
        <w:t>）银行存款</w:t>
      </w:r>
      <w:r>
        <w:rPr>
          <w:spacing w:val="-103"/>
        </w:rPr>
        <w:t> </w:t>
      </w:r>
      <w:r>
        <w:rPr>
          <w:spacing w:val="-103"/>
        </w:rPr>
      </w:r>
      <w:r>
        <w:rPr>
          <w:spacing w:val="-2"/>
        </w:rPr>
        <w:t>本公司将银行存款存放于信用评级较高的金融机构，故其信用风险较低。</w:t>
      </w:r>
    </w:p>
    <w:p>
      <w:pPr>
        <w:pStyle w:val="BodyText"/>
        <w:spacing w:line="405" w:lineRule="auto" w:before="48"/>
        <w:ind w:left="575" w:right="1024"/>
        <w:jc w:val="left"/>
      </w:pPr>
      <w:r>
        <w:rPr/>
        <w:t>（</w:t>
      </w:r>
      <w:r>
        <w:rPr>
          <w:rFonts w:ascii="宋体" w:hAnsi="宋体" w:cs="宋体" w:eastAsia="宋体" w:hint="default"/>
        </w:rPr>
        <w:t>2</w:t>
      </w:r>
      <w:r>
        <w:rPr/>
        <w:t>）应收款项</w:t>
      </w:r>
      <w:r>
        <w:rPr>
          <w:spacing w:val="-103"/>
        </w:rPr>
        <w:t> </w:t>
      </w:r>
      <w:r>
        <w:rPr>
          <w:spacing w:val="-103"/>
        </w:rPr>
      </w:r>
      <w:r>
        <w:rPr>
          <w:spacing w:val="-2"/>
        </w:rPr>
        <w:t>本公司成立了一个小组负责确定信用额度、进行信用审批，并执行其他监控程序以确保采取必要的措</w:t>
      </w:r>
    </w:p>
    <w:p>
      <w:pPr>
        <w:pStyle w:val="BodyText"/>
        <w:spacing w:line="405" w:lineRule="auto" w:before="51"/>
        <w:ind w:right="1024"/>
        <w:jc w:val="left"/>
      </w:pPr>
      <w:r>
        <w:rPr>
          <w:spacing w:val="-2"/>
        </w:rPr>
        <w:t>施回收过期债权。此外，本公司于每个资产负债表日审核每一单项应收款的回收情况，以确保就无法回收</w:t>
      </w:r>
      <w:r>
        <w:rPr>
          <w:spacing w:val="-33"/>
        </w:rPr>
        <w:t> </w:t>
      </w:r>
      <w:r>
        <w:rPr>
          <w:spacing w:val="-33"/>
        </w:rPr>
      </w:r>
      <w:r>
        <w:rPr/>
        <w:t>的款项计提充分的坏账准备或核销。因此，本公司管理层认为本公司所承担的信用风险已经大为降低。</w:t>
      </w:r>
    </w:p>
    <w:p>
      <w:pPr>
        <w:pStyle w:val="BodyText"/>
        <w:spacing w:line="408" w:lineRule="auto" w:before="50"/>
        <w:ind w:right="1024" w:firstLine="422"/>
        <w:jc w:val="left"/>
      </w:pPr>
      <w:r>
        <w:rPr/>
        <w:t>本公司定期对采用信用方式交易的客户进行信用评估。根据信用评估结果，本公司选择与经认可的且</w:t>
      </w:r>
      <w:r>
        <w:rPr>
          <w:w w:val="100"/>
        </w:rPr>
        <w:t> </w:t>
      </w:r>
      <w:r>
        <w:rPr/>
        <w:t>信用良好的客户进行交易，并对其应收款项余额进行监控，以确保本公司不会面临重大坏账风险。 由于</w:t>
      </w:r>
      <w:r>
        <w:rPr>
          <w:spacing w:val="-102"/>
        </w:rPr>
        <w:t> </w:t>
      </w:r>
      <w:r>
        <w:rPr>
          <w:spacing w:val="-102"/>
        </w:rPr>
      </w:r>
      <w:r>
        <w:rPr>
          <w:spacing w:val="-5"/>
        </w:rPr>
        <w:t>本公司仅与经认可的且信用良好的第三方进行交易，所以无需担保物。信用风险集中按照客户进 </w:t>
      </w:r>
      <w:r>
        <w:rPr/>
        <w:t>行管理。</w:t>
      </w:r>
      <w:r>
        <w:rPr>
          <w:spacing w:val="-12"/>
        </w:rPr>
        <w:t> </w:t>
      </w:r>
      <w:r>
        <w:rPr>
          <w:spacing w:val="-12"/>
        </w:rPr>
      </w: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日，本公司存在一定的信用集中风险，本公司应收账款的</w:t>
      </w:r>
      <w:r>
        <w:rPr>
          <w:rFonts w:ascii="宋体" w:hAnsi="宋体" w:cs="宋体" w:eastAsia="宋体" w:hint="default"/>
        </w:rPr>
        <w:t>33.25%</w:t>
      </w:r>
      <w:r>
        <w:rPr/>
        <w:t>源于余额前五名客户。</w:t>
      </w:r>
      <w:r>
        <w:rPr>
          <w:spacing w:val="-30"/>
        </w:rPr>
        <w:t> </w:t>
      </w:r>
      <w:r>
        <w:rPr>
          <w:spacing w:val="-30"/>
        </w:rPr>
      </w:r>
      <w:r>
        <w:rPr/>
        <w:t>本公司对应收账款余额未持有任何担保物或其他信用增级。</w:t>
      </w:r>
      <w:r>
        <w:rPr>
          <w:spacing w:val="1"/>
        </w:rPr>
        <w:t> </w:t>
      </w:r>
      <w:r>
        <w:rPr/>
        <w:t>本公司所承受的最大信用风险敞口为资产负</w:t>
      </w:r>
      <w:r>
        <w:rPr>
          <w:w w:val="100"/>
        </w:rPr>
        <w:t> </w:t>
      </w:r>
      <w:r>
        <w:rPr/>
        <w:t>债表中每项金融资产的账面价值。</w:t>
      </w:r>
    </w:p>
    <w:p>
      <w:pPr>
        <w:pStyle w:val="BodyText"/>
        <w:spacing w:line="405" w:lineRule="auto" w:before="48"/>
        <w:ind w:left="575" w:right="0"/>
        <w:jc w:val="left"/>
      </w:pPr>
      <w:r>
        <w:rPr>
          <w:rFonts w:ascii="宋体" w:hAnsi="宋体" w:cs="宋体" w:eastAsia="宋体" w:hint="default"/>
        </w:rPr>
        <w:t>2</w:t>
      </w:r>
      <w:r>
        <w:rPr/>
        <w:t>、流动性风险</w:t>
      </w:r>
      <w:r>
        <w:rPr>
          <w:spacing w:val="-103"/>
        </w:rPr>
        <w:t> </w:t>
      </w:r>
      <w:r>
        <w:rPr>
          <w:spacing w:val="-103"/>
        </w:rPr>
      </w:r>
      <w:r>
        <w:rPr>
          <w:spacing w:val="-2"/>
        </w:rPr>
        <w:t>流动性风险，是指本公司在履行以交付现金或其他金融资产的方式结算的义务时发生资金短缺的风险。</w:t>
      </w:r>
    </w:p>
    <w:p>
      <w:pPr>
        <w:spacing w:after="0" w:line="405" w:lineRule="auto"/>
        <w:jc w:val="left"/>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408" w:lineRule="auto"/>
        <w:ind w:left="233" w:right="1208"/>
        <w:jc w:val="both"/>
      </w:pPr>
      <w:r>
        <w:rPr/>
        <w:t>流动性风险可能源于无法尽快以公允价值售出金融资产；或者源于对方无法偿还其合同债务；或者源</w:t>
      </w:r>
      <w:r>
        <w:rPr>
          <w:spacing w:val="2"/>
        </w:rPr>
        <w:t> </w:t>
      </w:r>
      <w:r>
        <w:rPr/>
        <w:t>于</w:t>
      </w:r>
      <w:r>
        <w:rPr>
          <w:w w:val="100"/>
        </w:rPr>
        <w:t> </w:t>
      </w:r>
      <w:r>
        <w:rPr/>
        <w:t>提前到期的债务；或者源于无法产生预期的现金流量。</w:t>
      </w:r>
      <w:r>
        <w:rPr>
          <w:spacing w:val="1"/>
        </w:rPr>
        <w:t> </w:t>
      </w:r>
      <w:r>
        <w:rPr/>
        <w:t>为控制该项风险，本公司综合运用票据结算、银</w:t>
      </w:r>
      <w:r>
        <w:rPr>
          <w:w w:val="100"/>
        </w:rPr>
        <w:t> </w:t>
      </w:r>
      <w:r>
        <w:rPr/>
        <w:t>行借款等多种融资手段，并采取长、短期融资方式适</w:t>
      </w:r>
      <w:r>
        <w:rPr>
          <w:spacing w:val="1"/>
        </w:rPr>
        <w:t> </w:t>
      </w:r>
      <w:r>
        <w:rPr/>
        <w:t>当结合，优化融资结构的方法，保持融资持续性与</w:t>
      </w:r>
      <w:r>
        <w:rPr>
          <w:w w:val="100"/>
        </w:rPr>
        <w:t> </w:t>
      </w:r>
      <w:r>
        <w:rPr/>
        <w:t>灵活性之间的平衡。本公司已从多家商业银行取得银行</w:t>
      </w:r>
      <w:r>
        <w:rPr>
          <w:spacing w:val="3"/>
        </w:rPr>
        <w:t> </w:t>
      </w:r>
      <w:r>
        <w:rPr/>
        <w:t>授信额度以满足营运资金需求和资本开支。</w:t>
      </w:r>
    </w:p>
    <w:p>
      <w:pPr>
        <w:pStyle w:val="BodyText"/>
        <w:spacing w:line="240" w:lineRule="auto" w:before="48"/>
        <w:ind w:left="655" w:right="0"/>
        <w:jc w:val="left"/>
      </w:pPr>
      <w:r>
        <w:rPr/>
        <w:t>金融负债按到期日分类如下：</w:t>
      </w:r>
    </w:p>
    <w:p>
      <w:pPr>
        <w:spacing w:line="240" w:lineRule="auto" w:before="8"/>
        <w:rPr>
          <w:rFonts w:ascii="宋体" w:hAnsi="宋体" w:cs="宋体" w:eastAsia="宋体" w:hint="default"/>
          <w:sz w:val="14"/>
          <w:szCs w:val="14"/>
        </w:rPr>
      </w:pPr>
    </w:p>
    <w:p>
      <w:pPr>
        <w:pStyle w:val="BodyText"/>
        <w:spacing w:line="240" w:lineRule="auto"/>
        <w:ind w:left="0" w:right="1122"/>
        <w:jc w:val="right"/>
      </w:pPr>
      <w:r>
        <w:rPr/>
        <w:t>单位：元</w:t>
      </w:r>
    </w:p>
    <w:p>
      <w:pPr>
        <w:spacing w:line="240" w:lineRule="auto" w:before="11"/>
        <w:rPr>
          <w:rFonts w:ascii="宋体" w:hAnsi="宋体" w:cs="宋体" w:eastAsia="宋体" w:hint="default"/>
          <w:sz w:val="9"/>
          <w:szCs w:val="9"/>
        </w:rPr>
      </w:pPr>
    </w:p>
    <w:tbl>
      <w:tblPr>
        <w:tblW w:w="0" w:type="auto"/>
        <w:jc w:val="left"/>
        <w:tblInd w:w="118" w:type="dxa"/>
        <w:tblLayout w:type="fixed"/>
        <w:tblCellMar>
          <w:top w:w="0" w:type="dxa"/>
          <w:left w:w="0" w:type="dxa"/>
          <w:bottom w:w="0" w:type="dxa"/>
          <w:right w:w="0" w:type="dxa"/>
        </w:tblCellMar>
        <w:tblLook w:val="01E0"/>
      </w:tblPr>
      <w:tblGrid>
        <w:gridCol w:w="1561"/>
        <w:gridCol w:w="1666"/>
        <w:gridCol w:w="1715"/>
        <w:gridCol w:w="1647"/>
        <w:gridCol w:w="1647"/>
        <w:gridCol w:w="1652"/>
      </w:tblGrid>
      <w:tr>
        <w:trPr>
          <w:trHeight w:val="509" w:hRule="exact"/>
        </w:trPr>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r>
      <w:tr>
        <w:trPr>
          <w:trHeight w:val="960" w:hRule="exact"/>
        </w:trPr>
        <w:tc>
          <w:tcPr>
            <w:tcW w:w="1561" w:type="dxa"/>
            <w:vMerge/>
            <w:tcBorders>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pacing w:val="-3"/>
                <w:sz w:val="18"/>
                <w:szCs w:val="18"/>
              </w:rPr>
              <w:t>未折现合同金额</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年以内</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年至</w:t>
            </w:r>
            <w:r>
              <w:rPr>
                <w:rFonts w:ascii="宋体" w:hAnsi="宋体" w:cs="宋体" w:eastAsia="宋体" w:hint="default"/>
                <w:sz w:val="18"/>
                <w:szCs w:val="18"/>
              </w:rPr>
              <w:t>3</w:t>
            </w:r>
            <w:r>
              <w:rPr>
                <w:rFonts w:ascii="宋体" w:hAnsi="宋体" w:cs="宋体" w:eastAsia="宋体" w:hint="default"/>
                <w:sz w:val="18"/>
                <w:szCs w:val="18"/>
              </w:rPr>
              <w:t>年</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年以上</w:t>
            </w:r>
          </w:p>
        </w:tc>
      </w:tr>
      <w:tr>
        <w:trPr>
          <w:trHeight w:val="509"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Times New Roman" w:hAnsi="Times New Roman" w:cs="Times New Roman" w:eastAsia="Times New Roman" w:hint="default"/>
                <w:sz w:val="18"/>
                <w:szCs w:val="18"/>
              </w:rPr>
            </w:pPr>
            <w:r>
              <w:rPr>
                <w:rFonts w:ascii="Times New Roman"/>
                <w:spacing w:val="-1"/>
                <w:sz w:val="18"/>
              </w:rPr>
              <w:t>124,783,757.23</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4"/>
              <w:jc w:val="right"/>
              <w:rPr>
                <w:rFonts w:ascii="Times New Roman" w:hAnsi="Times New Roman" w:cs="Times New Roman" w:eastAsia="Times New Roman" w:hint="default"/>
                <w:sz w:val="18"/>
                <w:szCs w:val="18"/>
              </w:rPr>
            </w:pPr>
            <w:r>
              <w:rPr>
                <w:rFonts w:ascii="Times New Roman"/>
                <w:spacing w:val="-1"/>
                <w:sz w:val="18"/>
              </w:rPr>
              <w:t>124,783,757.23</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4"/>
              <w:jc w:val="right"/>
              <w:rPr>
                <w:rFonts w:ascii="Times New Roman" w:hAnsi="Times New Roman" w:cs="Times New Roman" w:eastAsia="Times New Roman" w:hint="default"/>
                <w:sz w:val="18"/>
                <w:szCs w:val="18"/>
              </w:rPr>
            </w:pPr>
            <w:r>
              <w:rPr>
                <w:rFonts w:ascii="Times New Roman"/>
                <w:spacing w:val="-1"/>
                <w:sz w:val="18"/>
              </w:rPr>
              <w:t>124,783,757.23</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106,860,000.00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4"/>
              <w:jc w:val="right"/>
              <w:rPr>
                <w:rFonts w:ascii="Times New Roman" w:hAnsi="Times New Roman" w:cs="Times New Roman" w:eastAsia="Times New Roman" w:hint="default"/>
                <w:sz w:val="18"/>
                <w:szCs w:val="18"/>
              </w:rPr>
            </w:pPr>
            <w:r>
              <w:rPr>
                <w:rFonts w:ascii="Times New Roman"/>
                <w:spacing w:val="-1"/>
                <w:sz w:val="18"/>
              </w:rPr>
              <w:t>106,860,000.00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4"/>
              <w:jc w:val="right"/>
              <w:rPr>
                <w:rFonts w:ascii="Times New Roman" w:hAnsi="Times New Roman" w:cs="Times New Roman" w:eastAsia="Times New Roman" w:hint="default"/>
                <w:sz w:val="18"/>
                <w:szCs w:val="18"/>
              </w:rPr>
            </w:pPr>
            <w:r>
              <w:rPr>
                <w:rFonts w:ascii="Times New Roman"/>
                <w:spacing w:val="-1"/>
                <w:sz w:val="18"/>
              </w:rPr>
              <w:t>21,260,000.00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5"/>
              <w:jc w:val="right"/>
              <w:rPr>
                <w:rFonts w:ascii="Times New Roman" w:hAnsi="Times New Roman" w:cs="Times New Roman" w:eastAsia="Times New Roman" w:hint="default"/>
                <w:sz w:val="18"/>
                <w:szCs w:val="18"/>
              </w:rPr>
            </w:pPr>
            <w:r>
              <w:rPr>
                <w:rFonts w:ascii="Times New Roman"/>
                <w:spacing w:val="-1"/>
                <w:sz w:val="18"/>
              </w:rPr>
              <w:t>85,600,000.00</w:t>
            </w: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160,659,288.69</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4"/>
              <w:jc w:val="right"/>
              <w:rPr>
                <w:rFonts w:ascii="Times New Roman" w:hAnsi="Times New Roman" w:cs="Times New Roman" w:eastAsia="Times New Roman" w:hint="default"/>
                <w:sz w:val="18"/>
                <w:szCs w:val="18"/>
              </w:rPr>
            </w:pPr>
            <w:r>
              <w:rPr>
                <w:rFonts w:ascii="Times New Roman"/>
                <w:spacing w:val="-1"/>
                <w:sz w:val="18"/>
              </w:rPr>
              <w:t>160,659,288.69</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4"/>
              <w:jc w:val="right"/>
              <w:rPr>
                <w:rFonts w:ascii="Times New Roman" w:hAnsi="Times New Roman" w:cs="Times New Roman" w:eastAsia="Times New Roman" w:hint="default"/>
                <w:sz w:val="18"/>
                <w:szCs w:val="18"/>
              </w:rPr>
            </w:pPr>
            <w:r>
              <w:rPr>
                <w:rFonts w:ascii="Times New Roman"/>
                <w:spacing w:val="-1"/>
                <w:sz w:val="18"/>
              </w:rPr>
              <w:t>160,659,288.69</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2,990,000.00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4"/>
              <w:jc w:val="right"/>
              <w:rPr>
                <w:rFonts w:ascii="Times New Roman" w:hAnsi="Times New Roman" w:cs="Times New Roman" w:eastAsia="Times New Roman" w:hint="default"/>
                <w:sz w:val="18"/>
                <w:szCs w:val="18"/>
              </w:rPr>
            </w:pPr>
            <w:r>
              <w:rPr>
                <w:rFonts w:ascii="Times New Roman"/>
                <w:spacing w:val="-1"/>
                <w:sz w:val="18"/>
              </w:rPr>
              <w:t>299,0000.00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4"/>
              <w:jc w:val="right"/>
              <w:rPr>
                <w:rFonts w:ascii="Times New Roman" w:hAnsi="Times New Roman" w:cs="Times New Roman" w:eastAsia="Times New Roman" w:hint="default"/>
                <w:sz w:val="18"/>
                <w:szCs w:val="18"/>
              </w:rPr>
            </w:pPr>
            <w:r>
              <w:rPr>
                <w:rFonts w:ascii="Times New Roman"/>
                <w:spacing w:val="-1"/>
                <w:sz w:val="18"/>
              </w:rPr>
              <w:t>2,990,000.00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504"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4"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17,380,133.50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4"/>
              <w:jc w:val="right"/>
              <w:rPr>
                <w:rFonts w:ascii="Times New Roman" w:hAnsi="Times New Roman" w:cs="Times New Roman" w:eastAsia="Times New Roman" w:hint="default"/>
                <w:sz w:val="18"/>
                <w:szCs w:val="18"/>
              </w:rPr>
            </w:pPr>
            <w:r>
              <w:rPr>
                <w:rFonts w:ascii="Times New Roman"/>
                <w:spacing w:val="-1"/>
                <w:sz w:val="18"/>
              </w:rPr>
              <w:t>17,380,133.50</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4"/>
              <w:jc w:val="right"/>
              <w:rPr>
                <w:rFonts w:ascii="Times New Roman" w:hAnsi="Times New Roman" w:cs="Times New Roman" w:eastAsia="Times New Roman" w:hint="default"/>
                <w:sz w:val="18"/>
                <w:szCs w:val="18"/>
              </w:rPr>
            </w:pPr>
            <w:r>
              <w:rPr>
                <w:rFonts w:ascii="Times New Roman"/>
                <w:spacing w:val="-1"/>
                <w:sz w:val="18"/>
              </w:rPr>
              <w:t>17,380,133.50</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长期应付款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228,750,112.79</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228,750,112.79</w:t>
            </w:r>
          </w:p>
        </w:tc>
        <w:tc>
          <w:tcPr>
            <w:tcW w:w="1647" w:type="dxa"/>
            <w:tcBorders>
              <w:top w:val="single" w:sz="4" w:space="0" w:color="000000"/>
              <w:left w:val="single" w:sz="4" w:space="0" w:color="000000"/>
              <w:bottom w:val="single" w:sz="4" w:space="0" w:color="000000"/>
              <w:right w:val="single" w:sz="4" w:space="0" w:color="000000"/>
            </w:tcBorders>
          </w:tcPr>
          <w:p>
            <w:pP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228,750,112.79</w:t>
            </w:r>
          </w:p>
        </w:tc>
        <w:tc>
          <w:tcPr>
            <w:tcW w:w="16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405" w:lineRule="auto" w:before="36"/>
        <w:ind w:left="655" w:right="0"/>
        <w:jc w:val="left"/>
      </w:pPr>
      <w:r>
        <w:rPr>
          <w:rFonts w:ascii="宋体" w:hAnsi="宋体" w:cs="宋体" w:eastAsia="宋体" w:hint="default"/>
        </w:rPr>
        <w:t>3</w:t>
      </w:r>
      <w:r>
        <w:rPr/>
        <w:t>、市场风险</w:t>
      </w:r>
      <w:r>
        <w:rPr>
          <w:spacing w:val="-99"/>
        </w:rPr>
        <w:t> </w:t>
      </w:r>
      <w:r>
        <w:rPr/>
        <w:t>金融工具的市场风险，是指金融工具的公允价值或未来现金流量因市场价格变动而发生波动的风险，</w:t>
      </w:r>
    </w:p>
    <w:p>
      <w:pPr>
        <w:pStyle w:val="BodyText"/>
        <w:spacing w:line="408" w:lineRule="auto" w:before="50"/>
        <w:ind w:left="655" w:right="6599" w:hanging="423"/>
        <w:jc w:val="left"/>
      </w:pPr>
      <w:r>
        <w:rPr>
          <w:spacing w:val="-2"/>
        </w:rPr>
        <w:t>包括汇率风险、利率风险和其他价格风险。</w:t>
      </w:r>
      <w:r>
        <w:rPr>
          <w:spacing w:val="-65"/>
        </w:rPr>
        <w:t> </w:t>
      </w:r>
      <w:r>
        <w:rPr>
          <w:spacing w:val="-65"/>
        </w:rPr>
      </w:r>
      <w:r>
        <w:rPr>
          <w:rFonts w:ascii="宋体" w:hAnsi="宋体" w:cs="宋体" w:eastAsia="宋体" w:hint="default"/>
        </w:rPr>
        <w:t>3.1</w:t>
      </w:r>
      <w:r>
        <w:rPr>
          <w:rFonts w:ascii="宋体" w:hAnsi="宋体" w:cs="宋体" w:eastAsia="宋体" w:hint="default"/>
          <w:spacing w:val="2"/>
        </w:rPr>
        <w:t> </w:t>
      </w:r>
      <w:r>
        <w:rPr/>
        <w:t>汇率风险</w:t>
      </w:r>
    </w:p>
    <w:p>
      <w:pPr>
        <w:pStyle w:val="BodyText"/>
        <w:spacing w:line="405" w:lineRule="auto" w:before="48"/>
        <w:ind w:left="233" w:right="0" w:firstLine="422"/>
        <w:jc w:val="left"/>
      </w:pPr>
      <w:r>
        <w:rPr>
          <w:spacing w:val="-2"/>
        </w:rPr>
        <w:t>汇率风险，是指金融工具的公允价值或未来现金流量因外汇汇率变动而发生波动的风险。汇率风险可</w:t>
      </w:r>
      <w:r>
        <w:rPr>
          <w:w w:val="100"/>
        </w:rPr>
        <w:t> </w:t>
      </w:r>
      <w:r>
        <w:rPr/>
        <w:t>源于以记账本位币之外的外币进行计价的金融工具。</w:t>
      </w:r>
    </w:p>
    <w:p>
      <w:pPr>
        <w:pStyle w:val="BodyText"/>
        <w:spacing w:line="408" w:lineRule="auto" w:before="50"/>
        <w:ind w:left="655" w:right="5665"/>
        <w:jc w:val="left"/>
      </w:pPr>
      <w:r>
        <w:rPr>
          <w:spacing w:val="-1"/>
        </w:rPr>
        <w:t>本公司无以记账本位币之外的外币计价的资产。</w:t>
      </w:r>
      <w:r>
        <w:rPr>
          <w:spacing w:val="-79"/>
        </w:rPr>
        <w:t> </w:t>
      </w:r>
      <w:r>
        <w:rPr>
          <w:spacing w:val="-79"/>
        </w:rPr>
      </w:r>
      <w:r>
        <w:rPr>
          <w:rFonts w:ascii="宋体" w:hAnsi="宋体" w:cs="宋体" w:eastAsia="宋体" w:hint="default"/>
        </w:rPr>
        <w:t>3.2</w:t>
      </w:r>
      <w:r>
        <w:rPr>
          <w:rFonts w:ascii="宋体" w:hAnsi="宋体" w:cs="宋体" w:eastAsia="宋体" w:hint="default"/>
          <w:spacing w:val="2"/>
        </w:rPr>
        <w:t> </w:t>
      </w:r>
      <w:r>
        <w:rPr/>
        <w:t>利率风险</w:t>
      </w:r>
    </w:p>
    <w:p>
      <w:pPr>
        <w:pStyle w:val="BodyText"/>
        <w:spacing w:line="405" w:lineRule="auto" w:before="48"/>
        <w:ind w:left="233" w:right="0" w:firstLine="422"/>
        <w:jc w:val="left"/>
      </w:pPr>
      <w:r>
        <w:rPr>
          <w:spacing w:val="-2"/>
        </w:rPr>
        <w:t>利率风险，是指金融工具的公允价值或未来现金流量因市场利率变动而发生波动的风险。利率风险可</w:t>
      </w:r>
      <w:r>
        <w:rPr>
          <w:w w:val="100"/>
        </w:rPr>
        <w:t> </w:t>
      </w:r>
      <w:r>
        <w:rPr/>
        <w:t>源于已确认的计息金融工具和未确认的金融工具</w:t>
      </w:r>
      <w:r>
        <w:rPr>
          <w:rFonts w:ascii="宋体" w:hAnsi="宋体" w:cs="宋体" w:eastAsia="宋体" w:hint="default"/>
        </w:rPr>
        <w:t>(</w:t>
      </w:r>
      <w:r>
        <w:rPr/>
        <w:t>如某些贷款承诺</w:t>
      </w:r>
      <w:r>
        <w:rPr>
          <w:rFonts w:ascii="宋体" w:hAnsi="宋体" w:cs="宋体" w:eastAsia="宋体" w:hint="default"/>
        </w:rPr>
        <w:t>)</w:t>
      </w:r>
      <w:r>
        <w:rPr/>
        <w:t>。</w:t>
      </w:r>
    </w:p>
    <w:p>
      <w:pPr>
        <w:pStyle w:val="BodyText"/>
        <w:spacing w:line="408" w:lineRule="auto" w:before="50"/>
        <w:ind w:left="233" w:right="0" w:firstLine="422"/>
        <w:jc w:val="left"/>
      </w:pPr>
      <w:r>
        <w:rPr>
          <w:spacing w:val="-2"/>
        </w:rPr>
        <w:t>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日，本公司以浮动利率计息的银行借款较少，假定利率变动</w:t>
      </w:r>
      <w:r>
        <w:rPr>
          <w:rFonts w:ascii="宋体" w:hAnsi="宋体" w:cs="宋体" w:eastAsia="宋体" w:hint="default"/>
          <w:spacing w:val="-2"/>
        </w:rPr>
        <w:t>50</w:t>
      </w:r>
      <w:r>
        <w:rPr>
          <w:spacing w:val="-2"/>
        </w:rPr>
        <w:t>个基准点，不会对本</w:t>
      </w:r>
      <w:r>
        <w:rPr>
          <w:w w:val="100"/>
        </w:rPr>
        <w:t> </w:t>
      </w:r>
      <w:r>
        <w:rPr/>
        <w:t>公司的利润总</w:t>
      </w:r>
      <w:r>
        <w:rPr>
          <w:spacing w:val="5"/>
        </w:rPr>
        <w:t> </w:t>
      </w:r>
      <w:r>
        <w:rPr/>
        <w:t>额和股东权益产生重大的影响。</w:t>
      </w:r>
    </w:p>
    <w:p>
      <w:pPr>
        <w:pStyle w:val="BodyText"/>
        <w:spacing w:line="240" w:lineRule="auto" w:before="48"/>
        <w:ind w:left="655" w:right="0"/>
        <w:jc w:val="left"/>
      </w:pPr>
      <w:r>
        <w:rPr>
          <w:rFonts w:ascii="宋体" w:hAnsi="宋体" w:cs="宋体" w:eastAsia="宋体" w:hint="default"/>
        </w:rPr>
        <w:t>3.3</w:t>
      </w:r>
      <w:r>
        <w:rPr>
          <w:rFonts w:ascii="宋体" w:hAnsi="宋体" w:cs="宋体" w:eastAsia="宋体" w:hint="default"/>
          <w:spacing w:val="5"/>
        </w:rPr>
        <w:t> </w:t>
      </w:r>
      <w:r>
        <w:rPr/>
        <w:t>其他价格风险</w:t>
      </w:r>
    </w:p>
    <w:p>
      <w:pPr>
        <w:spacing w:after="0" w:line="240" w:lineRule="auto"/>
        <w:jc w:val="left"/>
        <w:sectPr>
          <w:pgSz w:w="11910" w:h="16840"/>
          <w:pgMar w:header="871" w:footer="1037" w:top="1040" w:bottom="1220" w:left="9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408" w:lineRule="auto"/>
        <w:ind w:right="1123" w:firstLine="422"/>
        <w:jc w:val="both"/>
      </w:pPr>
      <w:r>
        <w:rPr>
          <w:spacing w:val="-2"/>
        </w:rPr>
        <w:t>其他价格风险，是指汇率风险和利率风险以外的市场价格变动而发生波动的风险，无论这些变动是由</w:t>
      </w:r>
      <w:r>
        <w:rPr>
          <w:w w:val="100"/>
        </w:rPr>
        <w:t> </w:t>
      </w:r>
      <w:r>
        <w:rPr>
          <w:spacing w:val="-2"/>
        </w:rPr>
        <w:t>于与单项金融工具或其发行方有关的因素而引起的，还是由于与市场内交易的所有类似金融工具有关的因</w:t>
      </w:r>
      <w:r>
        <w:rPr>
          <w:spacing w:val="-30"/>
        </w:rPr>
        <w:t> </w:t>
      </w:r>
      <w:r>
        <w:rPr>
          <w:spacing w:val="-30"/>
        </w:rPr>
      </w:r>
      <w:r>
        <w:rPr/>
        <w:t>素而引起的。其他价格风险可源于商品价格或权益工具价格等的变化。</w:t>
      </w:r>
    </w:p>
    <w:p>
      <w:pPr>
        <w:pStyle w:val="BodyText"/>
        <w:spacing w:line="240" w:lineRule="auto" w:before="43"/>
        <w:ind w:left="575" w:right="1024"/>
        <w:jc w:val="left"/>
      </w:pPr>
      <w:r>
        <w:rPr/>
        <w:t>公司本期间无其他价格风险。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4"/>
        <w:ind w:right="1024"/>
        <w:jc w:val="left"/>
        <w:rPr>
          <w:b w:val="0"/>
          <w:bCs w:val="0"/>
        </w:rPr>
      </w:pPr>
      <w:bookmarkStart w:name="十一、公允价值的披露" w:id="426"/>
      <w:bookmarkEnd w:id="426"/>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1024"/>
        <w:jc w:val="left"/>
        <w:rPr>
          <w:b w:val="0"/>
          <w:bCs w:val="0"/>
        </w:rPr>
      </w:pPr>
      <w:bookmarkStart w:name="1、以公允价值计量的资产和负债的期末公允价值" w:id="427"/>
      <w:bookmarkEnd w:id="427"/>
      <w:r>
        <w:rPr>
          <w:b w:val="0"/>
          <w:bCs w:val="0"/>
        </w:rPr>
      </w:r>
      <w:r>
        <w:rPr>
          <w:rFonts w:ascii="宋体" w:hAnsi="宋体" w:cs="宋体" w:eastAsia="宋体"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8"/>
          <w:szCs w:val="28"/>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11" w:hRule="exact"/>
        </w:trPr>
        <w:tc>
          <w:tcPr>
            <w:tcW w:w="1993"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7582" w:type="dxa"/>
            <w:gridSpan w:val="4"/>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14"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3" w:type="dxa"/>
            <w:vMerge/>
            <w:tcBorders>
              <w:left w:val="single" w:sz="12"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25" w:right="99" w:hanging="720"/>
              <w:jc w:val="left"/>
              <w:rPr>
                <w:rFonts w:ascii="宋体" w:hAnsi="宋体" w:cs="宋体" w:eastAsia="宋体" w:hint="default"/>
                <w:sz w:val="18"/>
                <w:szCs w:val="18"/>
              </w:rPr>
            </w:pPr>
            <w:r>
              <w:rPr>
                <w:rFonts w:ascii="宋体" w:hAnsi="宋体" w:cs="宋体" w:eastAsia="宋体" w:hint="default"/>
                <w:spacing w:val="-3"/>
                <w:sz w:val="18"/>
                <w:szCs w:val="18"/>
              </w:rPr>
              <w:t>第一层次公允价值计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64" w:right="137" w:hanging="721"/>
              <w:jc w:val="left"/>
              <w:rPr>
                <w:rFonts w:ascii="宋体" w:hAnsi="宋体" w:cs="宋体" w:eastAsia="宋体" w:hint="default"/>
                <w:sz w:val="18"/>
                <w:szCs w:val="18"/>
              </w:rPr>
            </w:pPr>
            <w:r>
              <w:rPr>
                <w:rFonts w:ascii="宋体" w:hAnsi="宋体" w:cs="宋体" w:eastAsia="宋体" w:hint="default"/>
                <w:spacing w:val="-3"/>
                <w:sz w:val="18"/>
                <w:szCs w:val="18"/>
              </w:rPr>
              <w:t>第二层次公允价值计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59" w:right="137" w:hanging="720"/>
              <w:jc w:val="left"/>
              <w:rPr>
                <w:rFonts w:ascii="宋体" w:hAnsi="宋体" w:cs="宋体" w:eastAsia="宋体" w:hint="default"/>
                <w:sz w:val="18"/>
                <w:szCs w:val="18"/>
              </w:rPr>
            </w:pPr>
            <w:r>
              <w:rPr>
                <w:rFonts w:ascii="宋体" w:hAnsi="宋体" w:cs="宋体" w:eastAsia="宋体" w:hint="default"/>
                <w:spacing w:val="-3"/>
                <w:sz w:val="18"/>
                <w:szCs w:val="18"/>
              </w:rPr>
              <w:t>第三层次公允价值计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94"/>
              <w:jc w:val="left"/>
              <w:rPr>
                <w:rFonts w:ascii="宋体" w:hAnsi="宋体" w:cs="宋体" w:eastAsia="宋体" w:hint="default"/>
                <w:sz w:val="18"/>
                <w:szCs w:val="18"/>
              </w:rPr>
            </w:pPr>
            <w:r>
              <w:rPr>
                <w:rFonts w:ascii="宋体" w:hAnsi="宋体" w:cs="宋体" w:eastAsia="宋体" w:hint="default"/>
                <w:spacing w:val="-5"/>
                <w:sz w:val="18"/>
                <w:szCs w:val="18"/>
              </w:rPr>
              <w:t>一、持续的公允价值计</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量</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sz w:val="18"/>
              </w:rPr>
              <w:t>--</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sz w:val="18"/>
              </w:rPr>
              <w:t>--</w:t>
            </w:r>
          </w:p>
        </w:tc>
      </w:tr>
      <w:tr>
        <w:trPr>
          <w:trHeight w:val="404"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5"/>
                <w:sz w:val="18"/>
                <w:szCs w:val="18"/>
              </w:rPr>
              <w:t>（一）交易性金融资产</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1022"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252"/>
              <w:jc w:val="both"/>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以公允价值计量且</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其变动计入当期损益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的金融资产</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）债务工具投资</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71"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87"/>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）权益工具投资</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）衍生金融资产</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6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4</w:t>
            </w:r>
            <w:r>
              <w:rPr>
                <w:rFonts w:ascii="宋体" w:hAnsi="宋体" w:cs="宋体" w:eastAsia="宋体" w:hint="default"/>
                <w:spacing w:val="-2"/>
                <w:sz w:val="18"/>
                <w:szCs w:val="18"/>
              </w:rPr>
              <w:t>）其他非流动金融</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资产</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4,003,000.00</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4,003,000.00</w:t>
            </w:r>
          </w:p>
        </w:tc>
      </w:tr>
      <w:tr>
        <w:trPr>
          <w:trHeight w:val="1028"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4"/>
              <w:ind w:left="95" w:right="252"/>
              <w:jc w:val="both"/>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指定以公允价值计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量且其变动计入当期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损益的金融资产</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）债务工具投资</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）权益工具投资</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（二）其他债权投资</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94"/>
              <w:jc w:val="left"/>
              <w:rPr>
                <w:rFonts w:ascii="宋体" w:hAnsi="宋体" w:cs="宋体" w:eastAsia="宋体" w:hint="default"/>
                <w:sz w:val="18"/>
                <w:szCs w:val="18"/>
              </w:rPr>
            </w:pPr>
            <w:r>
              <w:rPr>
                <w:rFonts w:ascii="宋体" w:hAnsi="宋体" w:cs="宋体" w:eastAsia="宋体" w:hint="default"/>
                <w:spacing w:val="-5"/>
                <w:sz w:val="18"/>
                <w:szCs w:val="18"/>
              </w:rPr>
              <w:t>（三）其他权益工具投</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资</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57,000,000.00</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57,000,000.00</w:t>
            </w:r>
          </w:p>
        </w:tc>
      </w:tr>
      <w:tr>
        <w:trPr>
          <w:trHeight w:val="403"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（四）投资性房地产</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711"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4"/>
              <w:ind w:left="95" w:right="252"/>
              <w:jc w:val="left"/>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出租用的土地使用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权</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199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出租的建筑物</w:t>
            </w:r>
          </w:p>
        </w:tc>
        <w:tc>
          <w:tcPr>
            <w:tcW w:w="1839" w:type="dxa"/>
            <w:tcBorders>
              <w:top w:val="single" w:sz="4" w:space="0" w:color="000000"/>
              <w:left w:val="single" w:sz="4" w:space="0" w:color="000000"/>
              <w:bottom w:val="single" w:sz="12" w:space="0" w:color="000000"/>
              <w:right w:val="single" w:sz="4" w:space="0" w:color="000000"/>
            </w:tcBorders>
          </w:tcPr>
          <w:p>
            <w:pPr/>
          </w:p>
        </w:tc>
        <w:tc>
          <w:tcPr>
            <w:tcW w:w="1916" w:type="dxa"/>
            <w:tcBorders>
              <w:top w:val="single" w:sz="4" w:space="0" w:color="000000"/>
              <w:left w:val="single" w:sz="4" w:space="0" w:color="000000"/>
              <w:bottom w:val="single" w:sz="12" w:space="0" w:color="000000"/>
              <w:right w:val="single" w:sz="4" w:space="0" w:color="000000"/>
            </w:tcBorders>
          </w:tcPr>
          <w:p>
            <w:pPr/>
          </w:p>
        </w:tc>
        <w:tc>
          <w:tcPr>
            <w:tcW w:w="1911" w:type="dxa"/>
            <w:tcBorders>
              <w:top w:val="single" w:sz="4" w:space="0" w:color="000000"/>
              <w:left w:val="single" w:sz="4" w:space="0" w:color="000000"/>
              <w:bottom w:val="single" w:sz="12" w:space="0" w:color="000000"/>
              <w:right w:val="single" w:sz="4" w:space="0" w:color="000000"/>
            </w:tcBorders>
          </w:tcPr>
          <w:p>
            <w:pPr/>
          </w:p>
        </w:tc>
        <w:tc>
          <w:tcPr>
            <w:tcW w:w="1916"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21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725" w:hRule="exact"/>
        </w:trPr>
        <w:tc>
          <w:tcPr>
            <w:tcW w:w="199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252"/>
              <w:jc w:val="left"/>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持有并准备增值后</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转让的土地使用权</w:t>
            </w:r>
          </w:p>
        </w:tc>
        <w:tc>
          <w:tcPr>
            <w:tcW w:w="1839" w:type="dxa"/>
            <w:tcBorders>
              <w:top w:val="single" w:sz="12" w:space="0" w:color="000000"/>
              <w:left w:val="single" w:sz="4" w:space="0" w:color="000000"/>
              <w:bottom w:val="single" w:sz="4" w:space="0" w:color="000000"/>
              <w:right w:val="single" w:sz="4" w:space="0" w:color="000000"/>
            </w:tcBorders>
          </w:tcPr>
          <w:p>
            <w:pPr/>
          </w:p>
        </w:tc>
        <w:tc>
          <w:tcPr>
            <w:tcW w:w="1916" w:type="dxa"/>
            <w:tcBorders>
              <w:top w:val="single" w:sz="12" w:space="0" w:color="000000"/>
              <w:left w:val="single" w:sz="4" w:space="0" w:color="000000"/>
              <w:bottom w:val="single" w:sz="4" w:space="0" w:color="000000"/>
              <w:right w:val="single" w:sz="4" w:space="0" w:color="000000"/>
            </w:tcBorders>
          </w:tcPr>
          <w:p>
            <w:pPr/>
          </w:p>
        </w:tc>
        <w:tc>
          <w:tcPr>
            <w:tcW w:w="1911" w:type="dxa"/>
            <w:tcBorders>
              <w:top w:val="single" w:sz="12" w:space="0" w:color="000000"/>
              <w:left w:val="single" w:sz="4" w:space="0" w:color="000000"/>
              <w:bottom w:val="single" w:sz="4" w:space="0" w:color="000000"/>
              <w:right w:val="single" w:sz="4" w:space="0" w:color="000000"/>
            </w:tcBorders>
          </w:tcPr>
          <w:p>
            <w:pPr/>
          </w:p>
        </w:tc>
        <w:tc>
          <w:tcPr>
            <w:tcW w:w="1916" w:type="dxa"/>
            <w:tcBorders>
              <w:top w:val="single" w:sz="12" w:space="0" w:color="000000"/>
              <w:left w:val="single" w:sz="4" w:space="0" w:color="000000"/>
              <w:bottom w:val="single" w:sz="4" w:space="0" w:color="000000"/>
              <w:right w:val="single" w:sz="12" w:space="0" w:color="000000"/>
            </w:tcBorders>
          </w:tcPr>
          <w:p>
            <w:pPr/>
          </w:p>
        </w:tc>
      </w:tr>
      <w:tr>
        <w:trPr>
          <w:trHeight w:val="404"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（五）生物资产</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消耗性生物资产</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生产性生物资产</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93" w:type="dxa"/>
            <w:tcBorders>
              <w:top w:val="single" w:sz="4" w:space="0" w:color="000000"/>
              <w:left w:val="single" w:sz="12"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5" w:right="252"/>
              <w:jc w:val="left"/>
              <w:rPr>
                <w:rFonts w:ascii="宋体" w:hAnsi="宋体" w:cs="宋体" w:eastAsia="宋体" w:hint="default"/>
                <w:sz w:val="18"/>
                <w:szCs w:val="18"/>
              </w:rPr>
            </w:pPr>
            <w:r>
              <w:rPr>
                <w:rFonts w:ascii="宋体" w:hAnsi="宋体" w:cs="宋体" w:eastAsia="宋体" w:hint="default"/>
                <w:spacing w:val="-3"/>
                <w:sz w:val="18"/>
                <w:szCs w:val="18"/>
              </w:rPr>
              <w:t>持续以公允价值计量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的资产总额</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3" w:right="0"/>
              <w:jc w:val="left"/>
              <w:rPr>
                <w:rFonts w:ascii="Times New Roman" w:hAnsi="Times New Roman" w:cs="Times New Roman" w:eastAsia="Times New Roman" w:hint="default"/>
                <w:sz w:val="18"/>
                <w:szCs w:val="18"/>
              </w:rPr>
            </w:pPr>
            <w:r>
              <w:rPr>
                <w:rFonts w:ascii="Times New Roman"/>
                <w:sz w:val="18"/>
              </w:rPr>
              <w:t>61,003,000.00</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61,003,000.00</w:t>
            </w:r>
          </w:p>
        </w:tc>
      </w:tr>
      <w:tr>
        <w:trPr>
          <w:trHeight w:val="398"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5"/>
                <w:sz w:val="18"/>
                <w:szCs w:val="18"/>
              </w:rPr>
              <w:t>（六）交易性金融负债</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94"/>
              <w:jc w:val="left"/>
              <w:rPr>
                <w:rFonts w:ascii="宋体" w:hAnsi="宋体" w:cs="宋体" w:eastAsia="宋体" w:hint="default"/>
                <w:sz w:val="18"/>
                <w:szCs w:val="18"/>
              </w:rPr>
            </w:pPr>
            <w:r>
              <w:rPr>
                <w:rFonts w:ascii="宋体" w:hAnsi="宋体" w:cs="宋体" w:eastAsia="宋体" w:hint="default"/>
                <w:spacing w:val="-5"/>
                <w:sz w:val="18"/>
                <w:szCs w:val="18"/>
              </w:rPr>
              <w:t>其中：发行的交易性债</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券</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3"/>
                <w:sz w:val="18"/>
                <w:szCs w:val="18"/>
              </w:rPr>
              <w:t>衍生金融负债</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638" w:right="0"/>
              <w:jc w:val="left"/>
              <w:rPr>
                <w:rFonts w:ascii="宋体" w:hAnsi="宋体" w:cs="宋体" w:eastAsia="宋体" w:hint="default"/>
                <w:sz w:val="18"/>
                <w:szCs w:val="18"/>
              </w:rPr>
            </w:pPr>
            <w:r>
              <w:rPr>
                <w:rFonts w:ascii="宋体" w:hAnsi="宋体" w:cs="宋体" w:eastAsia="宋体" w:hint="default"/>
                <w:spacing w:val="-5"/>
                <w:sz w:val="18"/>
                <w:szCs w:val="18"/>
              </w:rPr>
              <w:t>其他</w:t>
            </w:r>
            <w:r>
              <w:rPr>
                <w:rFonts w:ascii="宋体" w:hAnsi="宋体" w:cs="宋体" w:eastAsia="宋体" w:hint="default"/>
                <w:sz w:val="18"/>
                <w:szCs w:val="18"/>
              </w:rPr>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1022"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94"/>
              <w:jc w:val="left"/>
              <w:rPr>
                <w:rFonts w:ascii="宋体" w:hAnsi="宋体" w:cs="宋体" w:eastAsia="宋体" w:hint="default"/>
                <w:sz w:val="18"/>
                <w:szCs w:val="18"/>
              </w:rPr>
            </w:pPr>
            <w:r>
              <w:rPr>
                <w:rFonts w:ascii="宋体" w:hAnsi="宋体" w:cs="宋体" w:eastAsia="宋体" w:hint="default"/>
                <w:spacing w:val="-5"/>
                <w:sz w:val="18"/>
                <w:szCs w:val="18"/>
              </w:rPr>
              <w:t>（七）指定为以公允价</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值计量且变动计入当</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期损益的金融负债</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993" w:type="dxa"/>
            <w:tcBorders>
              <w:top w:val="single" w:sz="4" w:space="0" w:color="000000"/>
              <w:left w:val="single" w:sz="12"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252"/>
              <w:jc w:val="left"/>
              <w:rPr>
                <w:rFonts w:ascii="宋体" w:hAnsi="宋体" w:cs="宋体" w:eastAsia="宋体" w:hint="default"/>
                <w:sz w:val="18"/>
                <w:szCs w:val="18"/>
              </w:rPr>
            </w:pPr>
            <w:r>
              <w:rPr>
                <w:rFonts w:ascii="宋体" w:hAnsi="宋体" w:cs="宋体" w:eastAsia="宋体" w:hint="default"/>
                <w:spacing w:val="-3"/>
                <w:sz w:val="18"/>
                <w:szCs w:val="18"/>
              </w:rPr>
              <w:t>持续以公允价值计量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的负债总额</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94"/>
              <w:jc w:val="left"/>
              <w:rPr>
                <w:rFonts w:ascii="宋体" w:hAnsi="宋体" w:cs="宋体" w:eastAsia="宋体" w:hint="default"/>
                <w:sz w:val="18"/>
                <w:szCs w:val="18"/>
              </w:rPr>
            </w:pPr>
            <w:r>
              <w:rPr>
                <w:rFonts w:ascii="宋体" w:hAnsi="宋体" w:cs="宋体" w:eastAsia="宋体" w:hint="default"/>
                <w:spacing w:val="-5"/>
                <w:sz w:val="18"/>
                <w:szCs w:val="18"/>
              </w:rPr>
              <w:t>二、非持续的公允价值</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计量</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sz w:val="18"/>
              </w:rPr>
              <w:t>--</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w:t>
            </w:r>
          </w:p>
        </w:tc>
      </w:tr>
      <w:tr>
        <w:trPr>
          <w:trHeight w:val="398"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（一）持有待售资产</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93" w:type="dxa"/>
            <w:tcBorders>
              <w:top w:val="single" w:sz="4" w:space="0" w:color="000000"/>
              <w:left w:val="single" w:sz="12"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252"/>
              <w:jc w:val="left"/>
              <w:rPr>
                <w:rFonts w:ascii="宋体" w:hAnsi="宋体" w:cs="宋体" w:eastAsia="宋体" w:hint="default"/>
                <w:sz w:val="18"/>
                <w:szCs w:val="18"/>
              </w:rPr>
            </w:pPr>
            <w:r>
              <w:rPr>
                <w:rFonts w:ascii="宋体" w:hAnsi="宋体" w:cs="宋体" w:eastAsia="宋体" w:hint="default"/>
                <w:spacing w:val="-3"/>
                <w:sz w:val="18"/>
                <w:szCs w:val="18"/>
              </w:rPr>
              <w:t>非持续以公允价值计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量的资产总额</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993" w:type="dxa"/>
            <w:tcBorders>
              <w:top w:val="single" w:sz="4" w:space="0" w:color="000000"/>
              <w:left w:val="single" w:sz="12"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725" w:hRule="exact"/>
        </w:trPr>
        <w:tc>
          <w:tcPr>
            <w:tcW w:w="199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3"/>
              <w:ind w:left="95" w:right="252"/>
              <w:jc w:val="left"/>
              <w:rPr>
                <w:rFonts w:ascii="宋体" w:hAnsi="宋体" w:cs="宋体" w:eastAsia="宋体" w:hint="default"/>
                <w:sz w:val="18"/>
                <w:szCs w:val="18"/>
              </w:rPr>
            </w:pPr>
            <w:r>
              <w:rPr>
                <w:rFonts w:ascii="宋体" w:hAnsi="宋体" w:cs="宋体" w:eastAsia="宋体" w:hint="default"/>
                <w:spacing w:val="-3"/>
                <w:sz w:val="18"/>
                <w:szCs w:val="18"/>
              </w:rPr>
              <w:t>非持续以公允价值计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量的负债总额</w:t>
            </w:r>
          </w:p>
        </w:tc>
        <w:tc>
          <w:tcPr>
            <w:tcW w:w="1839" w:type="dxa"/>
            <w:tcBorders>
              <w:top w:val="single" w:sz="4" w:space="0" w:color="000000"/>
              <w:left w:val="single" w:sz="4" w:space="0" w:color="000000"/>
              <w:bottom w:val="single" w:sz="12" w:space="0" w:color="000000"/>
              <w:right w:val="single" w:sz="4" w:space="0" w:color="000000"/>
            </w:tcBorders>
          </w:tcPr>
          <w:p>
            <w:pPr/>
          </w:p>
        </w:tc>
        <w:tc>
          <w:tcPr>
            <w:tcW w:w="1916" w:type="dxa"/>
            <w:tcBorders>
              <w:top w:val="single" w:sz="4" w:space="0" w:color="000000"/>
              <w:left w:val="single" w:sz="4" w:space="0" w:color="000000"/>
              <w:bottom w:val="single" w:sz="12" w:space="0" w:color="000000"/>
              <w:right w:val="single" w:sz="4" w:space="0" w:color="000000"/>
            </w:tcBorders>
          </w:tcPr>
          <w:p>
            <w:pPr/>
          </w:p>
        </w:tc>
        <w:tc>
          <w:tcPr>
            <w:tcW w:w="1911" w:type="dxa"/>
            <w:tcBorders>
              <w:top w:val="single" w:sz="4" w:space="0" w:color="000000"/>
              <w:left w:val="single" w:sz="4" w:space="0" w:color="000000"/>
              <w:bottom w:val="single" w:sz="12" w:space="0" w:color="000000"/>
              <w:right w:val="single" w:sz="4" w:space="0" w:color="000000"/>
            </w:tcBorders>
          </w:tcPr>
          <w:p>
            <w:pPr/>
          </w:p>
        </w:tc>
        <w:tc>
          <w:tcPr>
            <w:tcW w:w="1916" w:type="dxa"/>
            <w:tcBorders>
              <w:top w:val="single" w:sz="4" w:space="0" w:color="000000"/>
              <w:left w:val="single" w:sz="4" w:space="0" w:color="000000"/>
              <w:bottom w:val="single" w:sz="12" w:space="0" w:color="000000"/>
              <w:right w:val="single" w:sz="12" w:space="0" w:color="000000"/>
            </w:tcBorders>
          </w:tcPr>
          <w:p>
            <w:pPr/>
          </w:p>
        </w:tc>
      </w:tr>
    </w:tbl>
    <w:p>
      <w:pPr>
        <w:pStyle w:val="Heading4"/>
        <w:spacing w:line="240" w:lineRule="auto" w:before="66"/>
        <w:ind w:left="233" w:right="0"/>
        <w:jc w:val="left"/>
        <w:rPr>
          <w:b w:val="0"/>
          <w:bCs w:val="0"/>
        </w:rPr>
      </w:pPr>
      <w:bookmarkStart w:name="2、本公司无第一层次公允价值计量的项目。" w:id="428"/>
      <w:bookmarkEnd w:id="428"/>
      <w:r>
        <w:rPr>
          <w:b w:val="0"/>
          <w:bCs w:val="0"/>
        </w:rPr>
      </w:r>
      <w:r>
        <w:rPr>
          <w:rFonts w:ascii="宋体" w:hAnsi="宋体" w:cs="宋体" w:eastAsia="宋体" w:hint="default"/>
        </w:rPr>
        <w:t>2</w:t>
      </w:r>
      <w:r>
        <w:rPr/>
        <w:t>、本公司无第一层次公允价值计量的项目。</w:t>
      </w:r>
      <w:r>
        <w:rPr>
          <w:b w:val="0"/>
          <w:bCs w:val="0"/>
        </w:rPr>
      </w:r>
    </w:p>
    <w:p>
      <w:pPr>
        <w:spacing w:line="240" w:lineRule="auto" w:before="8"/>
        <w:rPr>
          <w:rFonts w:ascii="宋体" w:hAnsi="宋体" w:cs="宋体" w:eastAsia="宋体" w:hint="default"/>
          <w:b/>
          <w:bCs/>
          <w:sz w:val="14"/>
          <w:szCs w:val="14"/>
        </w:rPr>
      </w:pPr>
    </w:p>
    <w:p>
      <w:pPr>
        <w:pStyle w:val="Heading4"/>
        <w:spacing w:line="240" w:lineRule="auto" w:before="0"/>
        <w:ind w:left="233" w:right="0"/>
        <w:jc w:val="left"/>
        <w:rPr>
          <w:b w:val="0"/>
          <w:bCs w:val="0"/>
        </w:rPr>
      </w:pPr>
      <w:bookmarkStart w:name="3、本公司无第二层次公允价值计量的项目。" w:id="429"/>
      <w:bookmarkEnd w:id="429"/>
      <w:r>
        <w:rPr>
          <w:b w:val="0"/>
          <w:bCs w:val="0"/>
        </w:rPr>
      </w:r>
      <w:r>
        <w:rPr>
          <w:rFonts w:ascii="宋体" w:hAnsi="宋体" w:cs="宋体" w:eastAsia="宋体" w:hint="default"/>
        </w:rPr>
        <w:t>3</w:t>
      </w:r>
      <w:r>
        <w:rPr/>
        <w:t>、本公司无第二层次公允价值计量的项目。</w:t>
      </w:r>
      <w:r>
        <w:rPr>
          <w:b w:val="0"/>
          <w:bCs w:val="0"/>
        </w:rPr>
      </w:r>
    </w:p>
    <w:p>
      <w:pPr>
        <w:spacing w:line="240" w:lineRule="auto" w:before="12"/>
        <w:rPr>
          <w:rFonts w:ascii="宋体" w:hAnsi="宋体" w:cs="宋体" w:eastAsia="宋体" w:hint="default"/>
          <w:b/>
          <w:bCs/>
          <w:sz w:val="14"/>
          <w:szCs w:val="14"/>
        </w:rPr>
      </w:pPr>
    </w:p>
    <w:p>
      <w:pPr>
        <w:pStyle w:val="Heading4"/>
        <w:spacing w:line="240" w:lineRule="auto" w:before="0"/>
        <w:ind w:left="233" w:right="0"/>
        <w:jc w:val="left"/>
        <w:rPr>
          <w:b w:val="0"/>
          <w:bCs w:val="0"/>
        </w:rPr>
      </w:pPr>
      <w:bookmarkStart w:name="4、持续第三层次公允价值计量项目，采用的估值技术和重要参数信息" w:id="430"/>
      <w:bookmarkEnd w:id="430"/>
      <w:r>
        <w:rPr>
          <w:b w:val="0"/>
          <w:bCs w:val="0"/>
        </w:rPr>
      </w:r>
      <w:r>
        <w:rPr>
          <w:rFonts w:ascii="宋体" w:hAnsi="宋体" w:cs="宋体" w:eastAsia="宋体" w:hint="default"/>
        </w:rPr>
        <w:t>4</w:t>
      </w:r>
      <w:r>
        <w:rPr/>
        <w:t>、持续第三层次公允价值计量项目，采用的估值技术和重要参数信息</w:t>
      </w:r>
      <w:r>
        <w:rPr>
          <w:b w:val="0"/>
          <w:bCs w:val="0"/>
        </w:rPr>
      </w:r>
    </w:p>
    <w:p>
      <w:pPr>
        <w:spacing w:line="240" w:lineRule="auto" w:before="6"/>
        <w:rPr>
          <w:rFonts w:ascii="宋体" w:hAnsi="宋体" w:cs="宋体" w:eastAsia="宋体" w:hint="default"/>
          <w:b/>
          <w:bCs/>
          <w:sz w:val="9"/>
          <w:szCs w:val="9"/>
        </w:rPr>
      </w:pPr>
    </w:p>
    <w:tbl>
      <w:tblPr>
        <w:tblW w:w="0" w:type="auto"/>
        <w:jc w:val="left"/>
        <w:tblInd w:w="118" w:type="dxa"/>
        <w:tblLayout w:type="fixed"/>
        <w:tblCellMar>
          <w:top w:w="0" w:type="dxa"/>
          <w:left w:w="0" w:type="dxa"/>
          <w:bottom w:w="0" w:type="dxa"/>
          <w:right w:w="0" w:type="dxa"/>
        </w:tblCellMar>
        <w:tblLook w:val="01E0"/>
      </w:tblPr>
      <w:tblGrid>
        <w:gridCol w:w="2411"/>
        <w:gridCol w:w="2406"/>
        <w:gridCol w:w="2411"/>
        <w:gridCol w:w="2405"/>
      </w:tblGrid>
      <w:tr>
        <w:trPr>
          <w:trHeight w:val="715"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28"/>
              <w:ind w:left="883" w:right="113" w:hanging="759"/>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日的公</w:t>
            </w:r>
            <w:r>
              <w:rPr>
                <w:rFonts w:ascii="宋体" w:hAnsi="宋体" w:cs="宋体" w:eastAsia="宋体" w:hint="default"/>
                <w:w w:val="100"/>
                <w:sz w:val="21"/>
                <w:szCs w:val="21"/>
              </w:rPr>
              <w:t> </w:t>
            </w:r>
            <w:r>
              <w:rPr>
                <w:rFonts w:ascii="宋体" w:hAnsi="宋体" w:cs="宋体" w:eastAsia="宋体" w:hint="default"/>
                <w:sz w:val="21"/>
                <w:szCs w:val="21"/>
              </w:rPr>
              <w:t>允价值</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77" w:right="0"/>
              <w:jc w:val="left"/>
              <w:rPr>
                <w:rFonts w:ascii="宋体" w:hAnsi="宋体" w:cs="宋体" w:eastAsia="宋体" w:hint="default"/>
                <w:sz w:val="21"/>
                <w:szCs w:val="21"/>
              </w:rPr>
            </w:pPr>
            <w:r>
              <w:rPr>
                <w:rFonts w:ascii="宋体" w:hAnsi="宋体" w:cs="宋体" w:eastAsia="宋体" w:hint="default"/>
                <w:sz w:val="21"/>
                <w:szCs w:val="21"/>
              </w:rPr>
              <w:t>估值技术</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输入值</w:t>
            </w:r>
          </w:p>
        </w:tc>
      </w:tr>
      <w:tr>
        <w:trPr>
          <w:trHeight w:val="677"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57,000,000.00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收益法</w:t>
            </w:r>
            <w:r>
              <w:rPr>
                <w:rFonts w:ascii="Times New Roman" w:hAnsi="Times New Roman" w:cs="Times New Roman" w:eastAsia="Times New Roman" w:hint="default"/>
                <w:sz w:val="18"/>
                <w:szCs w:val="18"/>
              </w:rPr>
              <w:t>/</w:t>
            </w:r>
            <w:r>
              <w:rPr>
                <w:rFonts w:ascii="宋体" w:hAnsi="宋体" w:cs="宋体" w:eastAsia="宋体" w:hint="default"/>
                <w:sz w:val="18"/>
                <w:szCs w:val="18"/>
              </w:rPr>
              <w:t>市场法</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10"/>
              <w:ind w:left="105" w:right="122"/>
              <w:jc w:val="left"/>
              <w:rPr>
                <w:rFonts w:ascii="宋体" w:hAnsi="宋体" w:cs="宋体" w:eastAsia="宋体" w:hint="default"/>
                <w:sz w:val="18"/>
                <w:szCs w:val="18"/>
              </w:rPr>
            </w:pPr>
            <w:r>
              <w:rPr>
                <w:rFonts w:ascii="宋体" w:hAnsi="宋体" w:cs="宋体" w:eastAsia="宋体" w:hint="default"/>
                <w:spacing w:val="-3"/>
                <w:sz w:val="18"/>
                <w:szCs w:val="18"/>
              </w:rPr>
              <w:t>同行业可比上市公司的市价</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未来现金流量、折现率</w:t>
            </w:r>
          </w:p>
        </w:tc>
      </w:tr>
      <w:tr>
        <w:trPr>
          <w:trHeight w:val="398"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4,003,000.00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收益法</w:t>
            </w:r>
            <w:r>
              <w:rPr>
                <w:rFonts w:ascii="Times New Roman" w:hAnsi="Times New Roman" w:cs="Times New Roman" w:eastAsia="Times New Roman" w:hint="default"/>
                <w:sz w:val="18"/>
                <w:szCs w:val="18"/>
              </w:rPr>
              <w:t>/</w:t>
            </w:r>
            <w:r>
              <w:rPr>
                <w:rFonts w:ascii="宋体" w:hAnsi="宋体" w:cs="宋体" w:eastAsia="宋体" w:hint="default"/>
                <w:sz w:val="18"/>
                <w:szCs w:val="18"/>
              </w:rPr>
              <w:t>市场法</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center"/>
              <w:rPr>
                <w:rFonts w:ascii="宋体" w:hAnsi="宋体" w:cs="宋体" w:eastAsia="宋体" w:hint="default"/>
                <w:sz w:val="18"/>
                <w:szCs w:val="18"/>
              </w:rPr>
            </w:pPr>
            <w:r>
              <w:rPr>
                <w:rFonts w:ascii="宋体" w:hAnsi="宋体" w:cs="宋体" w:eastAsia="宋体" w:hint="default"/>
                <w:spacing w:val="-3"/>
                <w:sz w:val="18"/>
                <w:szCs w:val="18"/>
              </w:rPr>
              <w:t>同行业可比上市公司的市价</w:t>
            </w:r>
          </w:p>
        </w:tc>
      </w:tr>
    </w:tbl>
    <w:p>
      <w:pPr>
        <w:spacing w:after="0" w:line="240" w:lineRule="auto"/>
        <w:jc w:val="center"/>
        <w:rPr>
          <w:rFonts w:ascii="宋体" w:hAnsi="宋体" w:cs="宋体" w:eastAsia="宋体" w:hint="default"/>
          <w:sz w:val="18"/>
          <w:szCs w:val="18"/>
        </w:rPr>
        <w:sectPr>
          <w:pgSz w:w="11910" w:h="16840"/>
          <w:pgMar w:header="871" w:footer="1037" w:top="1040" w:bottom="1220" w:left="900" w:right="0"/>
        </w:sectPr>
      </w:pPr>
    </w:p>
    <w:p>
      <w:pPr>
        <w:spacing w:line="240" w:lineRule="auto" w:before="8"/>
        <w:rPr>
          <w:rFonts w:ascii="宋体" w:hAnsi="宋体" w:cs="宋体" w:eastAsia="宋体" w:hint="default"/>
          <w:b/>
          <w:bCs/>
          <w:sz w:val="29"/>
          <w:szCs w:val="29"/>
        </w:rPr>
      </w:pPr>
    </w:p>
    <w:tbl>
      <w:tblPr>
        <w:tblW w:w="0" w:type="auto"/>
        <w:jc w:val="left"/>
        <w:tblInd w:w="118" w:type="dxa"/>
        <w:tblLayout w:type="fixed"/>
        <w:tblCellMar>
          <w:top w:w="0" w:type="dxa"/>
          <w:left w:w="0" w:type="dxa"/>
          <w:bottom w:w="0" w:type="dxa"/>
          <w:right w:w="0" w:type="dxa"/>
        </w:tblCellMar>
        <w:tblLook w:val="01E0"/>
      </w:tblPr>
      <w:tblGrid>
        <w:gridCol w:w="2411"/>
        <w:gridCol w:w="2406"/>
        <w:gridCol w:w="2411"/>
        <w:gridCol w:w="2405"/>
      </w:tblGrid>
      <w:tr>
        <w:trPr>
          <w:trHeight w:val="360" w:hRule="exact"/>
        </w:trPr>
        <w:tc>
          <w:tcPr>
            <w:tcW w:w="2411" w:type="dxa"/>
            <w:tcBorders>
              <w:top w:val="single" w:sz="4" w:space="0" w:color="000000"/>
              <w:left w:val="single" w:sz="4" w:space="0" w:color="000000"/>
              <w:bottom w:val="single" w:sz="4" w:space="0" w:color="000000"/>
              <w:right w:val="single" w:sz="4" w:space="0" w:color="000000"/>
            </w:tcBorders>
          </w:tcPr>
          <w:p>
            <w:pPr/>
          </w:p>
        </w:tc>
        <w:tc>
          <w:tcPr>
            <w:tcW w:w="2406" w:type="dxa"/>
            <w:tcBorders>
              <w:top w:val="single" w:sz="4" w:space="0" w:color="000000"/>
              <w:left w:val="single" w:sz="4" w:space="0" w:color="000000"/>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sz w:val="18"/>
                <w:szCs w:val="18"/>
              </w:rPr>
              <w:t>未来现金流量、折现率</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line="410" w:lineRule="auto" w:before="0"/>
        <w:ind w:left="655" w:right="0" w:hanging="423"/>
        <w:jc w:val="left"/>
        <w:rPr>
          <w:rFonts w:ascii="宋体" w:hAnsi="宋体" w:cs="宋体" w:eastAsia="宋体" w:hint="default"/>
          <w:sz w:val="21"/>
          <w:szCs w:val="21"/>
        </w:rPr>
      </w:pPr>
      <w:bookmarkStart w:name="5、不以公允价值计量的金融资产和金融负债的公允价值情况" w:id="431"/>
      <w:bookmarkEnd w:id="431"/>
      <w:r>
        <w:rPr/>
      </w:r>
      <w:r>
        <w:rPr>
          <w:rFonts w:ascii="宋体" w:hAnsi="宋体" w:cs="宋体" w:eastAsia="宋体" w:hint="default"/>
          <w:b/>
          <w:bCs/>
          <w:sz w:val="21"/>
          <w:szCs w:val="21"/>
        </w:rPr>
        <w:t>5</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本公司将货币资金、应收票据、应收账款、其他应收款、应付票据、应付账款、其他应付款、长期应</w:t>
      </w:r>
    </w:p>
    <w:p>
      <w:pPr>
        <w:pStyle w:val="BodyText"/>
        <w:spacing w:line="240" w:lineRule="auto" w:before="41"/>
        <w:ind w:left="233" w:right="0"/>
        <w:jc w:val="left"/>
      </w:pPr>
      <w:r>
        <w:rPr/>
        <w:t>付款等会计科目按以摊余成本模式计量，其公允价值与账面金额差额很小。</w:t>
      </w:r>
    </w:p>
    <w:p>
      <w:pPr>
        <w:spacing w:line="240" w:lineRule="auto" w:before="7"/>
        <w:rPr>
          <w:rFonts w:ascii="宋体" w:hAnsi="宋体" w:cs="宋体" w:eastAsia="宋体" w:hint="default"/>
          <w:sz w:val="29"/>
          <w:szCs w:val="29"/>
        </w:rPr>
      </w:pPr>
    </w:p>
    <w:p>
      <w:pPr>
        <w:pStyle w:val="Heading2"/>
        <w:spacing w:line="240" w:lineRule="auto"/>
        <w:ind w:left="233" w:right="0"/>
        <w:jc w:val="left"/>
        <w:rPr>
          <w:b w:val="0"/>
          <w:bCs w:val="0"/>
        </w:rPr>
      </w:pPr>
      <w:bookmarkStart w:name="十二、关联方及关联交易" w:id="432"/>
      <w:bookmarkEnd w:id="432"/>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left="233" w:right="0"/>
        <w:jc w:val="left"/>
        <w:rPr>
          <w:b w:val="0"/>
          <w:bCs w:val="0"/>
        </w:rPr>
      </w:pPr>
      <w:bookmarkStart w:name="1、本企业的母公司情况" w:id="433"/>
      <w:bookmarkEnd w:id="433"/>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1"/>
        <w:rPr>
          <w:rFonts w:ascii="宋体" w:hAnsi="宋体" w:cs="宋体" w:eastAsia="宋体" w:hint="default"/>
          <w:b/>
          <w:bCs/>
          <w:sz w:val="25"/>
          <w:szCs w:val="25"/>
        </w:rPr>
      </w:pPr>
    </w:p>
    <w:tbl>
      <w:tblPr>
        <w:tblW w:w="0" w:type="auto"/>
        <w:jc w:val="left"/>
        <w:tblInd w:w="218" w:type="dxa"/>
        <w:tblLayout w:type="fixed"/>
        <w:tblCellMar>
          <w:top w:w="0" w:type="dxa"/>
          <w:left w:w="0" w:type="dxa"/>
          <w:bottom w:w="0" w:type="dxa"/>
          <w:right w:w="0" w:type="dxa"/>
        </w:tblCellMar>
        <w:tblLook w:val="01E0"/>
      </w:tblPr>
      <w:tblGrid>
        <w:gridCol w:w="1594"/>
        <w:gridCol w:w="1594"/>
        <w:gridCol w:w="1595"/>
        <w:gridCol w:w="1599"/>
        <w:gridCol w:w="1594"/>
        <w:gridCol w:w="1594"/>
      </w:tblGrid>
      <w:tr>
        <w:trPr>
          <w:trHeight w:val="725" w:hRule="exact"/>
        </w:trPr>
        <w:tc>
          <w:tcPr>
            <w:tcW w:w="159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59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0" w:right="161" w:hanging="183"/>
              <w:jc w:val="left"/>
              <w:rPr>
                <w:rFonts w:ascii="宋体" w:hAnsi="宋体" w:cs="宋体" w:eastAsia="宋体" w:hint="default"/>
                <w:sz w:val="18"/>
                <w:szCs w:val="18"/>
              </w:rPr>
            </w:pPr>
            <w:r>
              <w:rPr>
                <w:rFonts w:ascii="宋体" w:hAnsi="宋体" w:cs="宋体" w:eastAsia="宋体" w:hint="default"/>
                <w:spacing w:val="-3"/>
                <w:sz w:val="18"/>
                <w:szCs w:val="18"/>
              </w:rPr>
              <w:t>母公司对本企业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的持股比例</w:t>
            </w:r>
          </w:p>
        </w:tc>
        <w:tc>
          <w:tcPr>
            <w:tcW w:w="1594"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6" w:lineRule="auto" w:before="53"/>
              <w:ind w:left="249" w:right="151" w:hanging="92"/>
              <w:jc w:val="left"/>
              <w:rPr>
                <w:rFonts w:ascii="宋体" w:hAnsi="宋体" w:cs="宋体" w:eastAsia="宋体" w:hint="default"/>
                <w:sz w:val="18"/>
                <w:szCs w:val="18"/>
              </w:rPr>
            </w:pPr>
            <w:r>
              <w:rPr>
                <w:rFonts w:ascii="宋体" w:hAnsi="宋体" w:cs="宋体" w:eastAsia="宋体" w:hint="default"/>
                <w:spacing w:val="-3"/>
                <w:sz w:val="18"/>
                <w:szCs w:val="18"/>
              </w:rPr>
              <w:t>母公司对本企业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的表决权比例</w:t>
            </w:r>
          </w:p>
        </w:tc>
      </w:tr>
      <w:tr>
        <w:trPr>
          <w:trHeight w:val="725" w:hRule="exact"/>
        </w:trPr>
        <w:tc>
          <w:tcPr>
            <w:tcW w:w="1594"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4"/>
              <w:ind w:left="95" w:right="214"/>
              <w:jc w:val="left"/>
              <w:rPr>
                <w:rFonts w:ascii="宋体" w:hAnsi="宋体" w:cs="宋体" w:eastAsia="宋体" w:hint="default"/>
                <w:sz w:val="18"/>
                <w:szCs w:val="18"/>
              </w:rPr>
            </w:pPr>
            <w:r>
              <w:rPr>
                <w:rFonts w:ascii="宋体" w:hAnsi="宋体" w:cs="宋体" w:eastAsia="宋体" w:hint="default"/>
                <w:spacing w:val="-3"/>
                <w:sz w:val="18"/>
                <w:szCs w:val="18"/>
              </w:rPr>
              <w:t>江苏光一投资管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理有限责任公司</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南京</w:t>
            </w:r>
          </w:p>
        </w:tc>
        <w:tc>
          <w:tcPr>
            <w:tcW w:w="15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15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1,000</w:t>
            </w:r>
            <w:r>
              <w:rPr>
                <w:rFonts w:ascii="宋体" w:hAnsi="宋体" w:cs="宋体" w:eastAsia="宋体" w:hint="default"/>
                <w:spacing w:val="-37"/>
                <w:sz w:val="18"/>
                <w:szCs w:val="18"/>
              </w:rPr>
              <w:t> </w:t>
            </w:r>
            <w:r>
              <w:rPr>
                <w:rFonts w:ascii="宋体" w:hAnsi="宋体" w:cs="宋体" w:eastAsia="宋体" w:hint="default"/>
                <w:spacing w:val="-5"/>
                <w:sz w:val="18"/>
                <w:szCs w:val="18"/>
              </w:rPr>
              <w:t>万元</w:t>
            </w:r>
            <w:r>
              <w:rPr>
                <w:rFonts w:ascii="宋体" w:hAnsi="宋体" w:cs="宋体" w:eastAsia="宋体" w:hint="default"/>
                <w:sz w:val="18"/>
                <w:szCs w:val="18"/>
              </w:rPr>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941" w:right="0"/>
              <w:jc w:val="left"/>
              <w:rPr>
                <w:rFonts w:ascii="宋体" w:hAnsi="宋体" w:cs="宋体" w:eastAsia="宋体" w:hint="default"/>
                <w:sz w:val="18"/>
                <w:szCs w:val="18"/>
              </w:rPr>
            </w:pPr>
            <w:r>
              <w:rPr>
                <w:rFonts w:ascii="宋体"/>
                <w:sz w:val="18"/>
              </w:rPr>
              <w:t>19.54%</w:t>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941" w:right="0"/>
              <w:jc w:val="left"/>
              <w:rPr>
                <w:rFonts w:ascii="宋体" w:hAnsi="宋体" w:cs="宋体" w:eastAsia="宋体" w:hint="default"/>
                <w:sz w:val="18"/>
                <w:szCs w:val="18"/>
              </w:rPr>
            </w:pPr>
            <w:r>
              <w:rPr>
                <w:rFonts w:ascii="宋体"/>
                <w:sz w:val="18"/>
              </w:rPr>
              <w:t>19.54%</w:t>
            </w:r>
          </w:p>
        </w:tc>
      </w:tr>
    </w:tbl>
    <w:p>
      <w:pPr>
        <w:pStyle w:val="BodyText"/>
        <w:spacing w:line="405" w:lineRule="auto" w:before="66"/>
        <w:ind w:left="655" w:right="7025" w:hanging="423"/>
        <w:jc w:val="left"/>
      </w:pPr>
      <w:r>
        <w:rPr>
          <w:spacing w:val="-1"/>
        </w:rPr>
        <w:t>本企业最终控制方是龙昌明。</w:t>
      </w:r>
      <w:r>
        <w:rPr>
          <w:spacing w:val="-87"/>
        </w:rPr>
        <w:t> </w:t>
      </w:r>
      <w:r>
        <w:rPr>
          <w:spacing w:val="-87"/>
        </w:rPr>
      </w:r>
      <w:r>
        <w:rPr/>
        <w:t>其他说明：</w:t>
      </w:r>
    </w:p>
    <w:p>
      <w:pPr>
        <w:pStyle w:val="BodyText"/>
        <w:spacing w:line="386" w:lineRule="auto" w:before="51"/>
        <w:ind w:left="233" w:right="1125" w:firstLine="422"/>
        <w:jc w:val="both"/>
      </w:pPr>
      <w:r>
        <w:rPr>
          <w:rFonts w:ascii="宋体" w:hAnsi="宋体" w:cs="宋体" w:eastAsia="宋体" w:hint="default"/>
          <w:w w:val="100"/>
        </w:rPr>
        <w:t>2</w:t>
      </w:r>
      <w:r>
        <w:rPr>
          <w:rFonts w:ascii="Times New Roman" w:hAnsi="Times New Roman" w:cs="Times New Roman" w:eastAsia="Times New Roman" w:hint="default"/>
          <w:w w:val="100"/>
        </w:rPr>
        <w:t>020</w:t>
      </w:r>
      <w:r>
        <w:rPr>
          <w:rFonts w:ascii="Times New Roman" w:hAnsi="Times New Roman" w:cs="Times New Roman" w:eastAsia="Times New Roman" w:hint="default"/>
          <w:spacing w:val="-1"/>
          <w:w w:val="100"/>
        </w:rPr>
        <w:t> </w:t>
      </w:r>
      <w:r>
        <w:rPr>
          <w:w w:val="100"/>
        </w:rPr>
        <w:t>年</w:t>
      </w:r>
      <w:r>
        <w:rPr>
          <w:spacing w:val="-54"/>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
          <w:w w:val="100"/>
        </w:rPr>
        <w:t> </w:t>
      </w:r>
      <w:r>
        <w:rPr>
          <w:w w:val="100"/>
        </w:rPr>
        <w:t>月</w:t>
      </w:r>
      <w:r>
        <w:rPr>
          <w:spacing w:val="-58"/>
          <w:w w:val="100"/>
        </w:rPr>
        <w:t> </w:t>
      </w:r>
      <w:r>
        <w:rPr>
          <w:rFonts w:ascii="Times New Roman" w:hAnsi="Times New Roman" w:cs="Times New Roman" w:eastAsia="Times New Roman" w:hint="default"/>
          <w:w w:val="100"/>
        </w:rPr>
        <w:t>29</w:t>
      </w:r>
      <w:r>
        <w:rPr>
          <w:rFonts w:ascii="Times New Roman" w:hAnsi="Times New Roman" w:cs="Times New Roman" w:eastAsia="Times New Roman" w:hint="default"/>
          <w:spacing w:val="-1"/>
          <w:w w:val="100"/>
        </w:rPr>
        <w:t> </w:t>
      </w:r>
      <w:r>
        <w:rPr>
          <w:spacing w:val="-6"/>
          <w:w w:val="100"/>
        </w:rPr>
        <w:t>日，本公司控股股东与南京观乾民发企业管理合伙企业（有限合伙）（以下简称观乾民</w:t>
      </w:r>
      <w:r>
        <w:rPr>
          <w:w w:val="100"/>
        </w:rPr>
        <w:t> </w:t>
      </w:r>
      <w:r>
        <w:rPr>
          <w:spacing w:val="-2"/>
        </w:rPr>
        <w:t>发）签署了股份转让协议，拟将</w:t>
      </w:r>
      <w:r>
        <w:rPr/>
        <w:t> </w:t>
      </w:r>
      <w:r>
        <w:rPr>
          <w:rFonts w:ascii="Times New Roman" w:hAnsi="Times New Roman" w:cs="Times New Roman" w:eastAsia="Times New Roman" w:hint="default"/>
          <w:spacing w:val="-2"/>
        </w:rPr>
        <w:t>7.71%</w:t>
      </w:r>
      <w:r>
        <w:rPr>
          <w:spacing w:val="-2"/>
        </w:rPr>
        <w:t>转让予观乾民发，并商谈表决权委托的相关事宜，截至报告签发之</w:t>
      </w:r>
      <w:r>
        <w:rPr>
          <w:spacing w:val="-60"/>
        </w:rPr>
        <w:t> </w:t>
      </w:r>
      <w:r>
        <w:rPr>
          <w:spacing w:val="-60"/>
        </w:rPr>
      </w:r>
      <w:r>
        <w:rPr/>
        <w:t>日，上述股份尚未过户，实际控制人尚未发生变动。</w:t>
      </w:r>
    </w:p>
    <w:p>
      <w:pPr>
        <w:pStyle w:val="BodyText"/>
        <w:spacing w:line="388" w:lineRule="auto" w:before="63"/>
        <w:ind w:left="233" w:right="1205" w:firstLine="422"/>
        <w:jc w:val="both"/>
      </w:pPr>
      <w:r>
        <w:rPr>
          <w:rFonts w:ascii="Times New Roman" w:hAnsi="Times New Roman" w:cs="Times New Roman" w:eastAsia="Times New Roman" w:hint="default"/>
        </w:rPr>
        <w:t>2020 </w:t>
      </w:r>
      <w:r>
        <w:rPr/>
        <w:t>年</w:t>
      </w:r>
      <w:r>
        <w:rPr>
          <w:spacing w:val="-53"/>
        </w:rPr>
        <w:t> </w:t>
      </w:r>
      <w:r>
        <w:rPr>
          <w:rFonts w:ascii="Times New Roman" w:hAnsi="Times New Roman" w:cs="Times New Roman" w:eastAsia="Times New Roman" w:hint="default"/>
        </w:rPr>
        <w:t>3 </w:t>
      </w:r>
      <w:r>
        <w:rPr/>
        <w:t>月</w:t>
      </w:r>
      <w:r>
        <w:rPr>
          <w:spacing w:val="-57"/>
        </w:rPr>
        <w:t> </w:t>
      </w:r>
      <w:r>
        <w:rPr>
          <w:rFonts w:ascii="Times New Roman" w:hAnsi="Times New Roman" w:cs="Times New Roman" w:eastAsia="Times New Roman" w:hint="default"/>
        </w:rPr>
        <w:t>26 </w:t>
      </w:r>
      <w:r>
        <w:rPr/>
        <w:t>日，本公司授予的</w:t>
      </w:r>
      <w:r>
        <w:rPr>
          <w:spacing w:val="-52"/>
        </w:rPr>
        <w:t> </w:t>
      </w:r>
      <w:r>
        <w:rPr>
          <w:rFonts w:ascii="Times New Roman" w:hAnsi="Times New Roman" w:cs="Times New Roman" w:eastAsia="Times New Roman" w:hint="default"/>
        </w:rPr>
        <w:t>321.375 </w:t>
      </w:r>
      <w:r>
        <w:rPr/>
        <w:t>万股限制性股票回购注销手续办理完毕，控股股东持股比</w:t>
      </w:r>
      <w:r>
        <w:rPr>
          <w:w w:val="100"/>
        </w:rPr>
        <w:t> </w:t>
      </w:r>
      <w:r>
        <w:rPr/>
        <w:t>例上升至</w:t>
      </w:r>
      <w:r>
        <w:rPr>
          <w:spacing w:val="-47"/>
        </w:rPr>
        <w:t> </w:t>
      </w:r>
      <w:r>
        <w:rPr>
          <w:rFonts w:ascii="Times New Roman" w:hAnsi="Times New Roman" w:cs="Times New Roman" w:eastAsia="Times New Roman" w:hint="default"/>
        </w:rPr>
        <w:t>19.67%</w:t>
      </w:r>
      <w:r>
        <w:rPr/>
        <w:t>。</w:t>
      </w:r>
    </w:p>
    <w:p>
      <w:pPr>
        <w:pStyle w:val="BodyText"/>
        <w:spacing w:line="388" w:lineRule="auto" w:before="30"/>
        <w:ind w:left="233" w:right="1137" w:firstLine="422"/>
        <w:jc w:val="both"/>
      </w:pPr>
      <w:r>
        <w:rPr/>
        <w:t>截至</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日，江苏光一投资管理有限责任公司持有本公司</w:t>
      </w:r>
      <w:r>
        <w:rPr>
          <w:spacing w:val="-50"/>
        </w:rPr>
        <w:t> </w:t>
      </w:r>
      <w:r>
        <w:rPr>
          <w:rFonts w:ascii="Times New Roman" w:hAnsi="Times New Roman" w:cs="Times New Roman" w:eastAsia="Times New Roman" w:hint="default"/>
        </w:rPr>
        <w:t>19.54%</w:t>
      </w:r>
      <w:r>
        <w:rPr/>
        <w:t>的股份，为本公司控股</w:t>
      </w:r>
      <w:r>
        <w:rPr>
          <w:w w:val="100"/>
        </w:rPr>
        <w:t> </w:t>
      </w:r>
      <w:r>
        <w:rPr/>
        <w:t>股东，其持有本公司股份均已质押且违约，存在被动减持的可能。</w:t>
      </w:r>
    </w:p>
    <w:p>
      <w:pPr>
        <w:spacing w:line="410" w:lineRule="auto" w:before="61"/>
        <w:ind w:left="233" w:right="6599" w:firstLine="0"/>
        <w:jc w:val="left"/>
        <w:rPr>
          <w:rFonts w:ascii="宋体" w:hAnsi="宋体" w:cs="宋体" w:eastAsia="宋体" w:hint="default"/>
          <w:sz w:val="21"/>
          <w:szCs w:val="21"/>
        </w:rPr>
      </w:pPr>
      <w:bookmarkStart w:name="2、本企业的子公司情况" w:id="434"/>
      <w:bookmarkEnd w:id="434"/>
      <w:r>
        <w:rPr/>
      </w:r>
      <w:r>
        <w:rPr>
          <w:rFonts w:ascii="宋体" w:hAnsi="宋体" w:cs="宋体" w:eastAsia="宋体"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spacing w:val="-103"/>
          <w:sz w:val="21"/>
          <w:szCs w:val="21"/>
        </w:rPr>
        <w:t> </w:t>
      </w:r>
      <w:r>
        <w:rPr>
          <w:rFonts w:ascii="宋体" w:hAnsi="宋体" w:cs="宋体" w:eastAsia="宋体" w:hint="default"/>
          <w:sz w:val="21"/>
          <w:szCs w:val="21"/>
        </w:rPr>
        <w:t>本企业子公司的情况详见附注</w:t>
      </w:r>
      <w:r>
        <w:rPr>
          <w:rFonts w:ascii="宋体" w:hAnsi="宋体" w:cs="宋体" w:eastAsia="宋体" w:hint="default"/>
          <w:spacing w:val="-56"/>
          <w:sz w:val="21"/>
          <w:szCs w:val="21"/>
        </w:rPr>
        <w:t> </w:t>
      </w:r>
      <w:r>
        <w:rPr>
          <w:rFonts w:ascii="宋体" w:hAnsi="宋体" w:cs="宋体" w:eastAsia="宋体" w:hint="default"/>
          <w:sz w:val="21"/>
          <w:szCs w:val="21"/>
        </w:rPr>
        <w:t>9.1</w:t>
      </w:r>
      <w:r>
        <w:rPr>
          <w:rFonts w:ascii="宋体" w:hAnsi="宋体" w:cs="宋体" w:eastAsia="宋体" w:hint="default"/>
          <w:spacing w:val="1"/>
          <w:sz w:val="21"/>
          <w:szCs w:val="21"/>
        </w:rPr>
        <w:t> </w:t>
      </w:r>
      <w:r>
        <w:rPr>
          <w:rFonts w:ascii="宋体" w:hAnsi="宋体" w:cs="宋体" w:eastAsia="宋体" w:hint="default"/>
          <w:sz w:val="18"/>
          <w:szCs w:val="18"/>
        </w:rPr>
        <w:t>。</w:t>
      </w:r>
      <w:r>
        <w:rPr>
          <w:rFonts w:ascii="宋体" w:hAnsi="宋体" w:cs="宋体" w:eastAsia="宋体" w:hint="default"/>
          <w:spacing w:val="-82"/>
          <w:sz w:val="18"/>
          <w:szCs w:val="18"/>
        </w:rPr>
        <w:t> </w:t>
      </w:r>
      <w:bookmarkStart w:name="3、本企业合营和联营企业情况" w:id="435"/>
      <w:bookmarkEnd w:id="435"/>
      <w:r>
        <w:rPr>
          <w:rFonts w:ascii="宋体" w:hAnsi="宋体" w:cs="宋体" w:eastAsia="宋体" w:hint="default"/>
          <w:spacing w:val="-82"/>
          <w:sz w:val="18"/>
          <w:szCs w:val="18"/>
        </w:rPr>
      </w:r>
      <w:r>
        <w:rPr>
          <w:rFonts w:ascii="宋体" w:hAnsi="宋体" w:cs="宋体" w:eastAsia="宋体"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spacing w:val="-102"/>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pacing w:val="-48"/>
          <w:sz w:val="21"/>
          <w:szCs w:val="21"/>
        </w:rPr>
        <w:t> </w:t>
      </w:r>
      <w:r>
        <w:rPr>
          <w:rFonts w:ascii="宋体" w:hAnsi="宋体" w:cs="宋体" w:eastAsia="宋体" w:hint="default"/>
          <w:sz w:val="21"/>
          <w:szCs w:val="21"/>
        </w:rPr>
        <w:t>9.3</w:t>
      </w:r>
      <w:r>
        <w:rPr>
          <w:rFonts w:ascii="宋体" w:hAnsi="宋体" w:cs="宋体" w:eastAsia="宋体" w:hint="default"/>
          <w:sz w:val="21"/>
          <w:szCs w:val="21"/>
        </w:rPr>
        <w:t>。</w:t>
      </w:r>
    </w:p>
    <w:p>
      <w:pPr>
        <w:pStyle w:val="BodyText"/>
        <w:spacing w:line="240" w:lineRule="auto" w:before="42"/>
        <w:ind w:left="233" w:right="0"/>
        <w:jc w:val="left"/>
      </w:pPr>
      <w:r>
        <w:rPr/>
        <w:t>本期与本公司发生关联方交易，或前期与本公司发生关联方交易形成余额的其他合营或联营企业情况如下：</w:t>
      </w:r>
    </w:p>
    <w:p>
      <w:pPr>
        <w:spacing w:line="240" w:lineRule="auto" w:before="11"/>
        <w:rPr>
          <w:rFonts w:ascii="宋体" w:hAnsi="宋体" w:cs="宋体" w:eastAsia="宋体" w:hint="default"/>
          <w:sz w:val="9"/>
          <w:szCs w:val="9"/>
        </w:rPr>
      </w:pPr>
    </w:p>
    <w:tbl>
      <w:tblPr>
        <w:tblW w:w="0" w:type="auto"/>
        <w:jc w:val="left"/>
        <w:tblInd w:w="218" w:type="dxa"/>
        <w:tblLayout w:type="fixed"/>
        <w:tblCellMar>
          <w:top w:w="0" w:type="dxa"/>
          <w:left w:w="0" w:type="dxa"/>
          <w:bottom w:w="0" w:type="dxa"/>
          <w:right w:w="0" w:type="dxa"/>
        </w:tblCellMar>
        <w:tblLook w:val="01E0"/>
      </w:tblPr>
      <w:tblGrid>
        <w:gridCol w:w="4783"/>
        <w:gridCol w:w="4787"/>
      </w:tblGrid>
      <w:tr>
        <w:trPr>
          <w:trHeight w:val="413" w:hRule="exact"/>
        </w:trPr>
        <w:tc>
          <w:tcPr>
            <w:tcW w:w="478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1570"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98"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广东今程光一电力科技有限责任公司</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4"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江苏其厚智能电气设备有限公司</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13" w:hRule="exact"/>
        </w:trPr>
        <w:tc>
          <w:tcPr>
            <w:tcW w:w="478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湖北瀚瑞铜业有限公司</w:t>
            </w:r>
          </w:p>
        </w:tc>
        <w:tc>
          <w:tcPr>
            <w:tcW w:w="478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18" w:right="0"/>
              <w:jc w:val="center"/>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66"/>
        <w:ind w:left="233" w:right="0"/>
        <w:jc w:val="left"/>
      </w:pPr>
      <w:r>
        <w:rPr/>
        <w:t>其他说明</w:t>
      </w:r>
    </w:p>
    <w:p>
      <w:pPr>
        <w:spacing w:after="0" w:line="240" w:lineRule="auto"/>
        <w:jc w:val="left"/>
        <w:sectPr>
          <w:pgSz w:w="11910" w:h="16840"/>
          <w:pgMar w:header="871" w:footer="1037" w:top="1040" w:bottom="1220" w:left="9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line="405" w:lineRule="auto" w:before="0"/>
        <w:ind w:left="153" w:right="4245" w:firstLine="0"/>
        <w:jc w:val="left"/>
        <w:rPr>
          <w:rFonts w:ascii="宋体" w:hAnsi="宋体" w:cs="宋体" w:eastAsia="宋体" w:hint="default"/>
          <w:sz w:val="21"/>
          <w:szCs w:val="21"/>
        </w:rPr>
      </w:pPr>
      <w:r>
        <w:rPr>
          <w:rFonts w:ascii="宋体" w:hAnsi="宋体" w:cs="宋体" w:eastAsia="宋体" w:hint="default"/>
          <w:spacing w:val="-2"/>
          <w:sz w:val="21"/>
          <w:szCs w:val="21"/>
        </w:rPr>
        <w:t>报告期内本公司将持有广东今程光一电力科技有限责任公司予以出售。</w:t>
      </w:r>
      <w:r>
        <w:rPr>
          <w:rFonts w:ascii="宋体" w:hAnsi="宋体" w:cs="宋体" w:eastAsia="宋体" w:hint="default"/>
          <w:spacing w:val="-41"/>
          <w:sz w:val="21"/>
          <w:szCs w:val="21"/>
        </w:rPr>
        <w:t> </w:t>
      </w:r>
      <w:r>
        <w:rPr>
          <w:rFonts w:ascii="宋体" w:hAnsi="宋体" w:cs="宋体" w:eastAsia="宋体" w:hint="default"/>
          <w:spacing w:val="-41"/>
          <w:sz w:val="21"/>
          <w:szCs w:val="21"/>
        </w:rPr>
      </w:r>
      <w:bookmarkStart w:name="4、其他关联方情况" w:id="436"/>
      <w:bookmarkEnd w:id="436"/>
      <w:r>
        <w:rPr>
          <w:rFonts w:ascii="宋体" w:hAnsi="宋体" w:cs="宋体" w:eastAsia="宋体" w:hint="default"/>
          <w:spacing w:val="-41"/>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tbl>
      <w:tblPr>
        <w:tblW w:w="0" w:type="auto"/>
        <w:jc w:val="left"/>
        <w:tblInd w:w="138" w:type="dxa"/>
        <w:tblLayout w:type="fixed"/>
        <w:tblCellMar>
          <w:top w:w="0" w:type="dxa"/>
          <w:left w:w="0" w:type="dxa"/>
          <w:bottom w:w="0" w:type="dxa"/>
          <w:right w:w="0" w:type="dxa"/>
        </w:tblCellMar>
        <w:tblLook w:val="01E0"/>
      </w:tblPr>
      <w:tblGrid>
        <w:gridCol w:w="4783"/>
        <w:gridCol w:w="4787"/>
      </w:tblGrid>
      <w:tr>
        <w:trPr>
          <w:trHeight w:val="413" w:hRule="exact"/>
        </w:trPr>
        <w:tc>
          <w:tcPr>
            <w:tcW w:w="478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8"/>
              <w:ind w:right="3"/>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8"/>
              <w:ind w:left="1401"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403"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5" w:right="0"/>
              <w:jc w:val="left"/>
              <w:rPr>
                <w:rFonts w:ascii="宋体" w:hAnsi="宋体" w:cs="宋体" w:eastAsia="宋体" w:hint="default"/>
                <w:sz w:val="18"/>
                <w:szCs w:val="18"/>
              </w:rPr>
            </w:pPr>
            <w:r>
              <w:rPr>
                <w:rFonts w:ascii="宋体" w:hAnsi="宋体" w:cs="宋体" w:eastAsia="宋体" w:hint="default"/>
                <w:spacing w:val="-3"/>
                <w:sz w:val="18"/>
                <w:szCs w:val="18"/>
              </w:rPr>
              <w:t>南京光一文化产业投资发展合伙企业（有限合伙）</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pacing w:val="-3"/>
                <w:sz w:val="18"/>
                <w:szCs w:val="18"/>
              </w:rPr>
              <w:t>本公司投资公司</w:t>
            </w:r>
          </w:p>
        </w:tc>
      </w:tr>
      <w:tr>
        <w:trPr>
          <w:trHeight w:val="398"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5" w:right="0"/>
              <w:jc w:val="left"/>
              <w:rPr>
                <w:rFonts w:ascii="宋体" w:hAnsi="宋体" w:cs="宋体" w:eastAsia="宋体" w:hint="default"/>
                <w:sz w:val="18"/>
                <w:szCs w:val="18"/>
              </w:rPr>
            </w:pPr>
            <w:r>
              <w:rPr>
                <w:rFonts w:ascii="宋体" w:hAnsi="宋体" w:cs="宋体" w:eastAsia="宋体" w:hint="default"/>
                <w:spacing w:val="-3"/>
                <w:sz w:val="18"/>
                <w:szCs w:val="18"/>
              </w:rPr>
              <w:t>江苏新宇能电力科技有限公司</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pacing w:val="-3"/>
                <w:sz w:val="18"/>
                <w:szCs w:val="18"/>
              </w:rPr>
              <w:t>实际控制人能够施加重大影响的公司</w:t>
            </w:r>
          </w:p>
        </w:tc>
      </w:tr>
      <w:tr>
        <w:trPr>
          <w:trHeight w:val="403"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5" w:right="0"/>
              <w:jc w:val="left"/>
              <w:rPr>
                <w:rFonts w:ascii="宋体" w:hAnsi="宋体" w:cs="宋体" w:eastAsia="宋体" w:hint="default"/>
                <w:sz w:val="18"/>
                <w:szCs w:val="18"/>
              </w:rPr>
            </w:pPr>
            <w:r>
              <w:rPr>
                <w:rFonts w:ascii="宋体" w:hAnsi="宋体" w:cs="宋体" w:eastAsia="宋体" w:hint="default"/>
                <w:spacing w:val="-3"/>
                <w:sz w:val="18"/>
                <w:szCs w:val="18"/>
              </w:rPr>
              <w:t>深圳贵仁创新产业基金合伙企业（有限合伙）</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4"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8"/>
              <w:ind w:left="95" w:right="0"/>
              <w:jc w:val="left"/>
              <w:rPr>
                <w:rFonts w:ascii="宋体" w:hAnsi="宋体" w:cs="宋体" w:eastAsia="宋体" w:hint="default"/>
                <w:sz w:val="18"/>
                <w:szCs w:val="18"/>
              </w:rPr>
            </w:pPr>
            <w:r>
              <w:rPr>
                <w:rFonts w:ascii="宋体" w:hAnsi="宋体" w:cs="宋体" w:eastAsia="宋体" w:hint="default"/>
                <w:sz w:val="18"/>
                <w:szCs w:val="18"/>
              </w:rPr>
              <w:t>钱卫民</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8"/>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3"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5" w:right="0"/>
              <w:jc w:val="left"/>
              <w:rPr>
                <w:rFonts w:ascii="宋体" w:hAnsi="宋体" w:cs="宋体" w:eastAsia="宋体" w:hint="default"/>
                <w:sz w:val="18"/>
                <w:szCs w:val="18"/>
              </w:rPr>
            </w:pPr>
            <w:r>
              <w:rPr>
                <w:rFonts w:ascii="宋体" w:hAnsi="宋体" w:cs="宋体" w:eastAsia="宋体" w:hint="default"/>
                <w:sz w:val="18"/>
                <w:szCs w:val="18"/>
              </w:rPr>
              <w:t>熊珂</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pacing w:val="-3"/>
                <w:sz w:val="18"/>
                <w:szCs w:val="18"/>
              </w:rPr>
              <w:t>实际控制人配偶</w:t>
            </w:r>
          </w:p>
        </w:tc>
      </w:tr>
      <w:tr>
        <w:trPr>
          <w:trHeight w:val="398"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5" w:right="0"/>
              <w:jc w:val="left"/>
              <w:rPr>
                <w:rFonts w:ascii="宋体" w:hAnsi="宋体" w:cs="宋体" w:eastAsia="宋体" w:hint="default"/>
                <w:sz w:val="18"/>
                <w:szCs w:val="18"/>
              </w:rPr>
            </w:pPr>
            <w:r>
              <w:rPr>
                <w:rFonts w:ascii="宋体" w:hAnsi="宋体" w:cs="宋体" w:eastAsia="宋体" w:hint="default"/>
                <w:spacing w:val="-3"/>
                <w:sz w:val="18"/>
                <w:szCs w:val="18"/>
              </w:rPr>
              <w:t>江苏光一环保工程有限公司</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受同一实际控制人控制</w:t>
            </w:r>
          </w:p>
        </w:tc>
      </w:tr>
      <w:tr>
        <w:trPr>
          <w:trHeight w:val="403"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5" w:right="0"/>
              <w:jc w:val="left"/>
              <w:rPr>
                <w:rFonts w:ascii="宋体" w:hAnsi="宋体" w:cs="宋体" w:eastAsia="宋体" w:hint="default"/>
                <w:sz w:val="18"/>
                <w:szCs w:val="18"/>
              </w:rPr>
            </w:pPr>
            <w:r>
              <w:rPr>
                <w:rFonts w:ascii="宋体" w:hAnsi="宋体" w:cs="宋体" w:eastAsia="宋体" w:hint="default"/>
                <w:spacing w:val="-3"/>
                <w:sz w:val="18"/>
                <w:szCs w:val="18"/>
              </w:rPr>
              <w:t>江苏德能电力设计咨询有限公司</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pacing w:val="-3"/>
                <w:sz w:val="18"/>
                <w:szCs w:val="18"/>
              </w:rPr>
              <w:t>报告期内予以处置的子公司</w:t>
            </w:r>
          </w:p>
        </w:tc>
      </w:tr>
      <w:tr>
        <w:trPr>
          <w:trHeight w:val="404" w:hRule="exact"/>
        </w:trPr>
        <w:tc>
          <w:tcPr>
            <w:tcW w:w="478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5" w:right="0"/>
              <w:jc w:val="left"/>
              <w:rPr>
                <w:rFonts w:ascii="宋体" w:hAnsi="宋体" w:cs="宋体" w:eastAsia="宋体" w:hint="default"/>
                <w:sz w:val="18"/>
                <w:szCs w:val="18"/>
              </w:rPr>
            </w:pPr>
            <w:r>
              <w:rPr>
                <w:rFonts w:ascii="宋体" w:hAnsi="宋体" w:cs="宋体" w:eastAsia="宋体" w:hint="default"/>
                <w:sz w:val="18"/>
                <w:szCs w:val="18"/>
              </w:rPr>
              <w:t>戴晓东</w:t>
            </w:r>
          </w:p>
        </w:tc>
        <w:tc>
          <w:tcPr>
            <w:tcW w:w="478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董事、董事会秘书</w:t>
            </w:r>
          </w:p>
        </w:tc>
      </w:tr>
      <w:tr>
        <w:trPr>
          <w:trHeight w:val="413" w:hRule="exact"/>
        </w:trPr>
        <w:tc>
          <w:tcPr>
            <w:tcW w:w="478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7"/>
              <w:ind w:left="95" w:right="0"/>
              <w:jc w:val="left"/>
              <w:rPr>
                <w:rFonts w:ascii="宋体" w:hAnsi="宋体" w:cs="宋体" w:eastAsia="宋体" w:hint="default"/>
                <w:sz w:val="18"/>
                <w:szCs w:val="18"/>
              </w:rPr>
            </w:pPr>
            <w:r>
              <w:rPr>
                <w:rFonts w:ascii="宋体" w:hAnsi="宋体" w:cs="宋体" w:eastAsia="宋体" w:hint="default"/>
                <w:spacing w:val="-3"/>
                <w:sz w:val="18"/>
                <w:szCs w:val="18"/>
              </w:rPr>
              <w:t>广东今程光一电力科技有限责任公司</w:t>
            </w:r>
          </w:p>
        </w:tc>
        <w:tc>
          <w:tcPr>
            <w:tcW w:w="478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pacing w:val="-3"/>
                <w:sz w:val="18"/>
                <w:szCs w:val="18"/>
              </w:rPr>
              <w:t>报告期内予以处置的联营企业</w:t>
            </w:r>
          </w:p>
        </w:tc>
      </w:tr>
    </w:tbl>
    <w:p>
      <w:pPr>
        <w:pStyle w:val="Heading4"/>
        <w:spacing w:line="240" w:lineRule="auto" w:before="50"/>
        <w:ind w:right="1024"/>
        <w:jc w:val="left"/>
        <w:rPr>
          <w:b w:val="0"/>
          <w:bCs w:val="0"/>
        </w:rPr>
      </w:pPr>
      <w:bookmarkStart w:name="5、关联交易情况" w:id="437"/>
      <w:bookmarkEnd w:id="43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3"/>
        <w:rPr>
          <w:rFonts w:ascii="宋体" w:hAnsi="宋体" w:cs="宋体" w:eastAsia="宋体" w:hint="default"/>
          <w:b/>
          <w:bCs/>
          <w:sz w:val="30"/>
          <w:szCs w:val="30"/>
        </w:rPr>
      </w:pPr>
    </w:p>
    <w:p>
      <w:pPr>
        <w:pStyle w:val="Heading4"/>
        <w:spacing w:line="240" w:lineRule="auto" w:before="0"/>
        <w:ind w:right="1024"/>
        <w:jc w:val="left"/>
        <w:rPr>
          <w:b w:val="0"/>
          <w:bCs w:val="0"/>
        </w:rPr>
      </w:pPr>
      <w:bookmarkStart w:name="（1）购销商品、提供和接受劳务的关联交易" w:id="438"/>
      <w:bookmarkEnd w:id="438"/>
      <w:r>
        <w:rPr>
          <w:b w:val="0"/>
          <w:bCs w:val="0"/>
        </w:rPr>
      </w:r>
      <w:r>
        <w:rPr/>
        <w:t>（</w:t>
      </w:r>
      <w:r>
        <w:rPr>
          <w:rFonts w:ascii="宋体" w:hAnsi="宋体" w:cs="宋体" w:eastAsia="宋体" w:hint="default"/>
        </w:rPr>
        <w:t>1</w:t>
      </w:r>
      <w:r>
        <w:rPr/>
        <w:t>）购销商品、提供和接受劳务的关联交易</w:t>
      </w:r>
      <w:r>
        <w:rPr>
          <w:b w:val="0"/>
          <w:bCs w:val="0"/>
        </w:rPr>
      </w:r>
    </w:p>
    <w:p>
      <w:pPr>
        <w:spacing w:line="240" w:lineRule="auto" w:before="8"/>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1037" w:top="1040" w:bottom="1220" w:left="980" w:right="0"/>
        </w:sectPr>
      </w:pPr>
    </w:p>
    <w:p>
      <w:pPr>
        <w:pStyle w:val="BodyText"/>
        <w:spacing w:line="240" w:lineRule="auto" w:before="36"/>
        <w:ind w:right="-4"/>
        <w:jc w:val="left"/>
      </w:pPr>
      <w:r>
        <w:rPr>
          <w:spacing w:val="-1"/>
        </w:rPr>
        <w:t>采购商品</w:t>
      </w:r>
      <w:r>
        <w:rPr>
          <w:rFonts w:ascii="宋体" w:hAnsi="宋体" w:cs="宋体" w:eastAsia="宋体" w:hint="default"/>
          <w:spacing w:val="-1"/>
        </w:rPr>
        <w:t>/</w:t>
      </w:r>
      <w:r>
        <w:rPr>
          <w:spacing w:val="-1"/>
        </w:rPr>
        <w:t>接受劳务情况表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1220" w:left="980" w:right="0"/>
          <w:cols w:num="2" w:equalWidth="0">
            <w:col w:w="2573" w:space="6257"/>
            <w:col w:w="2100"/>
          </w:cols>
        </w:sectPr>
      </w:pPr>
    </w:p>
    <w:p>
      <w:pPr>
        <w:spacing w:line="240" w:lineRule="auto" w:before="1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541"/>
        <w:gridCol w:w="1455"/>
        <w:gridCol w:w="1455"/>
        <w:gridCol w:w="1705"/>
        <w:gridCol w:w="1709"/>
        <w:gridCol w:w="1709"/>
      </w:tblGrid>
      <w:tr>
        <w:trPr>
          <w:trHeight w:val="410" w:hRule="exact"/>
        </w:trPr>
        <w:tc>
          <w:tcPr>
            <w:tcW w:w="154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left="48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6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5"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40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8" w:hRule="exact"/>
        </w:trPr>
        <w:tc>
          <w:tcPr>
            <w:tcW w:w="1541" w:type="dxa"/>
            <w:tcBorders>
              <w:top w:val="single" w:sz="4" w:space="0" w:color="000000"/>
              <w:left w:val="single" w:sz="12" w:space="0" w:color="000000"/>
              <w:bottom w:val="single" w:sz="4" w:space="0" w:color="000000"/>
              <w:right w:val="single" w:sz="4" w:space="0" w:color="000000"/>
            </w:tcBorders>
          </w:tcPr>
          <w:p>
            <w:pPr>
              <w:pStyle w:val="TableParagraph"/>
              <w:spacing w:line="321" w:lineRule="auto" w:before="53"/>
              <w:ind w:left="95" w:right="161"/>
              <w:jc w:val="both"/>
              <w:rPr>
                <w:rFonts w:ascii="宋体" w:hAnsi="宋体" w:cs="宋体" w:eastAsia="宋体" w:hint="default"/>
                <w:sz w:val="18"/>
                <w:szCs w:val="18"/>
              </w:rPr>
            </w:pPr>
            <w:r>
              <w:rPr>
                <w:rFonts w:ascii="宋体" w:hAnsi="宋体" w:cs="宋体" w:eastAsia="宋体" w:hint="default"/>
                <w:spacing w:val="-3"/>
                <w:sz w:val="18"/>
                <w:szCs w:val="18"/>
              </w:rPr>
              <w:t>广东今程光一电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力科技有限责任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8"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18" w:right="0"/>
              <w:jc w:val="left"/>
              <w:rPr>
                <w:rFonts w:ascii="宋体" w:hAnsi="宋体" w:cs="宋体" w:eastAsia="宋体" w:hint="default"/>
                <w:sz w:val="18"/>
                <w:szCs w:val="18"/>
              </w:rPr>
            </w:pPr>
            <w:r>
              <w:rPr>
                <w:rFonts w:ascii="宋体"/>
                <w:sz w:val="18"/>
              </w:rPr>
              <w:t>1,040,770.57</w:t>
            </w:r>
          </w:p>
        </w:tc>
      </w:tr>
      <w:tr>
        <w:trPr>
          <w:trHeight w:val="715" w:hRule="exact"/>
        </w:trPr>
        <w:tc>
          <w:tcPr>
            <w:tcW w:w="1541"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61"/>
              <w:jc w:val="left"/>
              <w:rPr>
                <w:rFonts w:ascii="宋体" w:hAnsi="宋体" w:cs="宋体" w:eastAsia="宋体" w:hint="default"/>
                <w:sz w:val="18"/>
                <w:szCs w:val="18"/>
              </w:rPr>
            </w:pPr>
            <w:r>
              <w:rPr>
                <w:rFonts w:ascii="宋体" w:hAnsi="宋体" w:cs="宋体" w:eastAsia="宋体" w:hint="default"/>
                <w:spacing w:val="-3"/>
                <w:sz w:val="18"/>
                <w:szCs w:val="18"/>
              </w:rPr>
              <w:t>江苏其厚智能电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气设备有限公司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943,396.22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943,396.22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12" w:space="0" w:color="000000"/>
            </w:tcBorders>
          </w:tcPr>
          <w:p>
            <w:pPr/>
          </w:p>
        </w:tc>
      </w:tr>
      <w:tr>
        <w:trPr>
          <w:trHeight w:val="725" w:hRule="exact"/>
        </w:trPr>
        <w:tc>
          <w:tcPr>
            <w:tcW w:w="1541"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4"/>
              <w:ind w:left="95" w:right="161"/>
              <w:jc w:val="left"/>
              <w:rPr>
                <w:rFonts w:ascii="宋体" w:hAnsi="宋体" w:cs="宋体" w:eastAsia="宋体" w:hint="default"/>
                <w:sz w:val="18"/>
                <w:szCs w:val="18"/>
              </w:rPr>
            </w:pPr>
            <w:r>
              <w:rPr>
                <w:rFonts w:ascii="宋体" w:hAnsi="宋体" w:cs="宋体" w:eastAsia="宋体" w:hint="default"/>
                <w:spacing w:val="-3"/>
                <w:sz w:val="18"/>
                <w:szCs w:val="18"/>
              </w:rPr>
              <w:t>江苏新宇能电力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4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1,502,831.84</w:t>
            </w:r>
          </w:p>
        </w:tc>
        <w:tc>
          <w:tcPr>
            <w:tcW w:w="17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1,502,831.84</w:t>
            </w:r>
          </w:p>
        </w:tc>
        <w:tc>
          <w:tcPr>
            <w:tcW w:w="1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12" w:space="0" w:color="000000"/>
              <w:right w:val="single" w:sz="12" w:space="0" w:color="000000"/>
            </w:tcBorders>
          </w:tcPr>
          <w:p>
            <w:pPr/>
          </w:p>
        </w:tc>
      </w:tr>
    </w:tbl>
    <w:p>
      <w:pPr>
        <w:spacing w:after="0"/>
        <w:sectPr>
          <w:type w:val="continuous"/>
          <w:pgSz w:w="11910" w:h="16840"/>
          <w:pgMar w:top="1580" w:bottom="1220" w:left="980" w:right="0"/>
        </w:sectPr>
      </w:pPr>
    </w:p>
    <w:p>
      <w:pPr>
        <w:pStyle w:val="BodyText"/>
        <w:spacing w:line="240" w:lineRule="auto" w:before="28"/>
        <w:ind w:right="-4"/>
        <w:jc w:val="left"/>
      </w:pPr>
      <w:r>
        <w:rPr>
          <w:spacing w:val="-1"/>
        </w:rPr>
        <w:t>出售商品</w:t>
      </w:r>
      <w:r>
        <w:rPr>
          <w:rFonts w:ascii="宋体" w:hAnsi="宋体" w:cs="宋体" w:eastAsia="宋体" w:hint="default"/>
          <w:spacing w:val="-1"/>
        </w:rPr>
        <w:t>/</w:t>
      </w:r>
      <w:r>
        <w:rPr>
          <w:spacing w:val="-1"/>
        </w:rPr>
        <w:t>提供劳务情况表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1220" w:left="980" w:right="0"/>
          <w:cols w:num="2" w:equalWidth="0">
            <w:col w:w="2573" w:space="6257"/>
            <w:col w:w="2100"/>
          </w:cols>
        </w:sectPr>
      </w:pP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396"/>
        <w:gridCol w:w="2262"/>
        <w:gridCol w:w="2261"/>
        <w:gridCol w:w="2651"/>
      </w:tblGrid>
      <w:tr>
        <w:trPr>
          <w:trHeight w:val="413" w:hRule="exact"/>
        </w:trPr>
        <w:tc>
          <w:tcPr>
            <w:tcW w:w="239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26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86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1" w:hRule="exact"/>
        </w:trPr>
        <w:tc>
          <w:tcPr>
            <w:tcW w:w="239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4"/>
              <w:ind w:left="95" w:right="113"/>
              <w:jc w:val="left"/>
              <w:rPr>
                <w:rFonts w:ascii="宋体" w:hAnsi="宋体" w:cs="宋体" w:eastAsia="宋体" w:hint="default"/>
                <w:sz w:val="18"/>
                <w:szCs w:val="18"/>
              </w:rPr>
            </w:pPr>
            <w:r>
              <w:rPr>
                <w:rFonts w:ascii="宋体" w:hAnsi="宋体" w:cs="宋体" w:eastAsia="宋体" w:hint="default"/>
                <w:spacing w:val="-3"/>
                <w:sz w:val="18"/>
                <w:szCs w:val="18"/>
              </w:rPr>
              <w:t>江苏新宇能电力科技有限公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集抄器</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8,849.56</w:t>
            </w:r>
          </w:p>
        </w:tc>
        <w:tc>
          <w:tcPr>
            <w:tcW w:w="26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38,461.54</w:t>
            </w:r>
          </w:p>
        </w:tc>
      </w:tr>
      <w:tr>
        <w:trPr>
          <w:trHeight w:val="715" w:hRule="exact"/>
        </w:trPr>
        <w:tc>
          <w:tcPr>
            <w:tcW w:w="239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8"/>
              <w:ind w:left="95" w:right="113"/>
              <w:jc w:val="left"/>
              <w:rPr>
                <w:rFonts w:ascii="宋体" w:hAnsi="宋体" w:cs="宋体" w:eastAsia="宋体" w:hint="default"/>
                <w:sz w:val="18"/>
                <w:szCs w:val="18"/>
              </w:rPr>
            </w:pPr>
            <w:r>
              <w:rPr>
                <w:rFonts w:ascii="宋体" w:hAnsi="宋体" w:cs="宋体" w:eastAsia="宋体" w:hint="default"/>
                <w:spacing w:val="-3"/>
                <w:sz w:val="18"/>
                <w:szCs w:val="18"/>
              </w:rPr>
              <w:t>江苏其厚智能电气设备有限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硬件</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108,103.45</w:t>
            </w:r>
          </w:p>
        </w:tc>
        <w:tc>
          <w:tcPr>
            <w:tcW w:w="26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126,379.31</w:t>
            </w:r>
          </w:p>
        </w:tc>
      </w:tr>
      <w:tr>
        <w:trPr>
          <w:trHeight w:val="716" w:hRule="exact"/>
        </w:trPr>
        <w:tc>
          <w:tcPr>
            <w:tcW w:w="2396" w:type="dxa"/>
            <w:tcBorders>
              <w:top w:val="single" w:sz="4" w:space="0" w:color="000000"/>
              <w:left w:val="single" w:sz="12" w:space="0" w:color="000000"/>
              <w:bottom w:val="single" w:sz="4" w:space="0" w:color="000000"/>
              <w:right w:val="single" w:sz="4" w:space="0" w:color="000000"/>
            </w:tcBorders>
          </w:tcPr>
          <w:p>
            <w:pPr>
              <w:pStyle w:val="TableParagraph"/>
              <w:spacing w:line="324" w:lineRule="auto" w:before="53"/>
              <w:ind w:left="95" w:right="113"/>
              <w:jc w:val="left"/>
              <w:rPr>
                <w:rFonts w:ascii="宋体" w:hAnsi="宋体" w:cs="宋体" w:eastAsia="宋体" w:hint="default"/>
                <w:sz w:val="18"/>
                <w:szCs w:val="18"/>
              </w:rPr>
            </w:pPr>
            <w:r>
              <w:rPr>
                <w:rFonts w:ascii="宋体" w:hAnsi="宋体" w:cs="宋体" w:eastAsia="宋体" w:hint="default"/>
                <w:spacing w:val="-3"/>
                <w:sz w:val="18"/>
                <w:szCs w:val="18"/>
              </w:rPr>
              <w:t>南京光一文化产业投资发展</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合伙企业（有限合伙）</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基金托管费</w:t>
            </w:r>
          </w:p>
        </w:tc>
        <w:tc>
          <w:tcPr>
            <w:tcW w:w="2261"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1,692,000.00</w:t>
            </w:r>
          </w:p>
        </w:tc>
      </w:tr>
      <w:tr>
        <w:trPr>
          <w:trHeight w:val="413" w:hRule="exact"/>
        </w:trPr>
        <w:tc>
          <w:tcPr>
            <w:tcW w:w="2396"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73"/>
              <w:ind w:right="17"/>
              <w:jc w:val="center"/>
              <w:rPr>
                <w:rFonts w:ascii="宋体" w:hAnsi="宋体" w:cs="宋体" w:eastAsia="宋体" w:hint="default"/>
                <w:sz w:val="18"/>
                <w:szCs w:val="18"/>
              </w:rPr>
            </w:pPr>
            <w:r>
              <w:rPr>
                <w:rFonts w:ascii="宋体" w:hAnsi="宋体" w:cs="宋体" w:eastAsia="宋体" w:hint="default"/>
                <w:spacing w:val="-3"/>
                <w:sz w:val="18"/>
                <w:szCs w:val="18"/>
              </w:rPr>
              <w:t>江苏其厚智能电气设备有限</w:t>
            </w:r>
          </w:p>
        </w:tc>
        <w:tc>
          <w:tcPr>
            <w:tcW w:w="2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抄核收软件</w:t>
            </w:r>
          </w:p>
        </w:tc>
        <w:tc>
          <w:tcPr>
            <w:tcW w:w="2261" w:type="dxa"/>
            <w:tcBorders>
              <w:top w:val="single" w:sz="4" w:space="0" w:color="000000"/>
              <w:left w:val="single" w:sz="4" w:space="0" w:color="000000"/>
              <w:bottom w:val="single" w:sz="12" w:space="0" w:color="000000"/>
              <w:right w:val="single" w:sz="4" w:space="0" w:color="000000"/>
            </w:tcBorders>
          </w:tcPr>
          <w:p>
            <w:pPr/>
          </w:p>
        </w:tc>
        <w:tc>
          <w:tcPr>
            <w:tcW w:w="265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3,879,310.35</w:t>
            </w:r>
          </w:p>
        </w:tc>
      </w:tr>
    </w:tbl>
    <w:p>
      <w:pPr>
        <w:spacing w:after="0" w:line="240" w:lineRule="auto"/>
        <w:jc w:val="right"/>
        <w:rPr>
          <w:rFonts w:ascii="宋体" w:hAnsi="宋体" w:cs="宋体" w:eastAsia="宋体" w:hint="default"/>
          <w:sz w:val="18"/>
          <w:szCs w:val="18"/>
        </w:rPr>
        <w:sectPr>
          <w:type w:val="continuous"/>
          <w:pgSz w:w="11910" w:h="16840"/>
          <w:pgMar w:top="158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2396"/>
        <w:gridCol w:w="2262"/>
        <w:gridCol w:w="2261"/>
        <w:gridCol w:w="2651"/>
      </w:tblGrid>
      <w:tr>
        <w:trPr>
          <w:trHeight w:val="374" w:hRule="exact"/>
        </w:trPr>
        <w:tc>
          <w:tcPr>
            <w:tcW w:w="239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5"/>
              <w:ind w:left="9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262" w:type="dxa"/>
            <w:tcBorders>
              <w:top w:val="single" w:sz="12" w:space="0" w:color="000000"/>
              <w:left w:val="single" w:sz="4" w:space="0" w:color="000000"/>
              <w:bottom w:val="single" w:sz="4" w:space="0" w:color="000000"/>
              <w:right w:val="single" w:sz="4" w:space="0" w:color="000000"/>
            </w:tcBorders>
          </w:tcPr>
          <w:p>
            <w:pPr/>
          </w:p>
        </w:tc>
        <w:tc>
          <w:tcPr>
            <w:tcW w:w="2261" w:type="dxa"/>
            <w:tcBorders>
              <w:top w:val="single" w:sz="12" w:space="0" w:color="000000"/>
              <w:left w:val="single" w:sz="4" w:space="0" w:color="000000"/>
              <w:bottom w:val="single" w:sz="4" w:space="0" w:color="000000"/>
              <w:right w:val="single" w:sz="4" w:space="0" w:color="000000"/>
            </w:tcBorders>
          </w:tcPr>
          <w:p>
            <w:pPr/>
          </w:p>
        </w:tc>
        <w:tc>
          <w:tcPr>
            <w:tcW w:w="2651" w:type="dxa"/>
            <w:tcBorders>
              <w:top w:val="single" w:sz="12" w:space="0" w:color="000000"/>
              <w:left w:val="single" w:sz="4" w:space="0" w:color="000000"/>
              <w:bottom w:val="single" w:sz="4" w:space="0" w:color="000000"/>
              <w:right w:val="single" w:sz="12" w:space="0" w:color="000000"/>
            </w:tcBorders>
          </w:tcPr>
          <w:p>
            <w:pPr/>
          </w:p>
        </w:tc>
      </w:tr>
      <w:tr>
        <w:trPr>
          <w:trHeight w:val="725" w:hRule="exact"/>
        </w:trPr>
        <w:tc>
          <w:tcPr>
            <w:tcW w:w="2396"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3"/>
              <w:ind w:left="95" w:right="113"/>
              <w:jc w:val="left"/>
              <w:rPr>
                <w:rFonts w:ascii="宋体" w:hAnsi="宋体" w:cs="宋体" w:eastAsia="宋体" w:hint="default"/>
                <w:sz w:val="18"/>
                <w:szCs w:val="18"/>
              </w:rPr>
            </w:pPr>
            <w:r>
              <w:rPr>
                <w:rFonts w:ascii="宋体" w:hAnsi="宋体" w:cs="宋体" w:eastAsia="宋体" w:hint="default"/>
                <w:spacing w:val="-3"/>
                <w:sz w:val="18"/>
                <w:szCs w:val="18"/>
              </w:rPr>
              <w:t>广东今程光一电力科技有限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责任公司</w:t>
            </w:r>
          </w:p>
        </w:tc>
        <w:tc>
          <w:tcPr>
            <w:tcW w:w="22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设计费</w:t>
            </w:r>
          </w:p>
        </w:tc>
        <w:tc>
          <w:tcPr>
            <w:tcW w:w="2261" w:type="dxa"/>
            <w:tcBorders>
              <w:top w:val="single" w:sz="4" w:space="0" w:color="000000"/>
              <w:left w:val="single" w:sz="4" w:space="0" w:color="000000"/>
              <w:bottom w:val="single" w:sz="12" w:space="0" w:color="000000"/>
              <w:right w:val="single" w:sz="4" w:space="0" w:color="000000"/>
            </w:tcBorders>
          </w:tcPr>
          <w:p>
            <w:pPr/>
          </w:p>
        </w:tc>
        <w:tc>
          <w:tcPr>
            <w:tcW w:w="265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2" w:right="0"/>
              <w:jc w:val="left"/>
              <w:rPr>
                <w:rFonts w:ascii="宋体" w:hAnsi="宋体" w:cs="宋体" w:eastAsia="宋体" w:hint="default"/>
                <w:sz w:val="18"/>
                <w:szCs w:val="18"/>
              </w:rPr>
            </w:pPr>
            <w:r>
              <w:rPr>
                <w:rFonts w:ascii="宋体"/>
                <w:sz w:val="18"/>
              </w:rPr>
              <w:t>573,113.22</w:t>
            </w:r>
          </w:p>
        </w:tc>
      </w:tr>
    </w:tbl>
    <w:p>
      <w:pPr>
        <w:pStyle w:val="Heading4"/>
        <w:spacing w:line="240" w:lineRule="auto" w:before="66"/>
        <w:ind w:right="1024"/>
        <w:jc w:val="left"/>
        <w:rPr>
          <w:b w:val="0"/>
          <w:bCs w:val="0"/>
        </w:rPr>
      </w:pPr>
      <w:bookmarkStart w:name="（2）关联受托管理/承包及委托管理/出包情况" w:id="439"/>
      <w:bookmarkEnd w:id="439"/>
      <w:r>
        <w:rPr>
          <w:b w:val="0"/>
          <w:bCs w:val="0"/>
        </w:rPr>
      </w:r>
      <w:r>
        <w:rPr/>
        <w:t>（</w:t>
      </w:r>
      <w:r>
        <w:rPr>
          <w:rFonts w:ascii="宋体" w:hAnsi="宋体" w:cs="宋体" w:eastAsia="宋体" w:hint="default"/>
        </w:rPr>
        <w:t>2</w:t>
      </w:r>
      <w:r>
        <w:rPr/>
        <w:t>）关联受托管理</w:t>
      </w:r>
      <w:r>
        <w:rPr>
          <w:rFonts w:ascii="宋体" w:hAnsi="宋体" w:cs="宋体" w:eastAsia="宋体" w:hint="default"/>
        </w:rPr>
        <w:t>/</w:t>
      </w:r>
      <w:r>
        <w:rPr/>
        <w:t>承包及委托管理</w:t>
      </w:r>
      <w:r>
        <w:rPr>
          <w:rFonts w:ascii="宋体" w:hAnsi="宋体" w:cs="宋体" w:eastAsia="宋体" w:hint="default"/>
        </w:rPr>
        <w:t>/</w:t>
      </w:r>
      <w:r>
        <w:rPr/>
        <w:t>出包情况</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left="364" w:right="1024"/>
        <w:jc w:val="left"/>
      </w:pPr>
      <w:r>
        <w:rPr/>
        <w:t>□ 适用 √</w:t>
      </w:r>
      <w:r>
        <w:rPr>
          <w:spacing w:val="4"/>
        </w:rPr>
        <w:t> </w:t>
      </w:r>
      <w:r>
        <w:rPr/>
        <w:t>不适用</w:t>
      </w:r>
    </w:p>
    <w:p>
      <w:pPr>
        <w:spacing w:line="240" w:lineRule="auto" w:before="12"/>
        <w:rPr>
          <w:rFonts w:ascii="宋体" w:hAnsi="宋体" w:cs="宋体" w:eastAsia="宋体" w:hint="default"/>
          <w:sz w:val="14"/>
          <w:szCs w:val="14"/>
        </w:rPr>
      </w:pPr>
    </w:p>
    <w:p>
      <w:pPr>
        <w:pStyle w:val="Heading4"/>
        <w:spacing w:line="240" w:lineRule="auto" w:before="0"/>
        <w:ind w:right="1024"/>
        <w:jc w:val="left"/>
        <w:rPr>
          <w:b w:val="0"/>
          <w:bCs w:val="0"/>
        </w:rPr>
      </w:pPr>
      <w:bookmarkStart w:name="（3）关联租赁情况" w:id="440"/>
      <w:bookmarkEnd w:id="440"/>
      <w:r>
        <w:rPr>
          <w:b w:val="0"/>
          <w:bCs w:val="0"/>
        </w:rPr>
      </w:r>
      <w:r>
        <w:rPr/>
        <w:t>（</w:t>
      </w:r>
      <w:r>
        <w:rPr>
          <w:rFonts w:ascii="宋体" w:hAnsi="宋体" w:cs="宋体" w:eastAsia="宋体" w:hint="default"/>
        </w:rPr>
        <w:t>3</w:t>
      </w:r>
      <w:r>
        <w:rPr/>
        <w:t>）关联租赁情况</w:t>
      </w:r>
      <w:r>
        <w:rPr>
          <w:b w:val="0"/>
          <w:bCs w:val="0"/>
        </w:rPr>
      </w:r>
    </w:p>
    <w:p>
      <w:pPr>
        <w:spacing w:line="240" w:lineRule="auto" w:before="7"/>
        <w:rPr>
          <w:rFonts w:ascii="宋体" w:hAnsi="宋体" w:cs="宋体" w:eastAsia="宋体" w:hint="default"/>
          <w:b/>
          <w:bCs/>
          <w:sz w:val="16"/>
          <w:szCs w:val="16"/>
        </w:rPr>
      </w:pPr>
    </w:p>
    <w:p>
      <w:pPr>
        <w:spacing w:before="0"/>
        <w:ind w:left="335" w:right="1024"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本公司作为出租方：</w:t>
      </w:r>
    </w:p>
    <w:p>
      <w:pPr>
        <w:spacing w:line="240" w:lineRule="auto" w:before="6"/>
        <w:rPr>
          <w:rFonts w:ascii="宋体" w:hAnsi="宋体" w:cs="宋体" w:eastAsia="宋体" w:hint="default"/>
          <w:sz w:val="11"/>
          <w:szCs w:val="11"/>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391"/>
        <w:gridCol w:w="2391"/>
        <w:gridCol w:w="2396"/>
        <w:gridCol w:w="2391"/>
      </w:tblGrid>
      <w:tr>
        <w:trPr>
          <w:trHeight w:val="413" w:hRule="exact"/>
        </w:trPr>
        <w:tc>
          <w:tcPr>
            <w:tcW w:w="239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7"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3" w:right="0"/>
              <w:jc w:val="left"/>
              <w:rPr>
                <w:rFonts w:ascii="宋体" w:hAnsi="宋体" w:cs="宋体" w:eastAsia="宋体" w:hint="default"/>
                <w:sz w:val="18"/>
                <w:szCs w:val="18"/>
              </w:rPr>
            </w:pPr>
            <w:r>
              <w:rPr>
                <w:rFonts w:ascii="宋体" w:hAnsi="宋体" w:cs="宋体" w:eastAsia="宋体" w:hint="default"/>
                <w:spacing w:val="-3"/>
                <w:sz w:val="18"/>
                <w:szCs w:val="18"/>
              </w:rPr>
              <w:t>本期确认的租赁收入</w:t>
            </w:r>
          </w:p>
        </w:tc>
        <w:tc>
          <w:tcPr>
            <w:tcW w:w="239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上期确认的租赁收入</w:t>
            </w:r>
          </w:p>
        </w:tc>
      </w:tr>
      <w:tr>
        <w:trPr>
          <w:trHeight w:val="413" w:hRule="exact"/>
        </w:trPr>
        <w:tc>
          <w:tcPr>
            <w:tcW w:w="239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湖北瀚瑞铜业有限公司</w:t>
            </w:r>
          </w:p>
        </w:tc>
        <w:tc>
          <w:tcPr>
            <w:tcW w:w="2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387" w:right="0"/>
              <w:jc w:val="left"/>
              <w:rPr>
                <w:rFonts w:ascii="宋体" w:hAnsi="宋体" w:cs="宋体" w:eastAsia="宋体" w:hint="default"/>
                <w:sz w:val="18"/>
                <w:szCs w:val="18"/>
              </w:rPr>
            </w:pPr>
            <w:r>
              <w:rPr>
                <w:rFonts w:ascii="宋体"/>
                <w:sz w:val="18"/>
              </w:rPr>
              <w:t>551,146.12</w:t>
            </w:r>
          </w:p>
        </w:tc>
        <w:tc>
          <w:tcPr>
            <w:tcW w:w="23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1474" w:right="0"/>
              <w:jc w:val="left"/>
              <w:rPr>
                <w:rFonts w:ascii="宋体" w:hAnsi="宋体" w:cs="宋体" w:eastAsia="宋体" w:hint="default"/>
                <w:sz w:val="18"/>
                <w:szCs w:val="18"/>
              </w:rPr>
            </w:pPr>
            <w:r>
              <w:rPr>
                <w:rFonts w:ascii="宋体"/>
                <w:sz w:val="18"/>
              </w:rPr>
              <w:t>85,695.85</w:t>
            </w:r>
          </w:p>
        </w:tc>
      </w:tr>
    </w:tbl>
    <w:p>
      <w:pPr>
        <w:spacing w:line="410" w:lineRule="auto" w:before="67"/>
        <w:ind w:left="153" w:right="8958" w:firstLine="0"/>
        <w:jc w:val="left"/>
        <w:rPr>
          <w:rFonts w:ascii="宋体" w:hAnsi="宋体" w:cs="宋体" w:eastAsia="宋体" w:hint="default"/>
          <w:sz w:val="21"/>
          <w:szCs w:val="21"/>
        </w:rPr>
      </w:pPr>
      <w:bookmarkStart w:name="（4）关联担保情况" w:id="441"/>
      <w:bookmarkEnd w:id="441"/>
      <w:r>
        <w:rPr/>
      </w: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3"/>
          <w:sz w:val="21"/>
          <w:szCs w:val="21"/>
        </w:rPr>
        <w:t> </w:t>
      </w:r>
      <w:r>
        <w:rPr>
          <w:rFonts w:ascii="宋体" w:hAnsi="宋体" w:cs="宋体" w:eastAsia="宋体" w:hint="default"/>
          <w:sz w:val="21"/>
          <w:szCs w:val="21"/>
        </w:rPr>
        <w:t>本公司作为担保方</w:t>
      </w:r>
    </w:p>
    <w:p>
      <w:pPr>
        <w:spacing w:before="28"/>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25" w:hRule="exact"/>
        </w:trPr>
        <w:tc>
          <w:tcPr>
            <w:tcW w:w="191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9" w:lineRule="auto" w:before="53"/>
              <w:ind w:left="864" w:right="127" w:hanging="721"/>
              <w:jc w:val="left"/>
              <w:rPr>
                <w:rFonts w:ascii="宋体" w:hAnsi="宋体" w:cs="宋体" w:eastAsia="宋体" w:hint="default"/>
                <w:sz w:val="18"/>
                <w:szCs w:val="18"/>
              </w:rPr>
            </w:pPr>
            <w:r>
              <w:rPr>
                <w:rFonts w:ascii="宋体" w:hAnsi="宋体" w:cs="宋体" w:eastAsia="宋体" w:hint="default"/>
                <w:spacing w:val="-3"/>
                <w:sz w:val="18"/>
                <w:szCs w:val="18"/>
              </w:rPr>
              <w:t>担保是否已经履行完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毕</w:t>
            </w:r>
          </w:p>
        </w:tc>
      </w:tr>
      <w:tr>
        <w:trPr>
          <w:trHeight w:val="710"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江苏光一投资管理有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2"/>
                <w:sz w:val="18"/>
              </w:rPr>
              <w:t>288,000,000.00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8"/>
              <w:ind w:left="95" w:right="175"/>
              <w:jc w:val="both"/>
              <w:rPr>
                <w:rFonts w:ascii="宋体" w:hAnsi="宋体" w:cs="宋体" w:eastAsia="宋体" w:hint="default"/>
                <w:sz w:val="18"/>
                <w:szCs w:val="18"/>
              </w:rPr>
            </w:pPr>
            <w:r>
              <w:rPr>
                <w:rFonts w:ascii="宋体" w:hAnsi="宋体" w:cs="宋体" w:eastAsia="宋体" w:hint="default"/>
                <w:spacing w:val="-3"/>
                <w:sz w:val="18"/>
                <w:szCs w:val="18"/>
              </w:rPr>
              <w:t>无锡金投领航产业升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级并购投资企业（有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99"/>
              <w:jc w:val="right"/>
              <w:rPr>
                <w:rFonts w:ascii="宋体" w:hAnsi="宋体" w:cs="宋体" w:eastAsia="宋体" w:hint="default"/>
                <w:sz w:val="18"/>
                <w:szCs w:val="18"/>
              </w:rPr>
            </w:pPr>
            <w:r>
              <w:rPr>
                <w:rFonts w:ascii="宋体"/>
                <w:spacing w:val="-2"/>
                <w:sz w:val="18"/>
              </w:rPr>
              <w:t>293,865,615.36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2025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21"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江苏其厚智能电气设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备有限公司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4,500,000.00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28</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江苏其厚智能电气设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备有限公司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4,700,000.00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4"/>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江苏其厚智能电气设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备有限公司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22</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8"/>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江苏其厚智能电气设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备有限公司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24"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江苏其厚智能电气设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备有限公司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江苏其厚智能电气设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备有限公司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江苏其厚智能电气设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备有限公司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25" w:hRule="exact"/>
        </w:trPr>
        <w:tc>
          <w:tcPr>
            <w:tcW w:w="1916"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8"/>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江苏其厚智能电气设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备有限公司</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5,000,000.00</w:t>
            </w:r>
          </w:p>
        </w:tc>
        <w:tc>
          <w:tcPr>
            <w:tcW w:w="1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25" w:hRule="exact"/>
        </w:trPr>
        <w:tc>
          <w:tcPr>
            <w:tcW w:w="191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21" w:lineRule="auto" w:before="53"/>
              <w:ind w:left="864" w:right="127" w:hanging="721"/>
              <w:jc w:val="left"/>
              <w:rPr>
                <w:rFonts w:ascii="宋体" w:hAnsi="宋体" w:cs="宋体" w:eastAsia="宋体" w:hint="default"/>
                <w:sz w:val="18"/>
                <w:szCs w:val="18"/>
              </w:rPr>
            </w:pPr>
            <w:r>
              <w:rPr>
                <w:rFonts w:ascii="宋体" w:hAnsi="宋体" w:cs="宋体" w:eastAsia="宋体" w:hint="default"/>
                <w:spacing w:val="-3"/>
                <w:sz w:val="18"/>
                <w:szCs w:val="18"/>
              </w:rPr>
              <w:t>担保是否已经履行完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毕</w:t>
            </w:r>
          </w:p>
        </w:tc>
      </w:tr>
      <w:tr>
        <w:trPr>
          <w:trHeight w:val="716"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江苏其厚智能电气设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备有限公司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江苏其厚智能电气设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备有限公司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4,500,000.00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28</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21"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江苏其厚智能电气设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备有限公司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21"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江苏其厚智能电气设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备有限公司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江苏其厚智能电气设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备有限公司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25" w:hRule="exact"/>
        </w:trPr>
        <w:tc>
          <w:tcPr>
            <w:tcW w:w="1916"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4"/>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江苏其厚智能电气设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备有限公司</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5,000,000.00</w:t>
            </w:r>
          </w:p>
        </w:tc>
        <w:tc>
          <w:tcPr>
            <w:tcW w:w="1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1" w:footer="1037" w:top="1040" w:bottom="1220" w:left="980" w:right="0"/>
        </w:sectPr>
      </w:pPr>
    </w:p>
    <w:p>
      <w:pPr>
        <w:pStyle w:val="BodyText"/>
        <w:spacing w:line="240" w:lineRule="auto" w:before="28"/>
        <w:ind w:right="-5"/>
        <w:jc w:val="left"/>
      </w:pPr>
      <w:r>
        <w:rPr>
          <w:spacing w:val="-1"/>
        </w:rPr>
        <w:t>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1220" w:left="980" w:right="0"/>
          <w:cols w:num="2" w:equalWidth="0">
            <w:col w:w="2050" w:space="6781"/>
            <w:col w:w="2099"/>
          </w:cols>
        </w:sectPr>
      </w:pP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25" w:hRule="exact"/>
        </w:trPr>
        <w:tc>
          <w:tcPr>
            <w:tcW w:w="191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19" w:lineRule="auto" w:before="53"/>
              <w:ind w:left="864" w:right="127" w:hanging="721"/>
              <w:jc w:val="left"/>
              <w:rPr>
                <w:rFonts w:ascii="宋体" w:hAnsi="宋体" w:cs="宋体" w:eastAsia="宋体" w:hint="default"/>
                <w:sz w:val="18"/>
                <w:szCs w:val="18"/>
              </w:rPr>
            </w:pPr>
            <w:r>
              <w:rPr>
                <w:rFonts w:ascii="宋体" w:hAnsi="宋体" w:cs="宋体" w:eastAsia="宋体" w:hint="default"/>
                <w:spacing w:val="-3"/>
                <w:sz w:val="18"/>
                <w:szCs w:val="18"/>
              </w:rPr>
              <w:t>担保是否已经履行完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毕</w:t>
            </w:r>
          </w:p>
        </w:tc>
      </w:tr>
      <w:tr>
        <w:trPr>
          <w:trHeight w:val="710"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江苏光一投资管理有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限责任公司、龙昌明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19,383,368.00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22</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24"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江苏光一投资管理有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限责任公司、龙昌明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2"/>
                <w:sz w:val="18"/>
              </w:rPr>
              <w:t>150,000,000.00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22</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33,000,000.00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湖北索瑞电气有限公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司、龙昌明、熊柯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2"/>
                <w:sz w:val="18"/>
              </w:rPr>
              <w:t>180,000,000.00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35"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5" w:right="175"/>
              <w:jc w:val="both"/>
              <w:rPr>
                <w:rFonts w:ascii="宋体" w:hAnsi="宋体" w:cs="宋体" w:eastAsia="宋体" w:hint="default"/>
                <w:sz w:val="18"/>
                <w:szCs w:val="18"/>
              </w:rPr>
            </w:pPr>
            <w:r>
              <w:rPr>
                <w:rFonts w:ascii="宋体" w:hAnsi="宋体" w:cs="宋体" w:eastAsia="宋体" w:hint="default"/>
                <w:spacing w:val="-3"/>
                <w:sz w:val="18"/>
                <w:szCs w:val="18"/>
              </w:rPr>
              <w:t>江苏光一投资管理有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限责任公司、湖北索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瑞电气有限公司、龙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昌明、熊柯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80,000,000.00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21"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江苏光一投资管理有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限责任公司、龙昌明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340"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4"/>
              <w:ind w:left="95" w:right="175"/>
              <w:jc w:val="both"/>
              <w:rPr>
                <w:rFonts w:ascii="宋体" w:hAnsi="宋体" w:cs="宋体" w:eastAsia="宋体" w:hint="default"/>
                <w:sz w:val="18"/>
                <w:szCs w:val="18"/>
              </w:rPr>
            </w:pPr>
            <w:r>
              <w:rPr>
                <w:rFonts w:ascii="宋体" w:hAnsi="宋体" w:cs="宋体" w:eastAsia="宋体" w:hint="default"/>
                <w:spacing w:val="-3"/>
                <w:sz w:val="18"/>
                <w:szCs w:val="18"/>
              </w:rPr>
              <w:t>江苏光一投资管理有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限责任公司、湖北索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瑞电气有限公司、龙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昌明、熊柯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14</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江苏光一投资管理有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限责任公司、龙昌明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682" w:hRule="exact"/>
        </w:trPr>
        <w:tc>
          <w:tcPr>
            <w:tcW w:w="1916" w:type="dxa"/>
            <w:tcBorders>
              <w:top w:val="single" w:sz="4" w:space="0" w:color="000000"/>
              <w:left w:val="single" w:sz="12" w:space="0" w:color="000000"/>
              <w:bottom w:val="single" w:sz="12" w:space="0" w:color="000000"/>
              <w:right w:val="single" w:sz="4" w:space="0" w:color="000000"/>
            </w:tcBorders>
          </w:tcPr>
          <w:p>
            <w:pPr>
              <w:pStyle w:val="TableParagraph"/>
              <w:spacing w:line="312"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江苏光一投资管理责</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任有限公司、光一科</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2"/>
                <w:sz w:val="18"/>
              </w:rPr>
              <w:t>129,500,000.00</w:t>
            </w:r>
          </w:p>
        </w:tc>
        <w:tc>
          <w:tcPr>
            <w:tcW w:w="1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type w:val="continuous"/>
          <w:pgSz w:w="11910" w:h="16840"/>
          <w:pgMar w:top="1580" w:bottom="12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25" w:hRule="exact"/>
        </w:trPr>
        <w:tc>
          <w:tcPr>
            <w:tcW w:w="191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21" w:lineRule="auto" w:before="53"/>
              <w:ind w:left="864" w:right="127" w:hanging="721"/>
              <w:jc w:val="left"/>
              <w:rPr>
                <w:rFonts w:ascii="宋体" w:hAnsi="宋体" w:cs="宋体" w:eastAsia="宋体" w:hint="default"/>
                <w:sz w:val="18"/>
                <w:szCs w:val="18"/>
              </w:rPr>
            </w:pPr>
            <w:r>
              <w:rPr>
                <w:rFonts w:ascii="宋体" w:hAnsi="宋体" w:cs="宋体" w:eastAsia="宋体" w:hint="default"/>
                <w:spacing w:val="-3"/>
                <w:sz w:val="18"/>
                <w:szCs w:val="18"/>
              </w:rPr>
              <w:t>担保是否已经履行完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毕</w:t>
            </w:r>
          </w:p>
        </w:tc>
      </w:tr>
      <w:tr>
        <w:trPr>
          <w:trHeight w:val="361"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5" w:right="0"/>
              <w:jc w:val="left"/>
              <w:rPr>
                <w:rFonts w:ascii="宋体" w:hAnsi="宋体" w:cs="宋体" w:eastAsia="宋体" w:hint="default"/>
                <w:sz w:val="18"/>
                <w:szCs w:val="18"/>
              </w:rPr>
            </w:pPr>
            <w:r>
              <w:rPr>
                <w:rFonts w:ascii="宋体" w:hAnsi="宋体" w:cs="宋体" w:eastAsia="宋体" w:hint="default"/>
                <w:spacing w:val="-3"/>
                <w:sz w:val="18"/>
                <w:szCs w:val="18"/>
              </w:rPr>
              <w:t>技股份有限公司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21"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任昌兆、荆州市山源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唐明群、沈燕芳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08</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江苏光一投资管理责</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任有限公司、龙昌明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江苏光一投资管理责</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任有限公司、龙昌明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340"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5" w:right="175"/>
              <w:jc w:val="both"/>
              <w:rPr>
                <w:rFonts w:ascii="宋体" w:hAnsi="宋体" w:cs="宋体" w:eastAsia="宋体" w:hint="default"/>
                <w:sz w:val="18"/>
                <w:szCs w:val="18"/>
              </w:rPr>
            </w:pPr>
            <w:r>
              <w:rPr>
                <w:rFonts w:ascii="宋体" w:hAnsi="宋体" w:cs="宋体" w:eastAsia="宋体" w:hint="default"/>
                <w:spacing w:val="-3"/>
                <w:sz w:val="18"/>
                <w:szCs w:val="18"/>
              </w:rPr>
              <w:t>江苏光一投资管理有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限责任公司、湖北索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瑞电气有限公司、龙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昌明、熊珂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99"/>
              <w:jc w:val="right"/>
              <w:rPr>
                <w:rFonts w:ascii="宋体" w:hAnsi="宋体" w:cs="宋体" w:eastAsia="宋体" w:hint="default"/>
                <w:sz w:val="18"/>
                <w:szCs w:val="18"/>
              </w:rPr>
            </w:pPr>
            <w:r>
              <w:rPr>
                <w:rFonts w:ascii="宋体"/>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40"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5" w:right="175"/>
              <w:jc w:val="both"/>
              <w:rPr>
                <w:rFonts w:ascii="宋体" w:hAnsi="宋体" w:cs="宋体" w:eastAsia="宋体" w:hint="default"/>
                <w:sz w:val="18"/>
                <w:szCs w:val="18"/>
              </w:rPr>
            </w:pPr>
            <w:r>
              <w:rPr>
                <w:rFonts w:ascii="宋体" w:hAnsi="宋体" w:cs="宋体" w:eastAsia="宋体" w:hint="default"/>
                <w:spacing w:val="-3"/>
                <w:sz w:val="18"/>
                <w:szCs w:val="18"/>
              </w:rPr>
              <w:t>江苏光一投资管理有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限责任公司、湖北索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瑞电气有限公司、龙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昌明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99"/>
              <w:jc w:val="right"/>
              <w:rPr>
                <w:rFonts w:ascii="宋体" w:hAnsi="宋体" w:cs="宋体" w:eastAsia="宋体" w:hint="default"/>
                <w:sz w:val="18"/>
                <w:szCs w:val="18"/>
              </w:rPr>
            </w:pPr>
            <w:r>
              <w:rPr>
                <w:rFonts w:ascii="宋体"/>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339"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75"/>
              <w:jc w:val="both"/>
              <w:rPr>
                <w:rFonts w:ascii="宋体" w:hAnsi="宋体" w:cs="宋体" w:eastAsia="宋体" w:hint="default"/>
                <w:sz w:val="18"/>
                <w:szCs w:val="18"/>
              </w:rPr>
            </w:pPr>
            <w:r>
              <w:rPr>
                <w:rFonts w:ascii="宋体" w:hAnsi="宋体" w:cs="宋体" w:eastAsia="宋体" w:hint="default"/>
                <w:spacing w:val="-3"/>
                <w:sz w:val="18"/>
                <w:szCs w:val="18"/>
              </w:rPr>
              <w:t>江苏光一投资管理有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限责任公司、湖北索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瑞电气有限公司、龙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昌明、熊珂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99"/>
              <w:jc w:val="right"/>
              <w:rPr>
                <w:rFonts w:ascii="宋体" w:hAnsi="宋体" w:cs="宋体" w:eastAsia="宋体" w:hint="default"/>
                <w:sz w:val="18"/>
                <w:szCs w:val="18"/>
              </w:rPr>
            </w:pPr>
            <w:r>
              <w:rPr>
                <w:rFonts w:ascii="宋体"/>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4"/>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江苏光一投资管理有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限责任公司、龙昌明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40"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5" w:right="175"/>
              <w:jc w:val="both"/>
              <w:rPr>
                <w:rFonts w:ascii="宋体" w:hAnsi="宋体" w:cs="宋体" w:eastAsia="宋体" w:hint="default"/>
                <w:sz w:val="18"/>
                <w:szCs w:val="18"/>
              </w:rPr>
            </w:pPr>
            <w:r>
              <w:rPr>
                <w:rFonts w:ascii="宋体" w:hAnsi="宋体" w:cs="宋体" w:eastAsia="宋体" w:hint="default"/>
                <w:spacing w:val="-3"/>
                <w:sz w:val="18"/>
                <w:szCs w:val="18"/>
              </w:rPr>
              <w:t>江苏光一投资管理有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限责任公司、湖北索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瑞电气有限公司、龙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昌明、熊珂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99"/>
              <w:jc w:val="right"/>
              <w:rPr>
                <w:rFonts w:ascii="宋体" w:hAnsi="宋体" w:cs="宋体" w:eastAsia="宋体" w:hint="default"/>
                <w:sz w:val="18"/>
                <w:szCs w:val="18"/>
              </w:rPr>
            </w:pPr>
            <w:r>
              <w:rPr>
                <w:rFonts w:ascii="宋体"/>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39"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75"/>
              <w:jc w:val="both"/>
              <w:rPr>
                <w:rFonts w:ascii="宋体" w:hAnsi="宋体" w:cs="宋体" w:eastAsia="宋体" w:hint="default"/>
                <w:sz w:val="18"/>
                <w:szCs w:val="18"/>
              </w:rPr>
            </w:pPr>
            <w:r>
              <w:rPr>
                <w:rFonts w:ascii="宋体" w:hAnsi="宋体" w:cs="宋体" w:eastAsia="宋体" w:hint="default"/>
                <w:spacing w:val="-3"/>
                <w:sz w:val="18"/>
                <w:szCs w:val="18"/>
              </w:rPr>
              <w:t>江苏光一投资管理有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限责任公司、湖北索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瑞电气有限公司、龙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昌明、熊珂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99"/>
              <w:jc w:val="right"/>
              <w:rPr>
                <w:rFonts w:ascii="宋体" w:hAnsi="宋体" w:cs="宋体" w:eastAsia="宋体" w:hint="default"/>
                <w:sz w:val="18"/>
                <w:szCs w:val="18"/>
              </w:rPr>
            </w:pPr>
            <w:r>
              <w:rPr>
                <w:rFonts w:ascii="宋体"/>
                <w:spacing w:val="-1"/>
                <w:sz w:val="18"/>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4"/>
              <w:ind w:left="95" w:right="175"/>
              <w:jc w:val="left"/>
              <w:rPr>
                <w:rFonts w:ascii="宋体" w:hAnsi="宋体" w:cs="宋体" w:eastAsia="宋体" w:hint="default"/>
                <w:sz w:val="18"/>
                <w:szCs w:val="18"/>
              </w:rPr>
            </w:pPr>
            <w:r>
              <w:rPr>
                <w:rFonts w:ascii="宋体" w:hAnsi="宋体" w:cs="宋体" w:eastAsia="宋体" w:hint="default"/>
                <w:spacing w:val="-3"/>
                <w:sz w:val="18"/>
                <w:szCs w:val="18"/>
              </w:rPr>
              <w:t>湖北索瑞电气有限公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司、龙昌明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26</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湖北索瑞电气有限公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司、龙昌明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49" w:hRule="exact"/>
        </w:trPr>
        <w:tc>
          <w:tcPr>
            <w:tcW w:w="1916" w:type="dxa"/>
            <w:tcBorders>
              <w:top w:val="single" w:sz="4" w:space="0" w:color="000000"/>
              <w:left w:val="single" w:sz="12" w:space="0" w:color="000000"/>
              <w:bottom w:val="single" w:sz="12" w:space="0" w:color="000000"/>
              <w:right w:val="single" w:sz="4" w:space="0" w:color="000000"/>
            </w:tcBorders>
          </w:tcPr>
          <w:p>
            <w:pPr>
              <w:pStyle w:val="TableParagraph"/>
              <w:spacing w:line="319" w:lineRule="auto" w:before="53"/>
              <w:ind w:left="95" w:right="175"/>
              <w:jc w:val="both"/>
              <w:rPr>
                <w:rFonts w:ascii="宋体" w:hAnsi="宋体" w:cs="宋体" w:eastAsia="宋体" w:hint="default"/>
                <w:sz w:val="18"/>
                <w:szCs w:val="18"/>
              </w:rPr>
            </w:pPr>
            <w:r>
              <w:rPr>
                <w:rFonts w:ascii="宋体" w:hAnsi="宋体" w:cs="宋体" w:eastAsia="宋体" w:hint="default"/>
                <w:spacing w:val="-3"/>
                <w:sz w:val="18"/>
                <w:szCs w:val="18"/>
              </w:rPr>
              <w:t>江苏光一投资管理有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限责任公司、湖北索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瑞电气有限公司、龙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昌明、熊珂</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99"/>
              <w:jc w:val="right"/>
              <w:rPr>
                <w:rFonts w:ascii="宋体" w:hAnsi="宋体" w:cs="宋体" w:eastAsia="宋体" w:hint="default"/>
                <w:sz w:val="18"/>
                <w:szCs w:val="18"/>
              </w:rPr>
            </w:pPr>
            <w:r>
              <w:rPr>
                <w:rFonts w:ascii="宋体"/>
                <w:spacing w:val="-1"/>
                <w:sz w:val="18"/>
              </w:rPr>
              <w:t>10,000,000.00</w:t>
            </w:r>
          </w:p>
        </w:tc>
        <w:tc>
          <w:tcPr>
            <w:tcW w:w="1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71" w:footer="1037" w:top="1040" w:bottom="12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25" w:hRule="exact"/>
        </w:trPr>
        <w:tc>
          <w:tcPr>
            <w:tcW w:w="191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321" w:lineRule="auto" w:before="53"/>
              <w:ind w:left="864" w:right="127" w:hanging="721"/>
              <w:jc w:val="left"/>
              <w:rPr>
                <w:rFonts w:ascii="宋体" w:hAnsi="宋体" w:cs="宋体" w:eastAsia="宋体" w:hint="default"/>
                <w:sz w:val="18"/>
                <w:szCs w:val="18"/>
              </w:rPr>
            </w:pPr>
            <w:r>
              <w:rPr>
                <w:rFonts w:ascii="宋体" w:hAnsi="宋体" w:cs="宋体" w:eastAsia="宋体" w:hint="default"/>
                <w:spacing w:val="-3"/>
                <w:sz w:val="18"/>
                <w:szCs w:val="18"/>
              </w:rPr>
              <w:t>担保是否已经履行完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毕</w:t>
            </w:r>
          </w:p>
        </w:tc>
      </w:tr>
      <w:tr>
        <w:trPr>
          <w:trHeight w:val="716"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湖北索瑞电气有限公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司、龙昌明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629" w:right="0"/>
              <w:jc w:val="left"/>
              <w:rPr>
                <w:rFonts w:ascii="宋体" w:hAnsi="宋体" w:cs="宋体" w:eastAsia="宋体" w:hint="default"/>
                <w:sz w:val="18"/>
                <w:szCs w:val="18"/>
              </w:rPr>
            </w:pPr>
            <w:r>
              <w:rPr>
                <w:rFonts w:ascii="宋体"/>
                <w:sz w:val="18"/>
              </w:rPr>
              <w:t>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49" w:hRule="exact"/>
        </w:trPr>
        <w:tc>
          <w:tcPr>
            <w:tcW w:w="1916"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3"/>
              <w:ind w:left="95" w:right="175"/>
              <w:jc w:val="both"/>
              <w:rPr>
                <w:rFonts w:ascii="宋体" w:hAnsi="宋体" w:cs="宋体" w:eastAsia="宋体" w:hint="default"/>
                <w:sz w:val="18"/>
                <w:szCs w:val="18"/>
              </w:rPr>
            </w:pPr>
            <w:r>
              <w:rPr>
                <w:rFonts w:ascii="宋体" w:hAnsi="宋体" w:cs="宋体" w:eastAsia="宋体" w:hint="default"/>
                <w:spacing w:val="-3"/>
                <w:sz w:val="18"/>
                <w:szCs w:val="18"/>
              </w:rPr>
              <w:t>江苏光一投资管理有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限责任公司、湖北索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瑞电气有限公司、龙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昌明、熊珂</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29" w:right="0"/>
              <w:jc w:val="left"/>
              <w:rPr>
                <w:rFonts w:ascii="宋体" w:hAnsi="宋体" w:cs="宋体" w:eastAsia="宋体" w:hint="default"/>
                <w:sz w:val="18"/>
                <w:szCs w:val="18"/>
              </w:rPr>
            </w:pPr>
            <w:r>
              <w:rPr>
                <w:rFonts w:ascii="宋体"/>
                <w:sz w:val="18"/>
              </w:rPr>
              <w:t>10,000,000.00</w:t>
            </w:r>
          </w:p>
        </w:tc>
        <w:tc>
          <w:tcPr>
            <w:tcW w:w="1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0"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18</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17</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right="1024"/>
        <w:jc w:val="left"/>
        <w:rPr>
          <w:b w:val="0"/>
          <w:bCs w:val="0"/>
        </w:rPr>
      </w:pPr>
      <w:bookmarkStart w:name="（5）关联方资金拆借" w:id="442"/>
      <w:bookmarkEnd w:id="442"/>
      <w:r>
        <w:rPr>
          <w:b w:val="0"/>
          <w:bCs w:val="0"/>
        </w:rPr>
      </w:r>
      <w:r>
        <w:rPr/>
        <w:t>（</w:t>
      </w:r>
      <w:r>
        <w:rPr>
          <w:rFonts w:ascii="宋体" w:hAnsi="宋体" w:cs="宋体" w:eastAsia="宋体" w:hint="default"/>
        </w:rPr>
        <w:t>5</w:t>
      </w:r>
      <w:r>
        <w:rPr/>
        <w:t>）关联方资金拆借</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16"/>
        <w:gridCol w:w="1911"/>
        <w:gridCol w:w="1916"/>
        <w:gridCol w:w="1916"/>
        <w:gridCol w:w="1916"/>
      </w:tblGrid>
      <w:tr>
        <w:trPr>
          <w:trHeight w:val="413" w:hRule="exact"/>
        </w:trPr>
        <w:tc>
          <w:tcPr>
            <w:tcW w:w="191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98" w:hRule="exact"/>
        </w:trPr>
        <w:tc>
          <w:tcPr>
            <w:tcW w:w="9575" w:type="dxa"/>
            <w:gridSpan w:val="5"/>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5"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21"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湖北瀚瑞铜业有限公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29</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4"/>
              <w:ind w:left="95" w:right="175"/>
              <w:jc w:val="left"/>
              <w:rPr>
                <w:rFonts w:ascii="宋体" w:hAnsi="宋体" w:cs="宋体" w:eastAsia="宋体" w:hint="default"/>
                <w:sz w:val="18"/>
                <w:szCs w:val="18"/>
              </w:rPr>
            </w:pPr>
            <w:r>
              <w:rPr>
                <w:rFonts w:ascii="宋体" w:hAnsi="宋体" w:cs="宋体" w:eastAsia="宋体" w:hint="default"/>
                <w:spacing w:val="-3"/>
                <w:sz w:val="18"/>
                <w:szCs w:val="18"/>
              </w:rPr>
              <w:t>湖北瀚瑞铜业有限公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17</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916"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湖北瀚瑞铜业有限公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24</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06</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9575" w:type="dxa"/>
            <w:gridSpan w:val="5"/>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25" w:hRule="exact"/>
        </w:trPr>
        <w:tc>
          <w:tcPr>
            <w:tcW w:w="1916" w:type="dxa"/>
            <w:tcBorders>
              <w:top w:val="single" w:sz="4" w:space="0" w:color="000000"/>
              <w:left w:val="single" w:sz="12" w:space="0" w:color="000000"/>
              <w:bottom w:val="single" w:sz="12" w:space="0" w:color="000000"/>
              <w:right w:val="single" w:sz="4" w:space="0" w:color="000000"/>
            </w:tcBorders>
          </w:tcPr>
          <w:p>
            <w:pPr>
              <w:pStyle w:val="TableParagraph"/>
              <w:spacing w:line="321" w:lineRule="auto" w:before="54"/>
              <w:ind w:left="95" w:right="175"/>
              <w:jc w:val="left"/>
              <w:rPr>
                <w:rFonts w:ascii="宋体" w:hAnsi="宋体" w:cs="宋体" w:eastAsia="宋体" w:hint="default"/>
                <w:sz w:val="18"/>
                <w:szCs w:val="18"/>
              </w:rPr>
            </w:pPr>
            <w:r>
              <w:rPr>
                <w:rFonts w:ascii="宋体" w:hAnsi="宋体" w:cs="宋体" w:eastAsia="宋体" w:hint="default"/>
                <w:spacing w:val="-3"/>
                <w:sz w:val="18"/>
                <w:szCs w:val="18"/>
              </w:rPr>
              <w:t>江苏新宇能电力科技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7,114,203.33</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12" w:space="0" w:color="000000"/>
              <w:right w:val="single" w:sz="12" w:space="0" w:color="000000"/>
            </w:tcBorders>
          </w:tcPr>
          <w:p>
            <w:pPr/>
          </w:p>
        </w:tc>
      </w:tr>
    </w:tbl>
    <w:p>
      <w:pPr>
        <w:pStyle w:val="Heading4"/>
        <w:spacing w:line="240" w:lineRule="auto" w:before="66"/>
        <w:ind w:right="1024"/>
        <w:jc w:val="left"/>
        <w:rPr>
          <w:b w:val="0"/>
          <w:bCs w:val="0"/>
        </w:rPr>
      </w:pPr>
      <w:bookmarkStart w:name="（6）关联方资产转让、债务重组情况" w:id="443"/>
      <w:bookmarkEnd w:id="443"/>
      <w:r>
        <w:rPr>
          <w:b w:val="0"/>
          <w:bCs w:val="0"/>
        </w:rPr>
      </w:r>
      <w:r>
        <w:rPr/>
        <w:t>（</w:t>
      </w:r>
      <w:r>
        <w:rPr>
          <w:rFonts w:ascii="宋体" w:hAnsi="宋体" w:cs="宋体" w:eastAsia="宋体" w:hint="default"/>
        </w:rPr>
        <w:t>6</w:t>
      </w:r>
      <w:r>
        <w:rPr/>
        <w:t>）关联方资产转让、债务重组情况</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right="1024"/>
        <w:jc w:val="left"/>
      </w:pPr>
      <w:r>
        <w:rPr/>
        <w:t>□ 适用 √</w:t>
      </w:r>
      <w:r>
        <w:rPr>
          <w:spacing w:val="4"/>
        </w:rPr>
        <w:t> </w:t>
      </w:r>
      <w:r>
        <w:rPr/>
        <w:t>不适用</w:t>
      </w:r>
    </w:p>
    <w:p>
      <w:pPr>
        <w:spacing w:line="240" w:lineRule="auto" w:before="0"/>
        <w:rPr>
          <w:rFonts w:ascii="宋体" w:hAnsi="宋体" w:cs="宋体" w:eastAsia="宋体" w:hint="default"/>
          <w:sz w:val="20"/>
          <w:szCs w:val="20"/>
        </w:rPr>
      </w:pPr>
    </w:p>
    <w:p>
      <w:pPr>
        <w:pStyle w:val="Heading4"/>
        <w:spacing w:line="240" w:lineRule="auto" w:before="150"/>
        <w:ind w:right="1024"/>
        <w:jc w:val="left"/>
        <w:rPr>
          <w:b w:val="0"/>
          <w:bCs w:val="0"/>
        </w:rPr>
      </w:pPr>
      <w:bookmarkStart w:name="（7）关键管理人员报酬" w:id="444"/>
      <w:bookmarkEnd w:id="444"/>
      <w:r>
        <w:rPr>
          <w:b w:val="0"/>
          <w:bCs w:val="0"/>
        </w:rPr>
      </w:r>
      <w:r>
        <w:rPr/>
        <w:t>（</w:t>
      </w:r>
      <w:r>
        <w:rPr>
          <w:rFonts w:ascii="宋体" w:hAnsi="宋体" w:cs="宋体" w:eastAsia="宋体" w:hint="default"/>
        </w:rPr>
        <w:t>7</w:t>
      </w:r>
      <w:r>
        <w:rPr/>
        <w:t>）关键管理人员报酬</w:t>
      </w:r>
      <w:r>
        <w:rPr>
          <w:b w:val="0"/>
          <w:bCs w:val="0"/>
        </w:rPr>
      </w:r>
    </w:p>
    <w:p>
      <w:pPr>
        <w:spacing w:line="240" w:lineRule="auto" w:before="9"/>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left="2002" w:right="0"/>
              <w:jc w:val="left"/>
              <w:rPr>
                <w:rFonts w:ascii="宋体" w:hAnsi="宋体" w:cs="宋体" w:eastAsia="宋体" w:hint="default"/>
                <w:sz w:val="18"/>
                <w:szCs w:val="18"/>
              </w:rPr>
            </w:pPr>
            <w:r>
              <w:rPr>
                <w:rFonts w:ascii="宋体"/>
                <w:sz w:val="18"/>
              </w:rPr>
              <w:t>6,457,500.00</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4"/>
              <w:ind w:left="1997" w:right="0"/>
              <w:jc w:val="left"/>
              <w:rPr>
                <w:rFonts w:ascii="宋体" w:hAnsi="宋体" w:cs="宋体" w:eastAsia="宋体" w:hint="default"/>
                <w:sz w:val="18"/>
                <w:szCs w:val="18"/>
              </w:rPr>
            </w:pPr>
            <w:r>
              <w:rPr>
                <w:rFonts w:ascii="宋体"/>
                <w:sz w:val="18"/>
              </w:rPr>
              <w:t>3,210,588.48</w:t>
            </w:r>
          </w:p>
        </w:tc>
      </w:tr>
    </w:tbl>
    <w:p>
      <w:pPr>
        <w:pStyle w:val="Heading4"/>
        <w:spacing w:line="240" w:lineRule="auto" w:before="66"/>
        <w:ind w:right="1024"/>
        <w:jc w:val="left"/>
        <w:rPr>
          <w:b w:val="0"/>
          <w:bCs w:val="0"/>
        </w:rPr>
      </w:pPr>
      <w:bookmarkStart w:name="（8）其他关联交易" w:id="445"/>
      <w:bookmarkEnd w:id="445"/>
      <w:r>
        <w:rPr>
          <w:b w:val="0"/>
          <w:bCs w:val="0"/>
        </w:rPr>
      </w:r>
      <w:r>
        <w:rPr/>
        <w:t>（</w:t>
      </w:r>
      <w:r>
        <w:rPr>
          <w:rFonts w:ascii="宋体" w:hAnsi="宋体" w:cs="宋体" w:eastAsia="宋体" w:hint="default"/>
        </w:rPr>
        <w:t>8</w:t>
      </w:r>
      <w:r>
        <w:rPr/>
        <w:t>）其他关联交易</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right="1024"/>
        <w:jc w:val="left"/>
      </w:pPr>
      <w:r>
        <w:rPr/>
        <w:t>□ 适用 √</w:t>
      </w:r>
      <w:r>
        <w:rPr>
          <w:spacing w:val="4"/>
        </w:rPr>
        <w:t> </w:t>
      </w:r>
      <w:r>
        <w:rPr/>
        <w:t>不适用</w:t>
      </w:r>
    </w:p>
    <w:p>
      <w:pPr>
        <w:spacing w:after="0" w:line="240" w:lineRule="auto"/>
        <w:jc w:val="left"/>
        <w:sectPr>
          <w:pgSz w:w="11910" w:h="16840"/>
          <w:pgMar w:header="871" w:footer="1037" w:top="1040" w:bottom="1220" w:left="980" w:right="0"/>
        </w:sectPr>
      </w:pPr>
    </w:p>
    <w:p>
      <w:pPr>
        <w:spacing w:line="240" w:lineRule="auto" w:before="1"/>
        <w:rPr>
          <w:rFonts w:ascii="宋体" w:hAnsi="宋体" w:cs="宋体" w:eastAsia="宋体" w:hint="default"/>
          <w:sz w:val="26"/>
          <w:szCs w:val="26"/>
        </w:rPr>
      </w:pPr>
    </w:p>
    <w:p>
      <w:pPr>
        <w:pStyle w:val="Heading4"/>
        <w:spacing w:line="240" w:lineRule="auto"/>
        <w:ind w:right="1024"/>
        <w:jc w:val="left"/>
        <w:rPr>
          <w:b w:val="0"/>
          <w:bCs w:val="0"/>
        </w:rPr>
      </w:pPr>
      <w:bookmarkStart w:name="6、关联方应收应付款项" w:id="446"/>
      <w:bookmarkEnd w:id="446"/>
      <w:r>
        <w:rPr>
          <w:b w:val="0"/>
          <w:bCs w:val="0"/>
        </w:rPr>
      </w:r>
      <w:r>
        <w:rPr>
          <w:rFonts w:ascii="宋体" w:hAnsi="宋体" w:cs="宋体" w:eastAsia="宋体" w:hint="default"/>
        </w:rPr>
        <w:t>6</w:t>
      </w:r>
      <w:r>
        <w:rPr/>
        <w:t>、关联方应收应付款项</w:t>
      </w:r>
      <w:r>
        <w:rPr>
          <w:b w:val="0"/>
          <w:bCs w:val="0"/>
        </w:rPr>
      </w:r>
    </w:p>
    <w:p>
      <w:pPr>
        <w:spacing w:line="240" w:lineRule="auto" w:before="8"/>
        <w:rPr>
          <w:rFonts w:ascii="宋体" w:hAnsi="宋体" w:cs="宋体" w:eastAsia="宋体" w:hint="default"/>
          <w:b/>
          <w:bCs/>
          <w:sz w:val="25"/>
          <w:szCs w:val="25"/>
        </w:rPr>
      </w:pPr>
    </w:p>
    <w:p>
      <w:pPr>
        <w:pStyle w:val="Heading4"/>
        <w:spacing w:line="240" w:lineRule="auto" w:before="0"/>
        <w:ind w:right="1024"/>
        <w:jc w:val="left"/>
        <w:rPr>
          <w:b w:val="0"/>
          <w:bCs w:val="0"/>
        </w:rPr>
      </w:pPr>
      <w:bookmarkStart w:name="（1）应收项目" w:id="447"/>
      <w:bookmarkEnd w:id="447"/>
      <w:r>
        <w:rPr>
          <w:b w:val="0"/>
          <w:bCs w:val="0"/>
        </w:rPr>
      </w:r>
      <w:r>
        <w:rPr/>
        <w:t>（</w:t>
      </w:r>
      <w:r>
        <w:rPr>
          <w:rFonts w:ascii="宋体" w:hAnsi="宋体" w:cs="宋体" w:eastAsia="宋体" w:hint="default"/>
        </w:rPr>
        <w:t>1</w:t>
      </w:r>
      <w:r>
        <w:rPr/>
        <w:t>）应收项目</w:t>
      </w:r>
      <w:r>
        <w:rPr>
          <w:b w:val="0"/>
          <w:bCs w:val="0"/>
        </w:rPr>
      </w:r>
    </w:p>
    <w:p>
      <w:pPr>
        <w:spacing w:line="240" w:lineRule="auto" w:before="1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13" w:hRule="exact"/>
        </w:trPr>
        <w:tc>
          <w:tcPr>
            <w:tcW w:w="1594"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4" w:type="dxa"/>
            <w:vMerge/>
            <w:tcBorders>
              <w:left w:val="single" w:sz="12"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1" w:hRule="exact"/>
        </w:trPr>
        <w:tc>
          <w:tcPr>
            <w:tcW w:w="159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19"/>
              <w:jc w:val="left"/>
              <w:rPr>
                <w:rFonts w:ascii="宋体" w:hAnsi="宋体" w:cs="宋体" w:eastAsia="宋体" w:hint="default"/>
                <w:sz w:val="18"/>
                <w:szCs w:val="18"/>
              </w:rPr>
            </w:pPr>
            <w:r>
              <w:rPr>
                <w:rFonts w:ascii="宋体" w:hAnsi="宋体" w:cs="宋体" w:eastAsia="宋体" w:hint="default"/>
                <w:spacing w:val="-3"/>
                <w:sz w:val="18"/>
                <w:szCs w:val="18"/>
              </w:rPr>
              <w:t>江苏其厚智能电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气设备有限公司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233,376.01</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7,001.28</w:t>
            </w:r>
          </w:p>
        </w:tc>
      </w:tr>
      <w:tr>
        <w:trPr>
          <w:trHeight w:val="715" w:hRule="exact"/>
        </w:trPr>
        <w:tc>
          <w:tcPr>
            <w:tcW w:w="159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19"/>
              <w:jc w:val="left"/>
              <w:rPr>
                <w:rFonts w:ascii="宋体" w:hAnsi="宋体" w:cs="宋体" w:eastAsia="宋体" w:hint="default"/>
                <w:sz w:val="18"/>
                <w:szCs w:val="18"/>
              </w:rPr>
            </w:pPr>
            <w:r>
              <w:rPr>
                <w:rFonts w:ascii="宋体" w:hAnsi="宋体" w:cs="宋体" w:eastAsia="宋体" w:hint="default"/>
                <w:spacing w:val="-3"/>
                <w:sz w:val="18"/>
                <w:szCs w:val="18"/>
              </w:rPr>
              <w:t>江苏新宇能电力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230,620.00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54,714.00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220,980.00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6,629.40</w:t>
            </w:r>
          </w:p>
        </w:tc>
      </w:tr>
      <w:tr>
        <w:trPr>
          <w:trHeight w:val="1028" w:hRule="exact"/>
        </w:trPr>
        <w:tc>
          <w:tcPr>
            <w:tcW w:w="159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219"/>
              <w:jc w:val="left"/>
              <w:rPr>
                <w:rFonts w:ascii="宋体" w:hAnsi="宋体" w:cs="宋体" w:eastAsia="宋体" w:hint="default"/>
                <w:sz w:val="18"/>
                <w:szCs w:val="18"/>
              </w:rPr>
            </w:pPr>
            <w:r>
              <w:rPr>
                <w:rFonts w:ascii="宋体" w:hAnsi="宋体" w:cs="宋体" w:eastAsia="宋体" w:hint="default"/>
                <w:spacing w:val="-3"/>
                <w:sz w:val="18"/>
                <w:szCs w:val="18"/>
              </w:rPr>
              <w:t>深圳贵仁创新产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业基金合伙企业</w:t>
            </w:r>
          </w:p>
          <w:p>
            <w:pPr>
              <w:pStyle w:val="TableParagraph"/>
              <w:spacing w:line="240" w:lineRule="auto" w:before="28"/>
              <w:ind w:left="105"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100.00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84"/>
              <w:jc w:val="right"/>
              <w:rPr>
                <w:rFonts w:ascii="宋体" w:hAnsi="宋体" w:cs="宋体" w:eastAsia="宋体" w:hint="default"/>
                <w:sz w:val="18"/>
                <w:szCs w:val="18"/>
              </w:rPr>
            </w:pPr>
            <w:r>
              <w:rPr>
                <w:rFonts w:ascii="宋体"/>
                <w:sz w:val="18"/>
              </w:rPr>
              <w:t>10.00</w:t>
            </w:r>
          </w:p>
        </w:tc>
      </w:tr>
      <w:tr>
        <w:trPr>
          <w:trHeight w:val="715" w:hRule="exact"/>
        </w:trPr>
        <w:tc>
          <w:tcPr>
            <w:tcW w:w="159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9"/>
              <w:jc w:val="left"/>
              <w:rPr>
                <w:rFonts w:ascii="宋体" w:hAnsi="宋体" w:cs="宋体" w:eastAsia="宋体" w:hint="default"/>
                <w:sz w:val="18"/>
                <w:szCs w:val="18"/>
              </w:rPr>
            </w:pPr>
            <w:r>
              <w:rPr>
                <w:rFonts w:ascii="宋体" w:hAnsi="宋体" w:cs="宋体" w:eastAsia="宋体" w:hint="default"/>
                <w:spacing w:val="-3"/>
                <w:sz w:val="18"/>
                <w:szCs w:val="18"/>
              </w:rPr>
              <w:t>江苏其厚智能电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气设备有限公司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4,500,000.00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135,000.00</w:t>
            </w:r>
          </w:p>
        </w:tc>
      </w:tr>
      <w:tr>
        <w:trPr>
          <w:trHeight w:val="1023" w:hRule="exact"/>
        </w:trPr>
        <w:tc>
          <w:tcPr>
            <w:tcW w:w="159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19"/>
              <w:jc w:val="both"/>
              <w:rPr>
                <w:rFonts w:ascii="宋体" w:hAnsi="宋体" w:cs="宋体" w:eastAsia="宋体" w:hint="default"/>
                <w:sz w:val="18"/>
                <w:szCs w:val="18"/>
              </w:rPr>
            </w:pPr>
            <w:r>
              <w:rPr>
                <w:rFonts w:ascii="宋体" w:hAnsi="宋体" w:cs="宋体" w:eastAsia="宋体" w:hint="default"/>
                <w:spacing w:val="-3"/>
                <w:sz w:val="18"/>
                <w:szCs w:val="18"/>
              </w:rPr>
              <w:t>广东今程光一电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力科技有限责任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14,400.00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4,320.00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14,400.00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84"/>
              <w:jc w:val="right"/>
              <w:rPr>
                <w:rFonts w:ascii="宋体" w:hAnsi="宋体" w:cs="宋体" w:eastAsia="宋体" w:hint="default"/>
                <w:sz w:val="18"/>
                <w:szCs w:val="18"/>
              </w:rPr>
            </w:pPr>
            <w:r>
              <w:rPr>
                <w:rFonts w:ascii="宋体"/>
                <w:spacing w:val="-1"/>
                <w:sz w:val="18"/>
              </w:rPr>
              <w:t>1,440.00</w:t>
            </w:r>
          </w:p>
        </w:tc>
      </w:tr>
      <w:tr>
        <w:trPr>
          <w:trHeight w:val="715" w:hRule="exact"/>
        </w:trPr>
        <w:tc>
          <w:tcPr>
            <w:tcW w:w="159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19"/>
              <w:jc w:val="left"/>
              <w:rPr>
                <w:rFonts w:ascii="宋体" w:hAnsi="宋体" w:cs="宋体" w:eastAsia="宋体" w:hint="default"/>
                <w:sz w:val="18"/>
                <w:szCs w:val="18"/>
              </w:rPr>
            </w:pPr>
            <w:r>
              <w:rPr>
                <w:rFonts w:ascii="宋体" w:hAnsi="宋体" w:cs="宋体" w:eastAsia="宋体" w:hint="default"/>
                <w:spacing w:val="-3"/>
                <w:sz w:val="18"/>
                <w:szCs w:val="18"/>
              </w:rPr>
              <w:t>湖北瀚瑞铜业有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656,951.08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19,708.53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80,456.10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2,413.68</w:t>
            </w:r>
          </w:p>
        </w:tc>
      </w:tr>
      <w:tr>
        <w:trPr>
          <w:trHeight w:val="716" w:hRule="exact"/>
        </w:trPr>
        <w:tc>
          <w:tcPr>
            <w:tcW w:w="159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19"/>
              <w:jc w:val="left"/>
              <w:rPr>
                <w:rFonts w:ascii="宋体" w:hAnsi="宋体" w:cs="宋体" w:eastAsia="宋体" w:hint="default"/>
                <w:sz w:val="18"/>
                <w:szCs w:val="18"/>
              </w:rPr>
            </w:pPr>
            <w:r>
              <w:rPr>
                <w:rFonts w:ascii="宋体" w:hAnsi="宋体" w:cs="宋体" w:eastAsia="宋体" w:hint="default"/>
                <w:spacing w:val="-3"/>
                <w:sz w:val="18"/>
                <w:szCs w:val="18"/>
              </w:rPr>
              <w:t>湖北瀚瑞铜业有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18,000,000.00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540,000.00</w:t>
            </w:r>
          </w:p>
        </w:tc>
      </w:tr>
      <w:tr>
        <w:trPr>
          <w:trHeight w:val="1027" w:hRule="exact"/>
        </w:trPr>
        <w:tc>
          <w:tcPr>
            <w:tcW w:w="159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36"/>
              <w:jc w:val="left"/>
              <w:rPr>
                <w:rFonts w:ascii="宋体" w:hAnsi="宋体" w:cs="宋体" w:eastAsia="宋体" w:hint="default"/>
                <w:sz w:val="18"/>
                <w:szCs w:val="18"/>
              </w:rPr>
            </w:pPr>
            <w:r>
              <w:rPr>
                <w:rFonts w:ascii="宋体" w:hAnsi="宋体" w:cs="宋体" w:eastAsia="宋体" w:hint="default"/>
                <w:spacing w:val="-3"/>
                <w:sz w:val="18"/>
                <w:szCs w:val="18"/>
              </w:rPr>
              <w:t>南京光一文化产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业投资发展合伙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企业（有限合伙）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1,100.00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330.00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8"/>
              <w:jc w:val="right"/>
              <w:rPr>
                <w:rFonts w:ascii="宋体" w:hAnsi="宋体" w:cs="宋体" w:eastAsia="宋体" w:hint="default"/>
                <w:sz w:val="18"/>
                <w:szCs w:val="18"/>
              </w:rPr>
            </w:pPr>
            <w:r>
              <w:rPr>
                <w:rFonts w:ascii="宋体"/>
                <w:spacing w:val="-1"/>
                <w:sz w:val="18"/>
              </w:rPr>
              <w:t>1,100.00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84"/>
              <w:jc w:val="right"/>
              <w:rPr>
                <w:rFonts w:ascii="宋体" w:hAnsi="宋体" w:cs="宋体" w:eastAsia="宋体" w:hint="default"/>
                <w:sz w:val="18"/>
                <w:szCs w:val="18"/>
              </w:rPr>
            </w:pPr>
            <w:r>
              <w:rPr>
                <w:rFonts w:ascii="宋体"/>
                <w:spacing w:val="-1"/>
                <w:sz w:val="18"/>
              </w:rPr>
              <w:t>1,100.00</w:t>
            </w:r>
          </w:p>
        </w:tc>
      </w:tr>
      <w:tr>
        <w:trPr>
          <w:trHeight w:val="711" w:hRule="exact"/>
        </w:trPr>
        <w:tc>
          <w:tcPr>
            <w:tcW w:w="159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19"/>
              <w:jc w:val="left"/>
              <w:rPr>
                <w:rFonts w:ascii="宋体" w:hAnsi="宋体" w:cs="宋体" w:eastAsia="宋体" w:hint="default"/>
                <w:sz w:val="18"/>
                <w:szCs w:val="18"/>
              </w:rPr>
            </w:pPr>
            <w:r>
              <w:rPr>
                <w:rFonts w:ascii="宋体" w:hAnsi="宋体" w:cs="宋体" w:eastAsia="宋体" w:hint="default"/>
                <w:spacing w:val="-3"/>
                <w:sz w:val="18"/>
                <w:szCs w:val="18"/>
              </w:rPr>
              <w:t>江苏光一环保工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程有限公司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178.35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59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19"/>
              <w:jc w:val="left"/>
              <w:rPr>
                <w:rFonts w:ascii="宋体" w:hAnsi="宋体" w:cs="宋体" w:eastAsia="宋体" w:hint="default"/>
                <w:sz w:val="18"/>
                <w:szCs w:val="18"/>
              </w:rPr>
            </w:pPr>
            <w:r>
              <w:rPr>
                <w:rFonts w:ascii="宋体" w:hAnsi="宋体" w:cs="宋体" w:eastAsia="宋体" w:hint="default"/>
                <w:spacing w:val="-3"/>
                <w:sz w:val="18"/>
                <w:szCs w:val="18"/>
              </w:rPr>
              <w:t>江苏德能电力设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计咨询有限公司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159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9"/>
              <w:jc w:val="left"/>
              <w:rPr>
                <w:rFonts w:ascii="宋体" w:hAnsi="宋体" w:cs="宋体" w:eastAsia="宋体" w:hint="default"/>
                <w:sz w:val="18"/>
                <w:szCs w:val="18"/>
              </w:rPr>
            </w:pPr>
            <w:r>
              <w:rPr>
                <w:rFonts w:ascii="宋体" w:hAnsi="宋体" w:cs="宋体" w:eastAsia="宋体" w:hint="default"/>
                <w:spacing w:val="-3"/>
                <w:sz w:val="18"/>
                <w:szCs w:val="18"/>
              </w:rPr>
              <w:t>江苏新宇能电力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7,114,203.33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213,426.10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159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龙昌明</w:t>
            </w:r>
          </w:p>
        </w:tc>
        <w:tc>
          <w:tcPr>
            <w:tcW w:w="15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300,000.00</w:t>
            </w:r>
          </w:p>
        </w:tc>
        <w:tc>
          <w:tcPr>
            <w:tcW w:w="159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9,000.00</w:t>
            </w:r>
          </w:p>
        </w:tc>
        <w:tc>
          <w:tcPr>
            <w:tcW w:w="1594" w:type="dxa"/>
            <w:tcBorders>
              <w:top w:val="single" w:sz="4" w:space="0" w:color="000000"/>
              <w:left w:val="single" w:sz="4" w:space="0" w:color="000000"/>
              <w:bottom w:val="single" w:sz="12" w:space="0" w:color="000000"/>
              <w:right w:val="single" w:sz="4" w:space="0" w:color="000000"/>
            </w:tcBorders>
          </w:tcPr>
          <w:p>
            <w:pPr/>
          </w:p>
        </w:tc>
        <w:tc>
          <w:tcPr>
            <w:tcW w:w="1594" w:type="dxa"/>
            <w:tcBorders>
              <w:top w:val="single" w:sz="4" w:space="0" w:color="000000"/>
              <w:left w:val="single" w:sz="4" w:space="0" w:color="000000"/>
              <w:bottom w:val="single" w:sz="12" w:space="0" w:color="000000"/>
              <w:right w:val="single" w:sz="12" w:space="0" w:color="000000"/>
            </w:tcBorders>
          </w:tcPr>
          <w:p>
            <w:pPr/>
          </w:p>
        </w:tc>
      </w:tr>
    </w:tbl>
    <w:p>
      <w:pPr>
        <w:spacing w:before="53"/>
        <w:ind w:left="153" w:right="1024"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）应付项目</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391"/>
        <w:gridCol w:w="2396"/>
        <w:gridCol w:w="2391"/>
        <w:gridCol w:w="2391"/>
      </w:tblGrid>
      <w:tr>
        <w:trPr>
          <w:trHeight w:val="413" w:hRule="exact"/>
        </w:trPr>
        <w:tc>
          <w:tcPr>
            <w:tcW w:w="239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1"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13"/>
              <w:jc w:val="left"/>
              <w:rPr>
                <w:rFonts w:ascii="宋体" w:hAnsi="宋体" w:cs="宋体" w:eastAsia="宋体" w:hint="default"/>
                <w:sz w:val="18"/>
                <w:szCs w:val="18"/>
              </w:rPr>
            </w:pPr>
            <w:r>
              <w:rPr>
                <w:rFonts w:ascii="宋体" w:hAnsi="宋体" w:cs="宋体" w:eastAsia="宋体" w:hint="default"/>
                <w:spacing w:val="-3"/>
                <w:sz w:val="18"/>
                <w:szCs w:val="18"/>
              </w:rPr>
              <w:t>江苏其厚智能电气设备有限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308,000.00</w:t>
            </w:r>
          </w:p>
        </w:tc>
      </w:tr>
      <w:tr>
        <w:trPr>
          <w:trHeight w:val="413" w:hRule="exact"/>
        </w:trPr>
        <w:tc>
          <w:tcPr>
            <w:tcW w:w="239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钱卫民</w:t>
            </w:r>
          </w:p>
        </w:tc>
        <w:tc>
          <w:tcPr>
            <w:tcW w:w="2391" w:type="dxa"/>
            <w:tcBorders>
              <w:top w:val="single" w:sz="4" w:space="0" w:color="000000"/>
              <w:left w:val="single" w:sz="4" w:space="0" w:color="000000"/>
              <w:bottom w:val="single" w:sz="12" w:space="0" w:color="000000"/>
              <w:right w:val="single" w:sz="4" w:space="0" w:color="000000"/>
            </w:tcBorders>
          </w:tcPr>
          <w:p>
            <w:pPr/>
          </w:p>
        </w:tc>
        <w:tc>
          <w:tcPr>
            <w:tcW w:w="23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180,000.00</w:t>
            </w:r>
          </w:p>
        </w:tc>
      </w:tr>
    </w:tbl>
    <w:p>
      <w:pPr>
        <w:spacing w:after="0" w:line="240" w:lineRule="auto"/>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2391"/>
        <w:gridCol w:w="2396"/>
        <w:gridCol w:w="2391"/>
        <w:gridCol w:w="2391"/>
      </w:tblGrid>
      <w:tr>
        <w:trPr>
          <w:trHeight w:val="413" w:hRule="exact"/>
        </w:trPr>
        <w:tc>
          <w:tcPr>
            <w:tcW w:w="2391"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戴晓东</w:t>
            </w:r>
          </w:p>
        </w:tc>
        <w:tc>
          <w:tcPr>
            <w:tcW w:w="23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300,000.00</w:t>
            </w:r>
          </w:p>
        </w:tc>
        <w:tc>
          <w:tcPr>
            <w:tcW w:w="2391" w:type="dxa"/>
            <w:tcBorders>
              <w:top w:val="single" w:sz="12" w:space="0" w:color="000000"/>
              <w:left w:val="single" w:sz="4" w:space="0" w:color="000000"/>
              <w:bottom w:val="single" w:sz="4" w:space="0" w:color="000000"/>
              <w:right w:val="single" w:sz="12" w:space="0" w:color="000000"/>
            </w:tcBorders>
          </w:tcPr>
          <w:p>
            <w:pP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湖北瀚瑞铜业有限公司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30,000.00</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30,000.00</w:t>
            </w:r>
          </w:p>
        </w:tc>
      </w:tr>
      <w:tr>
        <w:trPr>
          <w:trHeight w:val="711"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13"/>
              <w:jc w:val="left"/>
              <w:rPr>
                <w:rFonts w:ascii="宋体" w:hAnsi="宋体" w:cs="宋体" w:eastAsia="宋体" w:hint="default"/>
                <w:sz w:val="18"/>
                <w:szCs w:val="18"/>
              </w:rPr>
            </w:pPr>
            <w:r>
              <w:rPr>
                <w:rFonts w:ascii="宋体" w:hAnsi="宋体" w:cs="宋体" w:eastAsia="宋体" w:hint="default"/>
                <w:spacing w:val="-3"/>
                <w:sz w:val="18"/>
                <w:szCs w:val="18"/>
              </w:rPr>
              <w:t>江苏新宇能电力科技有限公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260,000.00</w:t>
            </w: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725" w:hRule="exact"/>
        </w:trPr>
        <w:tc>
          <w:tcPr>
            <w:tcW w:w="239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12" w:space="0" w:color="000000"/>
              <w:right w:val="single" w:sz="4" w:space="0" w:color="000000"/>
            </w:tcBorders>
          </w:tcPr>
          <w:p>
            <w:pPr>
              <w:pStyle w:val="TableParagraph"/>
              <w:spacing w:line="321" w:lineRule="auto" w:before="53"/>
              <w:ind w:left="105" w:right="113"/>
              <w:jc w:val="left"/>
              <w:rPr>
                <w:rFonts w:ascii="宋体" w:hAnsi="宋体" w:cs="宋体" w:eastAsia="宋体" w:hint="default"/>
                <w:sz w:val="18"/>
                <w:szCs w:val="18"/>
              </w:rPr>
            </w:pPr>
            <w:r>
              <w:rPr>
                <w:rFonts w:ascii="宋体" w:hAnsi="宋体" w:cs="宋体" w:eastAsia="宋体" w:hint="default"/>
                <w:spacing w:val="-3"/>
                <w:sz w:val="18"/>
                <w:szCs w:val="18"/>
              </w:rPr>
              <w:t>江苏其厚智能电气设备有限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2391" w:type="dxa"/>
            <w:tcBorders>
              <w:top w:val="single" w:sz="4" w:space="0" w:color="000000"/>
              <w:left w:val="single" w:sz="4" w:space="0" w:color="000000"/>
              <w:bottom w:val="single" w:sz="12" w:space="0" w:color="000000"/>
              <w:right w:val="single" w:sz="4" w:space="0" w:color="000000"/>
            </w:tcBorders>
          </w:tcPr>
          <w:p>
            <w:pPr/>
          </w:p>
        </w:tc>
        <w:tc>
          <w:tcPr>
            <w:tcW w:w="23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13,550,000.00</w:t>
            </w:r>
          </w:p>
        </w:tc>
      </w:tr>
    </w:tbl>
    <w:p>
      <w:pPr>
        <w:pStyle w:val="Heading4"/>
        <w:spacing w:line="240" w:lineRule="auto" w:before="66"/>
        <w:ind w:right="1024"/>
        <w:jc w:val="left"/>
        <w:rPr>
          <w:b w:val="0"/>
          <w:bCs w:val="0"/>
        </w:rPr>
      </w:pPr>
      <w:bookmarkStart w:name="7、 关联方承诺" w:id="448"/>
      <w:bookmarkEnd w:id="448"/>
      <w:r>
        <w:rPr>
          <w:b w:val="0"/>
          <w:bCs w:val="0"/>
        </w:rPr>
      </w:r>
      <w:r>
        <w:rPr>
          <w:rFonts w:ascii="宋体" w:hAnsi="宋体" w:cs="宋体" w:eastAsia="宋体" w:hint="default"/>
        </w:rPr>
        <w:t>7</w:t>
      </w:r>
      <w:r>
        <w:rPr/>
        <w:t>、关联方承诺</w:t>
      </w:r>
      <w:r>
        <w:rPr>
          <w:b w:val="0"/>
          <w:bCs w:val="0"/>
        </w:rPr>
      </w:r>
    </w:p>
    <w:p>
      <w:pPr>
        <w:spacing w:line="240" w:lineRule="auto" w:before="13"/>
        <w:rPr>
          <w:rFonts w:ascii="宋体" w:hAnsi="宋体" w:cs="宋体" w:eastAsia="宋体" w:hint="default"/>
          <w:b/>
          <w:bCs/>
          <w:sz w:val="14"/>
          <w:szCs w:val="14"/>
        </w:rPr>
      </w:pPr>
    </w:p>
    <w:p>
      <w:pPr>
        <w:pStyle w:val="BodyText"/>
        <w:spacing w:line="240" w:lineRule="auto"/>
        <w:ind w:right="1024"/>
        <w:jc w:val="left"/>
      </w:pPr>
      <w:r>
        <w:rPr/>
        <w:t>□ 适用 √</w:t>
      </w:r>
      <w:r>
        <w:rPr>
          <w:spacing w:val="4"/>
        </w:rPr>
        <w:t> </w:t>
      </w:r>
      <w:r>
        <w:rPr/>
        <w:t>不适用</w:t>
      </w:r>
    </w:p>
    <w:p>
      <w:pPr>
        <w:spacing w:line="240" w:lineRule="auto" w:before="2"/>
        <w:rPr>
          <w:rFonts w:ascii="宋体" w:hAnsi="宋体" w:cs="宋体" w:eastAsia="宋体" w:hint="default"/>
          <w:sz w:val="29"/>
          <w:szCs w:val="29"/>
        </w:rPr>
      </w:pPr>
    </w:p>
    <w:p>
      <w:pPr>
        <w:pStyle w:val="Heading2"/>
        <w:spacing w:line="240" w:lineRule="auto"/>
        <w:ind w:right="1024"/>
        <w:jc w:val="left"/>
        <w:rPr>
          <w:b w:val="0"/>
          <w:bCs w:val="0"/>
        </w:rPr>
      </w:pPr>
      <w:bookmarkStart w:name="十三、股份支付" w:id="449"/>
      <w:bookmarkEnd w:id="449"/>
      <w:r>
        <w:rPr>
          <w:b w:val="0"/>
          <w:bCs w:val="0"/>
        </w:rPr>
      </w:r>
      <w:r>
        <w:rPr/>
        <w:t>十三、股份支付</w:t>
      </w:r>
      <w:r>
        <w:rPr>
          <w:b w:val="0"/>
          <w:bCs w:val="0"/>
        </w:rPr>
      </w:r>
    </w:p>
    <w:p>
      <w:pPr>
        <w:spacing w:line="240" w:lineRule="auto" w:before="3"/>
        <w:rPr>
          <w:rFonts w:ascii="宋体" w:hAnsi="宋体" w:cs="宋体" w:eastAsia="宋体" w:hint="default"/>
          <w:b/>
          <w:bCs/>
          <w:sz w:val="25"/>
          <w:szCs w:val="25"/>
        </w:rPr>
      </w:pPr>
    </w:p>
    <w:p>
      <w:pPr>
        <w:pStyle w:val="Heading4"/>
        <w:spacing w:line="240" w:lineRule="auto" w:before="0"/>
        <w:ind w:right="1024"/>
        <w:jc w:val="left"/>
        <w:rPr>
          <w:b w:val="0"/>
          <w:bCs w:val="0"/>
        </w:rPr>
      </w:pPr>
      <w:bookmarkStart w:name="1、股份支付总体情况" w:id="450"/>
      <w:bookmarkEnd w:id="450"/>
      <w:r>
        <w:rPr>
          <w:b w:val="0"/>
          <w:bCs w:val="0"/>
        </w:rPr>
      </w:r>
      <w:r>
        <w:rPr>
          <w:rFonts w:ascii="宋体" w:hAnsi="宋体" w:cs="宋体" w:eastAsia="宋体"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1037" w:top="1040" w:bottom="1220" w:left="980" w:right="0"/>
        </w:sectPr>
      </w:pPr>
    </w:p>
    <w:p>
      <w:pPr>
        <w:pStyle w:val="BodyText"/>
        <w:spacing w:line="240" w:lineRule="auto" w:before="36"/>
        <w:ind w:right="-18"/>
        <w:jc w:val="left"/>
      </w:pPr>
      <w:r>
        <w:rPr/>
        <w:t>√ 适用 □</w:t>
      </w:r>
      <w:r>
        <w:rPr>
          <w:spacing w:val="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1"/>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1220" w:left="980" w:right="0"/>
          <w:cols w:num="2" w:equalWidth="0">
            <w:col w:w="1945" w:space="6886"/>
            <w:col w:w="2099"/>
          </w:cols>
        </w:sectPr>
      </w:pP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5455"/>
        <w:gridCol w:w="4115"/>
      </w:tblGrid>
      <w:tr>
        <w:trPr>
          <w:trHeight w:val="413" w:hRule="exact"/>
        </w:trPr>
        <w:tc>
          <w:tcPr>
            <w:tcW w:w="545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公司本期授予的各项权益工具总额</w:t>
            </w:r>
          </w:p>
        </w:tc>
        <w:tc>
          <w:tcPr>
            <w:tcW w:w="411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0.00</w:t>
            </w:r>
          </w:p>
        </w:tc>
      </w:tr>
      <w:tr>
        <w:trPr>
          <w:trHeight w:val="404" w:hRule="exact"/>
        </w:trPr>
        <w:tc>
          <w:tcPr>
            <w:tcW w:w="54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z w:val="18"/>
              </w:rPr>
              <w:t>0.00</w:t>
            </w:r>
          </w:p>
        </w:tc>
      </w:tr>
      <w:tr>
        <w:trPr>
          <w:trHeight w:val="403" w:hRule="exact"/>
        </w:trPr>
        <w:tc>
          <w:tcPr>
            <w:tcW w:w="54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0.00</w:t>
            </w:r>
          </w:p>
        </w:tc>
      </w:tr>
      <w:tr>
        <w:trPr>
          <w:trHeight w:val="1959" w:hRule="exact"/>
        </w:trPr>
        <w:tc>
          <w:tcPr>
            <w:tcW w:w="5455"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95" w:right="0"/>
              <w:jc w:val="left"/>
              <w:rPr>
                <w:rFonts w:ascii="宋体" w:hAnsi="宋体" w:cs="宋体" w:eastAsia="宋体" w:hint="default"/>
                <w:sz w:val="18"/>
                <w:szCs w:val="18"/>
              </w:rPr>
            </w:pPr>
            <w:r>
              <w:rPr>
                <w:rFonts w:ascii="宋体" w:hAnsi="宋体" w:cs="宋体" w:eastAsia="宋体" w:hint="default"/>
                <w:spacing w:val="-3"/>
                <w:sz w:val="18"/>
                <w:szCs w:val="18"/>
              </w:rPr>
              <w:t>公司期末发行在外的股票期权行权价格的范围和合同剩余期限</w:t>
            </w:r>
          </w:p>
        </w:tc>
        <w:tc>
          <w:tcPr>
            <w:tcW w:w="411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限制性股票激励计划的有效期为自首次授予日</w:t>
            </w:r>
          </w:p>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2016</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5</w:t>
            </w:r>
            <w:r>
              <w:rPr>
                <w:rFonts w:ascii="宋体" w:hAnsi="宋体" w:cs="宋体" w:eastAsia="宋体"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宋体" w:hAnsi="宋体" w:cs="宋体" w:eastAsia="宋体" w:hint="default"/>
                <w:sz w:val="18"/>
                <w:szCs w:val="18"/>
              </w:rPr>
              <w:t>18</w:t>
            </w:r>
            <w:r>
              <w:rPr>
                <w:rFonts w:ascii="宋体" w:hAnsi="宋体" w:cs="宋体" w:eastAsia="宋体" w:hint="default"/>
                <w:spacing w:val="-36"/>
                <w:sz w:val="18"/>
                <w:szCs w:val="18"/>
              </w:rPr>
              <w:t> </w:t>
            </w:r>
            <w:r>
              <w:rPr>
                <w:rFonts w:ascii="宋体" w:hAnsi="宋体" w:cs="宋体" w:eastAsia="宋体" w:hint="default"/>
                <w:spacing w:val="-4"/>
                <w:sz w:val="18"/>
                <w:szCs w:val="18"/>
              </w:rPr>
              <w:t>日）起至所有限制性股票解锁或</w:t>
            </w:r>
          </w:p>
          <w:p>
            <w:pPr>
              <w:pStyle w:val="TableParagraph"/>
              <w:spacing w:line="319" w:lineRule="auto" w:before="76"/>
              <w:ind w:left="105" w:right="-5"/>
              <w:jc w:val="left"/>
              <w:rPr>
                <w:rFonts w:ascii="宋体" w:hAnsi="宋体" w:cs="宋体" w:eastAsia="宋体" w:hint="default"/>
                <w:sz w:val="18"/>
                <w:szCs w:val="18"/>
              </w:rPr>
            </w:pPr>
            <w:r>
              <w:rPr>
                <w:rFonts w:ascii="宋体" w:hAnsi="宋体" w:cs="宋体" w:eastAsia="宋体" w:hint="default"/>
                <w:sz w:val="18"/>
                <w:szCs w:val="18"/>
              </w:rPr>
              <w:t>回购注销完毕之日止，不超过</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9"/>
                <w:sz w:val="18"/>
                <w:szCs w:val="18"/>
              </w:rPr>
              <w:t> </w:t>
            </w:r>
            <w:r>
              <w:rPr>
                <w:rFonts w:ascii="宋体" w:hAnsi="宋体" w:cs="宋体" w:eastAsia="宋体" w:hint="default"/>
                <w:sz w:val="18"/>
                <w:szCs w:val="18"/>
              </w:rPr>
              <w:t>年，分三批行权。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w w:val="101"/>
                <w:sz w:val="18"/>
                <w:szCs w:val="18"/>
              </w:rPr>
              <w:t>其中，首期限制性股票（占比</w:t>
            </w:r>
            <w:r>
              <w:rPr>
                <w:rFonts w:ascii="宋体" w:hAnsi="宋体" w:cs="宋体" w:eastAsia="宋体" w:hint="default"/>
                <w:w w:val="101"/>
                <w:sz w:val="18"/>
                <w:szCs w:val="18"/>
              </w:rPr>
              <w:t> </w:t>
            </w:r>
            <w:r>
              <w:rPr>
                <w:rFonts w:ascii="宋体" w:hAnsi="宋体" w:cs="宋体" w:eastAsia="宋体" w:hint="default"/>
                <w:spacing w:val="-12"/>
                <w:w w:val="101"/>
                <w:sz w:val="18"/>
                <w:szCs w:val="18"/>
              </w:rPr>
              <w:t>40%</w:t>
            </w:r>
            <w:r>
              <w:rPr>
                <w:rFonts w:ascii="宋体" w:hAnsi="宋体" w:cs="宋体" w:eastAsia="宋体" w:hint="default"/>
                <w:spacing w:val="-12"/>
                <w:w w:val="101"/>
                <w:sz w:val="18"/>
                <w:szCs w:val="18"/>
              </w:rPr>
              <w:t>），第二期限制</w:t>
            </w:r>
            <w:r>
              <w:rPr>
                <w:rFonts w:ascii="宋体" w:hAnsi="宋体" w:cs="宋体" w:eastAsia="宋体" w:hint="default"/>
                <w:spacing w:val="-76"/>
                <w:w w:val="101"/>
                <w:sz w:val="18"/>
                <w:szCs w:val="18"/>
              </w:rPr>
              <w:t> </w:t>
            </w:r>
            <w:r>
              <w:rPr>
                <w:rFonts w:ascii="宋体" w:hAnsi="宋体" w:cs="宋体" w:eastAsia="宋体" w:hint="default"/>
                <w:spacing w:val="-76"/>
                <w:w w:val="101"/>
                <w:sz w:val="18"/>
                <w:szCs w:val="18"/>
              </w:rPr>
            </w:r>
            <w:r>
              <w:rPr>
                <w:rFonts w:ascii="宋体" w:hAnsi="宋体" w:cs="宋体" w:eastAsia="宋体" w:hint="default"/>
                <w:spacing w:val="-12"/>
                <w:w w:val="101"/>
                <w:sz w:val="18"/>
                <w:szCs w:val="18"/>
              </w:rPr>
              <w:t>性股票（占比</w:t>
            </w:r>
            <w:r>
              <w:rPr>
                <w:rFonts w:ascii="宋体" w:hAnsi="宋体" w:cs="宋体" w:eastAsia="宋体" w:hint="default"/>
                <w:w w:val="101"/>
                <w:sz w:val="18"/>
                <w:szCs w:val="18"/>
              </w:rPr>
              <w:t> </w:t>
            </w:r>
            <w:r>
              <w:rPr>
                <w:rFonts w:ascii="宋体" w:hAnsi="宋体" w:cs="宋体" w:eastAsia="宋体" w:hint="default"/>
                <w:spacing w:val="-16"/>
                <w:w w:val="101"/>
                <w:sz w:val="18"/>
                <w:szCs w:val="18"/>
              </w:rPr>
              <w:t>30%</w:t>
            </w:r>
            <w:r>
              <w:rPr>
                <w:rFonts w:ascii="宋体" w:hAnsi="宋体" w:cs="宋体" w:eastAsia="宋体" w:hint="default"/>
                <w:spacing w:val="-16"/>
                <w:w w:val="101"/>
                <w:sz w:val="18"/>
                <w:szCs w:val="18"/>
              </w:rPr>
              <w:t>）、第三期限制性股票（占比</w:t>
            </w:r>
            <w:r>
              <w:rPr>
                <w:rFonts w:ascii="宋体" w:hAnsi="宋体" w:cs="宋体" w:eastAsia="宋体" w:hint="default"/>
                <w:spacing w:val="-54"/>
                <w:w w:val="101"/>
                <w:sz w:val="18"/>
                <w:szCs w:val="18"/>
              </w:rPr>
              <w:t> </w:t>
            </w:r>
            <w:r>
              <w:rPr>
                <w:rFonts w:ascii="宋体" w:hAnsi="宋体" w:cs="宋体" w:eastAsia="宋体" w:hint="default"/>
                <w:spacing w:val="-2"/>
                <w:w w:val="101"/>
                <w:sz w:val="18"/>
                <w:szCs w:val="18"/>
              </w:rPr>
              <w:t>30%</w:t>
            </w:r>
            <w:r>
              <w:rPr>
                <w:rFonts w:ascii="宋体" w:hAnsi="宋体" w:cs="宋体" w:eastAsia="宋体" w:hint="default"/>
                <w:spacing w:val="-2"/>
                <w:w w:val="101"/>
                <w:sz w:val="18"/>
                <w:szCs w:val="18"/>
              </w:rPr>
              <w:t>）</w:t>
            </w:r>
            <w:r>
              <w:rPr>
                <w:rFonts w:ascii="宋体" w:hAnsi="宋体" w:cs="宋体" w:eastAsia="宋体" w:hint="default"/>
                <w:w w:val="101"/>
                <w:sz w:val="18"/>
                <w:szCs w:val="18"/>
              </w:rPr>
              <w:t> </w:t>
            </w:r>
            <w:r>
              <w:rPr>
                <w:rFonts w:ascii="宋体" w:hAnsi="宋体" w:cs="宋体" w:eastAsia="宋体" w:hint="default"/>
                <w:spacing w:val="-2"/>
                <w:w w:val="101"/>
                <w:sz w:val="18"/>
                <w:szCs w:val="18"/>
              </w:rPr>
              <w:t>的合同剩余期限分别为</w:t>
            </w:r>
            <w:r>
              <w:rPr>
                <w:rFonts w:ascii="宋体" w:hAnsi="宋体" w:cs="宋体" w:eastAsia="宋体" w:hint="default"/>
                <w:spacing w:val="-47"/>
                <w:w w:val="101"/>
                <w:sz w:val="18"/>
                <w:szCs w:val="18"/>
              </w:rPr>
              <w:t> </w:t>
            </w:r>
            <w:r>
              <w:rPr>
                <w:rFonts w:ascii="宋体" w:hAnsi="宋体" w:cs="宋体" w:eastAsia="宋体" w:hint="default"/>
                <w:w w:val="101"/>
                <w:sz w:val="18"/>
                <w:szCs w:val="18"/>
              </w:rPr>
              <w:t>12</w:t>
            </w:r>
            <w:r>
              <w:rPr>
                <w:rFonts w:ascii="宋体" w:hAnsi="宋体" w:cs="宋体" w:eastAsia="宋体" w:hint="default"/>
                <w:spacing w:val="-47"/>
                <w:w w:val="101"/>
                <w:sz w:val="18"/>
                <w:szCs w:val="18"/>
              </w:rPr>
              <w:t> </w:t>
            </w:r>
            <w:r>
              <w:rPr>
                <w:rFonts w:ascii="宋体" w:hAnsi="宋体" w:cs="宋体" w:eastAsia="宋体" w:hint="default"/>
                <w:spacing w:val="-17"/>
                <w:w w:val="101"/>
                <w:sz w:val="18"/>
                <w:szCs w:val="18"/>
              </w:rPr>
              <w:t>个月、</w:t>
            </w:r>
            <w:r>
              <w:rPr>
                <w:rFonts w:ascii="宋体" w:hAnsi="宋体" w:cs="宋体" w:eastAsia="宋体" w:hint="default"/>
                <w:spacing w:val="-17"/>
                <w:w w:val="101"/>
                <w:sz w:val="18"/>
                <w:szCs w:val="18"/>
              </w:rPr>
              <w:t>24</w:t>
            </w:r>
            <w:r>
              <w:rPr>
                <w:rFonts w:ascii="宋体" w:hAnsi="宋体" w:cs="宋体" w:eastAsia="宋体" w:hint="default"/>
                <w:spacing w:val="-52"/>
                <w:w w:val="101"/>
                <w:sz w:val="18"/>
                <w:szCs w:val="18"/>
              </w:rPr>
              <w:t> </w:t>
            </w:r>
            <w:r>
              <w:rPr>
                <w:rFonts w:ascii="宋体" w:hAnsi="宋体" w:cs="宋体" w:eastAsia="宋体" w:hint="default"/>
                <w:spacing w:val="-17"/>
                <w:w w:val="101"/>
                <w:sz w:val="18"/>
                <w:szCs w:val="18"/>
              </w:rPr>
              <w:t>个月、</w:t>
            </w:r>
            <w:r>
              <w:rPr>
                <w:rFonts w:ascii="宋体" w:hAnsi="宋体" w:cs="宋体" w:eastAsia="宋体" w:hint="default"/>
                <w:spacing w:val="-17"/>
                <w:w w:val="101"/>
                <w:sz w:val="18"/>
                <w:szCs w:val="18"/>
              </w:rPr>
              <w:t>36</w:t>
            </w:r>
            <w:r>
              <w:rPr>
                <w:rFonts w:ascii="宋体" w:hAnsi="宋体" w:cs="宋体" w:eastAsia="宋体" w:hint="default"/>
                <w:spacing w:val="-47"/>
                <w:w w:val="101"/>
                <w:sz w:val="18"/>
                <w:szCs w:val="18"/>
              </w:rPr>
              <w:t> </w:t>
            </w:r>
            <w:r>
              <w:rPr>
                <w:rFonts w:ascii="宋体" w:hAnsi="宋体" w:cs="宋体" w:eastAsia="宋体" w:hint="default"/>
                <w:spacing w:val="-2"/>
                <w:w w:val="101"/>
                <w:sz w:val="18"/>
                <w:szCs w:val="18"/>
              </w:rPr>
              <w:t>个月。</w:t>
            </w:r>
            <w:r>
              <w:rPr>
                <w:rFonts w:ascii="宋体" w:hAnsi="宋体" w:cs="宋体" w:eastAsia="宋体" w:hint="default"/>
                <w:spacing w:val="-2"/>
                <w:sz w:val="18"/>
                <w:szCs w:val="18"/>
              </w:rPr>
            </w:r>
          </w:p>
        </w:tc>
      </w:tr>
      <w:tr>
        <w:trPr>
          <w:trHeight w:val="413" w:hRule="exact"/>
        </w:trPr>
        <w:tc>
          <w:tcPr>
            <w:tcW w:w="545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公司期末发行在外的其他权益工具行权价格的范围和合同剩余期限</w:t>
            </w:r>
          </w:p>
        </w:tc>
        <w:tc>
          <w:tcPr>
            <w:tcW w:w="411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408" w:lineRule="auto" w:before="66"/>
        <w:ind w:right="1122" w:firstLine="422"/>
        <w:jc w:val="both"/>
      </w:pPr>
      <w:r>
        <w:rPr>
          <w:spacing w:val="-2"/>
          <w:w w:val="100"/>
        </w:rPr>
        <w:t>依据光一科技股份有限公司（以下简称“公司”）</w:t>
      </w:r>
      <w:r>
        <w:rPr>
          <w:rFonts w:ascii="宋体" w:hAnsi="宋体" w:cs="宋体" w:eastAsia="宋体" w:hint="default"/>
          <w:spacing w:val="-2"/>
          <w:w w:val="100"/>
        </w:rPr>
        <w:t>2016</w:t>
      </w:r>
      <w:r>
        <w:rPr>
          <w:spacing w:val="-2"/>
          <w:w w:val="100"/>
        </w:rPr>
        <w:t>年</w:t>
      </w:r>
      <w:r>
        <w:rPr>
          <w:rFonts w:ascii="宋体" w:hAnsi="宋体" w:cs="宋体" w:eastAsia="宋体" w:hint="default"/>
          <w:spacing w:val="-2"/>
          <w:w w:val="100"/>
        </w:rPr>
        <w:t>5</w:t>
      </w:r>
      <w:r>
        <w:rPr>
          <w:spacing w:val="-2"/>
          <w:w w:val="100"/>
        </w:rPr>
        <w:t>月</w:t>
      </w:r>
      <w:r>
        <w:rPr>
          <w:rFonts w:ascii="宋体" w:hAnsi="宋体" w:cs="宋体" w:eastAsia="宋体" w:hint="default"/>
          <w:spacing w:val="-2"/>
          <w:w w:val="100"/>
        </w:rPr>
        <w:t>6</w:t>
      </w:r>
      <w:r>
        <w:rPr>
          <w:spacing w:val="-2"/>
          <w:w w:val="100"/>
        </w:rPr>
        <w:t>日召开的</w:t>
      </w:r>
      <w:r>
        <w:rPr>
          <w:rFonts w:ascii="宋体" w:hAnsi="宋体" w:cs="宋体" w:eastAsia="宋体" w:hint="default"/>
          <w:spacing w:val="-2"/>
          <w:w w:val="100"/>
        </w:rPr>
        <w:t>2015</w:t>
      </w:r>
      <w:r>
        <w:rPr>
          <w:spacing w:val="-2"/>
          <w:w w:val="100"/>
        </w:rPr>
        <w:t>年度股东大会，审议通过</w:t>
      </w:r>
      <w:r>
        <w:rPr>
          <w:w w:val="100"/>
        </w:rPr>
        <w:t> </w:t>
      </w:r>
      <w:r>
        <w:rPr>
          <w:spacing w:val="-15"/>
          <w:w w:val="100"/>
        </w:rPr>
        <w:t>的《关于</w:t>
      </w:r>
      <w:r>
        <w:rPr>
          <w:rFonts w:ascii="宋体" w:hAnsi="宋体" w:cs="宋体" w:eastAsia="宋体" w:hint="default"/>
          <w:spacing w:val="-15"/>
          <w:w w:val="100"/>
        </w:rPr>
        <w:t>&lt;</w:t>
      </w:r>
      <w:r>
        <w:rPr>
          <w:spacing w:val="-15"/>
          <w:w w:val="100"/>
        </w:rPr>
        <w:t>光一科技股份有限公司限制性股票激励计划（草案）及其摘要</w:t>
      </w:r>
      <w:r>
        <w:rPr>
          <w:rFonts w:ascii="宋体" w:hAnsi="宋体" w:cs="宋体" w:eastAsia="宋体" w:hint="default"/>
          <w:spacing w:val="-15"/>
          <w:w w:val="100"/>
        </w:rPr>
        <w:t>&gt;</w:t>
      </w:r>
      <w:r>
        <w:rPr>
          <w:spacing w:val="-15"/>
          <w:w w:val="100"/>
        </w:rPr>
        <w:t>的议案》（以下简称“激励计划”），</w:t>
      </w:r>
      <w:r>
        <w:rPr>
          <w:spacing w:val="-64"/>
          <w:w w:val="100"/>
        </w:rPr>
        <w:t> </w:t>
      </w:r>
      <w:r>
        <w:rPr>
          <w:spacing w:val="-64"/>
          <w:w w:val="100"/>
        </w:rPr>
      </w:r>
      <w:r>
        <w:rPr>
          <w:rFonts w:ascii="宋体" w:hAnsi="宋体" w:cs="宋体" w:eastAsia="宋体" w:hint="default"/>
        </w:rPr>
        <w:t>5</w:t>
      </w:r>
      <w:r>
        <w:rPr/>
        <w:t>月</w:t>
      </w:r>
      <w:r>
        <w:rPr>
          <w:rFonts w:ascii="宋体" w:hAnsi="宋体" w:cs="宋体" w:eastAsia="宋体" w:hint="default"/>
        </w:rPr>
        <w:t>18</w:t>
      </w:r>
      <w:r>
        <w:rPr/>
        <w:t>日召开的第三届董事会第四次会议审议通过的《光一科技股份有限公司关于向激励对象授予限制性</w:t>
      </w:r>
      <w:r>
        <w:rPr>
          <w:spacing w:val="-31"/>
        </w:rPr>
        <w:t> </w:t>
      </w:r>
      <w:r>
        <w:rPr>
          <w:spacing w:val="-31"/>
        </w:rPr>
      </w:r>
      <w:r>
        <w:rPr>
          <w:spacing w:val="-5"/>
          <w:w w:val="100"/>
        </w:rPr>
        <w:t>股票的议案》，</w:t>
      </w:r>
      <w:r>
        <w:rPr>
          <w:rFonts w:ascii="宋体" w:hAnsi="宋体" w:cs="宋体" w:eastAsia="宋体" w:hint="default"/>
          <w:spacing w:val="-5"/>
          <w:w w:val="100"/>
        </w:rPr>
        <w:t>6</w:t>
      </w:r>
      <w:r>
        <w:rPr>
          <w:spacing w:val="-5"/>
          <w:w w:val="100"/>
        </w:rPr>
        <w:t>月</w:t>
      </w:r>
      <w:r>
        <w:rPr>
          <w:rFonts w:ascii="宋体" w:hAnsi="宋体" w:cs="宋体" w:eastAsia="宋体" w:hint="default"/>
          <w:spacing w:val="-5"/>
          <w:w w:val="100"/>
        </w:rPr>
        <w:t>8</w:t>
      </w:r>
      <w:r>
        <w:rPr>
          <w:spacing w:val="-5"/>
          <w:w w:val="100"/>
        </w:rPr>
        <w:t>日召开的第三届董事会第五次会议，对公司</w:t>
      </w:r>
      <w:r>
        <w:rPr>
          <w:rFonts w:ascii="宋体" w:hAnsi="宋体" w:cs="宋体" w:eastAsia="宋体" w:hint="default"/>
          <w:spacing w:val="-5"/>
          <w:w w:val="100"/>
        </w:rPr>
        <w:t>2015</w:t>
      </w:r>
      <w:r>
        <w:rPr>
          <w:rFonts w:ascii="宋体" w:hAnsi="宋体" w:cs="宋体" w:eastAsia="宋体" w:hint="default"/>
          <w:spacing w:val="9"/>
          <w:w w:val="100"/>
        </w:rPr>
        <w:t> </w:t>
      </w:r>
      <w:r>
        <w:rPr>
          <w:spacing w:val="-2"/>
          <w:w w:val="100"/>
        </w:rPr>
        <w:t>年度权益分派方案的实施情况，对限</w:t>
      </w:r>
      <w:r>
        <w:rPr>
          <w:spacing w:val="-103"/>
          <w:w w:val="100"/>
        </w:rPr>
        <w:t> </w:t>
      </w:r>
      <w:r>
        <w:rPr>
          <w:spacing w:val="-103"/>
          <w:w w:val="100"/>
        </w:rPr>
      </w:r>
      <w:r>
        <w:rPr>
          <w:spacing w:val="-2"/>
        </w:rPr>
        <w:t>制性股票的授予价格进行调整情况，公司本次激励计划拟授予的限制性股票数量</w:t>
      </w:r>
      <w:r>
        <w:rPr>
          <w:rFonts w:ascii="宋体" w:hAnsi="宋体" w:cs="宋体" w:eastAsia="宋体" w:hint="default"/>
          <w:spacing w:val="-2"/>
        </w:rPr>
        <w:t>520.00</w:t>
      </w:r>
      <w:r>
        <w:rPr>
          <w:spacing w:val="-2"/>
        </w:rPr>
        <w:t>万股，其中首次授</w:t>
      </w:r>
      <w:r>
        <w:rPr>
          <w:spacing w:val="-24"/>
        </w:rPr>
        <w:t> </w:t>
      </w:r>
      <w:r>
        <w:rPr>
          <w:spacing w:val="-24"/>
        </w:rPr>
      </w:r>
      <w:r>
        <w:rPr>
          <w:spacing w:val="-2"/>
        </w:rPr>
        <w:t>予</w:t>
      </w:r>
      <w:r>
        <w:rPr>
          <w:rFonts w:ascii="宋体" w:hAnsi="宋体" w:cs="宋体" w:eastAsia="宋体" w:hint="default"/>
          <w:spacing w:val="-2"/>
        </w:rPr>
        <w:t>490.00</w:t>
      </w:r>
      <w:r>
        <w:rPr>
          <w:spacing w:val="-2"/>
        </w:rPr>
        <w:t>万股，预留</w:t>
      </w:r>
      <w:r>
        <w:rPr>
          <w:rFonts w:ascii="宋体" w:hAnsi="宋体" w:cs="宋体" w:eastAsia="宋体" w:hint="default"/>
          <w:spacing w:val="-2"/>
        </w:rPr>
        <w:t>30.00</w:t>
      </w:r>
      <w:r>
        <w:rPr>
          <w:spacing w:val="-2"/>
        </w:rPr>
        <w:t>万股，预留部分占本次授予权益总额的</w:t>
      </w:r>
      <w:r>
        <w:rPr>
          <w:rFonts w:ascii="宋体" w:hAnsi="宋体" w:cs="宋体" w:eastAsia="宋体" w:hint="default"/>
          <w:spacing w:val="-2"/>
        </w:rPr>
        <w:t>5.77%</w:t>
      </w:r>
      <w:r>
        <w:rPr>
          <w:spacing w:val="-2"/>
        </w:rPr>
        <w:t>。限制性股票来源为公司向激励对</w:t>
      </w:r>
      <w:r>
        <w:rPr>
          <w:spacing w:val="-21"/>
        </w:rPr>
        <w:t> </w:t>
      </w:r>
      <w:r>
        <w:rPr>
          <w:spacing w:val="-21"/>
        </w:rPr>
      </w:r>
      <w:r>
        <w:rPr/>
        <w:t>象定向发行的公司人民币</w:t>
      </w:r>
      <w:r>
        <w:rPr>
          <w:rFonts w:ascii="宋体" w:hAnsi="宋体" w:cs="宋体" w:eastAsia="宋体" w:hint="default"/>
        </w:rPr>
        <w:t>A</w:t>
      </w:r>
      <w:r>
        <w:rPr/>
        <w:t>股普通股，授予价格</w:t>
      </w:r>
      <w:r>
        <w:rPr>
          <w:rFonts w:ascii="宋体" w:hAnsi="宋体" w:cs="宋体" w:eastAsia="宋体" w:hint="default"/>
        </w:rPr>
        <w:t>19.48</w:t>
      </w:r>
      <w:r>
        <w:rPr/>
        <w:t>元</w:t>
      </w:r>
      <w:r>
        <w:rPr>
          <w:rFonts w:ascii="宋体" w:hAnsi="宋体" w:cs="宋体" w:eastAsia="宋体" w:hint="default"/>
        </w:rPr>
        <w:t>/</w:t>
      </w:r>
      <w:r>
        <w:rPr/>
        <w:t>股。</w:t>
      </w:r>
    </w:p>
    <w:p>
      <w:pPr>
        <w:pStyle w:val="BodyText"/>
        <w:spacing w:line="408" w:lineRule="auto" w:before="48"/>
        <w:ind w:right="1123" w:firstLine="422"/>
        <w:jc w:val="both"/>
      </w:pPr>
      <w:r>
        <w:rPr>
          <w:spacing w:val="-2"/>
        </w:rPr>
        <w:t>本激励计划的有效期为限制性股票授予之日起至所有限制性股票解锁或回购注销完毕之日止，不超过</w:t>
      </w:r>
      <w:r>
        <w:rPr>
          <w:w w:val="100"/>
        </w:rPr>
        <w:t> </w:t>
      </w:r>
      <w:r>
        <w:rPr>
          <w:rFonts w:ascii="宋体" w:hAnsi="宋体" w:cs="宋体" w:eastAsia="宋体" w:hint="default"/>
        </w:rPr>
        <w:t>5 </w:t>
      </w:r>
      <w:r>
        <w:rPr/>
        <w:t>年。本激励计划授予的限制性股票自授予之日起 </w:t>
      </w:r>
      <w:r>
        <w:rPr>
          <w:rFonts w:ascii="宋体" w:hAnsi="宋体" w:cs="宋体" w:eastAsia="宋体" w:hint="default"/>
          <w:spacing w:val="-3"/>
        </w:rPr>
        <w:t>12</w:t>
      </w:r>
      <w:r>
        <w:rPr>
          <w:rFonts w:ascii="宋体" w:hAnsi="宋体" w:cs="宋体" w:eastAsia="宋体" w:hint="default"/>
          <w:spacing w:val="-13"/>
        </w:rPr>
        <w:t> </w:t>
      </w:r>
      <w:r>
        <w:rPr/>
        <w:t>个月内为锁定期。激励对象，根据本激励计划获授</w:t>
      </w:r>
      <w:r>
        <w:rPr>
          <w:w w:val="100"/>
        </w:rPr>
        <w:t> </w:t>
      </w:r>
      <w:r>
        <w:rPr>
          <w:spacing w:val="-2"/>
        </w:rPr>
        <w:t>的限制性股票在锁定期内不得转让、用于偿还债务。激励对象因获授的尚未解锁的限制性股票而取得的资</w:t>
      </w:r>
    </w:p>
    <w:p>
      <w:pPr>
        <w:spacing w:after="0" w:line="408" w:lineRule="auto"/>
        <w:jc w:val="both"/>
        <w:sectPr>
          <w:type w:val="continuous"/>
          <w:pgSz w:w="11910" w:h="16840"/>
          <w:pgMar w:top="158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408" w:lineRule="auto"/>
        <w:ind w:right="1024"/>
        <w:jc w:val="left"/>
      </w:pPr>
      <w:r>
        <w:rPr/>
        <w:t>本公积转增股本、派息、派发股票红利、股票拆细等股份和红利同时按本激励计划进行锁定。在解锁期，</w:t>
      </w:r>
      <w:r>
        <w:rPr>
          <w:spacing w:val="-30"/>
        </w:rPr>
        <w:t> </w:t>
      </w:r>
      <w:r>
        <w:rPr>
          <w:spacing w:val="-30"/>
        </w:rPr>
      </w:r>
      <w:r>
        <w:rPr>
          <w:spacing w:val="-2"/>
        </w:rPr>
        <w:t>公司为满足解锁条件的激励对象办理解锁事宜，未满足解锁条件的激励对象持有的限制性股票由公司回购</w:t>
      </w:r>
      <w:r>
        <w:rPr>
          <w:spacing w:val="-33"/>
        </w:rPr>
        <w:t> </w:t>
      </w:r>
      <w:r>
        <w:rPr>
          <w:spacing w:val="-33"/>
        </w:rPr>
      </w:r>
      <w:r>
        <w:rPr/>
        <w:t>注销。</w:t>
      </w:r>
    </w:p>
    <w:p>
      <w:pPr>
        <w:pStyle w:val="BodyText"/>
        <w:spacing w:line="410" w:lineRule="auto" w:before="43"/>
        <w:ind w:right="1024" w:firstLine="422"/>
        <w:jc w:val="left"/>
      </w:pPr>
      <w:r>
        <w:rPr>
          <w:spacing w:val="-2"/>
          <w:w w:val="100"/>
        </w:rPr>
        <w:t>根据公司</w:t>
      </w:r>
      <w:r>
        <w:rPr>
          <w:rFonts w:ascii="宋体" w:hAnsi="宋体" w:cs="宋体" w:eastAsia="宋体" w:hint="default"/>
          <w:spacing w:val="-2"/>
          <w:w w:val="100"/>
        </w:rPr>
        <w:t>2016</w:t>
      </w:r>
      <w:r>
        <w:rPr>
          <w:spacing w:val="-2"/>
          <w:w w:val="100"/>
        </w:rPr>
        <w:t>年度股东大会审议通过的《关于</w:t>
      </w:r>
      <w:r>
        <w:rPr>
          <w:rFonts w:ascii="宋体" w:hAnsi="宋体" w:cs="宋体" w:eastAsia="宋体" w:hint="default"/>
          <w:spacing w:val="-2"/>
          <w:w w:val="100"/>
        </w:rPr>
        <w:t>2016</w:t>
      </w:r>
      <w:r>
        <w:rPr>
          <w:spacing w:val="-2"/>
          <w:w w:val="100"/>
        </w:rPr>
        <w:t>年度利润分配及资本公积金转增股本的议案》，按</w:t>
      </w:r>
      <w:r>
        <w:rPr>
          <w:w w:val="100"/>
        </w:rPr>
        <w:t> </w:t>
      </w:r>
      <w:r>
        <w:rPr/>
        <w:t>每</w:t>
      </w:r>
      <w:r>
        <w:rPr>
          <w:rFonts w:ascii="宋体" w:hAnsi="宋体" w:cs="宋体" w:eastAsia="宋体" w:hint="default"/>
        </w:rPr>
        <w:t>10</w:t>
      </w:r>
      <w:r>
        <w:rPr/>
        <w:t>股转增</w:t>
      </w:r>
      <w:r>
        <w:rPr>
          <w:rFonts w:ascii="宋体" w:hAnsi="宋体" w:cs="宋体" w:eastAsia="宋体" w:hint="default"/>
        </w:rPr>
        <w:t>15</w:t>
      </w:r>
      <w:r>
        <w:rPr/>
        <w:t>股的比例以资本公积金转增股本，授予的限制性股票数量及回购价格亦作相应的调整。</w:t>
      </w:r>
    </w:p>
    <w:p>
      <w:pPr>
        <w:pStyle w:val="BodyText"/>
        <w:spacing w:line="410" w:lineRule="auto" w:before="41"/>
        <w:ind w:right="1024" w:firstLine="422"/>
        <w:jc w:val="left"/>
      </w:pPr>
      <w:r>
        <w:rPr/>
        <w:t>根据</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日召开的第三届董事会第十六次会议审议通过的《关于公司限制性股票激励计划第</w:t>
      </w:r>
      <w:r>
        <w:rPr>
          <w:w w:val="100"/>
        </w:rPr>
        <w:t> </w:t>
      </w:r>
      <w:r>
        <w:rPr/>
        <w:t>一个解锁期可解锁的议案》第一次解锁的条件已经成就，共申请解锁</w:t>
      </w:r>
      <w:r>
        <w:rPr>
          <w:rFonts w:ascii="宋体" w:hAnsi="宋体" w:cs="宋体" w:eastAsia="宋体" w:hint="default"/>
        </w:rPr>
        <w:t>485</w:t>
      </w:r>
      <w:r>
        <w:rPr/>
        <w:t>万股股票。</w:t>
      </w:r>
    </w:p>
    <w:p>
      <w:pPr>
        <w:pStyle w:val="BodyText"/>
        <w:spacing w:line="410" w:lineRule="auto" w:before="41"/>
        <w:ind w:right="1024" w:firstLine="422"/>
        <w:jc w:val="left"/>
      </w:pPr>
      <w:r>
        <w:rPr/>
        <w:t>根据公司</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12</w:t>
      </w:r>
      <w:r>
        <w:rPr/>
        <w:t>日召开的第三届董事会第十六次会议审议通过的《关于回购注销部分限制性股</w:t>
      </w:r>
      <w:r>
        <w:rPr>
          <w:w w:val="100"/>
        </w:rPr>
        <w:t> </w:t>
      </w:r>
      <w:r>
        <w:rPr>
          <w:spacing w:val="-4"/>
          <w:w w:val="100"/>
        </w:rPr>
        <w:t>票的议案》，部分激励对象因离职需回购其所持有的限制性股票，共计回购限制性股票</w:t>
      </w:r>
      <w:r>
        <w:rPr>
          <w:rFonts w:ascii="宋体" w:hAnsi="宋体" w:cs="宋体" w:eastAsia="宋体" w:hint="default"/>
          <w:spacing w:val="-4"/>
          <w:w w:val="100"/>
        </w:rPr>
        <w:t>455,000.00</w:t>
      </w:r>
      <w:r>
        <w:rPr>
          <w:spacing w:val="-4"/>
          <w:w w:val="100"/>
        </w:rPr>
        <w:t>股。</w:t>
      </w:r>
      <w:r>
        <w:rPr>
          <w:w w:val="100"/>
        </w:rPr>
      </w:r>
    </w:p>
    <w:p>
      <w:pPr>
        <w:pStyle w:val="BodyText"/>
        <w:spacing w:line="408" w:lineRule="auto" w:before="42"/>
        <w:ind w:right="1135" w:firstLine="422"/>
        <w:jc w:val="both"/>
      </w:pPr>
      <w:r>
        <w:rPr/>
        <w:t>根据</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23</w:t>
      </w:r>
      <w:r>
        <w:rPr/>
        <w:t>日召开的第三届董事会第二十次会议审议通过的《关于回购注销部分限制性股票的</w:t>
      </w:r>
      <w:r>
        <w:rPr>
          <w:w w:val="100"/>
        </w:rPr>
        <w:t> </w:t>
      </w:r>
      <w:r>
        <w:rPr>
          <w:spacing w:val="-2"/>
          <w:w w:val="100"/>
        </w:rPr>
        <w:t>议案》，因</w:t>
      </w:r>
      <w:r>
        <w:rPr>
          <w:rFonts w:ascii="宋体" w:hAnsi="宋体" w:cs="宋体" w:eastAsia="宋体" w:hint="default"/>
          <w:spacing w:val="-2"/>
          <w:w w:val="100"/>
        </w:rPr>
        <w:t>2017</w:t>
      </w:r>
      <w:r>
        <w:rPr>
          <w:spacing w:val="-2"/>
          <w:w w:val="100"/>
        </w:rPr>
        <w:t>年度经审计的扣除非经常性损益的净利润未达到解锁要求以及部分激励对象因离职，因此</w:t>
      </w:r>
      <w:r>
        <w:rPr>
          <w:spacing w:val="-95"/>
          <w:w w:val="100"/>
        </w:rPr>
        <w:t> </w:t>
      </w:r>
      <w:r>
        <w:rPr>
          <w:spacing w:val="-95"/>
          <w:w w:val="100"/>
        </w:rPr>
      </w:r>
      <w:r>
        <w:rPr/>
        <w:t>需回购其所持有的限制性股票，共计回购限制性股票</w:t>
      </w:r>
      <w:r>
        <w:rPr>
          <w:rFonts w:ascii="宋体" w:hAnsi="宋体" w:cs="宋体" w:eastAsia="宋体" w:hint="default"/>
        </w:rPr>
        <w:t>3,731,250.00</w:t>
      </w:r>
      <w:r>
        <w:rPr/>
        <w:t>股。</w:t>
      </w:r>
    </w:p>
    <w:p>
      <w:pPr>
        <w:pStyle w:val="BodyText"/>
        <w:spacing w:line="386" w:lineRule="auto" w:before="48"/>
        <w:ind w:right="1024" w:firstLine="422"/>
        <w:jc w:val="left"/>
      </w:pPr>
      <w:r>
        <w:rPr>
          <w:spacing w:val="-2"/>
          <w:w w:val="100"/>
        </w:rPr>
        <w:t>根据</w:t>
      </w:r>
      <w:r>
        <w:rPr>
          <w:rFonts w:ascii="Times New Roman" w:hAnsi="Times New Roman" w:cs="Times New Roman" w:eastAsia="Times New Roman" w:hint="default"/>
          <w:spacing w:val="-2"/>
          <w:w w:val="100"/>
        </w:rPr>
        <w:t>2019</w:t>
      </w:r>
      <w:r>
        <w:rPr>
          <w:spacing w:val="-2"/>
          <w:w w:val="100"/>
        </w:rPr>
        <w:t>年</w:t>
      </w:r>
      <w:r>
        <w:rPr>
          <w:rFonts w:ascii="Times New Roman" w:hAnsi="Times New Roman" w:cs="Times New Roman" w:eastAsia="Times New Roman" w:hint="default"/>
          <w:spacing w:val="-2"/>
          <w:w w:val="100"/>
        </w:rPr>
        <w:t>4</w:t>
      </w:r>
      <w:r>
        <w:rPr>
          <w:spacing w:val="-2"/>
          <w:w w:val="100"/>
        </w:rPr>
        <w:t>月</w:t>
      </w:r>
      <w:r>
        <w:rPr>
          <w:rFonts w:ascii="Times New Roman" w:hAnsi="Times New Roman" w:cs="Times New Roman" w:eastAsia="Times New Roman" w:hint="default"/>
          <w:spacing w:val="-2"/>
          <w:w w:val="100"/>
        </w:rPr>
        <w:t>19</w:t>
      </w:r>
      <w:r>
        <w:rPr>
          <w:spacing w:val="-2"/>
          <w:w w:val="100"/>
        </w:rPr>
        <w:t>日召开的第四届董事会第二次会议审议通过的《关于回购注销限制性股票的议案》，</w:t>
      </w:r>
      <w:r>
        <w:rPr>
          <w:w w:val="100"/>
        </w:rPr>
        <w:t> </w:t>
      </w:r>
      <w:r>
        <w:rPr>
          <w:spacing w:val="-3"/>
        </w:rPr>
        <w:t>因</w:t>
      </w:r>
      <w:r>
        <w:rPr>
          <w:rFonts w:ascii="Times New Roman" w:hAnsi="Times New Roman" w:cs="Times New Roman" w:eastAsia="Times New Roman" w:hint="default"/>
          <w:spacing w:val="-3"/>
        </w:rPr>
        <w:t>2018</w:t>
      </w:r>
      <w:r>
        <w:rPr>
          <w:spacing w:val="-3"/>
        </w:rPr>
        <w:t>年度经审计的扣除非经常性损益的净利润未达到解锁要求，共计回购限制性股票</w:t>
      </w:r>
      <w:r>
        <w:rPr>
          <w:rFonts w:ascii="Times New Roman" w:hAnsi="Times New Roman" w:cs="Times New Roman" w:eastAsia="Times New Roman" w:hint="default"/>
          <w:spacing w:val="-3"/>
        </w:rPr>
        <w:t>3,213,750.00</w:t>
      </w:r>
      <w:r>
        <w:rPr>
          <w:spacing w:val="-3"/>
        </w:rPr>
        <w:t>股，截</w:t>
      </w:r>
      <w:r>
        <w:rPr>
          <w:spacing w:val="-10"/>
        </w:rPr>
        <w:t> </w:t>
      </w:r>
      <w:r>
        <w:rPr>
          <w:spacing w:val="-10"/>
        </w:rPr>
      </w:r>
      <w:r>
        <w:rPr/>
        <w:t>至报告日股份回购注销手续已办理完毕，至此该次限制性股票激励计划完毕。</w:t>
      </w:r>
    </w:p>
    <w:p>
      <w:pPr>
        <w:spacing w:line="240" w:lineRule="auto" w:before="9"/>
        <w:rPr>
          <w:rFonts w:ascii="宋体" w:hAnsi="宋体" w:cs="宋体" w:eastAsia="宋体" w:hint="default"/>
          <w:sz w:val="21"/>
          <w:szCs w:val="21"/>
        </w:rPr>
      </w:pPr>
    </w:p>
    <w:p>
      <w:pPr>
        <w:pStyle w:val="Heading4"/>
        <w:spacing w:line="240" w:lineRule="auto" w:before="0"/>
        <w:ind w:right="1024"/>
        <w:jc w:val="left"/>
        <w:rPr>
          <w:b w:val="0"/>
          <w:bCs w:val="0"/>
        </w:rPr>
      </w:pPr>
      <w:bookmarkStart w:name="2、以权益结算的股份支付情况" w:id="451"/>
      <w:bookmarkEnd w:id="451"/>
      <w:r>
        <w:rPr>
          <w:b w:val="0"/>
          <w:bCs w:val="0"/>
        </w:rPr>
      </w:r>
      <w:r>
        <w:rPr>
          <w:rFonts w:ascii="宋体" w:hAnsi="宋体" w:cs="宋体" w:eastAsia="宋体" w:hint="default"/>
        </w:rPr>
        <w:t>2</w:t>
      </w:r>
      <w:r>
        <w:rPr/>
        <w:t>、以权益结算的股份支付情况</w:t>
      </w:r>
      <w:r>
        <w:rPr>
          <w:b w:val="0"/>
          <w:bCs w:val="0"/>
        </w:rPr>
      </w:r>
    </w:p>
    <w:p>
      <w:pPr>
        <w:spacing w:line="240" w:lineRule="auto" w:before="8"/>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1037" w:top="1040" w:bottom="1220" w:left="980" w:right="0"/>
        </w:sectPr>
      </w:pPr>
    </w:p>
    <w:p>
      <w:pPr>
        <w:pStyle w:val="BodyText"/>
        <w:spacing w:line="240" w:lineRule="auto" w:before="36"/>
        <w:ind w:right="-18"/>
        <w:jc w:val="left"/>
      </w:pPr>
      <w:r>
        <w:rPr/>
        <w:t>√ 适用 □</w:t>
      </w:r>
      <w:r>
        <w:rPr>
          <w:spacing w:val="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580" w:bottom="1220" w:left="980" w:right="0"/>
          <w:cols w:num="2" w:equalWidth="0">
            <w:col w:w="1945" w:space="6886"/>
            <w:col w:w="2099"/>
          </w:cols>
        </w:sectPr>
      </w:pP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984"/>
        <w:gridCol w:w="4586"/>
      </w:tblGrid>
      <w:tr>
        <w:trPr>
          <w:trHeight w:val="413" w:hRule="exact"/>
        </w:trPr>
        <w:tc>
          <w:tcPr>
            <w:tcW w:w="498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pacing w:val="-3"/>
                <w:sz w:val="18"/>
                <w:szCs w:val="18"/>
              </w:rPr>
              <w:t>授予日权益工具公允价值的确定方法</w:t>
            </w:r>
          </w:p>
        </w:tc>
        <w:tc>
          <w:tcPr>
            <w:tcW w:w="458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Black-Scholes</w:t>
            </w:r>
            <w:r>
              <w:rPr>
                <w:rFonts w:ascii="宋体" w:hAnsi="宋体" w:cs="宋体" w:eastAsia="宋体" w:hint="default"/>
                <w:spacing w:val="13"/>
                <w:sz w:val="18"/>
                <w:szCs w:val="18"/>
              </w:rPr>
              <w:t> </w:t>
            </w:r>
            <w:r>
              <w:rPr>
                <w:rFonts w:ascii="宋体" w:hAnsi="宋体" w:cs="宋体" w:eastAsia="宋体" w:hint="default"/>
                <w:spacing w:val="-3"/>
                <w:sz w:val="18"/>
                <w:szCs w:val="18"/>
              </w:rPr>
              <w:t>模型定价</w:t>
            </w:r>
          </w:p>
        </w:tc>
      </w:tr>
      <w:tr>
        <w:trPr>
          <w:trHeight w:val="403" w:hRule="exact"/>
        </w:trPr>
        <w:tc>
          <w:tcPr>
            <w:tcW w:w="49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可行权权益工具数量的确定依据</w:t>
            </w:r>
          </w:p>
        </w:tc>
        <w:tc>
          <w:tcPr>
            <w:tcW w:w="4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预计可以达到行权条件，被授予对象均可行权</w:t>
            </w:r>
          </w:p>
        </w:tc>
      </w:tr>
      <w:tr>
        <w:trPr>
          <w:trHeight w:val="404" w:hRule="exact"/>
        </w:trPr>
        <w:tc>
          <w:tcPr>
            <w:tcW w:w="49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本期估计与上期估计有重大差异的原因</w:t>
            </w:r>
          </w:p>
        </w:tc>
        <w:tc>
          <w:tcPr>
            <w:tcW w:w="4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4984"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以权益结算的股份支付计入资本公积的累计金额</w:t>
            </w:r>
          </w:p>
        </w:tc>
        <w:tc>
          <w:tcPr>
            <w:tcW w:w="458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9,943,450.20</w:t>
            </w:r>
          </w:p>
        </w:tc>
      </w:tr>
      <w:tr>
        <w:trPr>
          <w:trHeight w:val="413" w:hRule="exact"/>
        </w:trPr>
        <w:tc>
          <w:tcPr>
            <w:tcW w:w="498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本期以权益结算的股份支付确认的费用总额</w:t>
            </w:r>
          </w:p>
        </w:tc>
        <w:tc>
          <w:tcPr>
            <w:tcW w:w="45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0.00</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3、以现金结算的股份支付情况" w:id="452"/>
      <w:bookmarkEnd w:id="452"/>
      <w:r>
        <w:rPr>
          <w:b w:val="0"/>
          <w:bCs w:val="0"/>
        </w:rPr>
      </w:r>
      <w:r>
        <w:rPr>
          <w:rFonts w:ascii="宋体" w:hAnsi="宋体" w:cs="宋体" w:eastAsia="宋体" w:hint="default"/>
        </w:rPr>
        <w:t>3</w:t>
      </w:r>
      <w:r>
        <w:rPr/>
        <w:t>、以现金结算的股份支付情况</w:t>
      </w:r>
      <w:r>
        <w:rPr>
          <w:b w:val="0"/>
          <w:bCs w:val="0"/>
        </w:rPr>
      </w:r>
    </w:p>
    <w:p>
      <w:pPr>
        <w:spacing w:line="240" w:lineRule="auto" w:before="12"/>
        <w:rPr>
          <w:rFonts w:ascii="宋体" w:hAnsi="宋体" w:cs="宋体" w:eastAsia="宋体" w:hint="default"/>
          <w:b/>
          <w:bCs/>
          <w:sz w:val="25"/>
          <w:szCs w:val="25"/>
        </w:rPr>
      </w:pPr>
    </w:p>
    <w:p>
      <w:pPr>
        <w:spacing w:line="528" w:lineRule="auto" w:before="0"/>
        <w:ind w:left="153" w:right="7904"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4、股份支付的修改、终止情况" w:id="453"/>
      <w:bookmarkEnd w:id="453"/>
      <w:r>
        <w:rPr>
          <w:rFonts w:ascii="宋体" w:hAnsi="宋体" w:cs="宋体" w:eastAsia="宋体" w:hint="default"/>
          <w:spacing w:val="-101"/>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pStyle w:val="BodyText"/>
        <w:spacing w:line="240" w:lineRule="auto" w:before="93"/>
        <w:ind w:right="1024"/>
        <w:jc w:val="left"/>
      </w:pPr>
      <w:r>
        <w:rPr/>
        <w:t>□ √适用 □</w:t>
      </w:r>
      <w:r>
        <w:rPr>
          <w:spacing w:val="5"/>
        </w:rPr>
        <w:t> </w:t>
      </w:r>
      <w:r>
        <w:rPr/>
        <w:t>不适用</w:t>
      </w:r>
    </w:p>
    <w:p>
      <w:pPr>
        <w:pStyle w:val="BodyText"/>
        <w:spacing w:line="240" w:lineRule="auto" w:before="75"/>
        <w:ind w:right="1024"/>
        <w:jc w:val="left"/>
      </w:pPr>
      <w:r>
        <w:rPr/>
        <w:t>截至本报告报出之日，</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年限制性股票激励计划终结。</w:t>
      </w:r>
    </w:p>
    <w:p>
      <w:pPr>
        <w:spacing w:after="0" w:line="240" w:lineRule="auto"/>
        <w:jc w:val="left"/>
        <w:sectPr>
          <w:type w:val="continuous"/>
          <w:pgSz w:w="11910" w:h="16840"/>
          <w:pgMar w:top="1580" w:bottom="1220" w:left="980" w:right="0"/>
        </w:sectPr>
      </w:pPr>
    </w:p>
    <w:p>
      <w:pPr>
        <w:spacing w:line="240" w:lineRule="auto" w:before="2"/>
        <w:rPr>
          <w:rFonts w:ascii="宋体" w:hAnsi="宋体" w:cs="宋体" w:eastAsia="宋体" w:hint="default"/>
          <w:sz w:val="24"/>
          <w:szCs w:val="24"/>
        </w:rPr>
      </w:pPr>
    </w:p>
    <w:p>
      <w:pPr>
        <w:pStyle w:val="Heading2"/>
        <w:spacing w:line="240" w:lineRule="auto" w:before="26"/>
        <w:ind w:right="1024"/>
        <w:jc w:val="left"/>
        <w:rPr>
          <w:b w:val="0"/>
          <w:bCs w:val="0"/>
        </w:rPr>
      </w:pPr>
      <w:bookmarkStart w:name="十四、承诺及或有事项" w:id="454"/>
      <w:bookmarkEnd w:id="454"/>
      <w:r>
        <w:rPr>
          <w:b w:val="0"/>
          <w:bCs w:val="0"/>
        </w:rPr>
      </w:r>
      <w:r>
        <w:rPr/>
        <w:t>十四、承诺及或有事项</w:t>
      </w:r>
      <w:r>
        <w:rPr>
          <w:b w:val="0"/>
          <w:bCs w:val="0"/>
        </w:rPr>
      </w:r>
    </w:p>
    <w:p>
      <w:pPr>
        <w:spacing w:line="240" w:lineRule="auto" w:before="7"/>
        <w:rPr>
          <w:rFonts w:ascii="宋体" w:hAnsi="宋体" w:cs="宋体" w:eastAsia="宋体" w:hint="default"/>
          <w:b/>
          <w:bCs/>
          <w:sz w:val="31"/>
          <w:szCs w:val="31"/>
        </w:rPr>
      </w:pPr>
    </w:p>
    <w:p>
      <w:pPr>
        <w:spacing w:line="408" w:lineRule="auto" w:before="0"/>
        <w:ind w:left="153" w:right="7271" w:firstLine="0"/>
        <w:jc w:val="left"/>
        <w:rPr>
          <w:rFonts w:ascii="宋体" w:hAnsi="宋体" w:cs="宋体" w:eastAsia="宋体" w:hint="default"/>
          <w:sz w:val="21"/>
          <w:szCs w:val="21"/>
        </w:rPr>
      </w:pPr>
      <w:bookmarkStart w:name="1、重要承诺事项" w:id="455"/>
      <w:bookmarkEnd w:id="455"/>
      <w:r>
        <w:rPr/>
      </w:r>
      <w:r>
        <w:rPr>
          <w:rFonts w:ascii="宋体" w:hAnsi="宋体" w:cs="宋体" w:eastAsia="宋体"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4"/>
          <w:sz w:val="21"/>
          <w:szCs w:val="21"/>
        </w:rPr>
        <w:t> </w:t>
      </w:r>
      <w:r>
        <w:rPr>
          <w:rFonts w:ascii="宋体" w:hAnsi="宋体" w:cs="宋体" w:eastAsia="宋体" w:hint="default"/>
          <w:spacing w:val="-1"/>
          <w:sz w:val="21"/>
          <w:szCs w:val="21"/>
        </w:rPr>
        <w:t>资产负债表日存在的重要承诺</w:t>
      </w:r>
    </w:p>
    <w:p>
      <w:pPr>
        <w:pStyle w:val="BodyText"/>
        <w:spacing w:line="405" w:lineRule="auto" w:before="48"/>
        <w:ind w:right="4644"/>
        <w:jc w:val="left"/>
        <w:rPr>
          <w:rFonts w:ascii="宋体" w:hAnsi="宋体" w:cs="宋体" w:eastAsia="宋体" w:hint="default"/>
        </w:rPr>
      </w:pPr>
      <w:r>
        <w:rPr>
          <w:spacing w:val="-2"/>
        </w:rPr>
        <w:t>截至资产负债表日，本公司不存在需要披露的承诺事项。</w:t>
      </w:r>
      <w:r>
        <w:rPr>
          <w:spacing w:val="-55"/>
        </w:rPr>
        <w:t> </w:t>
      </w:r>
      <w:r>
        <w:rPr>
          <w:spacing w:val="-55"/>
        </w:rPr>
      </w:r>
      <w:bookmarkStart w:name="2、或有事项" w:id="456"/>
      <w:bookmarkEnd w:id="456"/>
      <w:r>
        <w:rPr>
          <w:spacing w:val="-55"/>
        </w:rPr>
      </w:r>
      <w:r>
        <w:rPr>
          <w:rFonts w:ascii="宋体" w:hAnsi="宋体" w:cs="宋体" w:eastAsia="宋体" w:hint="default"/>
          <w:b/>
          <w:bCs/>
        </w:rPr>
        <w:t>2</w:t>
      </w:r>
      <w:r>
        <w:rPr>
          <w:rFonts w:ascii="宋体" w:hAnsi="宋体" w:cs="宋体" w:eastAsia="宋体" w:hint="default"/>
          <w:b/>
          <w:bCs/>
        </w:rPr>
        <w:t>、或有事项</w:t>
      </w:r>
      <w:r>
        <w:rPr>
          <w:rFonts w:ascii="宋体" w:hAnsi="宋体" w:cs="宋体" w:eastAsia="宋体" w:hint="default"/>
        </w:rPr>
      </w:r>
    </w:p>
    <w:p>
      <w:pPr>
        <w:spacing w:line="405" w:lineRule="auto" w:before="51"/>
        <w:ind w:left="575" w:right="1024" w:hanging="423"/>
        <w:jc w:val="left"/>
        <w:rPr>
          <w:rFonts w:ascii="宋体" w:hAnsi="宋体" w:cs="宋体" w:eastAsia="宋体" w:hint="default"/>
          <w:sz w:val="21"/>
          <w:szCs w:val="21"/>
        </w:rPr>
      </w:pPr>
      <w:bookmarkStart w:name="（1）资产负债表日存在的重要或有事项" w:id="457"/>
      <w:bookmarkEnd w:id="457"/>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spacing w:val="-100"/>
          <w:sz w:val="21"/>
          <w:szCs w:val="21"/>
        </w:rPr>
        <w:t> </w:t>
      </w:r>
      <w:r>
        <w:rPr>
          <w:rFonts w:ascii="宋体" w:hAnsi="宋体" w:cs="宋体" w:eastAsia="宋体" w:hint="default"/>
          <w:spacing w:val="-2"/>
          <w:sz w:val="21"/>
          <w:szCs w:val="21"/>
        </w:rPr>
        <w:t>报告期内汤潮等八名原告起诉本公司需对重大资产重组终止事项的相关违约责任以及损害进行赔偿</w:t>
      </w:r>
    </w:p>
    <w:p>
      <w:pPr>
        <w:pStyle w:val="BodyText"/>
        <w:spacing w:line="405" w:lineRule="auto" w:before="50"/>
        <w:ind w:right="1024"/>
        <w:jc w:val="left"/>
      </w:pPr>
      <w:r>
        <w:rPr>
          <w:spacing w:val="-1"/>
        </w:rPr>
        <w:t>共计人民币</w:t>
      </w:r>
      <w:r>
        <w:rPr>
          <w:rFonts w:ascii="宋体" w:hAnsi="宋体" w:cs="宋体" w:eastAsia="宋体" w:hint="default"/>
          <w:spacing w:val="-1"/>
        </w:rPr>
        <w:t>50,462,900.00</w:t>
      </w:r>
      <w:r>
        <w:rPr>
          <w:spacing w:val="-1"/>
        </w:rPr>
        <w:t>元，南京市中级人民法院于</w:t>
      </w:r>
      <w:r>
        <w:rPr>
          <w:rFonts w:ascii="宋体" w:hAnsi="宋体" w:cs="宋体" w:eastAsia="宋体" w:hint="default"/>
          <w:spacing w:val="-1"/>
        </w:rPr>
        <w:t>2019</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30</w:t>
      </w:r>
      <w:r>
        <w:rPr>
          <w:spacing w:val="-1"/>
        </w:rPr>
        <w:t>日受理此案，公司提出管辖权异议，</w:t>
      </w:r>
      <w:r>
        <w:rPr>
          <w:spacing w:val="-49"/>
        </w:rPr>
        <w:t> </w:t>
      </w:r>
      <w:r>
        <w:rPr>
          <w:spacing w:val="-49"/>
        </w:rPr>
      </w:r>
      <w:r>
        <w:rPr/>
        <w:t>目前该案管辖权尚未最终确定。</w:t>
      </w:r>
    </w:p>
    <w:p>
      <w:pPr>
        <w:spacing w:line="405" w:lineRule="auto" w:before="51"/>
        <w:ind w:left="575" w:right="2353" w:hanging="423"/>
        <w:jc w:val="left"/>
        <w:rPr>
          <w:rFonts w:ascii="宋体" w:hAnsi="宋体" w:cs="宋体" w:eastAsia="宋体" w:hint="default"/>
          <w:sz w:val="21"/>
          <w:szCs w:val="21"/>
        </w:rPr>
      </w:pPr>
      <w:bookmarkStart w:name="（2）公司没有需要披露的重要或有事项，也应予以说明" w:id="458"/>
      <w:bookmarkEnd w:id="458"/>
      <w:r>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）公司没有需要披露的重要或有事项，也应予以说明</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sz w:val="21"/>
          <w:szCs w:val="21"/>
        </w:rPr>
        <w:t>公司不存在需要披露的重要或有事项。</w:t>
      </w:r>
    </w:p>
    <w:p>
      <w:pPr>
        <w:spacing w:line="240" w:lineRule="auto" w:before="6"/>
        <w:rPr>
          <w:rFonts w:ascii="宋体" w:hAnsi="宋体" w:cs="宋体" w:eastAsia="宋体" w:hint="default"/>
          <w:sz w:val="18"/>
          <w:szCs w:val="18"/>
        </w:rPr>
      </w:pPr>
    </w:p>
    <w:p>
      <w:pPr>
        <w:pStyle w:val="Heading2"/>
        <w:spacing w:line="240" w:lineRule="auto"/>
        <w:ind w:right="1024"/>
        <w:jc w:val="left"/>
        <w:rPr>
          <w:b w:val="0"/>
          <w:bCs w:val="0"/>
        </w:rPr>
      </w:pPr>
      <w:bookmarkStart w:name="十五、资产负债表日后事项" w:id="459"/>
      <w:bookmarkEnd w:id="459"/>
      <w:r>
        <w:rPr>
          <w:b w:val="0"/>
          <w:bCs w:val="0"/>
        </w:rPr>
      </w: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1024"/>
        <w:jc w:val="left"/>
        <w:rPr>
          <w:b w:val="0"/>
          <w:bCs w:val="0"/>
        </w:rPr>
      </w:pPr>
      <w:bookmarkStart w:name="1、重要的非调整事项" w:id="460"/>
      <w:bookmarkEnd w:id="460"/>
      <w:r>
        <w:rPr>
          <w:b w:val="0"/>
          <w:bCs w:val="0"/>
        </w:rPr>
      </w:r>
      <w:r>
        <w:rPr>
          <w:rFonts w:ascii="宋体" w:hAnsi="宋体" w:cs="宋体" w:eastAsia="宋体" w:hint="default"/>
        </w:rPr>
        <w:t>1</w:t>
      </w:r>
      <w:r>
        <w:rPr/>
        <w:t>、重要的非调整事项</w:t>
      </w:r>
      <w:r>
        <w:rPr>
          <w:b w:val="0"/>
          <w:bCs w:val="0"/>
        </w:rPr>
      </w:r>
    </w:p>
    <w:p>
      <w:pPr>
        <w:spacing w:line="240" w:lineRule="auto" w:before="4"/>
        <w:rPr>
          <w:rFonts w:ascii="宋体" w:hAnsi="宋体" w:cs="宋体" w:eastAsia="宋体" w:hint="default"/>
          <w:b/>
          <w:bCs/>
          <w:sz w:val="26"/>
          <w:szCs w:val="26"/>
        </w:rPr>
      </w:pPr>
    </w:p>
    <w:p>
      <w:pPr>
        <w:spacing w:line="528" w:lineRule="auto" w:before="0"/>
        <w:ind w:left="15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2、利润分配情况" w:id="461"/>
      <w:bookmarkEnd w:id="461"/>
      <w:r>
        <w:rPr>
          <w:rFonts w:ascii="宋体" w:hAnsi="宋体" w:cs="宋体" w:eastAsia="宋体" w:hint="default"/>
          <w:w w:val="100"/>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before="118"/>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984"/>
        <w:gridCol w:w="4586"/>
      </w:tblGrid>
      <w:tr>
        <w:trPr>
          <w:trHeight w:val="413" w:hRule="exact"/>
        </w:trPr>
        <w:tc>
          <w:tcPr>
            <w:tcW w:w="4984"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586"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z w:val="18"/>
              </w:rPr>
              <w:t>0.00</w:t>
            </w:r>
          </w:p>
        </w:tc>
      </w:tr>
      <w:tr>
        <w:trPr>
          <w:trHeight w:val="413" w:hRule="exact"/>
        </w:trPr>
        <w:tc>
          <w:tcPr>
            <w:tcW w:w="4984"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458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0.00</w:t>
            </w:r>
          </w:p>
        </w:tc>
      </w:tr>
    </w:tbl>
    <w:p>
      <w:pPr>
        <w:pStyle w:val="Heading4"/>
        <w:spacing w:line="240" w:lineRule="auto" w:before="67"/>
        <w:ind w:right="1024"/>
        <w:jc w:val="left"/>
        <w:rPr>
          <w:b w:val="0"/>
          <w:bCs w:val="0"/>
        </w:rPr>
      </w:pPr>
      <w:bookmarkStart w:name="3、 销售退回" w:id="462"/>
      <w:bookmarkEnd w:id="462"/>
      <w:r>
        <w:rPr>
          <w:b w:val="0"/>
          <w:bCs w:val="0"/>
        </w:rPr>
      </w:r>
      <w:r>
        <w:rPr>
          <w:rFonts w:ascii="宋体" w:hAnsi="宋体" w:cs="宋体" w:eastAsia="宋体" w:hint="default"/>
        </w:rPr>
        <w:t>3</w:t>
      </w:r>
      <w:r>
        <w:rPr/>
        <w:t>、销售退回</w:t>
      </w:r>
      <w:r>
        <w:rPr>
          <w:b w:val="0"/>
          <w:bCs w:val="0"/>
        </w:rPr>
      </w:r>
    </w:p>
    <w:p>
      <w:pPr>
        <w:spacing w:line="240" w:lineRule="auto" w:before="12"/>
        <w:rPr>
          <w:rFonts w:ascii="宋体" w:hAnsi="宋体" w:cs="宋体" w:eastAsia="宋体" w:hint="default"/>
          <w:b/>
          <w:bCs/>
          <w:sz w:val="14"/>
          <w:szCs w:val="14"/>
        </w:rPr>
      </w:pPr>
    </w:p>
    <w:p>
      <w:pPr>
        <w:spacing w:line="405" w:lineRule="auto" w:before="0"/>
        <w:ind w:left="153" w:right="7693"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4、其他资产负债表日后事项说明" w:id="463"/>
      <w:bookmarkEnd w:id="463"/>
      <w:r>
        <w:rPr>
          <w:rFonts w:ascii="宋体" w:hAnsi="宋体" w:cs="宋体" w:eastAsia="宋体" w:hint="default"/>
          <w:spacing w:val="-101"/>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pStyle w:val="BodyText"/>
        <w:spacing w:line="240" w:lineRule="auto" w:before="50"/>
        <w:ind w:right="1024"/>
        <w:jc w:val="left"/>
      </w:pPr>
      <w:r>
        <w:rPr>
          <w:rFonts w:ascii="宋体" w:hAnsi="宋体" w:cs="宋体" w:eastAsia="宋体" w:hint="default"/>
        </w:rPr>
        <w:t>1</w:t>
      </w:r>
      <w:r>
        <w:rPr/>
        <w:t>、股份变动情况</w:t>
      </w:r>
    </w:p>
    <w:p>
      <w:pPr>
        <w:spacing w:line="240" w:lineRule="auto" w:before="8"/>
        <w:rPr>
          <w:rFonts w:ascii="宋体" w:hAnsi="宋体" w:cs="宋体" w:eastAsia="宋体" w:hint="default"/>
          <w:sz w:val="14"/>
          <w:szCs w:val="14"/>
        </w:rPr>
      </w:pPr>
    </w:p>
    <w:p>
      <w:pPr>
        <w:pStyle w:val="BodyText"/>
        <w:spacing w:line="410" w:lineRule="auto"/>
        <w:ind w:right="0" w:firstLine="422"/>
        <w:jc w:val="left"/>
      </w:pP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26</w:t>
      </w:r>
      <w:r>
        <w:rPr/>
        <w:t>日本公司于在中国证券登记结算有限责任公司深圳分公司完成限制性股票回购注销手续，</w:t>
      </w:r>
      <w:r>
        <w:rPr>
          <w:w w:val="100"/>
        </w:rPr>
        <w:t> </w:t>
      </w:r>
      <w:r>
        <w:rPr/>
        <w:t>共计回购注销限制性股票</w:t>
      </w:r>
      <w:r>
        <w:rPr>
          <w:rFonts w:ascii="宋体" w:hAnsi="宋体" w:cs="宋体" w:eastAsia="宋体" w:hint="default"/>
        </w:rPr>
        <w:t>3,213,750.00</w:t>
      </w:r>
      <w:r>
        <w:rPr/>
        <w:t>股。</w:t>
      </w:r>
    </w:p>
    <w:p>
      <w:pPr>
        <w:pStyle w:val="BodyText"/>
        <w:spacing w:line="410" w:lineRule="auto" w:before="41"/>
        <w:ind w:left="575" w:right="1024"/>
        <w:jc w:val="left"/>
      </w:pPr>
      <w:r>
        <w:rPr>
          <w:rFonts w:ascii="宋体" w:hAnsi="宋体" w:cs="宋体" w:eastAsia="宋体" w:hint="default"/>
        </w:rPr>
        <w:t>2</w:t>
      </w:r>
      <w:r>
        <w:rPr/>
        <w:t>、新增借款情况</w:t>
      </w:r>
      <w:r>
        <w:rPr>
          <w:spacing w:val="-101"/>
        </w:rPr>
        <w:t> </w:t>
      </w:r>
      <w:r>
        <w:rPr>
          <w:spacing w:val="-101"/>
        </w:rPr>
      </w:r>
      <w:r>
        <w:rPr>
          <w:spacing w:val="-2"/>
        </w:rPr>
        <w:t>截至财务报告批准报出日，公司新增短期借款</w:t>
      </w:r>
      <w:r>
        <w:rPr>
          <w:rFonts w:ascii="Times New Roman" w:hAnsi="Times New Roman" w:cs="Times New Roman" w:eastAsia="Times New Roman" w:hint="default"/>
          <w:spacing w:val="-2"/>
        </w:rPr>
        <w:t>4,200.00</w:t>
      </w:r>
      <w:r>
        <w:rPr>
          <w:spacing w:val="-2"/>
        </w:rPr>
        <w:t>万元，归还短期借款</w:t>
      </w:r>
      <w:r>
        <w:rPr>
          <w:rFonts w:ascii="Times New Roman" w:hAnsi="Times New Roman" w:cs="Times New Roman" w:eastAsia="Times New Roman" w:hint="default"/>
          <w:spacing w:val="-2"/>
        </w:rPr>
        <w:t>3,200.00</w:t>
      </w:r>
      <w:r>
        <w:rPr>
          <w:spacing w:val="-2"/>
        </w:rPr>
        <w:t>万元，归还长期借</w:t>
      </w:r>
    </w:p>
    <w:p>
      <w:pPr>
        <w:pStyle w:val="BodyText"/>
        <w:spacing w:line="388" w:lineRule="auto" w:before="10"/>
        <w:ind w:left="575" w:right="9177" w:hanging="423"/>
        <w:jc w:val="left"/>
      </w:pPr>
      <w:r>
        <w:rPr/>
        <w:t>款</w:t>
      </w:r>
      <w:r>
        <w:rPr>
          <w:rFonts w:ascii="Times New Roman" w:hAnsi="Times New Roman" w:cs="Times New Roman" w:eastAsia="Times New Roman" w:hint="default"/>
        </w:rPr>
        <w:t>1,700.00</w:t>
      </w:r>
      <w:r>
        <w:rPr/>
        <w:t>万元。</w:t>
      </w:r>
      <w:r>
        <w:rPr>
          <w:spacing w:val="-101"/>
        </w:rPr>
        <w:t> </w:t>
      </w:r>
      <w:r>
        <w:rPr>
          <w:spacing w:val="-101"/>
        </w:rPr>
      </w:r>
      <w:r>
        <w:rPr>
          <w:rFonts w:ascii="宋体" w:hAnsi="宋体" w:cs="宋体" w:eastAsia="宋体" w:hint="default"/>
        </w:rPr>
        <w:t>3</w:t>
      </w:r>
      <w:r>
        <w:rPr/>
        <w:t>、其他</w:t>
      </w:r>
    </w:p>
    <w:p>
      <w:pPr>
        <w:spacing w:after="0" w:line="388" w:lineRule="auto"/>
        <w:jc w:val="left"/>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408" w:lineRule="auto"/>
        <w:ind w:right="1122" w:firstLine="422"/>
        <w:jc w:val="both"/>
      </w:pPr>
      <w:r>
        <w:rPr>
          <w:rFonts w:ascii="宋体" w:hAnsi="宋体" w:cs="宋体" w:eastAsia="宋体" w:hint="default"/>
          <w:spacing w:val="-2"/>
        </w:rPr>
        <w:t>2020</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4</w:t>
      </w:r>
      <w:r>
        <w:rPr>
          <w:spacing w:val="-2"/>
        </w:rPr>
        <w:t>日东证融汇证券资产管理有限公司诉江苏光一投资管理有限公司、本公司、龙昌明、南京</w:t>
      </w:r>
      <w:r>
        <w:rPr>
          <w:w w:val="100"/>
        </w:rPr>
        <w:t> </w:t>
      </w:r>
      <w:r>
        <w:rPr>
          <w:spacing w:val="-2"/>
        </w:rPr>
        <w:t>建盈鸿亿科技发展有限公司质押式证券回购纠纷一案被苏州市中级人民法院受理，原告诉求江苏光一投资</w:t>
      </w:r>
      <w:r>
        <w:rPr>
          <w:spacing w:val="-33"/>
        </w:rPr>
        <w:t> </w:t>
      </w:r>
      <w:r>
        <w:rPr>
          <w:spacing w:val="-33"/>
        </w:rPr>
      </w:r>
      <w:r>
        <w:rPr>
          <w:spacing w:val="-2"/>
        </w:rPr>
        <w:t>管理有限责任公司支付财产份额回购款</w:t>
      </w:r>
      <w:r>
        <w:rPr>
          <w:rFonts w:ascii="宋体" w:hAnsi="宋体" w:cs="宋体" w:eastAsia="宋体" w:hint="default"/>
          <w:spacing w:val="-2"/>
        </w:rPr>
        <w:t>213,351,250.00</w:t>
      </w:r>
      <w:r>
        <w:rPr>
          <w:spacing w:val="-2"/>
        </w:rPr>
        <w:t>元，并支付相应违约金、利息以及律师费。</w:t>
      </w:r>
      <w:r>
        <w:rPr>
          <w:rFonts w:ascii="宋体" w:hAnsi="宋体" w:cs="宋体" w:eastAsia="宋体" w:hint="default"/>
          <w:spacing w:val="-2"/>
        </w:rPr>
        <w:t>2020</w:t>
      </w:r>
      <w:r>
        <w:rPr>
          <w:spacing w:val="-2"/>
        </w:rPr>
        <w:t>年</w:t>
      </w:r>
      <w:r>
        <w:rPr>
          <w:spacing w:val="-13"/>
        </w:rPr>
        <w:t> </w:t>
      </w:r>
      <w:r>
        <w:rPr>
          <w:rFonts w:ascii="宋体" w:hAnsi="宋体" w:cs="宋体" w:eastAsia="宋体" w:hint="default"/>
        </w:rPr>
        <w:t>2</w:t>
      </w:r>
      <w:r>
        <w:rPr/>
        <w:t>月</w:t>
      </w:r>
      <w:r>
        <w:rPr>
          <w:rFonts w:ascii="宋体" w:hAnsi="宋体" w:cs="宋体" w:eastAsia="宋体" w:hint="default"/>
        </w:rPr>
        <w:t>29</w:t>
      </w:r>
      <w:r>
        <w:rPr/>
        <w:t>日原被告双方达成和解协议，并约定了分期支付的条款。</w:t>
      </w:r>
    </w:p>
    <w:p>
      <w:pPr>
        <w:pStyle w:val="BodyText"/>
        <w:spacing w:line="400" w:lineRule="auto" w:before="48"/>
        <w:ind w:right="1120" w:firstLine="422"/>
        <w:jc w:val="both"/>
      </w:pPr>
      <w:r>
        <w:rPr>
          <w:rFonts w:ascii="Times New Roman" w:hAnsi="Times New Roman" w:cs="Times New Roman" w:eastAsia="Times New Roman" w:hint="default"/>
          <w:spacing w:val="-2"/>
        </w:rPr>
        <w:t>2020</w:t>
      </w:r>
      <w:r>
        <w:rPr>
          <w:spacing w:val="-2"/>
        </w:rPr>
        <w:t>年初新型冠状病毒肺炎在全国爆发，对本公司造成不同程度的影响，截至本报告签发之日，南京</w:t>
      </w:r>
      <w:r>
        <w:rPr>
          <w:w w:val="100"/>
        </w:rPr>
        <w:t> </w:t>
      </w:r>
      <w:r>
        <w:rPr>
          <w:spacing w:val="-2"/>
        </w:rPr>
        <w:t>本部已全部复工复产。本公司全资子公司湖北索瑞电气有限公司地处疫情最严重的湖北省，因此目前尚未</w:t>
      </w:r>
      <w:r>
        <w:rPr>
          <w:spacing w:val="-31"/>
        </w:rPr>
        <w:t> </w:t>
      </w:r>
      <w:r>
        <w:rPr>
          <w:spacing w:val="-31"/>
        </w:rPr>
      </w:r>
      <w:r>
        <w:rPr>
          <w:spacing w:val="-2"/>
        </w:rPr>
        <w:t>全面复工复产，对全年预期业绩产生较大的影响，本公司将全面关注型冠状病毒肺炎的发展，把防疫和复</w:t>
      </w:r>
      <w:r>
        <w:rPr>
          <w:spacing w:val="-33"/>
        </w:rPr>
        <w:t> </w:t>
      </w:r>
      <w:r>
        <w:rPr>
          <w:spacing w:val="-33"/>
        </w:rPr>
      </w:r>
      <w:r>
        <w:rPr/>
        <w:t>工复产并重，努力降低并减少型冠状病毒肺炎对本公司的影响程度。</w:t>
      </w:r>
    </w:p>
    <w:p>
      <w:pPr>
        <w:spacing w:line="240" w:lineRule="auto" w:before="10"/>
        <w:rPr>
          <w:rFonts w:ascii="宋体" w:hAnsi="宋体" w:cs="宋体" w:eastAsia="宋体" w:hint="default"/>
          <w:sz w:val="18"/>
          <w:szCs w:val="18"/>
        </w:rPr>
      </w:pPr>
    </w:p>
    <w:p>
      <w:pPr>
        <w:pStyle w:val="Heading2"/>
        <w:spacing w:line="240" w:lineRule="auto"/>
        <w:ind w:right="1024"/>
        <w:jc w:val="left"/>
        <w:rPr>
          <w:b w:val="0"/>
          <w:bCs w:val="0"/>
        </w:rPr>
      </w:pPr>
      <w:bookmarkStart w:name="十六、其他重要事项" w:id="464"/>
      <w:bookmarkEnd w:id="464"/>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1024"/>
        <w:jc w:val="left"/>
        <w:rPr>
          <w:b w:val="0"/>
          <w:bCs w:val="0"/>
        </w:rPr>
      </w:pPr>
      <w:bookmarkStart w:name="1、前期会计差错更正" w:id="465"/>
      <w:bookmarkEnd w:id="465"/>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3"/>
        <w:rPr>
          <w:rFonts w:ascii="宋体" w:hAnsi="宋体" w:cs="宋体" w:eastAsia="宋体" w:hint="default"/>
          <w:b/>
          <w:bCs/>
          <w:sz w:val="30"/>
          <w:szCs w:val="30"/>
        </w:rPr>
      </w:pPr>
    </w:p>
    <w:p>
      <w:pPr>
        <w:pStyle w:val="Heading4"/>
        <w:spacing w:line="240" w:lineRule="auto" w:before="0"/>
        <w:ind w:right="1024"/>
        <w:jc w:val="left"/>
        <w:rPr>
          <w:b w:val="0"/>
          <w:bCs w:val="0"/>
        </w:rPr>
      </w:pPr>
      <w:bookmarkStart w:name="（1）追溯重述法" w:id="466"/>
      <w:bookmarkEnd w:id="466"/>
      <w:r>
        <w:rPr>
          <w:b w:val="0"/>
          <w:bCs w:val="0"/>
        </w:rPr>
      </w:r>
      <w:r>
        <w:rPr/>
        <w:t>（</w:t>
      </w:r>
      <w:r>
        <w:rPr>
          <w:rFonts w:ascii="宋体" w:hAnsi="宋体" w:cs="宋体" w:eastAsia="宋体" w:hint="default"/>
        </w:rPr>
        <w:t>1</w:t>
      </w:r>
      <w:r>
        <w:rPr/>
        <w:t>）追溯重述法</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right="1024"/>
        <w:jc w:val="left"/>
      </w:pPr>
      <w:r>
        <w:rPr/>
        <w:t>□ 适用 √</w:t>
      </w:r>
      <w:r>
        <w:rPr>
          <w:spacing w:val="4"/>
        </w:rPr>
        <w:t> </w:t>
      </w:r>
      <w:r>
        <w:rPr/>
        <w:t>不适用</w:t>
      </w:r>
    </w:p>
    <w:p>
      <w:pPr>
        <w:spacing w:line="240" w:lineRule="auto" w:before="8"/>
        <w:rPr>
          <w:rFonts w:ascii="宋体" w:hAnsi="宋体" w:cs="宋体" w:eastAsia="宋体" w:hint="default"/>
          <w:sz w:val="14"/>
          <w:szCs w:val="14"/>
        </w:rPr>
      </w:pPr>
    </w:p>
    <w:p>
      <w:pPr>
        <w:pStyle w:val="Heading4"/>
        <w:spacing w:line="240" w:lineRule="auto" w:before="0"/>
        <w:ind w:right="1024"/>
        <w:jc w:val="left"/>
        <w:rPr>
          <w:b w:val="0"/>
          <w:bCs w:val="0"/>
        </w:rPr>
      </w:pPr>
      <w:bookmarkStart w:name="（2）未来适用法" w:id="467"/>
      <w:bookmarkEnd w:id="467"/>
      <w:r>
        <w:rPr>
          <w:b w:val="0"/>
          <w:bCs w:val="0"/>
        </w:rPr>
      </w:r>
      <w:r>
        <w:rPr/>
        <w:t>（</w:t>
      </w:r>
      <w:r>
        <w:rPr>
          <w:rFonts w:ascii="宋体" w:hAnsi="宋体" w:cs="宋体" w:eastAsia="宋体" w:hint="default"/>
        </w:rPr>
        <w:t>2</w:t>
      </w:r>
      <w:r>
        <w:rPr/>
        <w:t>）未来适用法</w:t>
      </w:r>
      <w:r>
        <w:rPr>
          <w:b w:val="0"/>
          <w:bCs w:val="0"/>
        </w:rPr>
      </w:r>
    </w:p>
    <w:p>
      <w:pPr>
        <w:spacing w:line="372" w:lineRule="auto" w:before="157"/>
        <w:ind w:left="15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2、债务重组" w:id="468"/>
      <w:bookmarkEnd w:id="468"/>
      <w:r>
        <w:rPr>
          <w:rFonts w:ascii="宋体" w:hAnsi="宋体" w:cs="宋体" w:eastAsia="宋体" w:hint="default"/>
          <w:w w:val="100"/>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405" w:lineRule="auto" w:before="80"/>
        <w:ind w:left="15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3、资产置换" w:id="469"/>
      <w:bookmarkEnd w:id="469"/>
      <w:r>
        <w:rPr>
          <w:rFonts w:ascii="宋体" w:hAnsi="宋体" w:cs="宋体" w:eastAsia="宋体" w:hint="default"/>
          <w:w w:val="100"/>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pStyle w:val="Heading4"/>
        <w:spacing w:line="240" w:lineRule="auto" w:before="50"/>
        <w:ind w:right="1024"/>
        <w:jc w:val="left"/>
        <w:rPr>
          <w:b w:val="0"/>
          <w:bCs w:val="0"/>
        </w:rPr>
      </w:pPr>
      <w:bookmarkStart w:name="（1）非货币性资产交换" w:id="470"/>
      <w:bookmarkEnd w:id="470"/>
      <w:r>
        <w:rPr>
          <w:b w:val="0"/>
          <w:bCs w:val="0"/>
        </w:rPr>
      </w:r>
      <w:r>
        <w:rPr/>
        <w:t>（</w:t>
      </w:r>
      <w:r>
        <w:rPr>
          <w:rFonts w:ascii="宋体" w:hAnsi="宋体" w:cs="宋体" w:eastAsia="宋体" w:hint="default"/>
        </w:rPr>
        <w:t>1</w:t>
      </w:r>
      <w:r>
        <w:rPr/>
        <w:t>）非货币性资产交换</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right="1024"/>
        <w:jc w:val="left"/>
      </w:pPr>
      <w:r>
        <w:rPr/>
        <w:t>□ 适用 √</w:t>
      </w:r>
      <w:r>
        <w:rPr>
          <w:spacing w:val="4"/>
        </w:rPr>
        <w:t> </w:t>
      </w:r>
      <w:r>
        <w:rPr/>
        <w:t>不适用</w:t>
      </w:r>
    </w:p>
    <w:p>
      <w:pPr>
        <w:spacing w:line="240" w:lineRule="auto" w:before="13"/>
        <w:rPr>
          <w:rFonts w:ascii="宋体" w:hAnsi="宋体" w:cs="宋体" w:eastAsia="宋体" w:hint="default"/>
          <w:sz w:val="14"/>
          <w:szCs w:val="14"/>
        </w:rPr>
      </w:pPr>
    </w:p>
    <w:p>
      <w:pPr>
        <w:pStyle w:val="Heading4"/>
        <w:spacing w:line="240" w:lineRule="auto" w:before="0"/>
        <w:ind w:right="1024"/>
        <w:jc w:val="left"/>
        <w:rPr>
          <w:b w:val="0"/>
          <w:bCs w:val="0"/>
        </w:rPr>
      </w:pPr>
      <w:bookmarkStart w:name="（2）其他资产置换" w:id="471"/>
      <w:bookmarkEnd w:id="471"/>
      <w:r>
        <w:rPr>
          <w:b w:val="0"/>
          <w:bCs w:val="0"/>
        </w:rPr>
      </w:r>
      <w:r>
        <w:rPr/>
        <w:t>（</w:t>
      </w:r>
      <w:r>
        <w:rPr>
          <w:rFonts w:ascii="宋体" w:hAnsi="宋体" w:cs="宋体" w:eastAsia="宋体" w:hint="default"/>
        </w:rPr>
        <w:t>2</w:t>
      </w:r>
      <w:r>
        <w:rPr/>
        <w:t>）其他资产置换</w:t>
      </w:r>
      <w:r>
        <w:rPr>
          <w:b w:val="0"/>
          <w:bCs w:val="0"/>
        </w:rPr>
      </w:r>
    </w:p>
    <w:p>
      <w:pPr>
        <w:spacing w:line="240" w:lineRule="auto" w:before="8"/>
        <w:rPr>
          <w:rFonts w:ascii="宋体" w:hAnsi="宋体" w:cs="宋体" w:eastAsia="宋体" w:hint="default"/>
          <w:b/>
          <w:bCs/>
          <w:sz w:val="14"/>
          <w:szCs w:val="14"/>
        </w:rPr>
      </w:pPr>
    </w:p>
    <w:p>
      <w:pPr>
        <w:spacing w:line="410" w:lineRule="auto" w:before="0"/>
        <w:ind w:left="15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4、年金计划" w:id="472"/>
      <w:bookmarkEnd w:id="472"/>
      <w:r>
        <w:rPr>
          <w:rFonts w:ascii="宋体" w:hAnsi="宋体" w:cs="宋体" w:eastAsia="宋体" w:hint="default"/>
          <w:w w:val="100"/>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410" w:lineRule="auto" w:before="41"/>
        <w:ind w:left="15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5、终止经营" w:id="473"/>
      <w:bookmarkEnd w:id="473"/>
      <w:r>
        <w:rPr>
          <w:rFonts w:ascii="宋体" w:hAnsi="宋体" w:cs="宋体" w:eastAsia="宋体" w:hint="default"/>
          <w:w w:val="100"/>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410" w:lineRule="auto" w:before="41"/>
        <w:ind w:left="15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6、分部信息" w:id="474"/>
      <w:bookmarkEnd w:id="474"/>
      <w:r>
        <w:rPr>
          <w:rFonts w:ascii="宋体" w:hAnsi="宋体" w:cs="宋体" w:eastAsia="宋体" w:hint="default"/>
          <w:w w:val="100"/>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pStyle w:val="Heading4"/>
        <w:spacing w:line="240" w:lineRule="auto" w:before="42"/>
        <w:ind w:right="1024"/>
        <w:jc w:val="left"/>
        <w:rPr>
          <w:b w:val="0"/>
          <w:bCs w:val="0"/>
        </w:rPr>
      </w:pPr>
      <w:bookmarkStart w:name="（1）报告分部的确定依据与会计政策" w:id="475"/>
      <w:bookmarkEnd w:id="475"/>
      <w:r>
        <w:rPr>
          <w:b w:val="0"/>
          <w:bCs w:val="0"/>
        </w:rPr>
      </w:r>
      <w:r>
        <w:rPr/>
        <w:t>（</w:t>
      </w:r>
      <w:r>
        <w:rPr>
          <w:rFonts w:ascii="宋体" w:hAnsi="宋体" w:cs="宋体" w:eastAsia="宋体" w:hint="default"/>
        </w:rPr>
        <w:t>1</w:t>
      </w:r>
      <w:r>
        <w:rPr/>
        <w:t>）报告分部的确定依据与会计政策</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left="575" w:right="0"/>
        <w:jc w:val="left"/>
      </w:pPr>
      <w:r>
        <w:rPr/>
        <w:t>经营分部，是指企业内同时满足下列条件的组成部分：</w:t>
      </w:r>
      <w:r>
        <w:rPr>
          <w:spacing w:val="72"/>
        </w:rPr>
        <w:t> </w:t>
      </w:r>
      <w:r>
        <w:rPr>
          <w:rFonts w:ascii="宋体" w:hAnsi="宋体" w:cs="宋体" w:eastAsia="宋体" w:hint="default"/>
        </w:rPr>
        <w:t>(1)</w:t>
      </w:r>
      <w:r>
        <w:rPr/>
        <w:t>该组成部分能够在日常活动中产生收入、</w:t>
      </w:r>
    </w:p>
    <w:p>
      <w:pPr>
        <w:spacing w:after="0" w:line="240" w:lineRule="auto"/>
        <w:jc w:val="left"/>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405" w:lineRule="auto"/>
        <w:ind w:right="1024"/>
        <w:jc w:val="left"/>
      </w:pPr>
      <w:r>
        <w:rPr>
          <w:spacing w:val="-2"/>
        </w:rPr>
        <w:t>发生费用；</w:t>
      </w:r>
      <w:r>
        <w:rPr>
          <w:rFonts w:ascii="宋体" w:hAnsi="宋体" w:cs="宋体" w:eastAsia="宋体" w:hint="default"/>
          <w:spacing w:val="-2"/>
        </w:rPr>
        <w:t>(2)</w:t>
      </w:r>
      <w:r>
        <w:rPr>
          <w:spacing w:val="-2"/>
        </w:rPr>
        <w:t>企业管理层能够定期评价该组成部分的经营成果，以决定向其配置资源、评价其业绩；</w:t>
      </w:r>
      <w:r>
        <w:rPr>
          <w:rFonts w:ascii="宋体" w:hAnsi="宋体" w:cs="宋体" w:eastAsia="宋体" w:hint="default"/>
          <w:spacing w:val="-2"/>
        </w:rPr>
        <w:t>(3)</w:t>
      </w:r>
      <w:r>
        <w:rPr>
          <w:rFonts w:ascii="宋体" w:hAnsi="宋体" w:cs="宋体" w:eastAsia="宋体" w:hint="default"/>
          <w:spacing w:val="-29"/>
        </w:rPr>
        <w:t> </w:t>
      </w:r>
      <w:r>
        <w:rPr>
          <w:rFonts w:ascii="宋体" w:hAnsi="宋体" w:cs="宋体" w:eastAsia="宋体" w:hint="default"/>
          <w:spacing w:val="-29"/>
        </w:rPr>
      </w:r>
      <w:r>
        <w:rPr/>
        <w:t>企业能够取得该组成部分的财务状况、经营成果和现金流量等有关会计信息。</w:t>
      </w:r>
    </w:p>
    <w:p>
      <w:pPr>
        <w:pStyle w:val="BodyText"/>
        <w:spacing w:line="405" w:lineRule="auto" w:before="51"/>
        <w:ind w:left="575" w:right="1024"/>
        <w:jc w:val="left"/>
      </w:pPr>
      <w:r>
        <w:rPr/>
        <w:t>重要性标准的判断：</w:t>
      </w:r>
      <w:r>
        <w:rPr>
          <w:spacing w:val="-100"/>
        </w:rPr>
        <w:t> </w:t>
      </w:r>
      <w:r>
        <w:rPr>
          <w:spacing w:val="-100"/>
        </w:rPr>
      </w:r>
      <w:r>
        <w:rPr>
          <w:spacing w:val="-2"/>
        </w:rPr>
        <w:t>报告分部是指符合经营分部定义，按规定应予披露的经营分部。报告分部的确定应当以经营分部为基</w:t>
      </w:r>
    </w:p>
    <w:p>
      <w:pPr>
        <w:pStyle w:val="BodyText"/>
        <w:spacing w:line="408" w:lineRule="auto" w:before="50"/>
        <w:ind w:right="1024"/>
        <w:jc w:val="left"/>
      </w:pPr>
      <w:r>
        <w:rPr/>
        <w:t>础，而经营分部的划分通常是以不同的风险和报酬为基础，而不论其是否重要。存在多种产品经营或者跨</w:t>
      </w:r>
      <w:r>
        <w:rPr>
          <w:w w:val="100"/>
        </w:rPr>
        <w:t> </w:t>
      </w:r>
      <w:r>
        <w:rPr/>
        <w:t>多个地区经营的企业可能会拥有大量规模较小、不是很重要的经营分部，而单独披露如此之多但规模较小</w:t>
      </w:r>
      <w:r>
        <w:rPr>
          <w:w w:val="100"/>
        </w:rPr>
        <w:t> </w:t>
      </w:r>
      <w:r>
        <w:rPr>
          <w:spacing w:val="-4"/>
        </w:rPr>
        <w:t>的经营分部信息不仅会给财务报表使用者带来困惑，也会给财务报告编制者带来不必要的披露成本。因此，</w:t>
      </w:r>
      <w:r>
        <w:rPr>
          <w:spacing w:val="-42"/>
        </w:rPr>
        <w:t> </w:t>
      </w:r>
      <w:r>
        <w:rPr>
          <w:spacing w:val="-42"/>
        </w:rPr>
      </w:r>
      <w:r>
        <w:rPr/>
        <w:t>报告分部的确定应当考虑重要性原则，通常情况下，符合重要性标准的经营分部才能确定为报告分部。</w:t>
      </w:r>
    </w:p>
    <w:p>
      <w:pPr>
        <w:pStyle w:val="BodyText"/>
        <w:spacing w:line="240" w:lineRule="auto" w:before="48"/>
        <w:ind w:left="575" w:right="1024"/>
        <w:jc w:val="left"/>
      </w:pPr>
      <w:r>
        <w:rPr/>
        <w:t>经营分部满足下列条件之一的，应当确定为报告分部：</w:t>
      </w:r>
    </w:p>
    <w:p>
      <w:pPr>
        <w:spacing w:line="240" w:lineRule="auto" w:before="8"/>
        <w:rPr>
          <w:rFonts w:ascii="宋体" w:hAnsi="宋体" w:cs="宋体" w:eastAsia="宋体" w:hint="default"/>
          <w:sz w:val="14"/>
          <w:szCs w:val="14"/>
        </w:rPr>
      </w:pPr>
    </w:p>
    <w:p>
      <w:pPr>
        <w:pStyle w:val="BodyText"/>
        <w:spacing w:line="410" w:lineRule="auto"/>
        <w:ind w:right="1024" w:firstLine="422"/>
        <w:jc w:val="left"/>
      </w:pPr>
      <w:r>
        <w:rPr>
          <w:spacing w:val="-2"/>
        </w:rPr>
        <w:t>（</w:t>
      </w:r>
      <w:r>
        <w:rPr>
          <w:rFonts w:ascii="宋体" w:hAnsi="宋体" w:cs="宋体" w:eastAsia="宋体" w:hint="default"/>
          <w:spacing w:val="-2"/>
        </w:rPr>
        <w:t>1</w:t>
      </w:r>
      <w:r>
        <w:rPr>
          <w:spacing w:val="-2"/>
        </w:rPr>
        <w:t>）该经营分部的分部收入占所有分部收入合计的</w:t>
      </w:r>
      <w:r>
        <w:rPr>
          <w:rFonts w:ascii="宋体" w:hAnsi="宋体" w:cs="宋体" w:eastAsia="宋体" w:hint="default"/>
          <w:spacing w:val="-2"/>
        </w:rPr>
        <w:t>10%</w:t>
      </w:r>
      <w:r>
        <w:rPr>
          <w:spacing w:val="-2"/>
        </w:rPr>
        <w:t>或者以上。分部收入是指可归属于分部的对外</w:t>
      </w:r>
      <w:r>
        <w:rPr>
          <w:w w:val="100"/>
        </w:rPr>
        <w:t> </w:t>
      </w:r>
      <w:r>
        <w:rPr/>
        <w:t>交易收入和对其他分部交易收入。</w:t>
      </w:r>
    </w:p>
    <w:p>
      <w:pPr>
        <w:pStyle w:val="BodyText"/>
        <w:spacing w:line="410" w:lineRule="auto" w:before="41"/>
        <w:ind w:right="1024" w:firstLine="422"/>
        <w:jc w:val="left"/>
      </w:pPr>
      <w:r>
        <w:rPr>
          <w:spacing w:val="-2"/>
        </w:rPr>
        <w:t>（</w:t>
      </w:r>
      <w:r>
        <w:rPr>
          <w:rFonts w:ascii="宋体" w:hAnsi="宋体" w:cs="宋体" w:eastAsia="宋体" w:hint="default"/>
          <w:spacing w:val="-2"/>
        </w:rPr>
        <w:t>2</w:t>
      </w:r>
      <w:r>
        <w:rPr>
          <w:spacing w:val="-2"/>
        </w:rPr>
        <w:t>）该分部的分部利润</w:t>
      </w:r>
      <w:r>
        <w:rPr>
          <w:rFonts w:ascii="宋体" w:hAnsi="宋体" w:cs="宋体" w:eastAsia="宋体" w:hint="default"/>
          <w:spacing w:val="-2"/>
        </w:rPr>
        <w:t>(</w:t>
      </w:r>
      <w:r>
        <w:rPr>
          <w:spacing w:val="-2"/>
        </w:rPr>
        <w:t>亏损</w:t>
      </w:r>
      <w:r>
        <w:rPr>
          <w:rFonts w:ascii="宋体" w:hAnsi="宋体" w:cs="宋体" w:eastAsia="宋体" w:hint="default"/>
          <w:spacing w:val="-2"/>
        </w:rPr>
        <w:t>)</w:t>
      </w:r>
      <w:r>
        <w:rPr>
          <w:spacing w:val="-2"/>
        </w:rPr>
        <w:t>的绝对额，占所有盈利分部利润合计额或者所有亏损分部亏损合计额</w:t>
      </w:r>
      <w:r>
        <w:rPr>
          <w:w w:val="100"/>
        </w:rPr>
        <w:t> </w:t>
      </w:r>
      <w:r>
        <w:rPr/>
        <w:t>的绝对额两者中较大者的</w:t>
      </w:r>
      <w:r>
        <w:rPr>
          <w:rFonts w:ascii="宋体" w:hAnsi="宋体" w:cs="宋体" w:eastAsia="宋体" w:hint="default"/>
        </w:rPr>
        <w:t>10%</w:t>
      </w:r>
      <w:r>
        <w:rPr/>
        <w:t>或者以上。</w:t>
      </w:r>
    </w:p>
    <w:p>
      <w:pPr>
        <w:pStyle w:val="BodyText"/>
        <w:spacing w:line="410" w:lineRule="auto" w:before="42"/>
        <w:ind w:right="1024" w:firstLine="422"/>
        <w:jc w:val="left"/>
      </w:pPr>
      <w:r>
        <w:rPr>
          <w:spacing w:val="-2"/>
        </w:rPr>
        <w:t>（</w:t>
      </w:r>
      <w:r>
        <w:rPr>
          <w:rFonts w:ascii="宋体" w:hAnsi="宋体" w:cs="宋体" w:eastAsia="宋体" w:hint="default"/>
          <w:spacing w:val="-2"/>
        </w:rPr>
        <w:t>3</w:t>
      </w:r>
      <w:r>
        <w:rPr>
          <w:spacing w:val="-2"/>
        </w:rPr>
        <w:t>）该分部的分部资产占所有分部资产合计额的</w:t>
      </w:r>
      <w:r>
        <w:rPr>
          <w:rFonts w:ascii="宋体" w:hAnsi="宋体" w:cs="宋体" w:eastAsia="宋体" w:hint="default"/>
          <w:spacing w:val="-2"/>
        </w:rPr>
        <w:t>10%</w:t>
      </w:r>
      <w:r>
        <w:rPr>
          <w:spacing w:val="-2"/>
        </w:rPr>
        <w:t>或者以上。分部资产，是指经营分部日常活动中</w:t>
      </w:r>
      <w:r>
        <w:rPr>
          <w:w w:val="100"/>
        </w:rPr>
        <w:t> </w:t>
      </w:r>
      <w:r>
        <w:rPr/>
        <w:t>使用的可以归属于该分部的资产，不包括递延所得税资产。</w:t>
      </w:r>
    </w:p>
    <w:p>
      <w:pPr>
        <w:pStyle w:val="BodyText"/>
        <w:spacing w:line="410" w:lineRule="auto" w:before="41"/>
        <w:ind w:left="575" w:right="1024"/>
        <w:jc w:val="left"/>
      </w:pPr>
      <w:r>
        <w:rPr/>
        <w:t>低于</w:t>
      </w:r>
      <w:r>
        <w:rPr>
          <w:rFonts w:ascii="宋体" w:hAnsi="宋体" w:cs="宋体" w:eastAsia="宋体" w:hint="default"/>
        </w:rPr>
        <w:t>10%</w:t>
      </w:r>
      <w:r>
        <w:rPr/>
        <w:t>重要性标准的选择</w:t>
      </w:r>
      <w:r>
        <w:rPr>
          <w:spacing w:val="-102"/>
        </w:rPr>
        <w:t> </w:t>
      </w:r>
      <w:r>
        <w:rPr>
          <w:spacing w:val="-102"/>
        </w:rPr>
      </w:r>
      <w:r>
        <w:rPr>
          <w:spacing w:val="-2"/>
        </w:rPr>
        <w:t>经营分部未满足上述</w:t>
      </w:r>
      <w:r>
        <w:rPr>
          <w:rFonts w:ascii="宋体" w:hAnsi="宋体" w:cs="宋体" w:eastAsia="宋体" w:hint="default"/>
          <w:spacing w:val="-2"/>
        </w:rPr>
        <w:t>10%</w:t>
      </w:r>
      <w:r>
        <w:rPr>
          <w:spacing w:val="-2"/>
        </w:rPr>
        <w:t>重要性判断标准的，可以按照下列规定进行确定报告分部：</w:t>
      </w:r>
    </w:p>
    <w:p>
      <w:pPr>
        <w:pStyle w:val="BodyText"/>
        <w:spacing w:line="410" w:lineRule="auto" w:before="42"/>
        <w:ind w:right="1024" w:firstLine="422"/>
        <w:jc w:val="left"/>
      </w:pPr>
      <w:r>
        <w:rPr>
          <w:spacing w:val="-2"/>
        </w:rPr>
        <w:t>（</w:t>
      </w:r>
      <w:r>
        <w:rPr>
          <w:rFonts w:ascii="宋体" w:hAnsi="宋体" w:cs="宋体" w:eastAsia="宋体" w:hint="default"/>
          <w:spacing w:val="-2"/>
        </w:rPr>
        <w:t>1</w:t>
      </w:r>
      <w:r>
        <w:rPr>
          <w:spacing w:val="-2"/>
        </w:rPr>
        <w:t>）企业管理层如果认为披露该经营分部信息对会计信息使用者有用，那么可以将其确定为报告分</w:t>
      </w:r>
      <w:r>
        <w:rPr>
          <w:w w:val="100"/>
        </w:rPr>
        <w:t> </w:t>
      </w:r>
      <w:r>
        <w:rPr/>
        <w:t>部。在这种情况下，无论该分部是否满足</w:t>
      </w:r>
      <w:r>
        <w:rPr>
          <w:rFonts w:ascii="宋体" w:hAnsi="宋体" w:cs="宋体" w:eastAsia="宋体" w:hint="default"/>
        </w:rPr>
        <w:t>10%</w:t>
      </w:r>
      <w:r>
        <w:rPr/>
        <w:t>的重要性标准，企业都可以直接将其指定为报告分部。</w:t>
      </w:r>
    </w:p>
    <w:p>
      <w:pPr>
        <w:pStyle w:val="BodyText"/>
        <w:spacing w:line="410" w:lineRule="auto" w:before="41"/>
        <w:ind w:right="1024" w:firstLine="422"/>
        <w:jc w:val="left"/>
      </w:pPr>
      <w:r>
        <w:rPr/>
        <w:t>（</w:t>
      </w:r>
      <w:r>
        <w:rPr>
          <w:rFonts w:ascii="宋体" w:hAnsi="宋体" w:cs="宋体" w:eastAsia="宋体" w:hint="default"/>
        </w:rPr>
        <w:t>2</w:t>
      </w:r>
      <w:r>
        <w:rPr/>
        <w:t>）将该经营分部与一个或一个以上的具有相似经济特征、满足经营分部合并条件的其他经营分部</w:t>
      </w:r>
      <w:r>
        <w:rPr>
          <w:w w:val="100"/>
        </w:rPr>
        <w:t> </w:t>
      </w:r>
      <w:r>
        <w:rPr>
          <w:spacing w:val="-2"/>
        </w:rPr>
        <w:t>合并，作为一个报告分部。对经营分部</w:t>
      </w:r>
      <w:r>
        <w:rPr>
          <w:rFonts w:ascii="宋体" w:hAnsi="宋体" w:cs="宋体" w:eastAsia="宋体" w:hint="default"/>
          <w:spacing w:val="-2"/>
        </w:rPr>
        <w:t>10%</w:t>
      </w:r>
      <w:r>
        <w:rPr>
          <w:spacing w:val="-2"/>
        </w:rPr>
        <w:t>的重要性测试可能会导致企业拥有大量未满足</w:t>
      </w:r>
      <w:r>
        <w:rPr>
          <w:rFonts w:ascii="宋体" w:hAnsi="宋体" w:cs="宋体" w:eastAsia="宋体" w:hint="default"/>
          <w:spacing w:val="-2"/>
        </w:rPr>
        <w:t>10%</w:t>
      </w:r>
      <w:r>
        <w:rPr>
          <w:spacing w:val="-2"/>
        </w:rPr>
        <w:t>数量临界线的</w:t>
      </w:r>
      <w:r>
        <w:rPr>
          <w:spacing w:val="-30"/>
        </w:rPr>
        <w:t> </w:t>
      </w:r>
      <w:r>
        <w:rPr>
          <w:spacing w:val="-30"/>
        </w:rPr>
      </w:r>
      <w:r>
        <w:rPr>
          <w:spacing w:val="-2"/>
        </w:rPr>
        <w:t>经营分部，在这种情况下，如果企业没有直接将这些分部指定为报告分部的，可以将一个或一个以上具有</w:t>
      </w:r>
      <w:r>
        <w:rPr>
          <w:spacing w:val="-33"/>
        </w:rPr>
        <w:t> </w:t>
      </w:r>
      <w:r>
        <w:rPr>
          <w:spacing w:val="-33"/>
        </w:rPr>
      </w:r>
      <w:r>
        <w:rPr/>
        <w:t>相似经济特征、满足经营分部合并条件的一个以上的经营分部合并成一个报告分部。</w:t>
      </w:r>
    </w:p>
    <w:p>
      <w:pPr>
        <w:pStyle w:val="BodyText"/>
        <w:spacing w:line="408" w:lineRule="auto" w:before="41"/>
        <w:ind w:right="1024" w:firstLine="422"/>
        <w:jc w:val="left"/>
      </w:pPr>
      <w:r>
        <w:rPr/>
        <w:t>（</w:t>
      </w:r>
      <w:r>
        <w:rPr>
          <w:rFonts w:ascii="宋体" w:hAnsi="宋体" w:cs="宋体" w:eastAsia="宋体" w:hint="default"/>
        </w:rPr>
        <w:t>3</w:t>
      </w:r>
      <w:r>
        <w:rPr/>
        <w:t>）不将该经营分部指定为报告分部，也不将该经营分部与其他未作为报告分部的经营分部合并为</w:t>
      </w:r>
      <w:r>
        <w:rPr>
          <w:w w:val="100"/>
        </w:rPr>
        <w:t> </w:t>
      </w:r>
      <w:r>
        <w:rPr>
          <w:spacing w:val="-2"/>
        </w:rPr>
        <w:t>一个报告分部的，企业在披露分部信息时，应当将该经营分部的信息与其他组成部分的信息合并，作为其</w:t>
      </w:r>
      <w:r>
        <w:rPr>
          <w:spacing w:val="-31"/>
        </w:rPr>
        <w:t> </w:t>
      </w:r>
      <w:r>
        <w:rPr>
          <w:spacing w:val="-31"/>
        </w:rPr>
      </w:r>
      <w:r>
        <w:rPr/>
        <w:t>他项目单独披露。</w:t>
      </w:r>
    </w:p>
    <w:p>
      <w:pPr>
        <w:pStyle w:val="BodyText"/>
        <w:spacing w:line="240" w:lineRule="auto" w:before="48"/>
        <w:ind w:left="575" w:right="1024"/>
        <w:jc w:val="left"/>
      </w:pPr>
      <w:r>
        <w:rPr/>
        <w:t>根据本公司内部组织结构、管理要求、内部报告制度为依据确定将索瑞及其子公司作为一个经营分部</w:t>
      </w:r>
    </w:p>
    <w:p>
      <w:pPr>
        <w:spacing w:line="240" w:lineRule="auto" w:before="8"/>
        <w:rPr>
          <w:rFonts w:ascii="宋体" w:hAnsi="宋体" w:cs="宋体" w:eastAsia="宋体" w:hint="default"/>
          <w:sz w:val="14"/>
          <w:szCs w:val="14"/>
        </w:rPr>
      </w:pPr>
    </w:p>
    <w:p>
      <w:pPr>
        <w:pStyle w:val="BodyText"/>
        <w:spacing w:line="240" w:lineRule="auto"/>
        <w:ind w:right="1024"/>
        <w:jc w:val="left"/>
      </w:pPr>
      <w:r>
        <w:rPr>
          <w:w w:val="100"/>
        </w:rPr>
        <w:t>（简称湖</w:t>
      </w:r>
      <w:r>
        <w:rPr>
          <w:spacing w:val="-5"/>
          <w:w w:val="100"/>
        </w:rPr>
        <w:t>北</w:t>
      </w:r>
      <w:r>
        <w:rPr>
          <w:w w:val="100"/>
        </w:rPr>
        <w:t>分部</w:t>
      </w:r>
      <w:r>
        <w:rPr>
          <w:spacing w:val="-106"/>
          <w:w w:val="100"/>
        </w:rPr>
        <w:t>）</w:t>
      </w:r>
      <w:r>
        <w:rPr>
          <w:w w:val="100"/>
        </w:rPr>
        <w:t>，</w:t>
      </w:r>
      <w:r>
        <w:rPr>
          <w:spacing w:val="-5"/>
          <w:w w:val="100"/>
        </w:rPr>
        <w:t>除</w:t>
      </w:r>
      <w:r>
        <w:rPr>
          <w:w w:val="100"/>
        </w:rPr>
        <w:t>索瑞分</w:t>
      </w:r>
      <w:r>
        <w:rPr>
          <w:spacing w:val="-5"/>
          <w:w w:val="100"/>
        </w:rPr>
        <w:t>部</w:t>
      </w:r>
      <w:r>
        <w:rPr>
          <w:w w:val="100"/>
        </w:rPr>
        <w:t>以外的</w:t>
      </w:r>
      <w:r>
        <w:rPr>
          <w:spacing w:val="-5"/>
          <w:w w:val="100"/>
        </w:rPr>
        <w:t>公</w:t>
      </w:r>
      <w:r>
        <w:rPr>
          <w:w w:val="100"/>
        </w:rPr>
        <w:t>司作</w:t>
      </w:r>
      <w:r>
        <w:rPr>
          <w:spacing w:val="-5"/>
          <w:w w:val="100"/>
        </w:rPr>
        <w:t>为</w:t>
      </w:r>
      <w:r>
        <w:rPr>
          <w:w w:val="100"/>
        </w:rPr>
        <w:t>一</w:t>
      </w:r>
      <w:r>
        <w:rPr>
          <w:spacing w:val="-5"/>
          <w:w w:val="100"/>
        </w:rPr>
        <w:t>个</w:t>
      </w:r>
      <w:r>
        <w:rPr>
          <w:w w:val="100"/>
        </w:rPr>
        <w:t>经营分部</w:t>
      </w:r>
      <w:r>
        <w:rPr>
          <w:spacing w:val="-5"/>
          <w:w w:val="100"/>
        </w:rPr>
        <w:t>（</w:t>
      </w:r>
      <w:r>
        <w:rPr>
          <w:w w:val="100"/>
        </w:rPr>
        <w:t>简称南</w:t>
      </w:r>
      <w:r>
        <w:rPr>
          <w:spacing w:val="-5"/>
          <w:w w:val="100"/>
        </w:rPr>
        <w:t>京</w:t>
      </w:r>
      <w:r>
        <w:rPr>
          <w:w w:val="100"/>
        </w:rPr>
        <w:t>分部</w:t>
      </w:r>
      <w:r>
        <w:rPr>
          <w:spacing w:val="-106"/>
          <w:w w:val="100"/>
        </w:rPr>
        <w:t>）</w:t>
      </w:r>
      <w:r>
        <w:rPr>
          <w:w w:val="100"/>
        </w:rPr>
        <w:t>。</w:t>
      </w:r>
    </w:p>
    <w:p>
      <w:pPr>
        <w:spacing w:after="0" w:line="240" w:lineRule="auto"/>
        <w:jc w:val="left"/>
        <w:sectPr>
          <w:pgSz w:w="11910" w:h="16840"/>
          <w:pgMar w:header="871" w:footer="1037" w:top="1040" w:bottom="1220" w:left="980" w:right="0"/>
        </w:sectPr>
      </w:pPr>
    </w:p>
    <w:p>
      <w:pPr>
        <w:spacing w:line="240" w:lineRule="auto" w:before="1"/>
        <w:rPr>
          <w:rFonts w:ascii="宋体" w:hAnsi="宋体" w:cs="宋体" w:eastAsia="宋体" w:hint="default"/>
          <w:sz w:val="26"/>
          <w:szCs w:val="26"/>
        </w:rPr>
      </w:pPr>
    </w:p>
    <w:p>
      <w:pPr>
        <w:pStyle w:val="Heading4"/>
        <w:spacing w:line="240" w:lineRule="auto"/>
        <w:ind w:right="1024"/>
        <w:jc w:val="left"/>
        <w:rPr>
          <w:b w:val="0"/>
          <w:bCs w:val="0"/>
        </w:rPr>
      </w:pPr>
      <w:bookmarkStart w:name="（2）报告分部的财务信息" w:id="476"/>
      <w:bookmarkEnd w:id="476"/>
      <w:r>
        <w:rPr>
          <w:b w:val="0"/>
          <w:bCs w:val="0"/>
        </w:rPr>
      </w:r>
      <w:r>
        <w:rPr/>
        <w:t>（</w:t>
      </w:r>
      <w:r>
        <w:rPr>
          <w:rFonts w:ascii="宋体" w:hAnsi="宋体" w:cs="宋体" w:eastAsia="宋体" w:hint="default"/>
        </w:rPr>
        <w:t>2</w:t>
      </w:r>
      <w:r>
        <w:rPr/>
        <w:t>）报告分部的财务信息</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13" w:hRule="exact"/>
        </w:trPr>
        <w:tc>
          <w:tcPr>
            <w:tcW w:w="1916"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湖北分部</w:t>
            </w:r>
          </w:p>
        </w:tc>
        <w:tc>
          <w:tcPr>
            <w:tcW w:w="191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南京分部</w:t>
            </w:r>
          </w:p>
        </w:tc>
        <w:tc>
          <w:tcPr>
            <w:tcW w:w="191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04"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120,727,555.92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300,317,184.47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11,946,056.73</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84"/>
              <w:jc w:val="right"/>
              <w:rPr>
                <w:rFonts w:ascii="Times New Roman" w:hAnsi="Times New Roman" w:cs="Times New Roman" w:eastAsia="Times New Roman" w:hint="default"/>
                <w:sz w:val="18"/>
                <w:szCs w:val="18"/>
              </w:rPr>
            </w:pPr>
            <w:r>
              <w:rPr>
                <w:rFonts w:ascii="Times New Roman"/>
                <w:spacing w:val="-1"/>
                <w:sz w:val="18"/>
              </w:rPr>
              <w:t>409,098,683.66</w:t>
            </w: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其中：对外交易</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4"/>
              <w:jc w:val="right"/>
              <w:rPr>
                <w:rFonts w:ascii="Times New Roman" w:hAnsi="Times New Roman" w:cs="Times New Roman" w:eastAsia="Times New Roman" w:hint="default"/>
                <w:sz w:val="18"/>
                <w:szCs w:val="18"/>
              </w:rPr>
            </w:pPr>
            <w:r>
              <w:rPr>
                <w:rFonts w:ascii="Times New Roman"/>
                <w:spacing w:val="-2"/>
                <w:sz w:val="18"/>
              </w:rPr>
              <w:t>114,399,888.55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294,698,795.11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8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711"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pacing w:val="-3"/>
                <w:sz w:val="18"/>
                <w:szCs w:val="18"/>
              </w:rPr>
              <w:t>分部间交</w:t>
            </w:r>
          </w:p>
          <w:p>
            <w:pPr>
              <w:pStyle w:val="TableParagraph"/>
              <w:spacing w:line="240" w:lineRule="auto" w:before="77"/>
              <w:ind w:left="95" w:right="0"/>
              <w:jc w:val="left"/>
              <w:rPr>
                <w:rFonts w:ascii="宋体" w:hAnsi="宋体" w:cs="宋体" w:eastAsia="宋体" w:hint="default"/>
                <w:sz w:val="18"/>
                <w:szCs w:val="18"/>
              </w:rPr>
            </w:pPr>
            <w:r>
              <w:rPr>
                <w:rFonts w:ascii="宋体" w:hAnsi="宋体" w:cs="宋体" w:eastAsia="宋体" w:hint="default"/>
                <w:w w:val="101"/>
                <w:sz w:val="18"/>
                <w:szCs w:val="18"/>
              </w:rPr>
              <w:t>易</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6,327,667.37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5,618,389.36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11,946,056.73</w:t>
            </w:r>
          </w:p>
        </w:tc>
        <w:tc>
          <w:tcPr>
            <w:tcW w:w="1916"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175"/>
              <w:jc w:val="left"/>
              <w:rPr>
                <w:rFonts w:ascii="宋体" w:hAnsi="宋体" w:cs="宋体" w:eastAsia="宋体" w:hint="default"/>
                <w:sz w:val="18"/>
                <w:szCs w:val="18"/>
              </w:rPr>
            </w:pPr>
            <w:r>
              <w:rPr>
                <w:rFonts w:ascii="宋体" w:hAnsi="宋体" w:cs="宋体" w:eastAsia="宋体" w:hint="default"/>
                <w:spacing w:val="-3"/>
                <w:sz w:val="18"/>
                <w:szCs w:val="18"/>
              </w:rPr>
              <w:t>对外交易收入占分部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收入总额百分比</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94.76%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98.13%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8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-7,217,821.57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-1,427,697.64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84"/>
              <w:jc w:val="right"/>
              <w:rPr>
                <w:rFonts w:ascii="Times New Roman" w:hAnsi="Times New Roman" w:cs="Times New Roman" w:eastAsia="Times New Roman" w:hint="default"/>
                <w:sz w:val="18"/>
                <w:szCs w:val="18"/>
              </w:rPr>
            </w:pPr>
            <w:r>
              <w:rPr>
                <w:rFonts w:ascii="Times New Roman"/>
                <w:spacing w:val="-1"/>
                <w:sz w:val="18"/>
              </w:rPr>
              <w:t>-8,645,519.21</w:t>
            </w: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7,221,157.15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22,762,718.45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84"/>
              <w:jc w:val="right"/>
              <w:rPr>
                <w:rFonts w:ascii="Times New Roman" w:hAnsi="Times New Roman" w:cs="Times New Roman" w:eastAsia="Times New Roman" w:hint="default"/>
                <w:sz w:val="18"/>
                <w:szCs w:val="18"/>
              </w:rPr>
            </w:pPr>
            <w:r>
              <w:rPr>
                <w:rFonts w:ascii="Times New Roman"/>
                <w:spacing w:val="-1"/>
                <w:sz w:val="18"/>
              </w:rPr>
              <w:t>29,983,875.60</w:t>
            </w:r>
          </w:p>
        </w:tc>
      </w:tr>
      <w:tr>
        <w:trPr>
          <w:trHeight w:val="399"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1,763,336.54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1,127,158.82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84"/>
              <w:jc w:val="right"/>
              <w:rPr>
                <w:rFonts w:ascii="Times New Roman" w:hAnsi="Times New Roman" w:cs="Times New Roman" w:eastAsia="Times New Roman" w:hint="default"/>
                <w:sz w:val="18"/>
                <w:szCs w:val="18"/>
              </w:rPr>
            </w:pPr>
            <w:r>
              <w:rPr>
                <w:rFonts w:ascii="Times New Roman"/>
                <w:spacing w:val="-1"/>
                <w:sz w:val="18"/>
              </w:rPr>
              <w:t>2,890,495.36</w:t>
            </w: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5,457,820.61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21,635,559.63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84"/>
              <w:jc w:val="right"/>
              <w:rPr>
                <w:rFonts w:ascii="Times New Roman" w:hAnsi="Times New Roman" w:cs="Times New Roman" w:eastAsia="Times New Roman" w:hint="default"/>
                <w:sz w:val="18"/>
                <w:szCs w:val="18"/>
              </w:rPr>
            </w:pPr>
            <w:r>
              <w:rPr>
                <w:rFonts w:ascii="Times New Roman"/>
                <w:spacing w:val="-1"/>
                <w:sz w:val="18"/>
              </w:rPr>
              <w:t>27,093,380.24</w:t>
            </w: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601,960,948.35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1,854,410,702.18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700,296,147.14</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6"/>
              <w:ind w:right="85"/>
              <w:jc w:val="right"/>
              <w:rPr>
                <w:rFonts w:ascii="Times New Roman" w:hAnsi="Times New Roman" w:cs="Times New Roman" w:eastAsia="Times New Roman" w:hint="default"/>
                <w:sz w:val="18"/>
                <w:szCs w:val="18"/>
              </w:rPr>
            </w:pPr>
            <w:r>
              <w:rPr>
                <w:rFonts w:ascii="Times New Roman"/>
                <w:spacing w:val="-2"/>
                <w:sz w:val="18"/>
              </w:rPr>
              <w:t>1,756,075,503.39</w:t>
            </w:r>
          </w:p>
        </w:tc>
      </w:tr>
      <w:tr>
        <w:trPr>
          <w:trHeight w:val="413" w:hRule="exact"/>
        </w:trPr>
        <w:tc>
          <w:tcPr>
            <w:tcW w:w="191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40,967,133.69</w:t>
            </w:r>
          </w:p>
        </w:tc>
        <w:tc>
          <w:tcPr>
            <w:tcW w:w="1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721,430,776.91</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88,985,347.14</w:t>
            </w:r>
          </w:p>
        </w:tc>
        <w:tc>
          <w:tcPr>
            <w:tcW w:w="19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6"/>
              <w:ind w:right="84"/>
              <w:jc w:val="right"/>
              <w:rPr>
                <w:rFonts w:ascii="Times New Roman" w:hAnsi="Times New Roman" w:cs="Times New Roman" w:eastAsia="Times New Roman" w:hint="default"/>
                <w:sz w:val="18"/>
                <w:szCs w:val="18"/>
              </w:rPr>
            </w:pPr>
            <w:r>
              <w:rPr>
                <w:rFonts w:ascii="Times New Roman"/>
                <w:spacing w:val="-1"/>
                <w:sz w:val="18"/>
              </w:rPr>
              <w:t>673,412,563.46</w:t>
            </w:r>
          </w:p>
        </w:tc>
      </w:tr>
    </w:tbl>
    <w:p>
      <w:pPr>
        <w:pStyle w:val="Heading4"/>
        <w:spacing w:line="240" w:lineRule="auto" w:before="67"/>
        <w:ind w:right="1024"/>
        <w:jc w:val="left"/>
        <w:rPr>
          <w:b w:val="0"/>
          <w:bCs w:val="0"/>
        </w:rPr>
      </w:pPr>
      <w:bookmarkStart w:name="（3）公司无报告分部的，或者不能披露各报告分部的资产总额和负债总额的，应说明原因" w:id="477"/>
      <w:bookmarkEnd w:id="477"/>
      <w:r>
        <w:rPr>
          <w:b w:val="0"/>
          <w:bCs w:val="0"/>
        </w:rPr>
      </w:r>
      <w:r>
        <w:rPr/>
        <w:t>（</w:t>
      </w:r>
      <w:r>
        <w:rPr>
          <w:rFonts w:ascii="宋体" w:hAnsi="宋体" w:cs="宋体" w:eastAsia="宋体"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14"/>
          <w:szCs w:val="14"/>
        </w:rPr>
      </w:pPr>
    </w:p>
    <w:p>
      <w:pPr>
        <w:spacing w:line="410" w:lineRule="auto" w:before="0"/>
        <w:ind w:left="153" w:right="6428" w:firstLine="211"/>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3"/>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7、其他对投资者决策有影响的重要交易和事项" w:id="478"/>
      <w:bookmarkEnd w:id="478"/>
      <w:r>
        <w:rPr>
          <w:rFonts w:ascii="宋体" w:hAnsi="宋体" w:cs="宋体" w:eastAsia="宋体" w:hint="default"/>
          <w:w w:val="100"/>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pStyle w:val="BodyText"/>
        <w:spacing w:line="240" w:lineRule="auto" w:before="41"/>
        <w:ind w:right="1024"/>
        <w:jc w:val="left"/>
      </w:pPr>
      <w:r>
        <w:rPr/>
        <w:t>□ 适用 √</w:t>
      </w:r>
      <w:r>
        <w:rPr>
          <w:spacing w:val="4"/>
        </w:rPr>
        <w:t> </w:t>
      </w:r>
      <w:r>
        <w:rPr/>
        <w:t>不适用</w:t>
      </w:r>
    </w:p>
    <w:p>
      <w:pPr>
        <w:spacing w:line="240" w:lineRule="auto" w:before="7"/>
        <w:rPr>
          <w:rFonts w:ascii="宋体" w:hAnsi="宋体" w:cs="宋体" w:eastAsia="宋体" w:hint="default"/>
          <w:sz w:val="29"/>
          <w:szCs w:val="29"/>
        </w:rPr>
      </w:pPr>
    </w:p>
    <w:p>
      <w:pPr>
        <w:pStyle w:val="Heading2"/>
        <w:spacing w:line="240" w:lineRule="auto"/>
        <w:ind w:right="1024"/>
        <w:jc w:val="left"/>
        <w:rPr>
          <w:b w:val="0"/>
          <w:bCs w:val="0"/>
        </w:rPr>
      </w:pPr>
      <w:bookmarkStart w:name="十七、母公司财务报表主要项目注释" w:id="479"/>
      <w:bookmarkEnd w:id="479"/>
      <w:r>
        <w:rPr>
          <w:b w:val="0"/>
          <w:bCs w:val="0"/>
        </w:rPr>
      </w: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before="0"/>
        <w:ind w:right="1024"/>
        <w:jc w:val="left"/>
        <w:rPr>
          <w:b w:val="0"/>
          <w:bCs w:val="0"/>
        </w:rPr>
      </w:pPr>
      <w:bookmarkStart w:name="1、应收账款" w:id="480"/>
      <w:bookmarkEnd w:id="480"/>
      <w:r>
        <w:rPr>
          <w:b w:val="0"/>
          <w:bCs w:val="0"/>
        </w:rPr>
      </w:r>
      <w:r>
        <w:rPr>
          <w:rFonts w:ascii="宋体" w:hAnsi="宋体" w:cs="宋体" w:eastAsia="宋体" w:hint="default"/>
        </w:rPr>
        <w:t>1</w:t>
      </w:r>
      <w:r>
        <w:rPr/>
        <w:t>、应收账款</w:t>
      </w:r>
      <w:r>
        <w:rPr>
          <w:b w:val="0"/>
          <w:bCs w:val="0"/>
        </w:rPr>
      </w:r>
    </w:p>
    <w:p>
      <w:pPr>
        <w:spacing w:line="240" w:lineRule="auto" w:before="13"/>
        <w:rPr>
          <w:rFonts w:ascii="宋体" w:hAnsi="宋体" w:cs="宋体" w:eastAsia="宋体" w:hint="default"/>
          <w:b/>
          <w:bCs/>
          <w:sz w:val="25"/>
          <w:szCs w:val="25"/>
        </w:rPr>
      </w:pPr>
    </w:p>
    <w:p>
      <w:pPr>
        <w:pStyle w:val="Heading4"/>
        <w:spacing w:line="240" w:lineRule="auto" w:before="0"/>
        <w:ind w:right="1024"/>
        <w:jc w:val="left"/>
        <w:rPr>
          <w:b w:val="0"/>
          <w:bCs w:val="0"/>
        </w:rPr>
      </w:pPr>
      <w:bookmarkStart w:name="（1）应收账款分类披露" w:id="481"/>
      <w:bookmarkEnd w:id="48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408" w:hRule="exact"/>
        </w:trPr>
        <w:tc>
          <w:tcPr>
            <w:tcW w:w="1637"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3"/>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7" w:type="dxa"/>
            <w:vMerge/>
            <w:tcBorders>
              <w:left w:val="single" w:sz="12"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302" w:right="113" w:hanging="183"/>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12"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374" w:right="175" w:hanging="183"/>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r>
      <w:tr>
        <w:trPr>
          <w:trHeight w:val="710" w:hRule="exact"/>
        </w:trPr>
        <w:tc>
          <w:tcPr>
            <w:tcW w:w="1637" w:type="dxa"/>
            <w:vMerge/>
            <w:tcBorders>
              <w:left w:val="single" w:sz="12"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7" w:right="99"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02" w:right="113"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931" w:type="dxa"/>
            <w:vMerge/>
            <w:tcBorders>
              <w:left w:val="single" w:sz="4" w:space="0" w:color="000000"/>
              <w:bottom w:val="single" w:sz="4" w:space="0" w:color="000000"/>
              <w:right w:val="single" w:sz="12" w:space="0" w:color="000000"/>
            </w:tcBorders>
            <w:shd w:val="clear" w:color="auto" w:fill="D2D2D2"/>
          </w:tcPr>
          <w:p>
            <w:pPr/>
          </w:p>
        </w:tc>
      </w:tr>
      <w:tr>
        <w:trPr>
          <w:trHeight w:val="715" w:hRule="exact"/>
        </w:trPr>
        <w:tc>
          <w:tcPr>
            <w:tcW w:w="16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21" w:lineRule="auto" w:before="53"/>
              <w:ind w:left="95" w:right="257"/>
              <w:jc w:val="left"/>
              <w:rPr>
                <w:rFonts w:ascii="宋体" w:hAnsi="宋体" w:cs="宋体" w:eastAsia="宋体" w:hint="default"/>
                <w:sz w:val="18"/>
                <w:szCs w:val="18"/>
              </w:rPr>
            </w:pPr>
            <w:r>
              <w:rPr>
                <w:rFonts w:ascii="宋体" w:hAnsi="宋体" w:cs="宋体" w:eastAsia="宋体" w:hint="default"/>
                <w:spacing w:val="-3"/>
                <w:sz w:val="18"/>
                <w:szCs w:val="18"/>
              </w:rPr>
              <w:t>按单项计提坏账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16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682" w:hRule="exact"/>
        </w:trPr>
        <w:tc>
          <w:tcPr>
            <w:tcW w:w="1637" w:type="dxa"/>
            <w:tcBorders>
              <w:top w:val="single" w:sz="4" w:space="0" w:color="000000"/>
              <w:left w:val="single" w:sz="12" w:space="0" w:color="000000"/>
              <w:bottom w:val="single" w:sz="12" w:space="0" w:color="000000"/>
              <w:right w:val="single" w:sz="4" w:space="0" w:color="000000"/>
            </w:tcBorders>
          </w:tcPr>
          <w:p>
            <w:pPr>
              <w:pStyle w:val="TableParagraph"/>
              <w:spacing w:line="312" w:lineRule="auto" w:before="53"/>
              <w:ind w:left="95" w:right="257"/>
              <w:jc w:val="left"/>
              <w:rPr>
                <w:rFonts w:ascii="宋体" w:hAnsi="宋体" w:cs="宋体" w:eastAsia="宋体" w:hint="default"/>
                <w:sz w:val="18"/>
                <w:szCs w:val="18"/>
              </w:rPr>
            </w:pPr>
            <w:r>
              <w:rPr>
                <w:rFonts w:ascii="宋体" w:hAnsi="宋体" w:cs="宋体" w:eastAsia="宋体" w:hint="default"/>
                <w:spacing w:val="-3"/>
                <w:sz w:val="18"/>
                <w:szCs w:val="18"/>
              </w:rPr>
              <w:t>按信用风险特征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组合计提坏账准</w:t>
            </w:r>
          </w:p>
        </w:tc>
        <w:tc>
          <w:tcPr>
            <w:tcW w:w="764" w:type="dxa"/>
            <w:tcBorders>
              <w:top w:val="single" w:sz="4" w:space="0" w:color="000000"/>
              <w:left w:val="single" w:sz="4" w:space="0" w:color="000000"/>
              <w:bottom w:val="single" w:sz="12" w:space="0" w:color="000000"/>
              <w:right w:val="single" w:sz="4" w:space="0" w:color="000000"/>
            </w:tcBorders>
          </w:tcPr>
          <w:p>
            <w:pPr/>
          </w:p>
        </w:tc>
        <w:tc>
          <w:tcPr>
            <w:tcW w:w="758" w:type="dxa"/>
            <w:tcBorders>
              <w:top w:val="single" w:sz="4" w:space="0" w:color="000000"/>
              <w:left w:val="single" w:sz="4" w:space="0" w:color="000000"/>
              <w:bottom w:val="single" w:sz="12" w:space="0" w:color="000000"/>
              <w:right w:val="single" w:sz="4" w:space="0" w:color="000000"/>
            </w:tcBorders>
          </w:tcPr>
          <w:p>
            <w:pPr/>
          </w:p>
        </w:tc>
        <w:tc>
          <w:tcPr>
            <w:tcW w:w="764" w:type="dxa"/>
            <w:tcBorders>
              <w:top w:val="single" w:sz="4" w:space="0" w:color="000000"/>
              <w:left w:val="single" w:sz="4" w:space="0" w:color="000000"/>
              <w:bottom w:val="single" w:sz="12" w:space="0" w:color="000000"/>
              <w:right w:val="single" w:sz="4" w:space="0" w:color="000000"/>
            </w:tcBorders>
          </w:tcPr>
          <w:p>
            <w:pPr/>
          </w:p>
        </w:tc>
        <w:tc>
          <w:tcPr>
            <w:tcW w:w="764" w:type="dxa"/>
            <w:tcBorders>
              <w:top w:val="single" w:sz="4" w:space="0" w:color="000000"/>
              <w:left w:val="single" w:sz="4" w:space="0" w:color="000000"/>
              <w:bottom w:val="single" w:sz="12" w:space="0" w:color="000000"/>
              <w:right w:val="single" w:sz="4" w:space="0" w:color="000000"/>
            </w:tcBorders>
          </w:tcPr>
          <w:p>
            <w:pPr/>
          </w:p>
        </w:tc>
        <w:tc>
          <w:tcPr>
            <w:tcW w:w="787" w:type="dxa"/>
            <w:tcBorders>
              <w:top w:val="single" w:sz="4" w:space="0" w:color="000000"/>
              <w:left w:val="single" w:sz="4" w:space="0" w:color="000000"/>
              <w:bottom w:val="single" w:sz="12" w:space="0" w:color="000000"/>
              <w:right w:val="single" w:sz="4" w:space="0" w:color="000000"/>
            </w:tcBorders>
          </w:tcPr>
          <w:p>
            <w:pPr/>
          </w:p>
        </w:tc>
        <w:tc>
          <w:tcPr>
            <w:tcW w:w="778" w:type="dxa"/>
            <w:tcBorders>
              <w:top w:val="single" w:sz="4" w:space="0" w:color="000000"/>
              <w:left w:val="single" w:sz="4" w:space="0" w:color="000000"/>
              <w:bottom w:val="single" w:sz="12" w:space="0" w:color="000000"/>
              <w:right w:val="single" w:sz="4" w:space="0" w:color="000000"/>
            </w:tcBorders>
          </w:tcPr>
          <w:p>
            <w:pPr/>
          </w:p>
        </w:tc>
        <w:tc>
          <w:tcPr>
            <w:tcW w:w="797" w:type="dxa"/>
            <w:tcBorders>
              <w:top w:val="single" w:sz="4" w:space="0" w:color="000000"/>
              <w:left w:val="single" w:sz="4" w:space="0" w:color="000000"/>
              <w:bottom w:val="single" w:sz="12" w:space="0" w:color="000000"/>
              <w:right w:val="single" w:sz="4" w:space="0" w:color="000000"/>
            </w:tcBorders>
          </w:tcPr>
          <w:p>
            <w:pPr/>
          </w:p>
        </w:tc>
        <w:tc>
          <w:tcPr>
            <w:tcW w:w="797" w:type="dxa"/>
            <w:tcBorders>
              <w:top w:val="single" w:sz="4" w:space="0" w:color="000000"/>
              <w:left w:val="single" w:sz="4" w:space="0" w:color="000000"/>
              <w:bottom w:val="single" w:sz="12" w:space="0" w:color="000000"/>
              <w:right w:val="single" w:sz="4" w:space="0" w:color="000000"/>
            </w:tcBorders>
          </w:tcPr>
          <w:p>
            <w:pPr/>
          </w:p>
        </w:tc>
        <w:tc>
          <w:tcPr>
            <w:tcW w:w="792" w:type="dxa"/>
            <w:tcBorders>
              <w:top w:val="single" w:sz="4" w:space="0" w:color="000000"/>
              <w:left w:val="single" w:sz="4" w:space="0" w:color="000000"/>
              <w:bottom w:val="single" w:sz="12" w:space="0" w:color="000000"/>
              <w:right w:val="single" w:sz="4" w:space="0" w:color="000000"/>
            </w:tcBorders>
          </w:tcPr>
          <w:p>
            <w:pPr/>
          </w:p>
        </w:tc>
        <w:tc>
          <w:tcPr>
            <w:tcW w:w="931"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374" w:hRule="exact"/>
        </w:trPr>
        <w:tc>
          <w:tcPr>
            <w:tcW w:w="1637"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5"/>
              <w:ind w:left="95"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764" w:type="dxa"/>
            <w:tcBorders>
              <w:top w:val="single" w:sz="12" w:space="0" w:color="000000"/>
              <w:left w:val="single" w:sz="4" w:space="0" w:color="000000"/>
              <w:bottom w:val="single" w:sz="4" w:space="0" w:color="000000"/>
              <w:right w:val="single" w:sz="4" w:space="0" w:color="000000"/>
            </w:tcBorders>
          </w:tcPr>
          <w:p>
            <w:pPr/>
          </w:p>
        </w:tc>
        <w:tc>
          <w:tcPr>
            <w:tcW w:w="758" w:type="dxa"/>
            <w:tcBorders>
              <w:top w:val="single" w:sz="12" w:space="0" w:color="000000"/>
              <w:left w:val="single" w:sz="4" w:space="0" w:color="000000"/>
              <w:bottom w:val="single" w:sz="4" w:space="0" w:color="000000"/>
              <w:right w:val="single" w:sz="4" w:space="0" w:color="000000"/>
            </w:tcBorders>
          </w:tcPr>
          <w:p>
            <w:pPr/>
          </w:p>
        </w:tc>
        <w:tc>
          <w:tcPr>
            <w:tcW w:w="764" w:type="dxa"/>
            <w:tcBorders>
              <w:top w:val="single" w:sz="12" w:space="0" w:color="000000"/>
              <w:left w:val="single" w:sz="4" w:space="0" w:color="000000"/>
              <w:bottom w:val="single" w:sz="4" w:space="0" w:color="000000"/>
              <w:right w:val="single" w:sz="4" w:space="0" w:color="000000"/>
            </w:tcBorders>
          </w:tcPr>
          <w:p>
            <w:pPr/>
          </w:p>
        </w:tc>
        <w:tc>
          <w:tcPr>
            <w:tcW w:w="764" w:type="dxa"/>
            <w:tcBorders>
              <w:top w:val="single" w:sz="12" w:space="0" w:color="000000"/>
              <w:left w:val="single" w:sz="4" w:space="0" w:color="000000"/>
              <w:bottom w:val="single" w:sz="4" w:space="0" w:color="000000"/>
              <w:right w:val="single" w:sz="4" w:space="0" w:color="000000"/>
            </w:tcBorders>
          </w:tcPr>
          <w:p>
            <w:pPr/>
          </w:p>
        </w:tc>
        <w:tc>
          <w:tcPr>
            <w:tcW w:w="787" w:type="dxa"/>
            <w:tcBorders>
              <w:top w:val="single" w:sz="12" w:space="0" w:color="000000"/>
              <w:left w:val="single" w:sz="4" w:space="0" w:color="000000"/>
              <w:bottom w:val="single" w:sz="4" w:space="0" w:color="000000"/>
              <w:right w:val="single" w:sz="4" w:space="0" w:color="000000"/>
            </w:tcBorders>
          </w:tcPr>
          <w:p>
            <w:pPr/>
          </w:p>
        </w:tc>
        <w:tc>
          <w:tcPr>
            <w:tcW w:w="778" w:type="dxa"/>
            <w:tcBorders>
              <w:top w:val="single" w:sz="12" w:space="0" w:color="000000"/>
              <w:left w:val="single" w:sz="4" w:space="0" w:color="000000"/>
              <w:bottom w:val="single" w:sz="4" w:space="0" w:color="000000"/>
              <w:right w:val="single" w:sz="4" w:space="0" w:color="000000"/>
            </w:tcBorders>
          </w:tcPr>
          <w:p>
            <w:pPr/>
          </w:p>
        </w:tc>
        <w:tc>
          <w:tcPr>
            <w:tcW w:w="797" w:type="dxa"/>
            <w:tcBorders>
              <w:top w:val="single" w:sz="12" w:space="0" w:color="000000"/>
              <w:left w:val="single" w:sz="4" w:space="0" w:color="000000"/>
              <w:bottom w:val="single" w:sz="4" w:space="0" w:color="000000"/>
              <w:right w:val="single" w:sz="4" w:space="0" w:color="000000"/>
            </w:tcBorders>
          </w:tcPr>
          <w:p>
            <w:pPr/>
          </w:p>
        </w:tc>
        <w:tc>
          <w:tcPr>
            <w:tcW w:w="797" w:type="dxa"/>
            <w:tcBorders>
              <w:top w:val="single" w:sz="12" w:space="0" w:color="000000"/>
              <w:left w:val="single" w:sz="4" w:space="0" w:color="000000"/>
              <w:bottom w:val="single" w:sz="4" w:space="0" w:color="000000"/>
              <w:right w:val="single" w:sz="4" w:space="0" w:color="000000"/>
            </w:tcBorders>
          </w:tcPr>
          <w:p>
            <w:pPr/>
          </w:p>
        </w:tc>
        <w:tc>
          <w:tcPr>
            <w:tcW w:w="792" w:type="dxa"/>
            <w:tcBorders>
              <w:top w:val="single" w:sz="12" w:space="0" w:color="000000"/>
              <w:left w:val="single" w:sz="4" w:space="0" w:color="000000"/>
              <w:bottom w:val="single" w:sz="4" w:space="0" w:color="000000"/>
              <w:right w:val="single" w:sz="4" w:space="0" w:color="000000"/>
            </w:tcBorders>
          </w:tcPr>
          <w:p>
            <w:pPr/>
          </w:p>
        </w:tc>
        <w:tc>
          <w:tcPr>
            <w:tcW w:w="931" w:type="dxa"/>
            <w:tcBorders>
              <w:top w:val="single" w:sz="12" w:space="0" w:color="000000"/>
              <w:left w:val="single" w:sz="4" w:space="0" w:color="000000"/>
              <w:bottom w:val="single" w:sz="4" w:space="0" w:color="000000"/>
              <w:right w:val="single" w:sz="12" w:space="0" w:color="000000"/>
            </w:tcBorders>
          </w:tcPr>
          <w:p>
            <w:pPr/>
          </w:p>
        </w:tc>
      </w:tr>
      <w:tr>
        <w:trPr>
          <w:trHeight w:val="711" w:hRule="exact"/>
        </w:trPr>
        <w:tc>
          <w:tcPr>
            <w:tcW w:w="1637"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18"/>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2"/>
                <w:sz w:val="18"/>
                <w:szCs w:val="18"/>
              </w:rPr>
              <w:t> </w:t>
            </w:r>
            <w:r>
              <w:rPr>
                <w:rFonts w:ascii="宋体" w:hAnsi="宋体" w:cs="宋体" w:eastAsia="宋体" w:hint="default"/>
                <w:sz w:val="18"/>
                <w:szCs w:val="18"/>
              </w:rPr>
              <w:t>1</w:t>
            </w:r>
            <w:r>
              <w:rPr>
                <w:rFonts w:ascii="宋体" w:hAnsi="宋体" w:cs="宋体" w:eastAsia="宋体" w:hint="default"/>
                <w:sz w:val="18"/>
                <w:szCs w:val="18"/>
              </w:rPr>
              <w:t>：合并范围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内应收账款组合</w:t>
            </w:r>
          </w:p>
        </w:tc>
        <w:tc>
          <w:tcPr>
            <w:tcW w:w="76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6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39"/>
                <w:sz w:val="18"/>
                <w:szCs w:val="18"/>
              </w:rPr>
              <w:t> </w:t>
            </w:r>
            <w:r>
              <w:rPr>
                <w:rFonts w:ascii="宋体" w:hAnsi="宋体" w:cs="宋体" w:eastAsia="宋体" w:hint="default"/>
                <w:sz w:val="18"/>
                <w:szCs w:val="18"/>
              </w:rPr>
              <w:t>2</w:t>
            </w:r>
            <w:r>
              <w:rPr>
                <w:rFonts w:ascii="宋体" w:hAnsi="宋体" w:cs="宋体" w:eastAsia="宋体" w:hint="default"/>
                <w:sz w:val="18"/>
                <w:szCs w:val="18"/>
              </w:rPr>
              <w:t>：账龄组合</w:t>
            </w:r>
          </w:p>
        </w:tc>
        <w:tc>
          <w:tcPr>
            <w:tcW w:w="76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16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5" w:right="257"/>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0" w:right="0"/>
              <w:jc w:val="left"/>
              <w:rPr>
                <w:rFonts w:ascii="宋体" w:hAnsi="宋体" w:cs="宋体" w:eastAsia="宋体" w:hint="default"/>
                <w:sz w:val="18"/>
                <w:szCs w:val="18"/>
              </w:rPr>
            </w:pPr>
            <w:r>
              <w:rPr>
                <w:rFonts w:ascii="宋体"/>
                <w:sz w:val="18"/>
              </w:rPr>
              <w:t>197,28</w:t>
            </w:r>
          </w:p>
          <w:p>
            <w:pPr>
              <w:pStyle w:val="TableParagraph"/>
              <w:spacing w:line="240" w:lineRule="auto" w:before="71"/>
              <w:ind w:left="110" w:right="0"/>
              <w:jc w:val="left"/>
              <w:rPr>
                <w:rFonts w:ascii="宋体" w:hAnsi="宋体" w:cs="宋体" w:eastAsia="宋体" w:hint="default"/>
                <w:sz w:val="18"/>
                <w:szCs w:val="18"/>
              </w:rPr>
            </w:pPr>
            <w:r>
              <w:rPr>
                <w:rFonts w:ascii="宋体"/>
                <w:sz w:val="18"/>
              </w:rPr>
              <w:t>2,356.</w:t>
            </w:r>
          </w:p>
          <w:p>
            <w:pPr>
              <w:pStyle w:val="TableParagraph"/>
              <w:spacing w:line="240" w:lineRule="auto" w:before="81"/>
              <w:ind w:left="470" w:right="0"/>
              <w:jc w:val="left"/>
              <w:rPr>
                <w:rFonts w:ascii="宋体" w:hAnsi="宋体" w:cs="宋体" w:eastAsia="宋体" w:hint="default"/>
                <w:sz w:val="18"/>
                <w:szCs w:val="18"/>
              </w:rPr>
            </w:pPr>
            <w:r>
              <w:rPr>
                <w:rFonts w:ascii="宋体"/>
                <w:sz w:val="18"/>
              </w:rPr>
              <w:t>02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100.00</w:t>
            </w:r>
          </w:p>
          <w:p>
            <w:pPr>
              <w:pStyle w:val="TableParagraph"/>
              <w:spacing w:line="240" w:lineRule="auto" w:before="76"/>
              <w:ind w:right="98"/>
              <w:jc w:val="right"/>
              <w:rPr>
                <w:rFonts w:ascii="宋体" w:hAnsi="宋体" w:cs="宋体" w:eastAsia="宋体" w:hint="default"/>
                <w:sz w:val="18"/>
                <w:szCs w:val="18"/>
              </w:rPr>
            </w:pPr>
            <w:r>
              <w:rPr>
                <w:rFonts w:ascii="宋体"/>
                <w:w w:val="101"/>
                <w:sz w:val="18"/>
              </w:rPr>
              <w:t>%</w:t>
            </w:r>
            <w:r>
              <w:rPr>
                <w:rFonts w:ascii="宋体"/>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14,428</w:t>
            </w:r>
          </w:p>
          <w:p>
            <w:pPr>
              <w:pStyle w:val="TableParagraph"/>
              <w:spacing w:line="240" w:lineRule="auto" w:before="71"/>
              <w:ind w:right="93"/>
              <w:jc w:val="right"/>
              <w:rPr>
                <w:rFonts w:ascii="宋体" w:hAnsi="宋体" w:cs="宋体" w:eastAsia="宋体" w:hint="default"/>
                <w:sz w:val="18"/>
                <w:szCs w:val="18"/>
              </w:rPr>
            </w:pPr>
            <w:r>
              <w:rPr>
                <w:rFonts w:ascii="宋体"/>
                <w:spacing w:val="-1"/>
                <w:sz w:val="18"/>
              </w:rPr>
              <w:t>,560.3</w:t>
            </w:r>
          </w:p>
          <w:p>
            <w:pPr>
              <w:pStyle w:val="TableParagraph"/>
              <w:spacing w:line="240" w:lineRule="auto" w:before="81"/>
              <w:ind w:right="98"/>
              <w:jc w:val="right"/>
              <w:rPr>
                <w:rFonts w:ascii="宋体" w:hAnsi="宋体" w:cs="宋体" w:eastAsia="宋体" w:hint="default"/>
                <w:sz w:val="18"/>
                <w:szCs w:val="18"/>
              </w:rPr>
            </w:pPr>
            <w:r>
              <w:rPr>
                <w:rFonts w:ascii="宋体"/>
                <w:w w:val="101"/>
                <w:sz w:val="18"/>
              </w:rPr>
              <w:t>5</w:t>
            </w:r>
            <w:r>
              <w:rPr>
                <w:rFonts w:ascii="宋体"/>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4"/>
              <w:jc w:val="right"/>
              <w:rPr>
                <w:rFonts w:ascii="宋体" w:hAnsi="宋体" w:cs="宋体" w:eastAsia="宋体" w:hint="default"/>
                <w:sz w:val="18"/>
                <w:szCs w:val="18"/>
              </w:rPr>
            </w:pPr>
            <w:r>
              <w:rPr>
                <w:rFonts w:ascii="宋体"/>
                <w:sz w:val="18"/>
              </w:rPr>
              <w:t>7.31%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9" w:right="0"/>
              <w:jc w:val="left"/>
              <w:rPr>
                <w:rFonts w:ascii="宋体" w:hAnsi="宋体" w:cs="宋体" w:eastAsia="宋体" w:hint="default"/>
                <w:sz w:val="18"/>
                <w:szCs w:val="18"/>
              </w:rPr>
            </w:pPr>
            <w:r>
              <w:rPr>
                <w:rFonts w:ascii="宋体"/>
                <w:sz w:val="18"/>
              </w:rPr>
              <w:t>182,85</w:t>
            </w:r>
          </w:p>
          <w:p>
            <w:pPr>
              <w:pStyle w:val="TableParagraph"/>
              <w:spacing w:line="240" w:lineRule="auto" w:before="71"/>
              <w:ind w:left="139" w:right="0"/>
              <w:jc w:val="left"/>
              <w:rPr>
                <w:rFonts w:ascii="宋体" w:hAnsi="宋体" w:cs="宋体" w:eastAsia="宋体" w:hint="default"/>
                <w:sz w:val="18"/>
                <w:szCs w:val="18"/>
              </w:rPr>
            </w:pPr>
            <w:r>
              <w:rPr>
                <w:rFonts w:ascii="宋体"/>
                <w:sz w:val="18"/>
              </w:rPr>
              <w:t>3,795.</w:t>
            </w:r>
          </w:p>
          <w:p>
            <w:pPr>
              <w:pStyle w:val="TableParagraph"/>
              <w:spacing w:line="240" w:lineRule="auto" w:before="81"/>
              <w:ind w:left="499" w:right="0"/>
              <w:jc w:val="left"/>
              <w:rPr>
                <w:rFonts w:ascii="宋体" w:hAnsi="宋体" w:cs="宋体" w:eastAsia="宋体" w:hint="default"/>
                <w:sz w:val="18"/>
                <w:szCs w:val="18"/>
              </w:rPr>
            </w:pPr>
            <w:r>
              <w:rPr>
                <w:rFonts w:ascii="宋体"/>
                <w:sz w:val="18"/>
              </w:rPr>
              <w:t>67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sz w:val="18"/>
              </w:rPr>
              <w:t>219,84</w:t>
            </w:r>
          </w:p>
          <w:p>
            <w:pPr>
              <w:pStyle w:val="TableParagraph"/>
              <w:spacing w:line="240" w:lineRule="auto" w:before="71"/>
              <w:ind w:left="129" w:right="0"/>
              <w:jc w:val="left"/>
              <w:rPr>
                <w:rFonts w:ascii="宋体" w:hAnsi="宋体" w:cs="宋体" w:eastAsia="宋体" w:hint="default"/>
                <w:sz w:val="18"/>
                <w:szCs w:val="18"/>
              </w:rPr>
            </w:pPr>
            <w:r>
              <w:rPr>
                <w:rFonts w:ascii="宋体"/>
                <w:sz w:val="18"/>
              </w:rPr>
              <w:t>7,693.</w:t>
            </w:r>
          </w:p>
          <w:p>
            <w:pPr>
              <w:pStyle w:val="TableParagraph"/>
              <w:spacing w:line="240" w:lineRule="auto" w:before="81"/>
              <w:ind w:left="489" w:right="0"/>
              <w:jc w:val="left"/>
              <w:rPr>
                <w:rFonts w:ascii="宋体" w:hAnsi="宋体" w:cs="宋体" w:eastAsia="宋体" w:hint="default"/>
                <w:sz w:val="18"/>
                <w:szCs w:val="18"/>
              </w:rPr>
            </w:pPr>
            <w:r>
              <w:rPr>
                <w:rFonts w:ascii="宋体"/>
                <w:sz w:val="18"/>
              </w:rPr>
              <w:t>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100.00</w:t>
            </w:r>
          </w:p>
          <w:p>
            <w:pPr>
              <w:pStyle w:val="TableParagraph"/>
              <w:spacing w:line="240" w:lineRule="auto" w:before="76"/>
              <w:ind w:right="98"/>
              <w:jc w:val="right"/>
              <w:rPr>
                <w:rFonts w:ascii="宋体" w:hAnsi="宋体" w:cs="宋体" w:eastAsia="宋体" w:hint="default"/>
                <w:sz w:val="18"/>
                <w:szCs w:val="18"/>
              </w:rPr>
            </w:pPr>
            <w:r>
              <w:rPr>
                <w:rFonts w:ascii="宋体"/>
                <w:w w:val="101"/>
                <w:sz w:val="18"/>
              </w:rPr>
              <w:t>%</w:t>
            </w:r>
            <w:r>
              <w:rPr>
                <w:rFonts w:ascii="宋体"/>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19,476</w:t>
            </w:r>
          </w:p>
          <w:p>
            <w:pPr>
              <w:pStyle w:val="TableParagraph"/>
              <w:spacing w:line="240" w:lineRule="auto" w:before="71"/>
              <w:ind w:right="93"/>
              <w:jc w:val="right"/>
              <w:rPr>
                <w:rFonts w:ascii="宋体" w:hAnsi="宋体" w:cs="宋体" w:eastAsia="宋体" w:hint="default"/>
                <w:sz w:val="18"/>
                <w:szCs w:val="18"/>
              </w:rPr>
            </w:pPr>
            <w:r>
              <w:rPr>
                <w:rFonts w:ascii="宋体"/>
                <w:spacing w:val="-1"/>
                <w:sz w:val="18"/>
              </w:rPr>
              <w:t>,091.0</w:t>
            </w:r>
          </w:p>
          <w:p>
            <w:pPr>
              <w:pStyle w:val="TableParagraph"/>
              <w:spacing w:line="240" w:lineRule="auto" w:before="81"/>
              <w:ind w:right="98"/>
              <w:jc w:val="right"/>
              <w:rPr>
                <w:rFonts w:ascii="宋体" w:hAnsi="宋体" w:cs="宋体" w:eastAsia="宋体" w:hint="default"/>
                <w:sz w:val="18"/>
                <w:szCs w:val="18"/>
              </w:rPr>
            </w:pPr>
            <w:r>
              <w:rPr>
                <w:rFonts w:ascii="宋体"/>
                <w:w w:val="101"/>
                <w:sz w:val="18"/>
              </w:rPr>
              <w:t>9</w:t>
            </w:r>
            <w:r>
              <w:rPr>
                <w:rFonts w:ascii="宋体"/>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4"/>
              <w:jc w:val="right"/>
              <w:rPr>
                <w:rFonts w:ascii="宋体" w:hAnsi="宋体" w:cs="宋体" w:eastAsia="宋体" w:hint="default"/>
                <w:sz w:val="18"/>
                <w:szCs w:val="18"/>
              </w:rPr>
            </w:pPr>
            <w:r>
              <w:rPr>
                <w:rFonts w:ascii="宋体"/>
                <w:sz w:val="18"/>
              </w:rPr>
              <w:t>8.86</w:t>
            </w:r>
          </w:p>
        </w:tc>
        <w:tc>
          <w:tcPr>
            <w:tcW w:w="9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1" w:right="0"/>
              <w:jc w:val="left"/>
              <w:rPr>
                <w:rFonts w:ascii="宋体" w:hAnsi="宋体" w:cs="宋体" w:eastAsia="宋体" w:hint="default"/>
                <w:sz w:val="18"/>
                <w:szCs w:val="18"/>
              </w:rPr>
            </w:pPr>
            <w:r>
              <w:rPr>
                <w:rFonts w:ascii="宋体"/>
                <w:sz w:val="18"/>
              </w:rPr>
              <w:t>200,371</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,602.75</w:t>
            </w:r>
          </w:p>
        </w:tc>
      </w:tr>
      <w:tr>
        <w:trPr>
          <w:trHeight w:val="404" w:hRule="exact"/>
        </w:trPr>
        <w:tc>
          <w:tcPr>
            <w:tcW w:w="1637"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12" w:space="0" w:color="000000"/>
            </w:tcBorders>
            <w:shd w:val="clear" w:color="auto" w:fill="D2D2D2"/>
          </w:tcPr>
          <w:p>
            <w:pPr/>
          </w:p>
        </w:tc>
      </w:tr>
      <w:tr>
        <w:trPr>
          <w:trHeight w:val="1022" w:hRule="exact"/>
        </w:trPr>
        <w:tc>
          <w:tcPr>
            <w:tcW w:w="16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5" w:right="257"/>
              <w:jc w:val="left"/>
              <w:rPr>
                <w:rFonts w:ascii="宋体" w:hAnsi="宋体" w:cs="宋体" w:eastAsia="宋体" w:hint="default"/>
                <w:sz w:val="18"/>
                <w:szCs w:val="18"/>
              </w:rPr>
            </w:pPr>
            <w:r>
              <w:rPr>
                <w:rFonts w:ascii="宋体" w:hAnsi="宋体" w:cs="宋体" w:eastAsia="宋体" w:hint="default"/>
                <w:spacing w:val="-3"/>
                <w:sz w:val="18"/>
                <w:szCs w:val="18"/>
              </w:rPr>
              <w:t>合并范围内关联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11,395</w:t>
            </w:r>
          </w:p>
          <w:p>
            <w:pPr>
              <w:pStyle w:val="TableParagraph"/>
              <w:spacing w:line="240" w:lineRule="auto" w:before="71"/>
              <w:ind w:right="99"/>
              <w:jc w:val="right"/>
              <w:rPr>
                <w:rFonts w:ascii="宋体" w:hAnsi="宋体" w:cs="宋体" w:eastAsia="宋体" w:hint="default"/>
                <w:sz w:val="18"/>
                <w:szCs w:val="18"/>
              </w:rPr>
            </w:pPr>
            <w:r>
              <w:rPr>
                <w:rFonts w:ascii="宋体"/>
                <w:spacing w:val="-1"/>
                <w:sz w:val="18"/>
              </w:rPr>
              <w:t>,159.5</w:t>
            </w:r>
          </w:p>
          <w:p>
            <w:pPr>
              <w:pStyle w:val="TableParagraph"/>
              <w:spacing w:line="240" w:lineRule="auto" w:before="81"/>
              <w:ind w:right="103"/>
              <w:jc w:val="right"/>
              <w:rPr>
                <w:rFonts w:ascii="宋体" w:hAnsi="宋体" w:cs="宋体" w:eastAsia="宋体" w:hint="default"/>
                <w:sz w:val="18"/>
                <w:szCs w:val="18"/>
              </w:rPr>
            </w:pPr>
            <w:r>
              <w:rPr>
                <w:rFonts w:ascii="宋体"/>
                <w:w w:val="101"/>
                <w:sz w:val="18"/>
              </w:rPr>
              <w:t>2</w:t>
            </w:r>
            <w:r>
              <w:rPr>
                <w:rFonts w:ascii="宋体"/>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center"/>
              <w:rPr>
                <w:rFonts w:ascii="宋体" w:hAnsi="宋体" w:cs="宋体" w:eastAsia="宋体" w:hint="default"/>
                <w:sz w:val="18"/>
                <w:szCs w:val="18"/>
              </w:rPr>
            </w:pPr>
            <w:r>
              <w:rPr>
                <w:rFonts w:ascii="宋体"/>
                <w:sz w:val="18"/>
              </w:rPr>
              <w:t>5.78%</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11,395</w:t>
            </w:r>
          </w:p>
          <w:p>
            <w:pPr>
              <w:pStyle w:val="TableParagraph"/>
              <w:spacing w:line="240" w:lineRule="auto" w:before="71"/>
              <w:ind w:right="93"/>
              <w:jc w:val="right"/>
              <w:rPr>
                <w:rFonts w:ascii="宋体" w:hAnsi="宋体" w:cs="宋体" w:eastAsia="宋体" w:hint="default"/>
                <w:sz w:val="18"/>
                <w:szCs w:val="18"/>
              </w:rPr>
            </w:pPr>
            <w:r>
              <w:rPr>
                <w:rFonts w:ascii="宋体"/>
                <w:spacing w:val="-1"/>
                <w:sz w:val="18"/>
              </w:rPr>
              <w:t>,159.5</w:t>
            </w:r>
          </w:p>
          <w:p>
            <w:pPr>
              <w:pStyle w:val="TableParagraph"/>
              <w:spacing w:line="240" w:lineRule="auto" w:before="81"/>
              <w:ind w:right="98"/>
              <w:jc w:val="right"/>
              <w:rPr>
                <w:rFonts w:ascii="宋体" w:hAnsi="宋体" w:cs="宋体" w:eastAsia="宋体" w:hint="default"/>
                <w:sz w:val="18"/>
                <w:szCs w:val="18"/>
              </w:rPr>
            </w:pPr>
            <w:r>
              <w:rPr>
                <w:rFonts w:ascii="宋体"/>
                <w:w w:val="101"/>
                <w:sz w:val="18"/>
              </w:rPr>
              <w:t>2</w:t>
            </w:r>
            <w:r>
              <w:rPr>
                <w:rFonts w:ascii="宋体"/>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sz w:val="18"/>
              </w:rPr>
              <w:t>7,057,</w:t>
            </w:r>
          </w:p>
          <w:p>
            <w:pPr>
              <w:pStyle w:val="TableParagraph"/>
              <w:spacing w:line="240" w:lineRule="auto" w:before="76"/>
              <w:ind w:left="129" w:right="0"/>
              <w:jc w:val="left"/>
              <w:rPr>
                <w:rFonts w:ascii="宋体" w:hAnsi="宋体" w:cs="宋体" w:eastAsia="宋体" w:hint="default"/>
                <w:sz w:val="18"/>
                <w:szCs w:val="18"/>
              </w:rPr>
            </w:pPr>
            <w:r>
              <w:rPr>
                <w:rFonts w:ascii="宋体"/>
                <w:sz w:val="18"/>
              </w:rPr>
              <w:t>434.40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5"/>
              <w:jc w:val="right"/>
              <w:rPr>
                <w:rFonts w:ascii="宋体" w:hAnsi="宋体" w:cs="宋体" w:eastAsia="宋体" w:hint="default"/>
                <w:sz w:val="18"/>
                <w:szCs w:val="18"/>
              </w:rPr>
            </w:pPr>
            <w:r>
              <w:rPr>
                <w:rFonts w:ascii="宋体"/>
                <w:sz w:val="18"/>
              </w:rPr>
              <w:t>3.21%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18"/>
                <w:szCs w:val="18"/>
              </w:rPr>
            </w:pPr>
            <w:r>
              <w:rPr>
                <w:rFonts w:ascii="宋体"/>
                <w:sz w:val="18"/>
              </w:rPr>
              <w:t>7,057,4</w:t>
            </w:r>
          </w:p>
          <w:p>
            <w:pPr>
              <w:pStyle w:val="TableParagraph"/>
              <w:spacing w:line="240" w:lineRule="auto" w:before="76"/>
              <w:ind w:left="283" w:right="0"/>
              <w:jc w:val="center"/>
              <w:rPr>
                <w:rFonts w:ascii="宋体" w:hAnsi="宋体" w:cs="宋体" w:eastAsia="宋体" w:hint="default"/>
                <w:sz w:val="18"/>
                <w:szCs w:val="18"/>
              </w:rPr>
            </w:pPr>
            <w:r>
              <w:rPr>
                <w:rFonts w:ascii="宋体"/>
                <w:sz w:val="18"/>
              </w:rPr>
              <w:t>34.40</w:t>
            </w:r>
          </w:p>
        </w:tc>
      </w:tr>
      <w:tr>
        <w:trPr>
          <w:trHeight w:val="1028" w:hRule="exact"/>
        </w:trPr>
        <w:tc>
          <w:tcPr>
            <w:tcW w:w="16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95"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0" w:right="0"/>
              <w:jc w:val="left"/>
              <w:rPr>
                <w:rFonts w:ascii="宋体" w:hAnsi="宋体" w:cs="宋体" w:eastAsia="宋体" w:hint="default"/>
                <w:sz w:val="18"/>
                <w:szCs w:val="18"/>
              </w:rPr>
            </w:pPr>
            <w:r>
              <w:rPr>
                <w:rFonts w:ascii="宋体"/>
                <w:sz w:val="18"/>
              </w:rPr>
              <w:t>185,88</w:t>
            </w:r>
          </w:p>
          <w:p>
            <w:pPr>
              <w:pStyle w:val="TableParagraph"/>
              <w:spacing w:line="240" w:lineRule="auto" w:before="77"/>
              <w:ind w:left="110" w:right="0"/>
              <w:jc w:val="left"/>
              <w:rPr>
                <w:rFonts w:ascii="宋体" w:hAnsi="宋体" w:cs="宋体" w:eastAsia="宋体" w:hint="default"/>
                <w:sz w:val="18"/>
                <w:szCs w:val="18"/>
              </w:rPr>
            </w:pPr>
            <w:r>
              <w:rPr>
                <w:rFonts w:ascii="宋体"/>
                <w:sz w:val="18"/>
              </w:rPr>
              <w:t>7,196.</w:t>
            </w:r>
          </w:p>
          <w:p>
            <w:pPr>
              <w:pStyle w:val="TableParagraph"/>
              <w:spacing w:line="240" w:lineRule="auto" w:before="81"/>
              <w:ind w:left="470" w:right="0"/>
              <w:jc w:val="left"/>
              <w:rPr>
                <w:rFonts w:ascii="宋体" w:hAnsi="宋体" w:cs="宋体" w:eastAsia="宋体" w:hint="default"/>
                <w:sz w:val="18"/>
                <w:szCs w:val="18"/>
              </w:rPr>
            </w:pPr>
            <w:r>
              <w:rPr>
                <w:rFonts w:ascii="宋体"/>
                <w:sz w:val="18"/>
              </w:rPr>
              <w:t>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4" w:right="0"/>
              <w:jc w:val="center"/>
              <w:rPr>
                <w:rFonts w:ascii="宋体" w:hAnsi="宋体" w:cs="宋体" w:eastAsia="宋体" w:hint="default"/>
                <w:sz w:val="18"/>
                <w:szCs w:val="18"/>
              </w:rPr>
            </w:pPr>
            <w:r>
              <w:rPr>
                <w:rFonts w:ascii="宋体"/>
                <w:sz w:val="18"/>
              </w:rPr>
              <w:t>94.22%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14,428</w:t>
            </w:r>
          </w:p>
          <w:p>
            <w:pPr>
              <w:pStyle w:val="TableParagraph"/>
              <w:spacing w:line="240" w:lineRule="auto" w:before="77"/>
              <w:ind w:right="93"/>
              <w:jc w:val="right"/>
              <w:rPr>
                <w:rFonts w:ascii="宋体" w:hAnsi="宋体" w:cs="宋体" w:eastAsia="宋体" w:hint="default"/>
                <w:sz w:val="18"/>
                <w:szCs w:val="18"/>
              </w:rPr>
            </w:pPr>
            <w:r>
              <w:rPr>
                <w:rFonts w:ascii="宋体"/>
                <w:spacing w:val="-1"/>
                <w:sz w:val="18"/>
              </w:rPr>
              <w:t>,560.3</w:t>
            </w:r>
          </w:p>
          <w:p>
            <w:pPr>
              <w:pStyle w:val="TableParagraph"/>
              <w:spacing w:line="240" w:lineRule="auto" w:before="81"/>
              <w:ind w:right="98"/>
              <w:jc w:val="right"/>
              <w:rPr>
                <w:rFonts w:ascii="宋体" w:hAnsi="宋体" w:cs="宋体" w:eastAsia="宋体" w:hint="default"/>
                <w:sz w:val="18"/>
                <w:szCs w:val="18"/>
              </w:rPr>
            </w:pPr>
            <w:r>
              <w:rPr>
                <w:rFonts w:ascii="宋体"/>
                <w:w w:val="101"/>
                <w:sz w:val="18"/>
              </w:rPr>
              <w:t>5</w:t>
            </w:r>
            <w:r>
              <w:rPr>
                <w:rFonts w:ascii="宋体"/>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4"/>
              <w:jc w:val="right"/>
              <w:rPr>
                <w:rFonts w:ascii="宋体" w:hAnsi="宋体" w:cs="宋体" w:eastAsia="宋体" w:hint="default"/>
                <w:sz w:val="18"/>
                <w:szCs w:val="18"/>
              </w:rPr>
            </w:pPr>
            <w:r>
              <w:rPr>
                <w:rFonts w:ascii="宋体"/>
                <w:sz w:val="18"/>
              </w:rPr>
              <w:t>7.76%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9" w:right="0"/>
              <w:jc w:val="left"/>
              <w:rPr>
                <w:rFonts w:ascii="宋体" w:hAnsi="宋体" w:cs="宋体" w:eastAsia="宋体" w:hint="default"/>
                <w:sz w:val="18"/>
                <w:szCs w:val="18"/>
              </w:rPr>
            </w:pPr>
            <w:r>
              <w:rPr>
                <w:rFonts w:ascii="宋体"/>
                <w:sz w:val="18"/>
              </w:rPr>
              <w:t>171,45</w:t>
            </w:r>
          </w:p>
          <w:p>
            <w:pPr>
              <w:pStyle w:val="TableParagraph"/>
              <w:spacing w:line="240" w:lineRule="auto" w:before="77"/>
              <w:ind w:left="139" w:right="0"/>
              <w:jc w:val="left"/>
              <w:rPr>
                <w:rFonts w:ascii="宋体" w:hAnsi="宋体" w:cs="宋体" w:eastAsia="宋体" w:hint="default"/>
                <w:sz w:val="18"/>
                <w:szCs w:val="18"/>
              </w:rPr>
            </w:pPr>
            <w:r>
              <w:rPr>
                <w:rFonts w:ascii="宋体"/>
                <w:sz w:val="18"/>
              </w:rPr>
              <w:t>8,636.</w:t>
            </w:r>
          </w:p>
          <w:p>
            <w:pPr>
              <w:pStyle w:val="TableParagraph"/>
              <w:spacing w:line="240" w:lineRule="auto" w:before="81"/>
              <w:ind w:left="499" w:right="0"/>
              <w:jc w:val="left"/>
              <w:rPr>
                <w:rFonts w:ascii="宋体" w:hAnsi="宋体" w:cs="宋体" w:eastAsia="宋体" w:hint="default"/>
                <w:sz w:val="18"/>
                <w:szCs w:val="18"/>
              </w:rPr>
            </w:pPr>
            <w:r>
              <w:rPr>
                <w:rFonts w:ascii="宋体"/>
                <w:sz w:val="18"/>
              </w:rPr>
              <w:t>15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sz w:val="18"/>
              </w:rPr>
              <w:t>212,79</w:t>
            </w:r>
          </w:p>
          <w:p>
            <w:pPr>
              <w:pStyle w:val="TableParagraph"/>
              <w:spacing w:line="240" w:lineRule="auto" w:before="77"/>
              <w:ind w:left="129" w:right="0"/>
              <w:jc w:val="left"/>
              <w:rPr>
                <w:rFonts w:ascii="宋体" w:hAnsi="宋体" w:cs="宋体" w:eastAsia="宋体" w:hint="default"/>
                <w:sz w:val="18"/>
                <w:szCs w:val="18"/>
              </w:rPr>
            </w:pPr>
            <w:r>
              <w:rPr>
                <w:rFonts w:ascii="宋体"/>
                <w:sz w:val="18"/>
              </w:rPr>
              <w:t>0,259.</w:t>
            </w:r>
          </w:p>
          <w:p>
            <w:pPr>
              <w:pStyle w:val="TableParagraph"/>
              <w:spacing w:line="240" w:lineRule="auto" w:before="81"/>
              <w:ind w:left="489" w:right="0"/>
              <w:jc w:val="left"/>
              <w:rPr>
                <w:rFonts w:ascii="宋体" w:hAnsi="宋体" w:cs="宋体" w:eastAsia="宋体" w:hint="default"/>
                <w:sz w:val="18"/>
                <w:szCs w:val="18"/>
              </w:rPr>
            </w:pPr>
            <w:r>
              <w:rPr>
                <w:rFonts w:ascii="宋体"/>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3"/>
              <w:jc w:val="right"/>
              <w:rPr>
                <w:rFonts w:ascii="宋体" w:hAnsi="宋体" w:cs="宋体" w:eastAsia="宋体" w:hint="default"/>
                <w:sz w:val="18"/>
                <w:szCs w:val="18"/>
              </w:rPr>
            </w:pPr>
            <w:r>
              <w:rPr>
                <w:rFonts w:ascii="宋体"/>
                <w:spacing w:val="-1"/>
                <w:sz w:val="18"/>
              </w:rPr>
              <w:t>96.79%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19,476</w:t>
            </w:r>
          </w:p>
          <w:p>
            <w:pPr>
              <w:pStyle w:val="TableParagraph"/>
              <w:spacing w:line="240" w:lineRule="auto" w:before="77"/>
              <w:ind w:right="93"/>
              <w:jc w:val="right"/>
              <w:rPr>
                <w:rFonts w:ascii="宋体" w:hAnsi="宋体" w:cs="宋体" w:eastAsia="宋体" w:hint="default"/>
                <w:sz w:val="18"/>
                <w:szCs w:val="18"/>
              </w:rPr>
            </w:pPr>
            <w:r>
              <w:rPr>
                <w:rFonts w:ascii="宋体"/>
                <w:spacing w:val="-1"/>
                <w:sz w:val="18"/>
              </w:rPr>
              <w:t>,091.0</w:t>
            </w:r>
          </w:p>
          <w:p>
            <w:pPr>
              <w:pStyle w:val="TableParagraph"/>
              <w:spacing w:line="240" w:lineRule="auto" w:before="81"/>
              <w:ind w:right="98"/>
              <w:jc w:val="right"/>
              <w:rPr>
                <w:rFonts w:ascii="宋体" w:hAnsi="宋体" w:cs="宋体" w:eastAsia="宋体" w:hint="default"/>
                <w:sz w:val="18"/>
                <w:szCs w:val="18"/>
              </w:rPr>
            </w:pPr>
            <w:r>
              <w:rPr>
                <w:rFonts w:ascii="宋体"/>
                <w:w w:val="101"/>
                <w:sz w:val="18"/>
              </w:rPr>
              <w:t>9</w:t>
            </w:r>
            <w:r>
              <w:rPr>
                <w:rFonts w:ascii="宋体"/>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4"/>
              <w:jc w:val="right"/>
              <w:rPr>
                <w:rFonts w:ascii="宋体" w:hAnsi="宋体" w:cs="宋体" w:eastAsia="宋体" w:hint="default"/>
                <w:sz w:val="18"/>
                <w:szCs w:val="18"/>
              </w:rPr>
            </w:pPr>
            <w:r>
              <w:rPr>
                <w:rFonts w:ascii="宋体"/>
                <w:sz w:val="18"/>
              </w:rPr>
              <w:t>9.15%</w:t>
            </w:r>
          </w:p>
        </w:tc>
        <w:tc>
          <w:tcPr>
            <w:tcW w:w="93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1" w:right="0"/>
              <w:jc w:val="left"/>
              <w:rPr>
                <w:rFonts w:ascii="宋体" w:hAnsi="宋体" w:cs="宋体" w:eastAsia="宋体" w:hint="default"/>
                <w:sz w:val="18"/>
                <w:szCs w:val="18"/>
              </w:rPr>
            </w:pPr>
            <w:r>
              <w:rPr>
                <w:rFonts w:ascii="宋体"/>
                <w:sz w:val="18"/>
              </w:rPr>
              <w:t>193,314</w:t>
            </w:r>
          </w:p>
          <w:p>
            <w:pPr>
              <w:pStyle w:val="TableParagraph"/>
              <w:spacing w:line="240" w:lineRule="auto" w:before="77"/>
              <w:ind w:left="191" w:right="0"/>
              <w:jc w:val="left"/>
              <w:rPr>
                <w:rFonts w:ascii="宋体" w:hAnsi="宋体" w:cs="宋体" w:eastAsia="宋体" w:hint="default"/>
                <w:sz w:val="18"/>
                <w:szCs w:val="18"/>
              </w:rPr>
            </w:pPr>
            <w:r>
              <w:rPr>
                <w:rFonts w:ascii="宋体"/>
                <w:sz w:val="18"/>
              </w:rPr>
              <w:t>,168.35</w:t>
            </w:r>
          </w:p>
        </w:tc>
      </w:tr>
      <w:tr>
        <w:trPr>
          <w:trHeight w:val="1037" w:hRule="exact"/>
        </w:trPr>
        <w:tc>
          <w:tcPr>
            <w:tcW w:w="163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10" w:right="0"/>
              <w:jc w:val="left"/>
              <w:rPr>
                <w:rFonts w:ascii="宋体" w:hAnsi="宋体" w:cs="宋体" w:eastAsia="宋体" w:hint="default"/>
                <w:sz w:val="18"/>
                <w:szCs w:val="18"/>
              </w:rPr>
            </w:pPr>
            <w:r>
              <w:rPr>
                <w:rFonts w:ascii="宋体"/>
                <w:sz w:val="18"/>
              </w:rPr>
              <w:t>197,28</w:t>
            </w:r>
          </w:p>
          <w:p>
            <w:pPr>
              <w:pStyle w:val="TableParagraph"/>
              <w:spacing w:line="240" w:lineRule="auto" w:before="71"/>
              <w:ind w:left="110" w:right="0"/>
              <w:jc w:val="left"/>
              <w:rPr>
                <w:rFonts w:ascii="宋体" w:hAnsi="宋体" w:cs="宋体" w:eastAsia="宋体" w:hint="default"/>
                <w:sz w:val="18"/>
                <w:szCs w:val="18"/>
              </w:rPr>
            </w:pPr>
            <w:r>
              <w:rPr>
                <w:rFonts w:ascii="宋体"/>
                <w:sz w:val="18"/>
              </w:rPr>
              <w:t>2,356.</w:t>
            </w:r>
          </w:p>
          <w:p>
            <w:pPr>
              <w:pStyle w:val="TableParagraph"/>
              <w:spacing w:line="240" w:lineRule="auto" w:before="81"/>
              <w:ind w:left="470" w:right="0"/>
              <w:jc w:val="left"/>
              <w:rPr>
                <w:rFonts w:ascii="宋体" w:hAnsi="宋体" w:cs="宋体" w:eastAsia="宋体" w:hint="default"/>
                <w:sz w:val="18"/>
                <w:szCs w:val="18"/>
              </w:rPr>
            </w:pPr>
            <w:r>
              <w:rPr>
                <w:rFonts w:ascii="宋体"/>
                <w:sz w:val="18"/>
              </w:rPr>
              <w:t>02</w:t>
            </w:r>
          </w:p>
        </w:tc>
        <w:tc>
          <w:tcPr>
            <w:tcW w:w="7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100.00</w:t>
            </w:r>
          </w:p>
          <w:p>
            <w:pPr>
              <w:pStyle w:val="TableParagraph"/>
              <w:spacing w:line="240" w:lineRule="auto" w:before="76"/>
              <w:ind w:right="98"/>
              <w:jc w:val="right"/>
              <w:rPr>
                <w:rFonts w:ascii="宋体" w:hAnsi="宋体" w:cs="宋体" w:eastAsia="宋体" w:hint="default"/>
                <w:sz w:val="18"/>
                <w:szCs w:val="18"/>
              </w:rPr>
            </w:pPr>
            <w:r>
              <w:rPr>
                <w:rFonts w:ascii="宋体"/>
                <w:w w:val="101"/>
                <w:sz w:val="18"/>
              </w:rPr>
              <w:t>%</w:t>
            </w:r>
            <w:r>
              <w:rPr>
                <w:rFonts w:ascii="宋体"/>
                <w:sz w:val="18"/>
              </w:rPr>
            </w:r>
          </w:p>
        </w:tc>
        <w:tc>
          <w:tcPr>
            <w:tcW w:w="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14,428</w:t>
            </w:r>
          </w:p>
          <w:p>
            <w:pPr>
              <w:pStyle w:val="TableParagraph"/>
              <w:spacing w:line="240" w:lineRule="auto" w:before="71"/>
              <w:ind w:right="93"/>
              <w:jc w:val="right"/>
              <w:rPr>
                <w:rFonts w:ascii="宋体" w:hAnsi="宋体" w:cs="宋体" w:eastAsia="宋体" w:hint="default"/>
                <w:sz w:val="18"/>
                <w:szCs w:val="18"/>
              </w:rPr>
            </w:pPr>
            <w:r>
              <w:rPr>
                <w:rFonts w:ascii="宋体"/>
                <w:spacing w:val="-1"/>
                <w:sz w:val="18"/>
              </w:rPr>
              <w:t>,560.3</w:t>
            </w:r>
          </w:p>
          <w:p>
            <w:pPr>
              <w:pStyle w:val="TableParagraph"/>
              <w:spacing w:line="240" w:lineRule="auto" w:before="81"/>
              <w:ind w:right="98"/>
              <w:jc w:val="right"/>
              <w:rPr>
                <w:rFonts w:ascii="宋体" w:hAnsi="宋体" w:cs="宋体" w:eastAsia="宋体" w:hint="default"/>
                <w:sz w:val="18"/>
                <w:szCs w:val="18"/>
              </w:rPr>
            </w:pPr>
            <w:r>
              <w:rPr>
                <w:rFonts w:ascii="宋体"/>
                <w:w w:val="101"/>
                <w:sz w:val="18"/>
              </w:rPr>
              <w:t>5</w:t>
            </w:r>
            <w:r>
              <w:rPr>
                <w:rFonts w:ascii="宋体"/>
                <w:sz w:val="18"/>
              </w:rPr>
            </w:r>
          </w:p>
        </w:tc>
        <w:tc>
          <w:tcPr>
            <w:tcW w:w="7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4"/>
              <w:jc w:val="right"/>
              <w:rPr>
                <w:rFonts w:ascii="宋体" w:hAnsi="宋体" w:cs="宋体" w:eastAsia="宋体" w:hint="default"/>
                <w:sz w:val="18"/>
                <w:szCs w:val="18"/>
              </w:rPr>
            </w:pPr>
            <w:r>
              <w:rPr>
                <w:rFonts w:ascii="宋体"/>
                <w:sz w:val="18"/>
              </w:rPr>
              <w:t>7.31%</w:t>
            </w:r>
          </w:p>
        </w:tc>
        <w:tc>
          <w:tcPr>
            <w:tcW w:w="7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39" w:right="0"/>
              <w:jc w:val="left"/>
              <w:rPr>
                <w:rFonts w:ascii="宋体" w:hAnsi="宋体" w:cs="宋体" w:eastAsia="宋体" w:hint="default"/>
                <w:sz w:val="18"/>
                <w:szCs w:val="18"/>
              </w:rPr>
            </w:pPr>
            <w:r>
              <w:rPr>
                <w:rFonts w:ascii="宋体"/>
                <w:sz w:val="18"/>
              </w:rPr>
              <w:t>182,85</w:t>
            </w:r>
          </w:p>
          <w:p>
            <w:pPr>
              <w:pStyle w:val="TableParagraph"/>
              <w:spacing w:line="240" w:lineRule="auto" w:before="71"/>
              <w:ind w:left="139" w:right="0"/>
              <w:jc w:val="left"/>
              <w:rPr>
                <w:rFonts w:ascii="宋体" w:hAnsi="宋体" w:cs="宋体" w:eastAsia="宋体" w:hint="default"/>
                <w:sz w:val="18"/>
                <w:szCs w:val="18"/>
              </w:rPr>
            </w:pPr>
            <w:r>
              <w:rPr>
                <w:rFonts w:ascii="宋体"/>
                <w:sz w:val="18"/>
              </w:rPr>
              <w:t>3,795.</w:t>
            </w:r>
          </w:p>
          <w:p>
            <w:pPr>
              <w:pStyle w:val="TableParagraph"/>
              <w:spacing w:line="240" w:lineRule="auto" w:before="81"/>
              <w:ind w:left="499" w:right="0"/>
              <w:jc w:val="left"/>
              <w:rPr>
                <w:rFonts w:ascii="宋体" w:hAnsi="宋体" w:cs="宋体" w:eastAsia="宋体" w:hint="default"/>
                <w:sz w:val="18"/>
                <w:szCs w:val="18"/>
              </w:rPr>
            </w:pPr>
            <w:r>
              <w:rPr>
                <w:rFonts w:ascii="宋体"/>
                <w:sz w:val="18"/>
              </w:rPr>
              <w:t>67</w:t>
            </w:r>
          </w:p>
        </w:tc>
        <w:tc>
          <w:tcPr>
            <w:tcW w:w="7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sz w:val="18"/>
              </w:rPr>
              <w:t>219,84</w:t>
            </w:r>
          </w:p>
          <w:p>
            <w:pPr>
              <w:pStyle w:val="TableParagraph"/>
              <w:spacing w:line="240" w:lineRule="auto" w:before="71"/>
              <w:ind w:left="129" w:right="0"/>
              <w:jc w:val="left"/>
              <w:rPr>
                <w:rFonts w:ascii="宋体" w:hAnsi="宋体" w:cs="宋体" w:eastAsia="宋体" w:hint="default"/>
                <w:sz w:val="18"/>
                <w:szCs w:val="18"/>
              </w:rPr>
            </w:pPr>
            <w:r>
              <w:rPr>
                <w:rFonts w:ascii="宋体"/>
                <w:sz w:val="18"/>
              </w:rPr>
              <w:t>7,693.</w:t>
            </w:r>
          </w:p>
          <w:p>
            <w:pPr>
              <w:pStyle w:val="TableParagraph"/>
              <w:spacing w:line="240" w:lineRule="auto" w:before="81"/>
              <w:ind w:left="489" w:right="0"/>
              <w:jc w:val="left"/>
              <w:rPr>
                <w:rFonts w:ascii="宋体" w:hAnsi="宋体" w:cs="宋体" w:eastAsia="宋体" w:hint="default"/>
                <w:sz w:val="18"/>
                <w:szCs w:val="18"/>
              </w:rPr>
            </w:pPr>
            <w:r>
              <w:rPr>
                <w:rFonts w:ascii="宋体"/>
                <w:sz w:val="18"/>
              </w:rPr>
              <w:t>84</w:t>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100.00</w:t>
            </w:r>
          </w:p>
          <w:p>
            <w:pPr>
              <w:pStyle w:val="TableParagraph"/>
              <w:spacing w:line="240" w:lineRule="auto" w:before="76"/>
              <w:ind w:right="98"/>
              <w:jc w:val="right"/>
              <w:rPr>
                <w:rFonts w:ascii="宋体" w:hAnsi="宋体" w:cs="宋体" w:eastAsia="宋体" w:hint="default"/>
                <w:sz w:val="18"/>
                <w:szCs w:val="18"/>
              </w:rPr>
            </w:pPr>
            <w:r>
              <w:rPr>
                <w:rFonts w:ascii="宋体"/>
                <w:w w:val="101"/>
                <w:sz w:val="18"/>
              </w:rPr>
              <w:t>%</w:t>
            </w:r>
            <w:r>
              <w:rPr>
                <w:rFonts w:ascii="宋体"/>
                <w:sz w:val="18"/>
              </w:rPr>
            </w:r>
          </w:p>
        </w:tc>
        <w:tc>
          <w:tcPr>
            <w:tcW w:w="7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19,476</w:t>
            </w:r>
          </w:p>
          <w:p>
            <w:pPr>
              <w:pStyle w:val="TableParagraph"/>
              <w:spacing w:line="240" w:lineRule="auto" w:before="71"/>
              <w:ind w:right="93"/>
              <w:jc w:val="right"/>
              <w:rPr>
                <w:rFonts w:ascii="宋体" w:hAnsi="宋体" w:cs="宋体" w:eastAsia="宋体" w:hint="default"/>
                <w:sz w:val="18"/>
                <w:szCs w:val="18"/>
              </w:rPr>
            </w:pPr>
            <w:r>
              <w:rPr>
                <w:rFonts w:ascii="宋体"/>
                <w:spacing w:val="-1"/>
                <w:sz w:val="18"/>
              </w:rPr>
              <w:t>,091.0</w:t>
            </w:r>
          </w:p>
          <w:p>
            <w:pPr>
              <w:pStyle w:val="TableParagraph"/>
              <w:spacing w:line="240" w:lineRule="auto" w:before="81"/>
              <w:ind w:right="98"/>
              <w:jc w:val="right"/>
              <w:rPr>
                <w:rFonts w:ascii="宋体" w:hAnsi="宋体" w:cs="宋体" w:eastAsia="宋体" w:hint="default"/>
                <w:sz w:val="18"/>
                <w:szCs w:val="18"/>
              </w:rPr>
            </w:pPr>
            <w:r>
              <w:rPr>
                <w:rFonts w:ascii="宋体"/>
                <w:w w:val="101"/>
                <w:sz w:val="18"/>
              </w:rPr>
              <w:t>9</w:t>
            </w:r>
            <w:r>
              <w:rPr>
                <w:rFonts w:ascii="宋体"/>
                <w:sz w:val="18"/>
              </w:rPr>
            </w:r>
          </w:p>
        </w:tc>
        <w:tc>
          <w:tcPr>
            <w:tcW w:w="79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5"/>
              <w:jc w:val="right"/>
              <w:rPr>
                <w:rFonts w:ascii="宋体" w:hAnsi="宋体" w:cs="宋体" w:eastAsia="宋体" w:hint="default"/>
                <w:sz w:val="18"/>
                <w:szCs w:val="18"/>
              </w:rPr>
            </w:pPr>
            <w:r>
              <w:rPr>
                <w:rFonts w:ascii="宋体"/>
                <w:sz w:val="18"/>
              </w:rPr>
              <w:t>8.86%</w:t>
            </w:r>
          </w:p>
        </w:tc>
        <w:tc>
          <w:tcPr>
            <w:tcW w:w="93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1" w:right="0"/>
              <w:jc w:val="left"/>
              <w:rPr>
                <w:rFonts w:ascii="宋体" w:hAnsi="宋体" w:cs="宋体" w:eastAsia="宋体" w:hint="default"/>
                <w:sz w:val="18"/>
                <w:szCs w:val="18"/>
              </w:rPr>
            </w:pPr>
            <w:r>
              <w:rPr>
                <w:rFonts w:ascii="宋体"/>
                <w:sz w:val="18"/>
              </w:rPr>
              <w:t>200,371</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,602.75</w:t>
            </w:r>
          </w:p>
        </w:tc>
      </w:tr>
    </w:tbl>
    <w:p>
      <w:pPr>
        <w:pStyle w:val="BodyText"/>
        <w:spacing w:line="240" w:lineRule="auto" w:before="28"/>
        <w:ind w:right="1024"/>
        <w:jc w:val="left"/>
      </w:pPr>
      <w:r>
        <w:rPr/>
        <w:t>按组合计提坏账准备：账龄组合</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391"/>
        <w:gridCol w:w="2396"/>
        <w:gridCol w:w="2391"/>
        <w:gridCol w:w="2391"/>
      </w:tblGrid>
      <w:tr>
        <w:trPr>
          <w:trHeight w:val="410" w:hRule="exact"/>
        </w:trPr>
        <w:tc>
          <w:tcPr>
            <w:tcW w:w="2391"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9" w:type="dxa"/>
            <w:gridSpan w:val="3"/>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18"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1" w:type="dxa"/>
            <w:vMerge/>
            <w:tcBorders>
              <w:left w:val="single" w:sz="12"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148,358,161.52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4,450,744.85</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3.00%</w:t>
            </w: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20,558,370.67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2,055,837.07</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10.00%</w:t>
            </w:r>
          </w:p>
        </w:tc>
      </w:tr>
      <w:tr>
        <w:trPr>
          <w:trHeight w:val="398"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11,887,981.30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3,566,394.39</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30.00%</w:t>
            </w:r>
          </w:p>
        </w:tc>
      </w:tr>
      <w:tr>
        <w:trPr>
          <w:trHeight w:val="404"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1,345,139.51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672,569.76</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50.00%</w:t>
            </w: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510,891.08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357,623.76</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70.00%</w:t>
            </w: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3,336,361.42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3,336,361.42</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100.00%</w:t>
            </w:r>
          </w:p>
        </w:tc>
      </w:tr>
      <w:tr>
        <w:trPr>
          <w:trHeight w:val="413" w:hRule="exact"/>
        </w:trPr>
        <w:tc>
          <w:tcPr>
            <w:tcW w:w="239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2"/>
                <w:sz w:val="18"/>
              </w:rPr>
              <w:t>185,887,196.50</w:t>
            </w:r>
          </w:p>
        </w:tc>
        <w:tc>
          <w:tcPr>
            <w:tcW w:w="2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14,428,560.35</w:t>
            </w:r>
          </w:p>
        </w:tc>
        <w:tc>
          <w:tcPr>
            <w:tcW w:w="2391"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3"/>
              <w:ind w:left="18" w:right="0"/>
              <w:jc w:val="center"/>
              <w:rPr>
                <w:rFonts w:ascii="宋体" w:hAnsi="宋体" w:cs="宋体" w:eastAsia="宋体" w:hint="default"/>
                <w:sz w:val="18"/>
                <w:szCs w:val="18"/>
              </w:rPr>
            </w:pPr>
            <w:r>
              <w:rPr>
                <w:rFonts w:ascii="宋体"/>
                <w:sz w:val="18"/>
              </w:rPr>
              <w:t>--</w:t>
            </w:r>
          </w:p>
        </w:tc>
      </w:tr>
    </w:tbl>
    <w:p>
      <w:pPr>
        <w:pStyle w:val="BodyText"/>
        <w:spacing w:line="240" w:lineRule="auto" w:before="28"/>
        <w:ind w:right="1024"/>
        <w:jc w:val="left"/>
      </w:pPr>
      <w:r>
        <w:rPr/>
        <w:t>按账龄披露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788"/>
        <w:gridCol w:w="4782"/>
      </w:tblGrid>
      <w:tr>
        <w:trPr>
          <w:trHeight w:val="408" w:hRule="exact"/>
        </w:trPr>
        <w:tc>
          <w:tcPr>
            <w:tcW w:w="47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9"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9"/>
              <w:ind w:left="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9"/>
              <w:ind w:right="84"/>
              <w:jc w:val="right"/>
              <w:rPr>
                <w:rFonts w:ascii="宋体" w:hAnsi="宋体" w:cs="宋体" w:eastAsia="宋体" w:hint="default"/>
                <w:sz w:val="18"/>
                <w:szCs w:val="18"/>
              </w:rPr>
            </w:pPr>
            <w:r>
              <w:rPr>
                <w:rFonts w:ascii="宋体"/>
                <w:spacing w:val="-2"/>
                <w:sz w:val="18"/>
              </w:rPr>
              <w:t>152,695,886.64</w:t>
            </w: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tcPr>
          <w:p>
            <w:pPr/>
          </w:p>
        </w:tc>
        <w:tc>
          <w:tcPr>
            <w:tcW w:w="4782"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47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27,506,096.07</w:t>
            </w:r>
          </w:p>
        </w:tc>
      </w:tr>
    </w:tbl>
    <w:p>
      <w:pPr>
        <w:spacing w:after="0" w:line="240" w:lineRule="auto"/>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4788"/>
        <w:gridCol w:w="4782"/>
      </w:tblGrid>
      <w:tr>
        <w:trPr>
          <w:trHeight w:val="413" w:hRule="exact"/>
        </w:trPr>
        <w:tc>
          <w:tcPr>
            <w:tcW w:w="47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8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11,887,981.30</w:t>
            </w: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5,192,392.01</w:t>
            </w:r>
          </w:p>
        </w:tc>
      </w:tr>
      <w:tr>
        <w:trPr>
          <w:trHeight w:val="399"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right="3810"/>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1,345,139.51</w:t>
            </w: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3810"/>
              <w:jc w:val="righ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510,891.08</w:t>
            </w: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3811"/>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3,336,361.42</w:t>
            </w:r>
          </w:p>
        </w:tc>
      </w:tr>
      <w:tr>
        <w:trPr>
          <w:trHeight w:val="413" w:hRule="exact"/>
        </w:trPr>
        <w:tc>
          <w:tcPr>
            <w:tcW w:w="47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197,282,356.02</w:t>
            </w:r>
          </w:p>
        </w:tc>
      </w:tr>
    </w:tbl>
    <w:p>
      <w:pPr>
        <w:spacing w:line="405" w:lineRule="auto" w:before="67"/>
        <w:ind w:left="153" w:right="6639" w:firstLine="0"/>
        <w:jc w:val="left"/>
        <w:rPr>
          <w:rFonts w:ascii="宋体" w:hAnsi="宋体" w:cs="宋体" w:eastAsia="宋体" w:hint="default"/>
          <w:sz w:val="21"/>
          <w:szCs w:val="21"/>
        </w:rPr>
      </w:pPr>
      <w:bookmarkStart w:name="（2）本期计提、收回或转回的坏账准备情况" w:id="482"/>
      <w:bookmarkEnd w:id="482"/>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100"/>
          <w:sz w:val="21"/>
          <w:szCs w:val="21"/>
        </w:rPr>
        <w:t> </w:t>
      </w:r>
      <w:r>
        <w:rPr>
          <w:rFonts w:ascii="宋体" w:hAnsi="宋体" w:cs="宋体" w:eastAsia="宋体" w:hint="default"/>
          <w:sz w:val="21"/>
          <w:szCs w:val="21"/>
        </w:rPr>
        <w:t>本期计提坏账准备情况：</w:t>
      </w:r>
    </w:p>
    <w:p>
      <w:pPr>
        <w:spacing w:before="37"/>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369"/>
        <w:gridCol w:w="1647"/>
        <w:gridCol w:w="1090"/>
        <w:gridCol w:w="1368"/>
        <w:gridCol w:w="1364"/>
        <w:gridCol w:w="1114"/>
        <w:gridCol w:w="1623"/>
      </w:tblGrid>
      <w:tr>
        <w:trPr>
          <w:trHeight w:val="410" w:hRule="exact"/>
        </w:trPr>
        <w:tc>
          <w:tcPr>
            <w:tcW w:w="1369"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类别</w:t>
            </w:r>
          </w:p>
        </w:tc>
        <w:tc>
          <w:tcPr>
            <w:tcW w:w="1647"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936" w:type="dxa"/>
            <w:gridSpan w:val="4"/>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623"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9" w:type="dxa"/>
            <w:vMerge/>
            <w:tcBorders>
              <w:left w:val="single" w:sz="12" w:space="0" w:color="000000"/>
              <w:bottom w:val="single" w:sz="4" w:space="0" w:color="000000"/>
              <w:right w:val="single" w:sz="4" w:space="0" w:color="000000"/>
            </w:tcBorders>
            <w:shd w:val="clear" w:color="auto" w:fill="D2D2D2"/>
          </w:tcPr>
          <w:p>
            <w:pPr/>
          </w:p>
        </w:tc>
        <w:tc>
          <w:tcPr>
            <w:tcW w:w="1647" w:type="dxa"/>
            <w:vMerge/>
            <w:tcBorders>
              <w:left w:val="single" w:sz="4" w:space="0" w:color="000000"/>
              <w:bottom w:val="single" w:sz="4" w:space="0" w:color="000000"/>
              <w:right w:val="single" w:sz="4" w:space="0" w:color="000000"/>
            </w:tcBorders>
            <w:shd w:val="clear" w:color="auto" w:fill="D2D2D2"/>
          </w:tcPr>
          <w:p>
            <w:pP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55"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23" w:type="dxa"/>
            <w:vMerge/>
            <w:tcBorders>
              <w:left w:val="single" w:sz="4" w:space="0" w:color="000000"/>
              <w:bottom w:val="single" w:sz="4" w:space="0" w:color="000000"/>
              <w:right w:val="single" w:sz="12" w:space="0" w:color="000000"/>
            </w:tcBorders>
            <w:shd w:val="clear" w:color="auto" w:fill="D2D2D2"/>
          </w:tcPr>
          <w:p>
            <w:pPr/>
          </w:p>
        </w:tc>
      </w:tr>
      <w:tr>
        <w:trPr>
          <w:trHeight w:val="403" w:hRule="exact"/>
        </w:trPr>
        <w:tc>
          <w:tcPr>
            <w:tcW w:w="1369"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526"/>
              <w:jc w:val="right"/>
              <w:rPr>
                <w:rFonts w:ascii="宋体" w:hAnsi="宋体" w:cs="宋体" w:eastAsia="宋体" w:hint="default"/>
                <w:sz w:val="18"/>
                <w:szCs w:val="18"/>
              </w:rPr>
            </w:pPr>
            <w:r>
              <w:rPr>
                <w:rFonts w:ascii="宋体" w:hAnsi="宋体" w:cs="宋体" w:eastAsia="宋体" w:hint="default"/>
                <w:spacing w:val="-2"/>
                <w:sz w:val="18"/>
                <w:szCs w:val="18"/>
              </w:rPr>
              <w:t>账龄组合</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19,476,091.09</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77" w:right="0"/>
              <w:jc w:val="left"/>
              <w:rPr>
                <w:rFonts w:ascii="宋体" w:hAnsi="宋体" w:cs="宋体" w:eastAsia="宋体" w:hint="default"/>
                <w:sz w:val="18"/>
                <w:szCs w:val="18"/>
              </w:rPr>
            </w:pPr>
            <w:r>
              <w:rPr>
                <w:rFonts w:ascii="宋体"/>
                <w:sz w:val="18"/>
              </w:rPr>
              <w:t>5,047,530.74</w:t>
            </w:r>
          </w:p>
        </w:tc>
        <w:tc>
          <w:tcPr>
            <w:tcW w:w="1364"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14,428,560.35</w:t>
            </w:r>
          </w:p>
        </w:tc>
      </w:tr>
      <w:tr>
        <w:trPr>
          <w:trHeight w:val="413" w:hRule="exact"/>
        </w:trPr>
        <w:tc>
          <w:tcPr>
            <w:tcW w:w="1369"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right="492"/>
              <w:jc w:val="right"/>
              <w:rPr>
                <w:rFonts w:ascii="宋体" w:hAnsi="宋体" w:cs="宋体" w:eastAsia="宋体" w:hint="default"/>
                <w:sz w:val="18"/>
                <w:szCs w:val="18"/>
              </w:rPr>
            </w:pPr>
            <w:r>
              <w:rPr>
                <w:rFonts w:ascii="宋体" w:hAnsi="宋体" w:cs="宋体" w:eastAsia="宋体" w:hint="default"/>
                <w:sz w:val="18"/>
                <w:szCs w:val="18"/>
              </w:rPr>
              <w:t>合计</w:t>
            </w:r>
          </w:p>
        </w:tc>
        <w:tc>
          <w:tcPr>
            <w:tcW w:w="16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19,476,091.09</w:t>
            </w:r>
          </w:p>
        </w:tc>
        <w:tc>
          <w:tcPr>
            <w:tcW w:w="1090" w:type="dxa"/>
            <w:tcBorders>
              <w:top w:val="single" w:sz="4" w:space="0" w:color="000000"/>
              <w:left w:val="single" w:sz="4" w:space="0" w:color="000000"/>
              <w:bottom w:val="single" w:sz="12" w:space="0" w:color="000000"/>
              <w:right w:val="single" w:sz="4" w:space="0" w:color="000000"/>
            </w:tcBorders>
          </w:tcPr>
          <w:p>
            <w:pP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77" w:right="0"/>
              <w:jc w:val="left"/>
              <w:rPr>
                <w:rFonts w:ascii="宋体" w:hAnsi="宋体" w:cs="宋体" w:eastAsia="宋体" w:hint="default"/>
                <w:sz w:val="18"/>
                <w:szCs w:val="18"/>
              </w:rPr>
            </w:pPr>
            <w:r>
              <w:rPr>
                <w:rFonts w:ascii="宋体"/>
                <w:sz w:val="18"/>
              </w:rPr>
              <w:t>5,047,530.74</w:t>
            </w:r>
          </w:p>
        </w:tc>
        <w:tc>
          <w:tcPr>
            <w:tcW w:w="1364" w:type="dxa"/>
            <w:tcBorders>
              <w:top w:val="single" w:sz="4" w:space="0" w:color="000000"/>
              <w:left w:val="single" w:sz="4" w:space="0" w:color="000000"/>
              <w:bottom w:val="single" w:sz="12" w:space="0" w:color="000000"/>
              <w:right w:val="single" w:sz="4" w:space="0" w:color="000000"/>
            </w:tcBorders>
          </w:tcPr>
          <w:p>
            <w:pPr/>
          </w:p>
        </w:tc>
        <w:tc>
          <w:tcPr>
            <w:tcW w:w="1114" w:type="dxa"/>
            <w:tcBorders>
              <w:top w:val="single" w:sz="4" w:space="0" w:color="000000"/>
              <w:left w:val="single" w:sz="4" w:space="0" w:color="000000"/>
              <w:bottom w:val="single" w:sz="12" w:space="0" w:color="000000"/>
              <w:right w:val="single" w:sz="4" w:space="0" w:color="000000"/>
            </w:tcBorders>
          </w:tcPr>
          <w:p>
            <w:pPr/>
          </w:p>
        </w:tc>
        <w:tc>
          <w:tcPr>
            <w:tcW w:w="162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14,428,560.35</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3）按欠款方归集的期末余额前五名的应收账款情况" w:id="483"/>
      <w:bookmarkEnd w:id="483"/>
      <w:r>
        <w:rPr>
          <w:b w:val="0"/>
          <w:bCs w:val="0"/>
        </w:rPr>
      </w:r>
      <w:r>
        <w:rPr/>
        <w:t>（</w:t>
      </w:r>
      <w:r>
        <w:rPr>
          <w:rFonts w:ascii="宋体" w:hAnsi="宋体" w:cs="宋体" w:eastAsia="宋体" w:hint="default"/>
        </w:rPr>
        <w:t>3</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2391"/>
        <w:gridCol w:w="2396"/>
        <w:gridCol w:w="2391"/>
        <w:gridCol w:w="2391"/>
      </w:tblGrid>
      <w:tr>
        <w:trPr>
          <w:trHeight w:val="725" w:hRule="exact"/>
        </w:trPr>
        <w:tc>
          <w:tcPr>
            <w:tcW w:w="2391"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916" w:right="109"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1"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49,798,967.49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25.24%</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1,493,969.02</w:t>
            </w:r>
          </w:p>
        </w:tc>
      </w:tr>
      <w:tr>
        <w:trPr>
          <w:trHeight w:val="398"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12,705,213.36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6.44%</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381,156.40</w:t>
            </w: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11,970,193.17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6.07%</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618,421.00</w:t>
            </w:r>
          </w:p>
        </w:tc>
      </w:tr>
      <w:tr>
        <w:trPr>
          <w:trHeight w:val="403"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11,395,159.52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z w:val="18"/>
              </w:rPr>
              <w:t>5.78%</w:t>
            </w:r>
          </w:p>
        </w:tc>
        <w:tc>
          <w:tcPr>
            <w:tcW w:w="2391"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239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7,063,917.83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z w:val="18"/>
              </w:rPr>
              <w:t>3.58%</w:t>
            </w:r>
          </w:p>
        </w:tc>
        <w:tc>
          <w:tcPr>
            <w:tcW w:w="23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211,917.53</w:t>
            </w:r>
          </w:p>
        </w:tc>
      </w:tr>
      <w:tr>
        <w:trPr>
          <w:trHeight w:val="413" w:hRule="exact"/>
        </w:trPr>
        <w:tc>
          <w:tcPr>
            <w:tcW w:w="239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92,933,451.37</w:t>
            </w:r>
          </w:p>
        </w:tc>
        <w:tc>
          <w:tcPr>
            <w:tcW w:w="2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47.11%</w:t>
            </w:r>
          </w:p>
        </w:tc>
        <w:tc>
          <w:tcPr>
            <w:tcW w:w="2391" w:type="dxa"/>
            <w:tcBorders>
              <w:top w:val="single" w:sz="4" w:space="0" w:color="000000"/>
              <w:left w:val="single" w:sz="4" w:space="0" w:color="000000"/>
              <w:bottom w:val="single" w:sz="12" w:space="0" w:color="000000"/>
              <w:right w:val="single" w:sz="12" w:space="0" w:color="000000"/>
            </w:tcBorders>
            <w:shd w:val="clear" w:color="auto" w:fill="D2D2D2"/>
          </w:tcPr>
          <w:p>
            <w:pPr/>
          </w:p>
        </w:tc>
      </w:tr>
    </w:tbl>
    <w:p>
      <w:pPr>
        <w:pStyle w:val="Heading4"/>
        <w:spacing w:line="240" w:lineRule="auto" w:before="66"/>
        <w:ind w:right="1024"/>
        <w:jc w:val="left"/>
        <w:rPr>
          <w:b w:val="0"/>
          <w:bCs w:val="0"/>
        </w:rPr>
      </w:pPr>
      <w:bookmarkStart w:name="（5）因金融资产转移而终止确认的应收账款" w:id="484"/>
      <w:bookmarkEnd w:id="484"/>
      <w:r>
        <w:rPr>
          <w:b w:val="0"/>
          <w:bCs w:val="0"/>
        </w:rPr>
      </w:r>
      <w:r>
        <w:rPr/>
        <w:t>（</w:t>
      </w:r>
      <w:r>
        <w:rPr>
          <w:rFonts w:ascii="宋体" w:hAnsi="宋体" w:cs="宋体" w:eastAsia="宋体" w:hint="default"/>
        </w:rPr>
        <w:t>5</w:t>
      </w:r>
      <w:r>
        <w:rPr/>
        <w:t>）因金融资产转移而终止确认的应收账款</w:t>
      </w:r>
      <w:r>
        <w:rPr>
          <w:b w:val="0"/>
          <w:bCs w:val="0"/>
        </w:rPr>
      </w:r>
    </w:p>
    <w:p>
      <w:pPr>
        <w:spacing w:line="240" w:lineRule="auto" w:before="8"/>
        <w:rPr>
          <w:rFonts w:ascii="宋体" w:hAnsi="宋体" w:cs="宋体" w:eastAsia="宋体" w:hint="default"/>
          <w:b/>
          <w:bCs/>
          <w:sz w:val="14"/>
          <w:szCs w:val="14"/>
        </w:rPr>
      </w:pPr>
    </w:p>
    <w:p>
      <w:pPr>
        <w:pStyle w:val="BodyText"/>
        <w:spacing w:line="240" w:lineRule="auto"/>
        <w:ind w:right="1024"/>
        <w:jc w:val="left"/>
      </w:pPr>
      <w:r>
        <w:rPr/>
        <w:t>□ 适用 √</w:t>
      </w:r>
      <w:r>
        <w:rPr>
          <w:spacing w:val="4"/>
        </w:rPr>
        <w:t> </w:t>
      </w:r>
      <w:r>
        <w:rPr/>
        <w:t>不适用</w:t>
      </w:r>
    </w:p>
    <w:p>
      <w:pPr>
        <w:spacing w:line="240" w:lineRule="auto" w:before="13"/>
        <w:rPr>
          <w:rFonts w:ascii="宋体" w:hAnsi="宋体" w:cs="宋体" w:eastAsia="宋体" w:hint="default"/>
          <w:sz w:val="14"/>
          <w:szCs w:val="14"/>
        </w:rPr>
      </w:pPr>
    </w:p>
    <w:p>
      <w:pPr>
        <w:pStyle w:val="Heading4"/>
        <w:spacing w:line="240" w:lineRule="auto" w:before="0"/>
        <w:ind w:right="1024"/>
        <w:jc w:val="left"/>
        <w:rPr>
          <w:b w:val="0"/>
          <w:bCs w:val="0"/>
        </w:rPr>
      </w:pPr>
      <w:bookmarkStart w:name="（6）转移应收账款且继续涉入形成的资产、负债金额" w:id="485"/>
      <w:bookmarkEnd w:id="485"/>
      <w:r>
        <w:rPr>
          <w:b w:val="0"/>
          <w:bCs w:val="0"/>
        </w:rPr>
      </w:r>
      <w:r>
        <w:rPr/>
        <w:t>（</w:t>
      </w:r>
      <w:r>
        <w:rPr>
          <w:rFonts w:ascii="宋体" w:hAnsi="宋体" w:cs="宋体" w:eastAsia="宋体"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14"/>
          <w:szCs w:val="14"/>
        </w:rPr>
      </w:pPr>
    </w:p>
    <w:p>
      <w:pPr>
        <w:spacing w:line="604" w:lineRule="auto" w:before="0"/>
        <w:ind w:left="153" w:right="8962"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2、其他应收款" w:id="486"/>
      <w:bookmarkEnd w:id="486"/>
      <w:r>
        <w:rPr>
          <w:rFonts w:ascii="宋体" w:hAnsi="宋体" w:cs="宋体" w:eastAsia="宋体" w:hint="default"/>
          <w:w w:val="100"/>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22" w:hRule="exact"/>
        </w:trPr>
        <w:tc>
          <w:tcPr>
            <w:tcW w:w="3188" w:type="dxa"/>
            <w:tcBorders>
              <w:top w:val="single" w:sz="12"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12"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3" w:type="dxa"/>
            <w:tcBorders>
              <w:top w:val="single" w:sz="12" w:space="0" w:color="000000"/>
              <w:left w:val="single" w:sz="4" w:space="0" w:color="000000"/>
              <w:bottom w:val="single" w:sz="4" w:space="0" w:color="000000"/>
              <w:right w:val="single" w:sz="4" w:space="0" w:color="000000"/>
            </w:tcBorders>
          </w:tcPr>
          <w:p>
            <w:pPr/>
          </w:p>
        </w:tc>
        <w:tc>
          <w:tcPr>
            <w:tcW w:w="3193" w:type="dxa"/>
            <w:tcBorders>
              <w:top w:val="single" w:sz="12" w:space="0" w:color="000000"/>
              <w:left w:val="single" w:sz="4" w:space="0" w:color="000000"/>
              <w:bottom w:val="single" w:sz="4" w:space="0" w:color="000000"/>
              <w:right w:val="single" w:sz="12" w:space="0" w:color="000000"/>
            </w:tcBorders>
          </w:tcPr>
          <w:p>
            <w:pP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10,764,100.00</w:t>
            </w:r>
          </w:p>
        </w:tc>
      </w:tr>
      <w:tr>
        <w:trPr>
          <w:trHeight w:val="399" w:hRule="exact"/>
        </w:trPr>
        <w:tc>
          <w:tcPr>
            <w:tcW w:w="31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65,070,510.49</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10,941,353.54</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65,070,510.49</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21,705,453.54</w:t>
            </w:r>
          </w:p>
        </w:tc>
      </w:tr>
    </w:tbl>
    <w:p>
      <w:pPr>
        <w:pStyle w:val="Heading4"/>
        <w:spacing w:line="410" w:lineRule="auto" w:before="66"/>
        <w:ind w:right="9169"/>
        <w:jc w:val="left"/>
        <w:rPr>
          <w:b w:val="0"/>
          <w:bCs w:val="0"/>
        </w:rPr>
      </w:pPr>
      <w:bookmarkStart w:name="（1）应收利息" w:id="487"/>
      <w:bookmarkEnd w:id="487"/>
      <w:r>
        <w:rPr>
          <w:b w:val="0"/>
          <w:bCs w:val="0"/>
        </w:rPr>
      </w:r>
      <w:r>
        <w:rPr/>
        <w:t>（</w:t>
      </w:r>
      <w:r>
        <w:rPr>
          <w:rFonts w:ascii="宋体" w:hAnsi="宋体" w:cs="宋体" w:eastAsia="宋体" w:hint="default"/>
        </w:rPr>
        <w:t>1</w:t>
      </w:r>
      <w:r>
        <w:rPr/>
        <w:t>）应收利息</w:t>
      </w:r>
      <w:r>
        <w:rPr>
          <w:spacing w:val="-104"/>
        </w:rPr>
        <w:t> </w:t>
      </w:r>
      <w:bookmarkStart w:name="1）应收利息分类" w:id="488"/>
      <w:bookmarkEnd w:id="488"/>
      <w:r>
        <w:rPr>
          <w:spacing w:val="-104"/>
        </w:rPr>
      </w:r>
      <w:r>
        <w:rPr>
          <w:rFonts w:ascii="宋体" w:hAnsi="宋体" w:cs="宋体" w:eastAsia="宋体" w:hint="default"/>
        </w:rPr>
        <w:t>1</w:t>
      </w:r>
      <w:r>
        <w:rPr/>
        <w:t>）应收利息分类</w:t>
      </w:r>
      <w:r>
        <w:rPr>
          <w:b w:val="0"/>
          <w:bCs w:val="0"/>
        </w:rPr>
      </w:r>
    </w:p>
    <w:p>
      <w:pPr>
        <w:spacing w:line="410" w:lineRule="auto" w:before="42"/>
        <w:ind w:left="153" w:right="8751" w:firstLine="211"/>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2）重要逾期利息" w:id="489"/>
      <w:bookmarkEnd w:id="489"/>
      <w:r>
        <w:rPr>
          <w:rFonts w:ascii="宋体" w:hAnsi="宋体" w:cs="宋体" w:eastAsia="宋体" w:hint="default"/>
          <w:w w:val="100"/>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410" w:lineRule="auto" w:before="41"/>
        <w:ind w:left="153" w:right="8747" w:firstLine="211"/>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bookmarkStart w:name="3）坏账准备计提情况" w:id="490"/>
      <w:bookmarkEnd w:id="490"/>
      <w:r>
        <w:rPr>
          <w:rFonts w:ascii="宋体" w:hAnsi="宋体" w:cs="宋体" w:eastAsia="宋体" w:hint="default"/>
          <w:w w:val="100"/>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pStyle w:val="BodyText"/>
        <w:spacing w:line="240" w:lineRule="auto" w:before="42"/>
        <w:ind w:left="364" w:right="1024"/>
        <w:jc w:val="left"/>
      </w:pPr>
      <w:r>
        <w:rPr/>
        <w:t>□ 适用 √</w:t>
      </w:r>
      <w:r>
        <w:rPr>
          <w:spacing w:val="4"/>
        </w:rPr>
        <w:t> </w:t>
      </w:r>
      <w:r>
        <w:rPr/>
        <w:t>不适用</w:t>
      </w:r>
    </w:p>
    <w:p>
      <w:pPr>
        <w:spacing w:line="240" w:lineRule="auto" w:before="12"/>
        <w:rPr>
          <w:rFonts w:ascii="宋体" w:hAnsi="宋体" w:cs="宋体" w:eastAsia="宋体" w:hint="default"/>
          <w:sz w:val="14"/>
          <w:szCs w:val="14"/>
        </w:rPr>
      </w:pPr>
    </w:p>
    <w:p>
      <w:pPr>
        <w:pStyle w:val="Heading4"/>
        <w:spacing w:line="405" w:lineRule="auto" w:before="0"/>
        <w:ind w:right="9169"/>
        <w:jc w:val="left"/>
        <w:rPr>
          <w:b w:val="0"/>
          <w:bCs w:val="0"/>
        </w:rPr>
      </w:pPr>
      <w:bookmarkStart w:name="（2）应收股利" w:id="491"/>
      <w:bookmarkEnd w:id="491"/>
      <w:r>
        <w:rPr>
          <w:b w:val="0"/>
          <w:bCs w:val="0"/>
        </w:rPr>
      </w:r>
      <w:r>
        <w:rPr/>
        <w:t>（</w:t>
      </w:r>
      <w:r>
        <w:rPr>
          <w:rFonts w:ascii="宋体" w:hAnsi="宋体" w:cs="宋体" w:eastAsia="宋体" w:hint="default"/>
        </w:rPr>
        <w:t>2</w:t>
      </w:r>
      <w:r>
        <w:rPr/>
        <w:t>）应收股利</w:t>
      </w:r>
      <w:r>
        <w:rPr>
          <w:spacing w:val="-104"/>
        </w:rPr>
        <w:t> </w:t>
      </w:r>
      <w:bookmarkStart w:name="1）应收股利分类" w:id="492"/>
      <w:bookmarkEnd w:id="492"/>
      <w:r>
        <w:rPr>
          <w:spacing w:val="-104"/>
        </w:rPr>
      </w:r>
      <w:r>
        <w:rPr>
          <w:rFonts w:ascii="宋体" w:hAnsi="宋体" w:cs="宋体" w:eastAsia="宋体" w:hint="default"/>
        </w:rPr>
        <w:t>1</w:t>
      </w:r>
      <w:r>
        <w:rPr/>
        <w:t>）应收股利分类</w:t>
      </w:r>
      <w:r>
        <w:rPr>
          <w:b w:val="0"/>
          <w:bCs w:val="0"/>
        </w:rPr>
      </w:r>
    </w:p>
    <w:p>
      <w:pPr>
        <w:spacing w:before="38"/>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93"/>
        <w:gridCol w:w="3189"/>
        <w:gridCol w:w="3193"/>
      </w:tblGrid>
      <w:tr>
        <w:trPr>
          <w:trHeight w:val="408" w:hRule="exact"/>
        </w:trPr>
        <w:tc>
          <w:tcPr>
            <w:tcW w:w="3193"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77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3189"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湖北索瑞电气有限公司</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9"/>
              <w:jc w:val="right"/>
              <w:rPr>
                <w:rFonts w:ascii="宋体" w:hAnsi="宋体" w:cs="宋体" w:eastAsia="宋体" w:hint="default"/>
                <w:sz w:val="18"/>
                <w:szCs w:val="18"/>
              </w:rPr>
            </w:pPr>
            <w:r>
              <w:rPr>
                <w:rFonts w:ascii="宋体"/>
                <w:spacing w:val="-1"/>
                <w:sz w:val="18"/>
              </w:rPr>
              <w:t>10,764,100.00</w:t>
            </w:r>
          </w:p>
        </w:tc>
      </w:tr>
      <w:tr>
        <w:trPr>
          <w:trHeight w:val="413" w:hRule="exact"/>
        </w:trPr>
        <w:tc>
          <w:tcPr>
            <w:tcW w:w="319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12" w:space="0" w:color="000000"/>
              <w:right w:val="single" w:sz="4" w:space="0" w:color="000000"/>
            </w:tcBorders>
          </w:tcPr>
          <w:p>
            <w:pP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10,764,100.00</w:t>
            </w:r>
          </w:p>
        </w:tc>
      </w:tr>
    </w:tbl>
    <w:p>
      <w:pPr>
        <w:pStyle w:val="Heading4"/>
        <w:spacing w:line="240" w:lineRule="auto" w:before="67"/>
        <w:ind w:right="1024"/>
        <w:jc w:val="left"/>
        <w:rPr>
          <w:b w:val="0"/>
          <w:bCs w:val="0"/>
        </w:rPr>
      </w:pPr>
      <w:bookmarkStart w:name="2） 重要的账龄超过1年的应收股利" w:id="493"/>
      <w:bookmarkEnd w:id="493"/>
      <w:r>
        <w:rPr>
          <w:b w:val="0"/>
          <w:bCs w:val="0"/>
        </w:rPr>
      </w:r>
      <w:r>
        <w:rPr>
          <w:rFonts w:ascii="宋体" w:hAnsi="宋体" w:cs="宋体" w:eastAsia="宋体" w:hint="default"/>
        </w:rPr>
        <w:t>2</w:t>
      </w:r>
      <w:r>
        <w:rPr/>
        <w:t>）重要的账龄超过</w:t>
      </w:r>
      <w:r>
        <w:rPr>
          <w:spacing w:val="-51"/>
        </w:rPr>
        <w:t> </w:t>
      </w:r>
      <w:r>
        <w:rPr>
          <w:rFonts w:ascii="宋体" w:hAnsi="宋体" w:cs="宋体" w:eastAsia="宋体" w:hint="default"/>
        </w:rPr>
        <w:t>1</w:t>
      </w:r>
      <w:r>
        <w:rPr>
          <w:rFonts w:ascii="宋体" w:hAnsi="宋体" w:cs="宋体" w:eastAsia="宋体" w:hint="default"/>
          <w:spacing w:val="-52"/>
        </w:rPr>
        <w:t> </w:t>
      </w:r>
      <w:r>
        <w:rPr/>
        <w:t>年的应收股利</w:t>
      </w:r>
      <w:r>
        <w:rPr>
          <w:b w:val="0"/>
          <w:bCs w:val="0"/>
        </w:rPr>
      </w:r>
    </w:p>
    <w:p>
      <w:pPr>
        <w:spacing w:line="240" w:lineRule="auto" w:before="12"/>
        <w:rPr>
          <w:rFonts w:ascii="宋体" w:hAnsi="宋体" w:cs="宋体" w:eastAsia="宋体" w:hint="default"/>
          <w:b/>
          <w:bCs/>
          <w:sz w:val="14"/>
          <w:szCs w:val="14"/>
        </w:rPr>
      </w:pPr>
    </w:p>
    <w:p>
      <w:pPr>
        <w:spacing w:line="405" w:lineRule="auto" w:before="0"/>
        <w:ind w:left="153" w:right="8747"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3）坏账准备计提情况" w:id="494"/>
      <w:bookmarkEnd w:id="494"/>
      <w:r>
        <w:rPr>
          <w:rFonts w:ascii="宋体" w:hAnsi="宋体" w:cs="宋体" w:eastAsia="宋体" w:hint="default"/>
          <w:spacing w:val="-101"/>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pStyle w:val="BodyText"/>
        <w:spacing w:line="240" w:lineRule="auto" w:before="50"/>
        <w:ind w:right="1024"/>
        <w:jc w:val="left"/>
      </w:pPr>
      <w:r>
        <w:rPr/>
        <w:t>□ 适用 √</w:t>
      </w:r>
      <w:r>
        <w:rPr>
          <w:spacing w:val="4"/>
        </w:rPr>
        <w:t> </w:t>
      </w:r>
      <w:r>
        <w:rPr/>
        <w:t>不适用</w:t>
      </w:r>
    </w:p>
    <w:p>
      <w:pPr>
        <w:spacing w:line="240" w:lineRule="auto" w:before="8"/>
        <w:rPr>
          <w:rFonts w:ascii="宋体" w:hAnsi="宋体" w:cs="宋体" w:eastAsia="宋体" w:hint="default"/>
          <w:sz w:val="14"/>
          <w:szCs w:val="14"/>
        </w:rPr>
      </w:pPr>
    </w:p>
    <w:p>
      <w:pPr>
        <w:pStyle w:val="Heading4"/>
        <w:spacing w:line="410" w:lineRule="auto" w:before="0"/>
        <w:ind w:left="364" w:right="7271" w:hanging="212"/>
        <w:jc w:val="left"/>
        <w:rPr>
          <w:b w:val="0"/>
          <w:bCs w:val="0"/>
        </w:rPr>
      </w:pPr>
      <w:bookmarkStart w:name="（3）其他应收款" w:id="495"/>
      <w:bookmarkEnd w:id="495"/>
      <w:r>
        <w:rPr>
          <w:b w:val="0"/>
          <w:bCs w:val="0"/>
        </w:rPr>
      </w:r>
      <w:r>
        <w:rPr/>
        <w:t>（</w:t>
      </w:r>
      <w:r>
        <w:rPr>
          <w:rFonts w:ascii="宋体" w:hAnsi="宋体" w:cs="宋体" w:eastAsia="宋体" w:hint="default"/>
        </w:rPr>
        <w:t>3</w:t>
      </w:r>
      <w:r>
        <w:rPr/>
        <w:t>）其他应收款</w:t>
      </w:r>
      <w:r>
        <w:rPr>
          <w:spacing w:val="-104"/>
        </w:rPr>
        <w:t> </w:t>
      </w:r>
      <w:bookmarkStart w:name="1）其他应收款按款项性质分类情况" w:id="496"/>
      <w:bookmarkEnd w:id="496"/>
      <w:r>
        <w:rPr>
          <w:spacing w:val="-104"/>
        </w:rPr>
      </w:r>
      <w:r>
        <w:rPr>
          <w:rFonts w:ascii="宋体" w:hAnsi="宋体" w:cs="宋体" w:eastAsia="宋体" w:hint="default"/>
        </w:rPr>
        <w:t>1</w:t>
      </w:r>
      <w:r>
        <w:rPr/>
        <w:t>）其他应收款按款项性质分类情况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04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1,856,312.46</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3,315,399.46</w:t>
            </w:r>
          </w:p>
        </w:tc>
      </w:tr>
      <w:tr>
        <w:trPr>
          <w:trHeight w:val="399"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应收租金及保证金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892,500.00</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spacing w:val="-1"/>
                <w:sz w:val="18"/>
              </w:rPr>
              <w:t>892,500.00</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15,107,250.00</w:t>
            </w:r>
          </w:p>
        </w:tc>
        <w:tc>
          <w:tcPr>
            <w:tcW w:w="3193"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4"/>
                <w:sz w:val="18"/>
                <w:szCs w:val="18"/>
              </w:rPr>
              <w:t>业务备用金</w:t>
            </w:r>
            <w:r>
              <w:rPr>
                <w:rFonts w:ascii="宋体" w:hAnsi="宋体" w:cs="宋体" w:eastAsia="宋体" w:hint="default"/>
                <w:sz w:val="18"/>
                <w:szCs w:val="18"/>
              </w:rPr>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18,270,380.96</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1,935,149.50</w:t>
            </w:r>
          </w:p>
        </w:tc>
      </w:tr>
    </w:tbl>
    <w:p>
      <w:pPr>
        <w:spacing w:after="0" w:line="240" w:lineRule="auto"/>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3188"/>
        <w:gridCol w:w="3193"/>
        <w:gridCol w:w="3193"/>
      </w:tblGrid>
      <w:tr>
        <w:trPr>
          <w:trHeight w:val="413" w:hRule="exact"/>
        </w:trPr>
        <w:tc>
          <w:tcPr>
            <w:tcW w:w="3188"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26,375,205.21</w:t>
            </w:r>
          </w:p>
        </w:tc>
        <w:tc>
          <w:tcPr>
            <w:tcW w:w="319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3,379,731.43</w:t>
            </w:r>
          </w:p>
        </w:tc>
      </w:tr>
      <w:tr>
        <w:trPr>
          <w:trHeight w:val="403" w:hRule="exact"/>
        </w:trPr>
        <w:tc>
          <w:tcPr>
            <w:tcW w:w="318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6,401,388.94</w:t>
            </w:r>
          </w:p>
        </w:tc>
        <w:tc>
          <w:tcPr>
            <w:tcW w:w="319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3,229,689.07</w:t>
            </w:r>
          </w:p>
        </w:tc>
      </w:tr>
      <w:tr>
        <w:trPr>
          <w:trHeight w:val="413" w:hRule="exact"/>
        </w:trPr>
        <w:tc>
          <w:tcPr>
            <w:tcW w:w="31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68,903,037.57</w:t>
            </w:r>
          </w:p>
        </w:tc>
        <w:tc>
          <w:tcPr>
            <w:tcW w:w="319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spacing w:val="-1"/>
                <w:sz w:val="18"/>
              </w:rPr>
              <w:t>12,752,469.46</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2）坏账准备计提情况" w:id="497"/>
      <w:bookmarkEnd w:id="497"/>
      <w:r>
        <w:rPr>
          <w:b w:val="0"/>
          <w:bCs w:val="0"/>
        </w:rPr>
      </w:r>
      <w:r>
        <w:rPr>
          <w:rFonts w:ascii="宋体" w:hAnsi="宋体" w:cs="宋体" w:eastAsia="宋体" w:hint="default"/>
        </w:rPr>
        <w:t>2</w:t>
      </w:r>
      <w:r>
        <w:rPr/>
        <w:t>）坏账准备计提情况</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16"/>
        <w:gridCol w:w="1652"/>
        <w:gridCol w:w="2098"/>
        <w:gridCol w:w="2103"/>
        <w:gridCol w:w="1801"/>
      </w:tblGrid>
      <w:tr>
        <w:trPr>
          <w:trHeight w:val="411" w:hRule="exact"/>
        </w:trPr>
        <w:tc>
          <w:tcPr>
            <w:tcW w:w="1916"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1"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12"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61" w:right="137" w:hanging="312"/>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9"/>
                <w:sz w:val="18"/>
                <w:szCs w:val="18"/>
              </w:rPr>
              <w:t> </w:t>
            </w:r>
            <w:r>
              <w:rPr>
                <w:rFonts w:ascii="宋体" w:hAnsi="宋体" w:cs="宋体" w:eastAsia="宋体" w:hint="default"/>
                <w:sz w:val="18"/>
                <w:szCs w:val="18"/>
              </w:rPr>
              <w:t>12</w:t>
            </w:r>
            <w:r>
              <w:rPr>
                <w:rFonts w:ascii="宋体" w:hAnsi="宋体" w:cs="宋体" w:eastAsia="宋体" w:hint="default"/>
                <w:spacing w:val="-39"/>
                <w:sz w:val="18"/>
                <w:szCs w:val="18"/>
              </w:rPr>
              <w:t> </w:t>
            </w:r>
            <w:r>
              <w:rPr>
                <w:rFonts w:ascii="宋体" w:hAnsi="宋体" w:cs="宋体" w:eastAsia="宋体" w:hint="default"/>
                <w:spacing w:val="-3"/>
                <w:sz w:val="18"/>
                <w:szCs w:val="18"/>
              </w:rPr>
              <w:t>个月预期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5" w:right="137" w:hanging="92"/>
              <w:jc w:val="left"/>
              <w:rPr>
                <w:rFonts w:ascii="宋体" w:hAnsi="宋体" w:cs="宋体" w:eastAsia="宋体"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宋体" w:hAnsi="宋体" w:cs="宋体" w:eastAsia="宋体" w:hint="default"/>
                <w:sz w:val="18"/>
                <w:szCs w:val="18"/>
              </w:rPr>
              <w:t>(</w:t>
            </w:r>
            <w:r>
              <w:rPr>
                <w:rFonts w:ascii="宋体" w:hAnsi="宋体" w:cs="宋体" w:eastAsia="宋体" w:hint="default"/>
                <w:sz w:val="18"/>
                <w:szCs w:val="18"/>
              </w:rPr>
              <w:t>未发生信用减值</w:t>
            </w:r>
            <w:r>
              <w:rPr>
                <w:rFonts w:ascii="宋体" w:hAnsi="宋体" w:cs="宋体" w:eastAsia="宋体"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5" w:right="142" w:hanging="92"/>
              <w:jc w:val="left"/>
              <w:rPr>
                <w:rFonts w:ascii="宋体" w:hAnsi="宋体" w:cs="宋体" w:eastAsia="宋体"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宋体" w:hAnsi="宋体" w:cs="宋体" w:eastAsia="宋体" w:hint="default"/>
                <w:sz w:val="18"/>
                <w:szCs w:val="18"/>
              </w:rPr>
              <w:t>(</w:t>
            </w:r>
            <w:r>
              <w:rPr>
                <w:rFonts w:ascii="宋体" w:hAnsi="宋体" w:cs="宋体" w:eastAsia="宋体" w:hint="default"/>
                <w:sz w:val="18"/>
                <w:szCs w:val="18"/>
              </w:rPr>
              <w:t>已发生信用减值</w:t>
            </w:r>
            <w:r>
              <w:rPr>
                <w:rFonts w:ascii="宋体" w:hAnsi="宋体" w:cs="宋体" w:eastAsia="宋体" w:hint="default"/>
                <w:sz w:val="18"/>
                <w:szCs w:val="18"/>
              </w:rPr>
              <w:t>)</w:t>
            </w:r>
          </w:p>
        </w:tc>
        <w:tc>
          <w:tcPr>
            <w:tcW w:w="1801" w:type="dxa"/>
            <w:vMerge/>
            <w:tcBorders>
              <w:left w:val="single" w:sz="4" w:space="0" w:color="000000"/>
              <w:bottom w:val="single" w:sz="4" w:space="0" w:color="000000"/>
              <w:right w:val="single" w:sz="12" w:space="0" w:color="000000"/>
            </w:tcBorders>
            <w:shd w:val="clear" w:color="auto" w:fill="D2D2D2"/>
          </w:tcPr>
          <w:p>
            <w:pP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1,811,115.92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1,811,115.92</w:t>
            </w:r>
          </w:p>
        </w:tc>
      </w:tr>
      <w:tr>
        <w:trPr>
          <w:trHeight w:val="711"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5" w:right="127"/>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日余额</w:t>
            </w:r>
            <w:r>
              <w:rPr>
                <w:rFonts w:ascii="宋体" w:hAnsi="宋体" w:cs="宋体" w:eastAsia="宋体" w:hint="default"/>
                <w:w w:val="101"/>
                <w:sz w:val="18"/>
                <w:szCs w:val="18"/>
              </w:rPr>
              <w:t> </w:t>
            </w:r>
            <w:r>
              <w:rPr>
                <w:rFonts w:ascii="宋体" w:hAnsi="宋体" w:cs="宋体" w:eastAsia="宋体" w:hint="default"/>
                <w:sz w:val="18"/>
                <w:szCs w:val="18"/>
              </w:rPr>
              <w:t>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1"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转入第二阶段</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转入第三阶段</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转回第二阶段</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转回第一阶段</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1,568,293.66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453,217.50</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0"/>
              <w:ind w:right="84"/>
              <w:jc w:val="right"/>
              <w:rPr>
                <w:rFonts w:ascii="Times New Roman" w:hAnsi="Times New Roman" w:cs="Times New Roman" w:eastAsia="Times New Roman" w:hint="default"/>
                <w:sz w:val="18"/>
                <w:szCs w:val="18"/>
              </w:rPr>
            </w:pPr>
            <w:r>
              <w:rPr>
                <w:rFonts w:ascii="Times New Roman"/>
                <w:spacing w:val="-2"/>
                <w:sz w:val="18"/>
              </w:rPr>
              <w:t>2,021,511.16</w:t>
            </w: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本期转销</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12" w:space="0" w:color="000000"/>
            </w:tcBorders>
          </w:tcPr>
          <w:p>
            <w:pPr/>
          </w:p>
        </w:tc>
      </w:tr>
      <w:tr>
        <w:trPr>
          <w:trHeight w:val="399"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100.00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100.00</w:t>
            </w:r>
          </w:p>
        </w:tc>
      </w:tr>
      <w:tr>
        <w:trPr>
          <w:trHeight w:val="403" w:hRule="exact"/>
        </w:trPr>
        <w:tc>
          <w:tcPr>
            <w:tcW w:w="191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12" w:space="0" w:color="000000"/>
            </w:tcBorders>
          </w:tcPr>
          <w:p>
            <w:pPr/>
          </w:p>
        </w:tc>
      </w:tr>
      <w:tr>
        <w:trPr>
          <w:trHeight w:val="725" w:hRule="exact"/>
        </w:trPr>
        <w:tc>
          <w:tcPr>
            <w:tcW w:w="191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21" w:lineRule="auto" w:before="53"/>
              <w:ind w:left="95" w:right="127"/>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日余</w:t>
            </w:r>
            <w:r>
              <w:rPr>
                <w:rFonts w:ascii="宋体" w:hAnsi="宋体" w:cs="宋体" w:eastAsia="宋体" w:hint="default"/>
                <w:spacing w:val="-88"/>
                <w:sz w:val="18"/>
                <w:szCs w:val="18"/>
              </w:rPr>
              <w:t> </w:t>
            </w:r>
            <w:r>
              <w:rPr>
                <w:rFonts w:ascii="宋体" w:hAnsi="宋体" w:cs="宋体" w:eastAsia="宋体" w:hint="default"/>
                <w:sz w:val="18"/>
                <w:szCs w:val="18"/>
              </w:rPr>
              <w:t>额</w:t>
            </w:r>
          </w:p>
        </w:tc>
        <w:tc>
          <w:tcPr>
            <w:tcW w:w="16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3,379,309.58</w:t>
            </w:r>
          </w:p>
        </w:tc>
        <w:tc>
          <w:tcPr>
            <w:tcW w:w="20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453,217.50</w:t>
            </w:r>
          </w:p>
        </w:tc>
        <w:tc>
          <w:tcPr>
            <w:tcW w:w="2103" w:type="dxa"/>
            <w:tcBorders>
              <w:top w:val="single" w:sz="4" w:space="0" w:color="000000"/>
              <w:left w:val="single" w:sz="4" w:space="0" w:color="000000"/>
              <w:bottom w:val="single" w:sz="12" w:space="0" w:color="000000"/>
              <w:right w:val="single" w:sz="4" w:space="0" w:color="000000"/>
            </w:tcBorders>
          </w:tcPr>
          <w:p>
            <w:pPr/>
          </w:p>
        </w:tc>
        <w:tc>
          <w:tcPr>
            <w:tcW w:w="180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spacing w:val="-1"/>
                <w:sz w:val="18"/>
              </w:rPr>
              <w:t>3,832,527.08</w:t>
            </w:r>
          </w:p>
        </w:tc>
      </w:tr>
    </w:tbl>
    <w:p>
      <w:pPr>
        <w:pStyle w:val="BodyText"/>
        <w:spacing w:line="240" w:lineRule="auto" w:before="66"/>
        <w:ind w:right="1024"/>
        <w:jc w:val="left"/>
      </w:pPr>
      <w:r>
        <w:rPr/>
        <w:t>损失准备本期变动金额重大的账面余额变动情况</w:t>
      </w:r>
    </w:p>
    <w:p>
      <w:pPr>
        <w:spacing w:line="240" w:lineRule="auto" w:before="13"/>
        <w:rPr>
          <w:rFonts w:ascii="宋体" w:hAnsi="宋体" w:cs="宋体" w:eastAsia="宋体" w:hint="default"/>
          <w:sz w:val="14"/>
          <w:szCs w:val="14"/>
        </w:rPr>
      </w:pPr>
    </w:p>
    <w:p>
      <w:pPr>
        <w:pStyle w:val="BodyText"/>
        <w:spacing w:line="372" w:lineRule="auto"/>
        <w:ind w:right="8962"/>
        <w:jc w:val="left"/>
      </w:pPr>
      <w:r>
        <w:rPr/>
        <w:t>□ 适用 √</w:t>
      </w:r>
      <w:r>
        <w:rPr>
          <w:spacing w:val="4"/>
        </w:rPr>
        <w:t> </w:t>
      </w:r>
      <w:r>
        <w:rPr/>
        <w:t>不适用</w:t>
      </w:r>
      <w:r>
        <w:rPr>
          <w:w w:val="100"/>
        </w:rPr>
        <w:t> </w:t>
      </w:r>
      <w:r>
        <w:rPr/>
        <w:t>按账龄披露</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788"/>
        <w:gridCol w:w="4782"/>
      </w:tblGrid>
      <w:tr>
        <w:trPr>
          <w:trHeight w:val="408" w:hRule="exact"/>
        </w:trPr>
        <w:tc>
          <w:tcPr>
            <w:tcW w:w="47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8"/>
              <w:ind w:right="84"/>
              <w:jc w:val="right"/>
              <w:rPr>
                <w:rFonts w:ascii="宋体" w:hAnsi="宋体" w:cs="宋体" w:eastAsia="宋体" w:hint="default"/>
                <w:sz w:val="18"/>
                <w:szCs w:val="18"/>
              </w:rPr>
            </w:pPr>
            <w:r>
              <w:rPr>
                <w:rFonts w:ascii="宋体"/>
                <w:spacing w:val="-1"/>
                <w:sz w:val="18"/>
              </w:rPr>
              <w:t>62,560,019.48</w:t>
            </w:r>
          </w:p>
        </w:tc>
      </w:tr>
      <w:tr>
        <w:trPr>
          <w:trHeight w:val="398"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2,581,502.33</w:t>
            </w:r>
          </w:p>
        </w:tc>
      </w:tr>
      <w:tr>
        <w:trPr>
          <w:trHeight w:val="404"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spacing w:val="-1"/>
                <w:sz w:val="18"/>
              </w:rPr>
              <w:t>1,749,595.26</w:t>
            </w:r>
          </w:p>
        </w:tc>
      </w:tr>
      <w:tr>
        <w:trPr>
          <w:trHeight w:val="413" w:hRule="exact"/>
        </w:trPr>
        <w:tc>
          <w:tcPr>
            <w:tcW w:w="47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2,011,920.50</w:t>
            </w:r>
          </w:p>
        </w:tc>
      </w:tr>
    </w:tbl>
    <w:p>
      <w:pPr>
        <w:spacing w:after="0" w:line="240" w:lineRule="auto"/>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4788"/>
        <w:gridCol w:w="4782"/>
      </w:tblGrid>
      <w:tr>
        <w:trPr>
          <w:trHeight w:val="413" w:hRule="exact"/>
        </w:trPr>
        <w:tc>
          <w:tcPr>
            <w:tcW w:w="478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82"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21,073.50</w:t>
            </w:r>
          </w:p>
        </w:tc>
      </w:tr>
      <w:tr>
        <w:trPr>
          <w:trHeight w:val="403"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696,400.00</w:t>
            </w:r>
          </w:p>
        </w:tc>
      </w:tr>
      <w:tr>
        <w:trPr>
          <w:trHeight w:val="399" w:hRule="exact"/>
        </w:trPr>
        <w:tc>
          <w:tcPr>
            <w:tcW w:w="478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27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9"/>
              <w:jc w:val="right"/>
              <w:rPr>
                <w:rFonts w:ascii="宋体" w:hAnsi="宋体" w:cs="宋体" w:eastAsia="宋体" w:hint="default"/>
                <w:sz w:val="18"/>
                <w:szCs w:val="18"/>
              </w:rPr>
            </w:pPr>
            <w:r>
              <w:rPr>
                <w:rFonts w:ascii="宋体"/>
                <w:spacing w:val="-1"/>
                <w:sz w:val="18"/>
              </w:rPr>
              <w:t>1,294,447.00</w:t>
            </w:r>
          </w:p>
        </w:tc>
      </w:tr>
      <w:tr>
        <w:trPr>
          <w:trHeight w:val="413" w:hRule="exact"/>
        </w:trPr>
        <w:tc>
          <w:tcPr>
            <w:tcW w:w="478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right="89"/>
              <w:jc w:val="center"/>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68,903,037.57</w:t>
            </w:r>
          </w:p>
        </w:tc>
      </w:tr>
    </w:tbl>
    <w:p>
      <w:pPr>
        <w:spacing w:line="410" w:lineRule="auto" w:before="66"/>
        <w:ind w:left="153" w:right="6850" w:firstLine="0"/>
        <w:jc w:val="left"/>
        <w:rPr>
          <w:rFonts w:ascii="宋体" w:hAnsi="宋体" w:cs="宋体" w:eastAsia="宋体" w:hint="default"/>
          <w:sz w:val="21"/>
          <w:szCs w:val="21"/>
        </w:rPr>
      </w:pPr>
      <w:bookmarkStart w:name="3）本期计提、收回或转回的坏账准备情况" w:id="498"/>
      <w:bookmarkEnd w:id="498"/>
      <w:r>
        <w:rPr/>
      </w:r>
      <w:r>
        <w:rPr>
          <w:rFonts w:ascii="宋体" w:hAnsi="宋体" w:cs="宋体" w:eastAsia="宋体"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b/>
          <w:bCs/>
          <w:w w:val="100"/>
          <w:sz w:val="21"/>
          <w:szCs w:val="21"/>
        </w:rPr>
        <w:t> </w:t>
      </w:r>
      <w:r>
        <w:rPr>
          <w:rFonts w:ascii="宋体" w:hAnsi="宋体" w:cs="宋体" w:eastAsia="宋体" w:hint="default"/>
          <w:sz w:val="21"/>
          <w:szCs w:val="21"/>
        </w:rPr>
        <w:t>本期计提坏账准备情况：</w:t>
      </w:r>
    </w:p>
    <w:p>
      <w:pPr>
        <w:spacing w:before="29"/>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287"/>
        <w:gridCol w:w="1383"/>
        <w:gridCol w:w="1330"/>
        <w:gridCol w:w="1455"/>
        <w:gridCol w:w="1196"/>
        <w:gridCol w:w="1345"/>
        <w:gridCol w:w="1580"/>
      </w:tblGrid>
      <w:tr>
        <w:trPr>
          <w:trHeight w:val="413" w:hRule="exact"/>
        </w:trPr>
        <w:tc>
          <w:tcPr>
            <w:tcW w:w="1287"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83"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287" w:type="dxa"/>
            <w:vMerge/>
            <w:tcBorders>
              <w:left w:val="single" w:sz="12" w:space="0" w:color="000000"/>
              <w:bottom w:val="single" w:sz="4" w:space="0" w:color="000000"/>
              <w:right w:val="single" w:sz="4" w:space="0" w:color="000000"/>
            </w:tcBorders>
            <w:shd w:val="clear" w:color="auto" w:fill="D2D2D2"/>
          </w:tcPr>
          <w:p>
            <w:pPr/>
          </w:p>
        </w:tc>
        <w:tc>
          <w:tcPr>
            <w:tcW w:w="1383"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12" w:space="0" w:color="000000"/>
            </w:tcBorders>
            <w:shd w:val="clear" w:color="auto" w:fill="D2D2D2"/>
          </w:tcPr>
          <w:p>
            <w:pPr/>
          </w:p>
        </w:tc>
      </w:tr>
      <w:tr>
        <w:trPr>
          <w:trHeight w:val="398" w:hRule="exact"/>
        </w:trPr>
        <w:tc>
          <w:tcPr>
            <w:tcW w:w="128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right="444"/>
              <w:jc w:val="right"/>
              <w:rPr>
                <w:rFonts w:ascii="宋体" w:hAnsi="宋体" w:cs="宋体" w:eastAsia="宋体" w:hint="default"/>
                <w:sz w:val="18"/>
                <w:szCs w:val="18"/>
              </w:rPr>
            </w:pPr>
            <w:r>
              <w:rPr>
                <w:rFonts w:ascii="宋体" w:hAnsi="宋体" w:cs="宋体" w:eastAsia="宋体" w:hint="default"/>
                <w:spacing w:val="-2"/>
                <w:sz w:val="18"/>
                <w:szCs w:val="18"/>
              </w:rPr>
              <w:t>账龄组合</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1,811,115.92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 w:right="0"/>
              <w:jc w:val="center"/>
              <w:rPr>
                <w:rFonts w:ascii="宋体" w:hAnsi="宋体" w:cs="宋体" w:eastAsia="宋体" w:hint="default"/>
                <w:sz w:val="18"/>
                <w:szCs w:val="18"/>
              </w:rPr>
            </w:pPr>
            <w:r>
              <w:rPr>
                <w:rFonts w:ascii="宋体"/>
                <w:sz w:val="18"/>
              </w:rPr>
              <w:t>2,021,511.16</w:t>
            </w:r>
          </w:p>
        </w:tc>
        <w:tc>
          <w:tcPr>
            <w:tcW w:w="145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3"/>
              <w:jc w:val="right"/>
              <w:rPr>
                <w:rFonts w:ascii="宋体" w:hAnsi="宋体" w:cs="宋体" w:eastAsia="宋体" w:hint="default"/>
                <w:sz w:val="18"/>
                <w:szCs w:val="18"/>
              </w:rPr>
            </w:pPr>
            <w:r>
              <w:rPr>
                <w:rFonts w:ascii="宋体"/>
                <w:spacing w:val="-1"/>
                <w:sz w:val="18"/>
              </w:rPr>
              <w:t>100.00</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3,832,527.08</w:t>
            </w:r>
          </w:p>
        </w:tc>
      </w:tr>
      <w:tr>
        <w:trPr>
          <w:trHeight w:val="413" w:hRule="exact"/>
        </w:trPr>
        <w:tc>
          <w:tcPr>
            <w:tcW w:w="1287"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9"/>
              <w:ind w:right="449"/>
              <w:jc w:val="right"/>
              <w:rPr>
                <w:rFonts w:ascii="宋体" w:hAnsi="宋体" w:cs="宋体" w:eastAsia="宋体" w:hint="default"/>
                <w:sz w:val="18"/>
                <w:szCs w:val="18"/>
              </w:rPr>
            </w:pPr>
            <w:r>
              <w:rPr>
                <w:rFonts w:ascii="宋体" w:hAnsi="宋体" w:cs="宋体" w:eastAsia="宋体" w:hint="default"/>
                <w:sz w:val="18"/>
                <w:szCs w:val="18"/>
              </w:rPr>
              <w:t>合计</w:t>
            </w:r>
          </w:p>
        </w:tc>
        <w:tc>
          <w:tcPr>
            <w:tcW w:w="13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9"/>
              <w:ind w:right="99"/>
              <w:jc w:val="right"/>
              <w:rPr>
                <w:rFonts w:ascii="宋体" w:hAnsi="宋体" w:cs="宋体" w:eastAsia="宋体" w:hint="default"/>
                <w:sz w:val="18"/>
                <w:szCs w:val="18"/>
              </w:rPr>
            </w:pPr>
            <w:r>
              <w:rPr>
                <w:rFonts w:ascii="宋体"/>
                <w:spacing w:val="-1"/>
                <w:sz w:val="18"/>
              </w:rPr>
              <w:t>1,811,115.92</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9"/>
              <w:ind w:left="42" w:right="0"/>
              <w:jc w:val="center"/>
              <w:rPr>
                <w:rFonts w:ascii="宋体" w:hAnsi="宋体" w:cs="宋体" w:eastAsia="宋体" w:hint="default"/>
                <w:sz w:val="18"/>
                <w:szCs w:val="18"/>
              </w:rPr>
            </w:pPr>
            <w:r>
              <w:rPr>
                <w:rFonts w:ascii="宋体"/>
                <w:sz w:val="18"/>
              </w:rPr>
              <w:t>2,021,511.16</w:t>
            </w:r>
          </w:p>
        </w:tc>
        <w:tc>
          <w:tcPr>
            <w:tcW w:w="1455" w:type="dxa"/>
            <w:tcBorders>
              <w:top w:val="single" w:sz="4" w:space="0" w:color="000000"/>
              <w:left w:val="single" w:sz="4" w:space="0" w:color="000000"/>
              <w:bottom w:val="single" w:sz="12" w:space="0" w:color="000000"/>
              <w:right w:val="single" w:sz="4" w:space="0" w:color="000000"/>
            </w:tcBorders>
          </w:tcPr>
          <w:p>
            <w:pPr/>
          </w:p>
        </w:tc>
        <w:tc>
          <w:tcPr>
            <w:tcW w:w="11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9"/>
              <w:ind w:right="93"/>
              <w:jc w:val="right"/>
              <w:rPr>
                <w:rFonts w:ascii="宋体" w:hAnsi="宋体" w:cs="宋体" w:eastAsia="宋体" w:hint="default"/>
                <w:sz w:val="18"/>
                <w:szCs w:val="18"/>
              </w:rPr>
            </w:pPr>
            <w:r>
              <w:rPr>
                <w:rFonts w:ascii="宋体"/>
                <w:spacing w:val="-1"/>
                <w:sz w:val="18"/>
              </w:rPr>
              <w:t>100.00</w:t>
            </w:r>
          </w:p>
        </w:tc>
        <w:tc>
          <w:tcPr>
            <w:tcW w:w="1345" w:type="dxa"/>
            <w:tcBorders>
              <w:top w:val="single" w:sz="4" w:space="0" w:color="000000"/>
              <w:left w:val="single" w:sz="4" w:space="0" w:color="000000"/>
              <w:bottom w:val="single" w:sz="12" w:space="0" w:color="000000"/>
              <w:right w:val="single" w:sz="4" w:space="0" w:color="000000"/>
            </w:tcBorders>
          </w:tcPr>
          <w:p>
            <w:pPr/>
          </w:p>
        </w:tc>
        <w:tc>
          <w:tcPr>
            <w:tcW w:w="158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9"/>
              <w:ind w:right="89"/>
              <w:jc w:val="right"/>
              <w:rPr>
                <w:rFonts w:ascii="宋体" w:hAnsi="宋体" w:cs="宋体" w:eastAsia="宋体" w:hint="default"/>
                <w:sz w:val="18"/>
                <w:szCs w:val="18"/>
              </w:rPr>
            </w:pPr>
            <w:r>
              <w:rPr>
                <w:rFonts w:ascii="宋体"/>
                <w:spacing w:val="-1"/>
                <w:sz w:val="18"/>
              </w:rPr>
              <w:t>3,832,527.08</w:t>
            </w:r>
          </w:p>
        </w:tc>
      </w:tr>
    </w:tbl>
    <w:p>
      <w:pPr>
        <w:pStyle w:val="Heading4"/>
        <w:spacing w:line="240" w:lineRule="auto" w:before="66"/>
        <w:ind w:right="1024"/>
        <w:jc w:val="left"/>
        <w:rPr>
          <w:b w:val="0"/>
          <w:bCs w:val="0"/>
        </w:rPr>
      </w:pPr>
      <w:bookmarkStart w:name="4）本期实际核销的其他应收款情况" w:id="499"/>
      <w:bookmarkEnd w:id="499"/>
      <w:r>
        <w:rPr>
          <w:b w:val="0"/>
          <w:bCs w:val="0"/>
        </w:rPr>
      </w:r>
      <w:r>
        <w:rPr>
          <w:rFonts w:ascii="宋体" w:hAnsi="宋体" w:cs="宋体" w:eastAsia="宋体" w:hint="default"/>
        </w:rPr>
        <w:t>4</w:t>
      </w:r>
      <w:r>
        <w:rPr/>
        <w:t>）本期实际核销的其他应收款情况</w:t>
      </w:r>
      <w:r>
        <w:rPr>
          <w:b w:val="0"/>
          <w:bCs w:val="0"/>
        </w:rPr>
      </w:r>
    </w:p>
    <w:p>
      <w:pPr>
        <w:spacing w:line="240" w:lineRule="auto" w:before="12"/>
        <w:rPr>
          <w:rFonts w:ascii="宋体" w:hAnsi="宋体" w:cs="宋体" w:eastAsia="宋体" w:hint="default"/>
          <w:b/>
          <w:bCs/>
          <w:sz w:val="14"/>
          <w:szCs w:val="14"/>
        </w:rPr>
      </w:pPr>
    </w:p>
    <w:p>
      <w:pPr>
        <w:spacing w:line="405" w:lineRule="auto" w:before="0"/>
        <w:ind w:left="153" w:right="4644"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5）按欠款方归集的期末余额前五名的其他应收款情况" w:id="500"/>
      <w:bookmarkEnd w:id="500"/>
      <w:r>
        <w:rPr>
          <w:rFonts w:ascii="宋体" w:hAnsi="宋体" w:cs="宋体" w:eastAsia="宋体" w:hint="default"/>
          <w:spacing w:val="-101"/>
          <w:sz w:val="21"/>
          <w:szCs w:val="21"/>
        </w:rPr>
      </w:r>
      <w:r>
        <w:rPr>
          <w:rFonts w:ascii="宋体" w:hAnsi="宋体" w:cs="宋体" w:eastAsia="宋体" w:hint="default"/>
          <w:b/>
          <w:bCs/>
          <w:spacing w:val="-1"/>
          <w:sz w:val="21"/>
          <w:szCs w:val="21"/>
        </w:rPr>
        <w:t>5</w:t>
      </w:r>
      <w:r>
        <w:rPr>
          <w:rFonts w:ascii="宋体" w:hAnsi="宋体" w:cs="宋体" w:eastAsia="宋体" w:hint="default"/>
          <w:b/>
          <w:bCs/>
          <w:spacing w:val="-1"/>
          <w:sz w:val="21"/>
          <w:szCs w:val="21"/>
        </w:rPr>
        <w:t>）按欠款方归集的期末余额前五名的其他应收款情况</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26"/>
          <w:szCs w:val="26"/>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1037" w:hRule="exact"/>
        </w:trPr>
        <w:tc>
          <w:tcPr>
            <w:tcW w:w="168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7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8" w:right="171"/>
              <w:jc w:val="center"/>
              <w:rPr>
                <w:rFonts w:ascii="宋体" w:hAnsi="宋体" w:cs="宋体" w:eastAsia="宋体" w:hint="default"/>
                <w:sz w:val="18"/>
                <w:szCs w:val="18"/>
              </w:rPr>
            </w:pPr>
            <w:r>
              <w:rPr>
                <w:rFonts w:ascii="宋体" w:hAnsi="宋体" w:cs="宋体" w:eastAsia="宋体" w:hint="default"/>
                <w:spacing w:val="-3"/>
                <w:sz w:val="18"/>
                <w:szCs w:val="18"/>
              </w:rPr>
              <w:t>占其他应收款期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末余额合计数的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比例</w:t>
            </w:r>
          </w:p>
        </w:tc>
        <w:tc>
          <w:tcPr>
            <w:tcW w:w="161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5" w:right="161" w:hanging="543"/>
              <w:jc w:val="left"/>
              <w:rPr>
                <w:rFonts w:ascii="宋体" w:hAnsi="宋体" w:cs="宋体" w:eastAsia="宋体" w:hint="default"/>
                <w:sz w:val="18"/>
                <w:szCs w:val="18"/>
              </w:rPr>
            </w:pPr>
            <w:r>
              <w:rPr>
                <w:rFonts w:ascii="宋体" w:hAnsi="宋体" w:cs="宋体" w:eastAsia="宋体" w:hint="default"/>
                <w:spacing w:val="-3"/>
                <w:sz w:val="18"/>
                <w:szCs w:val="18"/>
              </w:rPr>
              <w:t>坏账准备期末余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r>
      <w:tr>
        <w:trPr>
          <w:trHeight w:val="715" w:hRule="exact"/>
        </w:trPr>
        <w:tc>
          <w:tcPr>
            <w:tcW w:w="1685"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23"/>
              <w:jc w:val="left"/>
              <w:rPr>
                <w:rFonts w:ascii="宋体" w:hAnsi="宋体" w:cs="宋体" w:eastAsia="宋体" w:hint="default"/>
                <w:sz w:val="18"/>
                <w:szCs w:val="18"/>
              </w:rPr>
            </w:pPr>
            <w:r>
              <w:rPr>
                <w:rFonts w:ascii="宋体" w:hAnsi="宋体" w:cs="宋体" w:eastAsia="宋体" w:hint="default"/>
                <w:sz w:val="18"/>
                <w:szCs w:val="18"/>
              </w:rPr>
              <w:t>江苏苏源光一科技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16,662,268.22</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24.18%</w:t>
            </w:r>
          </w:p>
        </w:tc>
        <w:tc>
          <w:tcPr>
            <w:tcW w:w="1618"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16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唐明群</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15,107,250.00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21.93%</w:t>
            </w:r>
          </w:p>
        </w:tc>
        <w:tc>
          <w:tcPr>
            <w:tcW w:w="16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453,217.50</w:t>
            </w:r>
          </w:p>
        </w:tc>
      </w:tr>
      <w:tr>
        <w:trPr>
          <w:trHeight w:val="716" w:hRule="exact"/>
        </w:trPr>
        <w:tc>
          <w:tcPr>
            <w:tcW w:w="1685" w:type="dxa"/>
            <w:tcBorders>
              <w:top w:val="single" w:sz="4" w:space="0" w:color="000000"/>
              <w:left w:val="single" w:sz="12" w:space="0" w:color="000000"/>
              <w:bottom w:val="single" w:sz="4" w:space="0" w:color="000000"/>
              <w:right w:val="single" w:sz="4" w:space="0" w:color="000000"/>
            </w:tcBorders>
          </w:tcPr>
          <w:p>
            <w:pPr>
              <w:pStyle w:val="TableParagraph"/>
              <w:spacing w:line="324" w:lineRule="auto" w:before="53"/>
              <w:ind w:left="95" w:right="123"/>
              <w:jc w:val="left"/>
              <w:rPr>
                <w:rFonts w:ascii="宋体" w:hAnsi="宋体" w:cs="宋体" w:eastAsia="宋体" w:hint="default"/>
                <w:sz w:val="18"/>
                <w:szCs w:val="18"/>
              </w:rPr>
            </w:pPr>
            <w:r>
              <w:rPr>
                <w:rFonts w:ascii="宋体" w:hAnsi="宋体" w:cs="宋体" w:eastAsia="宋体" w:hint="default"/>
                <w:sz w:val="18"/>
                <w:szCs w:val="18"/>
              </w:rPr>
              <w:t>江苏新宇能电力科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7,114,203.33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10.32%</w:t>
            </w:r>
          </w:p>
        </w:tc>
        <w:tc>
          <w:tcPr>
            <w:tcW w:w="16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213,426.10</w:t>
            </w:r>
          </w:p>
        </w:tc>
      </w:tr>
      <w:tr>
        <w:trPr>
          <w:trHeight w:val="403" w:hRule="exact"/>
        </w:trPr>
        <w:tc>
          <w:tcPr>
            <w:tcW w:w="168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宋永斌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业务备用金</w:t>
            </w:r>
            <w:r>
              <w:rPr>
                <w:rFonts w:ascii="宋体" w:hAnsi="宋体" w:cs="宋体" w:eastAsia="宋体" w:hint="default"/>
                <w:sz w:val="18"/>
                <w:szCs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6,945,128.00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10.08%</w:t>
            </w:r>
          </w:p>
        </w:tc>
        <w:tc>
          <w:tcPr>
            <w:tcW w:w="16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208,353.84</w:t>
            </w:r>
          </w:p>
        </w:tc>
      </w:tr>
      <w:tr>
        <w:trPr>
          <w:trHeight w:val="715" w:hRule="exact"/>
        </w:trPr>
        <w:tc>
          <w:tcPr>
            <w:tcW w:w="1685"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5" w:right="123"/>
              <w:jc w:val="left"/>
              <w:rPr>
                <w:rFonts w:ascii="宋体" w:hAnsi="宋体" w:cs="宋体" w:eastAsia="宋体" w:hint="default"/>
                <w:sz w:val="18"/>
                <w:szCs w:val="18"/>
              </w:rPr>
            </w:pPr>
            <w:r>
              <w:rPr>
                <w:rFonts w:ascii="宋体" w:hAnsi="宋体" w:cs="宋体" w:eastAsia="宋体" w:hint="default"/>
                <w:sz w:val="18"/>
                <w:szCs w:val="18"/>
              </w:rPr>
              <w:t>江苏凯斯奇能源科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3,073,668.26</w:t>
            </w:r>
          </w:p>
        </w:tc>
        <w:tc>
          <w:tcPr>
            <w:tcW w:w="1556"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3.77%</w:t>
            </w:r>
          </w:p>
        </w:tc>
        <w:tc>
          <w:tcPr>
            <w:tcW w:w="161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spacing w:val="-1"/>
                <w:sz w:val="18"/>
              </w:rPr>
              <w:t>768,935.05</w:t>
            </w:r>
          </w:p>
        </w:tc>
      </w:tr>
      <w:tr>
        <w:trPr>
          <w:trHeight w:val="413" w:hRule="exact"/>
        </w:trPr>
        <w:tc>
          <w:tcPr>
            <w:tcW w:w="168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sz w:val="18"/>
              </w:rPr>
              <w:t>--</w:t>
            </w:r>
          </w:p>
        </w:tc>
        <w:tc>
          <w:tcPr>
            <w:tcW w:w="15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48,902,517.81</w:t>
            </w:r>
          </w:p>
        </w:tc>
        <w:tc>
          <w:tcPr>
            <w:tcW w:w="1556" w:type="dxa"/>
            <w:tcBorders>
              <w:top w:val="single" w:sz="4" w:space="0" w:color="000000"/>
              <w:left w:val="single" w:sz="4" w:space="0" w:color="000000"/>
              <w:bottom w:val="single" w:sz="12"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sz w:val="18"/>
              </w:rPr>
              <w:t>--</w:t>
            </w:r>
          </w:p>
        </w:tc>
        <w:tc>
          <w:tcPr>
            <w:tcW w:w="16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70.97%</w:t>
            </w:r>
          </w:p>
        </w:tc>
        <w:tc>
          <w:tcPr>
            <w:tcW w:w="161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9"/>
              <w:jc w:val="right"/>
              <w:rPr>
                <w:rFonts w:ascii="宋体" w:hAnsi="宋体" w:cs="宋体" w:eastAsia="宋体" w:hint="default"/>
                <w:sz w:val="18"/>
                <w:szCs w:val="18"/>
              </w:rPr>
            </w:pPr>
            <w:r>
              <w:rPr>
                <w:rFonts w:ascii="宋体"/>
                <w:spacing w:val="-1"/>
                <w:sz w:val="18"/>
              </w:rPr>
              <w:t>1,643,932.49</w:t>
            </w:r>
          </w:p>
        </w:tc>
      </w:tr>
    </w:tbl>
    <w:p>
      <w:pPr>
        <w:pStyle w:val="Heading4"/>
        <w:spacing w:line="240" w:lineRule="auto" w:before="66"/>
        <w:ind w:right="1024"/>
        <w:jc w:val="left"/>
        <w:rPr>
          <w:b w:val="0"/>
          <w:bCs w:val="0"/>
        </w:rPr>
      </w:pPr>
      <w:bookmarkStart w:name="6）涉及政府补助的应收款项" w:id="501"/>
      <w:bookmarkEnd w:id="501"/>
      <w:r>
        <w:rPr>
          <w:b w:val="0"/>
          <w:bCs w:val="0"/>
        </w:rPr>
      </w:r>
      <w:r>
        <w:rPr>
          <w:rFonts w:ascii="宋体" w:hAnsi="宋体" w:cs="宋体" w:eastAsia="宋体" w:hint="default"/>
        </w:rPr>
        <w:t>6</w:t>
      </w:r>
      <w:r>
        <w:rPr/>
        <w:t>）涉及政府补助的应收款项</w:t>
      </w:r>
      <w:r>
        <w:rPr>
          <w:b w:val="0"/>
          <w:bCs w:val="0"/>
        </w:rPr>
      </w:r>
    </w:p>
    <w:p>
      <w:pPr>
        <w:spacing w:line="240" w:lineRule="auto" w:before="8"/>
        <w:rPr>
          <w:rFonts w:ascii="宋体" w:hAnsi="宋体" w:cs="宋体" w:eastAsia="宋体" w:hint="default"/>
          <w:b/>
          <w:bCs/>
          <w:sz w:val="14"/>
          <w:szCs w:val="14"/>
        </w:rPr>
      </w:pPr>
    </w:p>
    <w:p>
      <w:pPr>
        <w:spacing w:line="410" w:lineRule="auto" w:before="0"/>
        <w:ind w:left="153" w:right="6639"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7）因金融资产转移而终止确认的其他应收款" w:id="502"/>
      <w:bookmarkEnd w:id="502"/>
      <w:r>
        <w:rPr>
          <w:rFonts w:ascii="宋体" w:hAnsi="宋体" w:cs="宋体" w:eastAsia="宋体" w:hint="default"/>
          <w:spacing w:val="-101"/>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410" w:lineRule="auto" w:before="42"/>
        <w:ind w:left="153" w:right="4644"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8）转移其他应收款且继续涉入形成的资产、负债金额" w:id="503"/>
      <w:bookmarkEnd w:id="503"/>
      <w:r>
        <w:rPr>
          <w:rFonts w:ascii="宋体" w:hAnsi="宋体" w:cs="宋体" w:eastAsia="宋体" w:hint="default"/>
          <w:spacing w:val="-101"/>
          <w:sz w:val="21"/>
          <w:szCs w:val="21"/>
        </w:rPr>
      </w:r>
      <w:r>
        <w:rPr>
          <w:rFonts w:ascii="宋体" w:hAnsi="宋体" w:cs="宋体" w:eastAsia="宋体" w:hint="default"/>
          <w:b/>
          <w:bCs/>
          <w:spacing w:val="-1"/>
          <w:sz w:val="21"/>
          <w:szCs w:val="21"/>
        </w:rPr>
        <w:t>8</w:t>
      </w:r>
      <w:r>
        <w:rPr>
          <w:rFonts w:ascii="宋体" w:hAnsi="宋体" w:cs="宋体" w:eastAsia="宋体" w:hint="default"/>
          <w:b/>
          <w:bCs/>
          <w:spacing w:val="-1"/>
          <w:sz w:val="21"/>
          <w:szCs w:val="21"/>
        </w:rPr>
        <w:t>）转移其他应收款且继续涉入形成的资产、负债金额</w:t>
      </w:r>
      <w:r>
        <w:rPr>
          <w:rFonts w:ascii="宋体" w:hAnsi="宋体" w:cs="宋体" w:eastAsia="宋体" w:hint="default"/>
          <w:spacing w:val="-1"/>
          <w:sz w:val="21"/>
          <w:szCs w:val="21"/>
        </w:rPr>
      </w:r>
    </w:p>
    <w:p>
      <w:pPr>
        <w:pStyle w:val="BodyText"/>
        <w:spacing w:line="240" w:lineRule="auto" w:before="41"/>
        <w:ind w:right="1024"/>
        <w:jc w:val="left"/>
      </w:pPr>
      <w:r>
        <w:rPr/>
        <w:t>□ 适用 √</w:t>
      </w:r>
      <w:r>
        <w:rPr>
          <w:spacing w:val="4"/>
        </w:rPr>
        <w:t> </w:t>
      </w:r>
      <w:r>
        <w:rPr/>
        <w:t>不适用</w:t>
      </w:r>
    </w:p>
    <w:p>
      <w:pPr>
        <w:spacing w:after="0" w:line="240" w:lineRule="auto"/>
        <w:jc w:val="left"/>
        <w:sectPr>
          <w:pgSz w:w="11910" w:h="16840"/>
          <w:pgMar w:header="871" w:footer="1037" w:top="1040" w:bottom="1220" w:left="980" w:right="0"/>
        </w:sectPr>
      </w:pPr>
    </w:p>
    <w:p>
      <w:pPr>
        <w:spacing w:line="240" w:lineRule="auto" w:before="1"/>
        <w:rPr>
          <w:rFonts w:ascii="宋体" w:hAnsi="宋体" w:cs="宋体" w:eastAsia="宋体" w:hint="default"/>
          <w:sz w:val="26"/>
          <w:szCs w:val="26"/>
        </w:rPr>
      </w:pPr>
    </w:p>
    <w:p>
      <w:pPr>
        <w:pStyle w:val="Heading4"/>
        <w:spacing w:line="240" w:lineRule="auto"/>
        <w:ind w:left="433" w:right="0"/>
        <w:jc w:val="left"/>
        <w:rPr>
          <w:b w:val="0"/>
          <w:bCs w:val="0"/>
        </w:rPr>
      </w:pPr>
      <w:bookmarkStart w:name="3、长期股权投资" w:id="504"/>
      <w:bookmarkEnd w:id="504"/>
      <w:r>
        <w:rPr>
          <w:b w:val="0"/>
          <w:bCs w:val="0"/>
        </w:rPr>
      </w:r>
      <w:r>
        <w:rPr>
          <w:rFonts w:ascii="宋体" w:hAnsi="宋体" w:cs="宋体" w:eastAsia="宋体" w:hint="default"/>
        </w:rPr>
        <w:t>3</w:t>
      </w:r>
      <w:r>
        <w:rPr/>
        <w:t>、长期股权投资</w:t>
      </w:r>
      <w:r>
        <w:rPr>
          <w:b w:val="0"/>
          <w:bCs w:val="0"/>
        </w:rPr>
      </w:r>
    </w:p>
    <w:p>
      <w:pPr>
        <w:spacing w:line="240" w:lineRule="auto" w:before="4"/>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30" w:type="dxa"/>
        <w:tblLayout w:type="fixed"/>
        <w:tblCellMar>
          <w:top w:w="0" w:type="dxa"/>
          <w:left w:w="0" w:type="dxa"/>
          <w:bottom w:w="0" w:type="dxa"/>
          <w:right w:w="0" w:type="dxa"/>
        </w:tblCellMar>
        <w:tblLook w:val="01E0"/>
      </w:tblPr>
      <w:tblGrid>
        <w:gridCol w:w="1022"/>
        <w:gridCol w:w="1710"/>
        <w:gridCol w:w="1661"/>
        <w:gridCol w:w="1368"/>
        <w:gridCol w:w="1604"/>
        <w:gridCol w:w="1440"/>
        <w:gridCol w:w="1594"/>
      </w:tblGrid>
      <w:tr>
        <w:trPr>
          <w:trHeight w:val="413" w:hRule="exact"/>
        </w:trPr>
        <w:tc>
          <w:tcPr>
            <w:tcW w:w="1022"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12"/>
              <w:jc w:val="center"/>
              <w:rPr>
                <w:rFonts w:ascii="宋体" w:hAnsi="宋体" w:cs="宋体" w:eastAsia="宋体" w:hint="default"/>
                <w:sz w:val="15"/>
                <w:szCs w:val="15"/>
              </w:rPr>
            </w:pPr>
            <w:r>
              <w:rPr>
                <w:rFonts w:ascii="宋体" w:hAnsi="宋体" w:cs="宋体" w:eastAsia="宋体" w:hint="default"/>
                <w:sz w:val="15"/>
                <w:szCs w:val="15"/>
              </w:rPr>
              <w:t>项目</w:t>
            </w:r>
          </w:p>
        </w:tc>
        <w:tc>
          <w:tcPr>
            <w:tcW w:w="4740" w:type="dxa"/>
            <w:gridSpan w:val="3"/>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12"/>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639" w:type="dxa"/>
            <w:gridSpan w:val="3"/>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79"/>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403" w:hRule="exact"/>
        </w:trPr>
        <w:tc>
          <w:tcPr>
            <w:tcW w:w="1022" w:type="dxa"/>
            <w:vMerge/>
            <w:tcBorders>
              <w:left w:val="single" w:sz="12" w:space="0" w:color="000000"/>
              <w:bottom w:val="single" w:sz="4" w:space="0" w:color="000000"/>
              <w:right w:val="single" w:sz="4" w:space="0" w:color="000000"/>
            </w:tcBorders>
            <w:shd w:val="clear" w:color="auto" w:fill="D2D2D2"/>
          </w:tcPr>
          <w:p>
            <w:pP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547"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523"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3"/>
              <w:jc w:val="center"/>
              <w:rPr>
                <w:rFonts w:ascii="宋体" w:hAnsi="宋体" w:cs="宋体" w:eastAsia="宋体" w:hint="default"/>
                <w:sz w:val="15"/>
                <w:szCs w:val="15"/>
              </w:rPr>
            </w:pPr>
            <w:r>
              <w:rPr>
                <w:rFonts w:ascii="宋体" w:hAnsi="宋体" w:cs="宋体" w:eastAsia="宋体" w:hint="default"/>
                <w:sz w:val="15"/>
                <w:szCs w:val="15"/>
              </w:rPr>
              <w:t>账面价值</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494"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417"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594"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79"/>
              <w:ind w:left="489"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715" w:hRule="exact"/>
        </w:trPr>
        <w:tc>
          <w:tcPr>
            <w:tcW w:w="10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6" w:right="161"/>
              <w:jc w:val="left"/>
              <w:rPr>
                <w:rFonts w:ascii="宋体" w:hAnsi="宋体" w:cs="宋体" w:eastAsia="宋体" w:hint="default"/>
                <w:sz w:val="15"/>
                <w:szCs w:val="15"/>
              </w:rPr>
            </w:pPr>
            <w:r>
              <w:rPr>
                <w:rFonts w:ascii="宋体" w:hAnsi="宋体" w:cs="宋体" w:eastAsia="宋体" w:hint="default"/>
                <w:sz w:val="15"/>
                <w:szCs w:val="15"/>
              </w:rPr>
              <w:t>对子公司投</w:t>
            </w:r>
            <w:r>
              <w:rPr>
                <w:rFonts w:ascii="宋体" w:hAnsi="宋体" w:cs="宋体" w:eastAsia="宋体" w:hint="default"/>
                <w:w w:val="99"/>
                <w:sz w:val="15"/>
                <w:szCs w:val="15"/>
              </w:rPr>
              <w:t> </w:t>
            </w:r>
            <w:r>
              <w:rPr>
                <w:rFonts w:ascii="宋体" w:hAnsi="宋体" w:cs="宋体" w:eastAsia="宋体" w:hint="default"/>
                <w:sz w:val="15"/>
                <w:szCs w:val="15"/>
              </w:rPr>
              <w:t>资</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宋体"/>
                <w:w w:val="95"/>
                <w:sz w:val="15"/>
              </w:rPr>
              <w:t>916,924,399.55</w:t>
            </w:r>
            <w:r>
              <w:rPr>
                <w:rFonts w:ascii="宋体"/>
                <w:sz w:val="15"/>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94" w:right="0"/>
              <w:jc w:val="left"/>
              <w:rPr>
                <w:rFonts w:ascii="宋体" w:hAnsi="宋体" w:cs="宋体" w:eastAsia="宋体" w:hint="default"/>
                <w:sz w:val="15"/>
                <w:szCs w:val="15"/>
              </w:rPr>
            </w:pPr>
            <w:r>
              <w:rPr>
                <w:rFonts w:ascii="宋体"/>
                <w:sz w:val="15"/>
              </w:rPr>
              <w:t>252,935,368.53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6" w:right="0"/>
              <w:jc w:val="center"/>
              <w:rPr>
                <w:rFonts w:ascii="宋体" w:hAnsi="宋体" w:cs="宋体" w:eastAsia="宋体" w:hint="default"/>
                <w:sz w:val="15"/>
                <w:szCs w:val="15"/>
              </w:rPr>
            </w:pPr>
            <w:r>
              <w:rPr>
                <w:rFonts w:ascii="宋体"/>
                <w:sz w:val="15"/>
              </w:rPr>
              <w:t>663,989,031.02</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5"/>
                <w:szCs w:val="15"/>
              </w:rPr>
            </w:pPr>
            <w:r>
              <w:rPr>
                <w:rFonts w:ascii="宋体"/>
                <w:w w:val="95"/>
                <w:sz w:val="15"/>
              </w:rPr>
              <w:t>933,659,415.22</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5"/>
                <w:szCs w:val="15"/>
              </w:rPr>
            </w:pPr>
            <w:r>
              <w:rPr>
                <w:rFonts w:ascii="宋体"/>
                <w:w w:val="95"/>
                <w:sz w:val="15"/>
              </w:rPr>
              <w:t>264,636,565.55</w:t>
            </w:r>
            <w:r>
              <w:rPr>
                <w:rFonts w:ascii="宋体"/>
                <w:sz w:val="15"/>
              </w:rPr>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27" w:right="0"/>
              <w:jc w:val="left"/>
              <w:rPr>
                <w:rFonts w:ascii="宋体" w:hAnsi="宋体" w:cs="宋体" w:eastAsia="宋体" w:hint="default"/>
                <w:sz w:val="15"/>
                <w:szCs w:val="15"/>
              </w:rPr>
            </w:pPr>
            <w:r>
              <w:rPr>
                <w:rFonts w:ascii="宋体"/>
                <w:sz w:val="15"/>
              </w:rPr>
              <w:t>669,022,849.67</w:t>
            </w:r>
          </w:p>
        </w:tc>
      </w:tr>
      <w:tr>
        <w:trPr>
          <w:trHeight w:val="711" w:hRule="exact"/>
        </w:trPr>
        <w:tc>
          <w:tcPr>
            <w:tcW w:w="1022"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81" w:lineRule="auto" w:before="79"/>
              <w:ind w:left="96" w:right="161"/>
              <w:jc w:val="left"/>
              <w:rPr>
                <w:rFonts w:ascii="宋体" w:hAnsi="宋体" w:cs="宋体" w:eastAsia="宋体" w:hint="default"/>
                <w:sz w:val="15"/>
                <w:szCs w:val="15"/>
              </w:rPr>
            </w:pPr>
            <w:r>
              <w:rPr>
                <w:rFonts w:ascii="宋体" w:hAnsi="宋体" w:cs="宋体" w:eastAsia="宋体" w:hint="default"/>
                <w:sz w:val="15"/>
                <w:szCs w:val="15"/>
              </w:rPr>
              <w:t>对联营、合</w:t>
            </w:r>
            <w:r>
              <w:rPr>
                <w:rFonts w:ascii="宋体" w:hAnsi="宋体" w:cs="宋体" w:eastAsia="宋体" w:hint="default"/>
                <w:w w:val="99"/>
                <w:sz w:val="15"/>
                <w:szCs w:val="15"/>
              </w:rPr>
              <w:t> </w:t>
            </w:r>
            <w:r>
              <w:rPr>
                <w:rFonts w:ascii="宋体" w:hAnsi="宋体" w:cs="宋体" w:eastAsia="宋体" w:hint="default"/>
                <w:sz w:val="15"/>
                <w:szCs w:val="15"/>
              </w:rPr>
              <w:t>营企业投资</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3"/>
              <w:jc w:val="right"/>
              <w:rPr>
                <w:rFonts w:ascii="宋体" w:hAnsi="宋体" w:cs="宋体" w:eastAsia="宋体" w:hint="default"/>
                <w:sz w:val="15"/>
                <w:szCs w:val="15"/>
              </w:rPr>
            </w:pPr>
            <w:r>
              <w:rPr>
                <w:rFonts w:ascii="宋体"/>
                <w:w w:val="95"/>
                <w:sz w:val="15"/>
              </w:rPr>
              <w:t>145,097,187.01</w:t>
            </w:r>
            <w:r>
              <w:rPr>
                <w:rFonts w:ascii="宋体"/>
                <w:sz w:val="15"/>
              </w:rPr>
            </w:r>
          </w:p>
        </w:tc>
        <w:tc>
          <w:tcPr>
            <w:tcW w:w="166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6" w:right="0"/>
              <w:jc w:val="center"/>
              <w:rPr>
                <w:rFonts w:ascii="宋体" w:hAnsi="宋体" w:cs="宋体" w:eastAsia="宋体" w:hint="default"/>
                <w:sz w:val="15"/>
                <w:szCs w:val="15"/>
              </w:rPr>
            </w:pPr>
            <w:r>
              <w:rPr>
                <w:rFonts w:ascii="宋体"/>
                <w:sz w:val="15"/>
              </w:rPr>
              <w:t>145,097,187.01</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宋体" w:hAnsi="宋体" w:cs="宋体" w:eastAsia="宋体" w:hint="default"/>
                <w:sz w:val="15"/>
                <w:szCs w:val="15"/>
              </w:rPr>
            </w:pPr>
            <w:r>
              <w:rPr>
                <w:rFonts w:ascii="宋体"/>
                <w:w w:val="95"/>
                <w:sz w:val="15"/>
              </w:rPr>
              <w:t>136,441,172.68</w:t>
            </w:r>
            <w:r>
              <w:rPr>
                <w:rFonts w:ascii="宋体"/>
                <w:sz w:val="15"/>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27" w:right="0"/>
              <w:jc w:val="left"/>
              <w:rPr>
                <w:rFonts w:ascii="宋体" w:hAnsi="宋体" w:cs="宋体" w:eastAsia="宋体" w:hint="default"/>
                <w:sz w:val="15"/>
                <w:szCs w:val="15"/>
              </w:rPr>
            </w:pPr>
            <w:r>
              <w:rPr>
                <w:rFonts w:ascii="宋体"/>
                <w:sz w:val="15"/>
              </w:rPr>
              <w:t>136,441,172.68</w:t>
            </w:r>
          </w:p>
        </w:tc>
      </w:tr>
      <w:tr>
        <w:trPr>
          <w:trHeight w:val="413" w:hRule="exact"/>
        </w:trPr>
        <w:tc>
          <w:tcPr>
            <w:tcW w:w="1022"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79"/>
              <w:ind w:left="96"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7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103"/>
              <w:jc w:val="right"/>
              <w:rPr>
                <w:rFonts w:ascii="宋体" w:hAnsi="宋体" w:cs="宋体" w:eastAsia="宋体" w:hint="default"/>
                <w:sz w:val="15"/>
                <w:szCs w:val="15"/>
              </w:rPr>
            </w:pPr>
            <w:r>
              <w:rPr>
                <w:rFonts w:ascii="宋体"/>
                <w:w w:val="95"/>
                <w:sz w:val="15"/>
              </w:rPr>
              <w:t>1,062,021,586.56</w:t>
            </w:r>
            <w:r>
              <w:rPr>
                <w:rFonts w:ascii="宋体"/>
                <w:sz w:val="15"/>
              </w:rPr>
            </w: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494" w:right="0"/>
              <w:jc w:val="left"/>
              <w:rPr>
                <w:rFonts w:ascii="宋体" w:hAnsi="宋体" w:cs="宋体" w:eastAsia="宋体" w:hint="default"/>
                <w:sz w:val="15"/>
                <w:szCs w:val="15"/>
              </w:rPr>
            </w:pPr>
            <w:r>
              <w:rPr>
                <w:rFonts w:ascii="宋体"/>
                <w:sz w:val="15"/>
              </w:rPr>
              <w:t>252,935,368.53</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left="106" w:right="0"/>
              <w:jc w:val="center"/>
              <w:rPr>
                <w:rFonts w:ascii="宋体" w:hAnsi="宋体" w:cs="宋体" w:eastAsia="宋体" w:hint="default"/>
                <w:sz w:val="15"/>
                <w:szCs w:val="15"/>
              </w:rPr>
            </w:pPr>
            <w:r>
              <w:rPr>
                <w:rFonts w:ascii="宋体"/>
                <w:sz w:val="15"/>
              </w:rPr>
              <w:t>809,086,218.03</w:t>
            </w:r>
          </w:p>
        </w:tc>
        <w:tc>
          <w:tcPr>
            <w:tcW w:w="16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100"/>
              <w:jc w:val="right"/>
              <w:rPr>
                <w:rFonts w:ascii="宋体" w:hAnsi="宋体" w:cs="宋体" w:eastAsia="宋体" w:hint="default"/>
                <w:sz w:val="15"/>
                <w:szCs w:val="15"/>
              </w:rPr>
            </w:pPr>
            <w:r>
              <w:rPr>
                <w:rFonts w:ascii="宋体"/>
                <w:w w:val="95"/>
                <w:sz w:val="15"/>
              </w:rPr>
              <w:t>1,070,100,587.90</w:t>
            </w:r>
            <w:r>
              <w:rPr>
                <w:rFonts w:ascii="宋体"/>
                <w:sz w:val="15"/>
              </w:rPr>
            </w:r>
          </w:p>
        </w:tc>
        <w:tc>
          <w:tcPr>
            <w:tcW w:w="14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9"/>
              <w:ind w:right="98"/>
              <w:jc w:val="right"/>
              <w:rPr>
                <w:rFonts w:ascii="宋体" w:hAnsi="宋体" w:cs="宋体" w:eastAsia="宋体" w:hint="default"/>
                <w:sz w:val="15"/>
                <w:szCs w:val="15"/>
              </w:rPr>
            </w:pPr>
            <w:r>
              <w:rPr>
                <w:rFonts w:ascii="宋体"/>
                <w:w w:val="95"/>
                <w:sz w:val="15"/>
              </w:rPr>
              <w:t>264,636,565.55</w:t>
            </w:r>
            <w:r>
              <w:rPr>
                <w:rFonts w:ascii="宋体"/>
                <w:sz w:val="15"/>
              </w:rPr>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9"/>
              <w:ind w:left="427" w:right="0"/>
              <w:jc w:val="left"/>
              <w:rPr>
                <w:rFonts w:ascii="宋体" w:hAnsi="宋体" w:cs="宋体" w:eastAsia="宋体" w:hint="default"/>
                <w:sz w:val="15"/>
                <w:szCs w:val="15"/>
              </w:rPr>
            </w:pPr>
            <w:r>
              <w:rPr>
                <w:rFonts w:ascii="宋体"/>
                <w:sz w:val="15"/>
              </w:rPr>
              <w:t>805,464,022.35</w:t>
            </w:r>
          </w:p>
        </w:tc>
      </w:tr>
    </w:tbl>
    <w:p>
      <w:pPr>
        <w:spacing w:line="240" w:lineRule="auto" w:before="3"/>
        <w:rPr>
          <w:rFonts w:ascii="宋体" w:hAnsi="宋体" w:cs="宋体" w:eastAsia="宋体" w:hint="default"/>
          <w:sz w:val="19"/>
          <w:szCs w:val="19"/>
        </w:rPr>
      </w:pPr>
    </w:p>
    <w:p>
      <w:pPr>
        <w:pStyle w:val="Heading4"/>
        <w:spacing w:line="240" w:lineRule="auto"/>
        <w:ind w:left="433" w:right="0"/>
        <w:jc w:val="left"/>
        <w:rPr>
          <w:b w:val="0"/>
          <w:bCs w:val="0"/>
        </w:rPr>
      </w:pPr>
      <w:bookmarkStart w:name="（1）对子公司投资" w:id="505"/>
      <w:bookmarkEnd w:id="505"/>
      <w:r>
        <w:rPr>
          <w:b w:val="0"/>
          <w:bCs w:val="0"/>
        </w:rPr>
      </w:r>
      <w:r>
        <w:rPr/>
        <w:t>（</w:t>
      </w:r>
      <w:r>
        <w:rPr>
          <w:rFonts w:ascii="宋体" w:hAnsi="宋体" w:cs="宋体" w:eastAsia="宋体" w:hint="default"/>
        </w:rPr>
        <w:t>1</w:t>
      </w:r>
      <w:r>
        <w:rPr/>
        <w:t>）对子公司投资</w:t>
      </w:r>
      <w:r>
        <w:rPr>
          <w:b w:val="0"/>
          <w:bCs w:val="0"/>
        </w:rPr>
      </w:r>
    </w:p>
    <w:p>
      <w:pPr>
        <w:spacing w:line="240" w:lineRule="auto" w:before="1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1335"/>
        <w:gridCol w:w="1416"/>
        <w:gridCol w:w="1465"/>
        <w:gridCol w:w="869"/>
        <w:gridCol w:w="917"/>
        <w:gridCol w:w="1460"/>
        <w:gridCol w:w="1512"/>
        <w:gridCol w:w="1695"/>
      </w:tblGrid>
      <w:tr>
        <w:trPr>
          <w:trHeight w:val="413" w:hRule="exact"/>
        </w:trPr>
        <w:tc>
          <w:tcPr>
            <w:tcW w:w="1335"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6"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480" w:right="108" w:hanging="360"/>
              <w:jc w:val="left"/>
              <w:rPr>
                <w:rFonts w:ascii="宋体" w:hAnsi="宋体" w:cs="宋体" w:eastAsia="宋体"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2"/>
                <w:sz w:val="18"/>
                <w:szCs w:val="18"/>
              </w:rPr>
              <w:t>(</w:t>
            </w:r>
            <w:r>
              <w:rPr>
                <w:rFonts w:ascii="宋体" w:hAnsi="宋体" w:cs="宋体" w:eastAsia="宋体" w:hint="default"/>
                <w:spacing w:val="-2"/>
                <w:sz w:val="18"/>
                <w:szCs w:val="18"/>
              </w:rPr>
              <w:t>账面</w:t>
            </w:r>
            <w:r>
              <w:rPr>
                <w:rFonts w:ascii="宋体" w:hAnsi="宋体" w:cs="宋体" w:eastAsia="宋体" w:hint="default"/>
                <w:spacing w:val="-72"/>
                <w:sz w:val="18"/>
                <w:szCs w:val="18"/>
              </w:rPr>
              <w:t> </w:t>
            </w:r>
            <w:r>
              <w:rPr>
                <w:rFonts w:ascii="宋体" w:hAnsi="宋体" w:cs="宋体" w:eastAsia="宋体" w:hint="default"/>
                <w:sz w:val="18"/>
                <w:szCs w:val="18"/>
              </w:rPr>
              <w:t>价值</w:t>
            </w:r>
            <w:r>
              <w:rPr>
                <w:rFonts w:ascii="宋体" w:hAnsi="宋体" w:cs="宋体" w:eastAsia="宋体" w:hint="default"/>
                <w:sz w:val="18"/>
                <w:szCs w:val="18"/>
              </w:rPr>
              <w:t>)</w:t>
            </w:r>
          </w:p>
        </w:tc>
        <w:tc>
          <w:tcPr>
            <w:tcW w:w="4711" w:type="dxa"/>
            <w:gridSpan w:val="4"/>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12"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523" w:right="161" w:hanging="360"/>
              <w:jc w:val="left"/>
              <w:rPr>
                <w:rFonts w:ascii="宋体" w:hAnsi="宋体" w:cs="宋体" w:eastAsia="宋体"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2"/>
                <w:sz w:val="18"/>
                <w:szCs w:val="18"/>
              </w:rPr>
              <w:t>(</w:t>
            </w:r>
            <w:r>
              <w:rPr>
                <w:rFonts w:ascii="宋体" w:hAnsi="宋体" w:cs="宋体" w:eastAsia="宋体" w:hint="default"/>
                <w:spacing w:val="-2"/>
                <w:sz w:val="18"/>
                <w:szCs w:val="18"/>
              </w:rPr>
              <w:t>账面</w:t>
            </w:r>
            <w:r>
              <w:rPr>
                <w:rFonts w:ascii="宋体" w:hAnsi="宋体" w:cs="宋体" w:eastAsia="宋体" w:hint="default"/>
                <w:spacing w:val="-72"/>
                <w:sz w:val="18"/>
                <w:szCs w:val="18"/>
              </w:rPr>
              <w:t> </w:t>
            </w:r>
            <w:r>
              <w:rPr>
                <w:rFonts w:ascii="宋体" w:hAnsi="宋体" w:cs="宋体" w:eastAsia="宋体" w:hint="default"/>
                <w:sz w:val="18"/>
                <w:szCs w:val="18"/>
              </w:rPr>
              <w:t>价值</w:t>
            </w:r>
            <w:r>
              <w:rPr>
                <w:rFonts w:ascii="宋体" w:hAnsi="宋体" w:cs="宋体" w:eastAsia="宋体" w:hint="default"/>
                <w:sz w:val="18"/>
                <w:szCs w:val="18"/>
              </w:rPr>
              <w:t>)</w:t>
            </w:r>
          </w:p>
        </w:tc>
        <w:tc>
          <w:tcPr>
            <w:tcW w:w="1695"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715" w:hRule="exact"/>
        </w:trPr>
        <w:tc>
          <w:tcPr>
            <w:tcW w:w="1335" w:type="dxa"/>
            <w:vMerge/>
            <w:tcBorders>
              <w:left w:val="single" w:sz="12"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0" w:right="151" w:hanging="178"/>
              <w:jc w:val="left"/>
              <w:rPr>
                <w:rFonts w:ascii="宋体" w:hAnsi="宋体" w:cs="宋体" w:eastAsia="宋体" w:hint="default"/>
                <w:sz w:val="18"/>
                <w:szCs w:val="18"/>
              </w:rPr>
            </w:pPr>
            <w:r>
              <w:rPr>
                <w:rFonts w:ascii="宋体" w:hAnsi="宋体" w:cs="宋体" w:eastAsia="宋体" w:hint="default"/>
                <w:sz w:val="18"/>
                <w:szCs w:val="18"/>
              </w:rPr>
              <w:t>减少投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180"/>
              <w:jc w:val="left"/>
              <w:rPr>
                <w:rFonts w:ascii="宋体" w:hAnsi="宋体" w:cs="宋体" w:eastAsia="宋体" w:hint="default"/>
                <w:sz w:val="18"/>
                <w:szCs w:val="18"/>
              </w:rPr>
            </w:pPr>
            <w:r>
              <w:rPr>
                <w:rFonts w:ascii="宋体" w:hAnsi="宋体" w:cs="宋体" w:eastAsia="宋体" w:hint="default"/>
                <w:sz w:val="18"/>
                <w:szCs w:val="18"/>
              </w:rPr>
              <w:t>计提减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12" w:type="dxa"/>
            <w:vMerge/>
            <w:tcBorders>
              <w:left w:val="single" w:sz="4" w:space="0" w:color="000000"/>
              <w:bottom w:val="single" w:sz="4" w:space="0" w:color="000000"/>
              <w:right w:val="single" w:sz="4" w:space="0" w:color="000000"/>
            </w:tcBorders>
            <w:shd w:val="clear" w:color="auto" w:fill="D2D2D2"/>
          </w:tcPr>
          <w:p>
            <w:pPr/>
          </w:p>
        </w:tc>
        <w:tc>
          <w:tcPr>
            <w:tcW w:w="1695" w:type="dxa"/>
            <w:vMerge/>
            <w:tcBorders>
              <w:left w:val="single" w:sz="4" w:space="0" w:color="000000"/>
              <w:bottom w:val="single" w:sz="4" w:space="0" w:color="000000"/>
              <w:right w:val="single" w:sz="12" w:space="0" w:color="000000"/>
            </w:tcBorders>
            <w:shd w:val="clear" w:color="auto" w:fill="D2D2D2"/>
          </w:tcPr>
          <w:p>
            <w:pPr/>
          </w:p>
        </w:tc>
      </w:tr>
      <w:tr>
        <w:trPr>
          <w:trHeight w:val="711" w:hRule="exact"/>
        </w:trPr>
        <w:tc>
          <w:tcPr>
            <w:tcW w:w="1335"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4"/>
              <w:ind w:left="91" w:right="137"/>
              <w:jc w:val="left"/>
              <w:rPr>
                <w:rFonts w:ascii="宋体" w:hAnsi="宋体" w:cs="宋体" w:eastAsia="宋体" w:hint="default"/>
                <w:sz w:val="18"/>
                <w:szCs w:val="18"/>
              </w:rPr>
            </w:pPr>
            <w:r>
              <w:rPr>
                <w:rFonts w:ascii="宋体" w:hAnsi="宋体" w:cs="宋体" w:eastAsia="宋体" w:hint="default"/>
                <w:sz w:val="18"/>
                <w:szCs w:val="18"/>
              </w:rPr>
              <w:t>江苏苏源光一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29,945,729.39</w:t>
            </w:r>
          </w:p>
        </w:tc>
        <w:tc>
          <w:tcPr>
            <w:tcW w:w="146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29,945,729.39</w:t>
            </w:r>
          </w:p>
        </w:tc>
        <w:tc>
          <w:tcPr>
            <w:tcW w:w="1695"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1335" w:type="dxa"/>
            <w:tcBorders>
              <w:top w:val="single" w:sz="4" w:space="0" w:color="000000"/>
              <w:left w:val="single" w:sz="12" w:space="0" w:color="000000"/>
              <w:bottom w:val="single" w:sz="4" w:space="0" w:color="000000"/>
              <w:right w:val="single" w:sz="4" w:space="0" w:color="000000"/>
            </w:tcBorders>
          </w:tcPr>
          <w:p>
            <w:pPr>
              <w:pStyle w:val="TableParagraph"/>
              <w:spacing w:line="321" w:lineRule="auto" w:before="53"/>
              <w:ind w:left="91" w:right="137"/>
              <w:jc w:val="left"/>
              <w:rPr>
                <w:rFonts w:ascii="宋体" w:hAnsi="宋体" w:cs="宋体" w:eastAsia="宋体" w:hint="default"/>
                <w:sz w:val="18"/>
                <w:szCs w:val="18"/>
              </w:rPr>
            </w:pPr>
            <w:r>
              <w:rPr>
                <w:rFonts w:ascii="宋体" w:hAnsi="宋体" w:cs="宋体" w:eastAsia="宋体" w:hint="default"/>
                <w:sz w:val="18"/>
                <w:szCs w:val="18"/>
              </w:rPr>
              <w:t>湖北索瑞电气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610,781,001.5</w:t>
            </w:r>
          </w:p>
          <w:p>
            <w:pPr>
              <w:pStyle w:val="TableParagraph"/>
              <w:spacing w:line="240" w:lineRule="auto" w:before="81"/>
              <w:ind w:right="98"/>
              <w:jc w:val="right"/>
              <w:rPr>
                <w:rFonts w:ascii="宋体" w:hAnsi="宋体" w:cs="宋体" w:eastAsia="宋体" w:hint="default"/>
                <w:sz w:val="18"/>
                <w:szCs w:val="18"/>
              </w:rPr>
            </w:pPr>
            <w:r>
              <w:rPr>
                <w:rFonts w:ascii="宋体"/>
                <w:w w:val="101"/>
                <w:sz w:val="18"/>
              </w:rPr>
              <w:t>6</w:t>
            </w:r>
            <w:r>
              <w:rPr>
                <w:rFonts w:ascii="宋体"/>
                <w:sz w:val="18"/>
              </w:rPr>
            </w:r>
          </w:p>
        </w:tc>
        <w:tc>
          <w:tcPr>
            <w:tcW w:w="146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2"/>
                <w:sz w:val="18"/>
              </w:rPr>
              <w:t>610,781,001.56</w:t>
            </w:r>
          </w:p>
        </w:tc>
        <w:tc>
          <w:tcPr>
            <w:tcW w:w="16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spacing w:val="-2"/>
                <w:sz w:val="18"/>
              </w:rPr>
              <w:t>244,155,158.80</w:t>
            </w:r>
          </w:p>
        </w:tc>
      </w:tr>
      <w:tr>
        <w:trPr>
          <w:trHeight w:val="1028" w:hRule="exact"/>
        </w:trPr>
        <w:tc>
          <w:tcPr>
            <w:tcW w:w="1335"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1" w:right="137"/>
              <w:jc w:val="both"/>
              <w:rPr>
                <w:rFonts w:ascii="宋体" w:hAnsi="宋体" w:cs="宋体" w:eastAsia="宋体" w:hint="default"/>
                <w:sz w:val="18"/>
                <w:szCs w:val="18"/>
              </w:rPr>
            </w:pPr>
            <w:r>
              <w:rPr>
                <w:rFonts w:ascii="宋体" w:hAnsi="宋体" w:cs="宋体" w:eastAsia="宋体" w:hint="default"/>
                <w:sz w:val="18"/>
                <w:szCs w:val="18"/>
              </w:rPr>
              <w:t>南京云商天下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4"/>
              <w:jc w:val="right"/>
              <w:rPr>
                <w:rFonts w:ascii="宋体" w:hAnsi="宋体" w:cs="宋体" w:eastAsia="宋体" w:hint="default"/>
                <w:sz w:val="18"/>
                <w:szCs w:val="18"/>
              </w:rPr>
            </w:pPr>
            <w:r>
              <w:rPr>
                <w:rFonts w:ascii="宋体"/>
                <w:spacing w:val="-1"/>
                <w:sz w:val="18"/>
              </w:rPr>
              <w:t>7,714,436.05</w:t>
            </w:r>
          </w:p>
        </w:tc>
        <w:tc>
          <w:tcPr>
            <w:tcW w:w="146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7,714,436.05</w:t>
            </w:r>
          </w:p>
        </w:tc>
        <w:tc>
          <w:tcPr>
            <w:tcW w:w="16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89"/>
              <w:jc w:val="right"/>
              <w:rPr>
                <w:rFonts w:ascii="宋体" w:hAnsi="宋体" w:cs="宋体" w:eastAsia="宋体" w:hint="default"/>
                <w:sz w:val="18"/>
                <w:szCs w:val="18"/>
              </w:rPr>
            </w:pPr>
            <w:r>
              <w:rPr>
                <w:rFonts w:ascii="宋体"/>
                <w:spacing w:val="-1"/>
                <w:sz w:val="18"/>
              </w:rPr>
              <w:t>3,828,073.75</w:t>
            </w:r>
          </w:p>
        </w:tc>
      </w:tr>
      <w:tr>
        <w:trPr>
          <w:trHeight w:val="1028" w:hRule="exact"/>
        </w:trPr>
        <w:tc>
          <w:tcPr>
            <w:tcW w:w="1335"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1" w:right="137"/>
              <w:jc w:val="both"/>
              <w:rPr>
                <w:rFonts w:ascii="宋体" w:hAnsi="宋体" w:cs="宋体" w:eastAsia="宋体" w:hint="default"/>
                <w:sz w:val="18"/>
                <w:szCs w:val="18"/>
              </w:rPr>
            </w:pPr>
            <w:r>
              <w:rPr>
                <w:rFonts w:ascii="宋体" w:hAnsi="宋体" w:cs="宋体" w:eastAsia="宋体" w:hint="default"/>
                <w:sz w:val="18"/>
                <w:szCs w:val="18"/>
              </w:rPr>
              <w:t>南京智友尚云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信息技术有限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4"/>
              <w:jc w:val="right"/>
              <w:rPr>
                <w:rFonts w:ascii="宋体" w:hAnsi="宋体" w:cs="宋体" w:eastAsia="宋体" w:hint="default"/>
                <w:sz w:val="18"/>
                <w:szCs w:val="18"/>
              </w:rPr>
            </w:pPr>
            <w:r>
              <w:rPr>
                <w:rFonts w:ascii="宋体"/>
                <w:spacing w:val="-1"/>
                <w:sz w:val="18"/>
              </w:rPr>
              <w:t>3,000,000.00</w:t>
            </w:r>
          </w:p>
        </w:tc>
        <w:tc>
          <w:tcPr>
            <w:tcW w:w="146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3,000,000.00</w:t>
            </w:r>
          </w:p>
        </w:tc>
        <w:tc>
          <w:tcPr>
            <w:tcW w:w="1695" w:type="dxa"/>
            <w:tcBorders>
              <w:top w:val="single" w:sz="4" w:space="0" w:color="000000"/>
              <w:left w:val="single" w:sz="4" w:space="0" w:color="000000"/>
              <w:bottom w:val="single" w:sz="4" w:space="0" w:color="000000"/>
              <w:right w:val="single" w:sz="12" w:space="0" w:color="000000"/>
            </w:tcBorders>
          </w:tcPr>
          <w:p>
            <w:pPr/>
          </w:p>
        </w:tc>
      </w:tr>
      <w:tr>
        <w:trPr>
          <w:trHeight w:val="1022" w:hRule="exact"/>
        </w:trPr>
        <w:tc>
          <w:tcPr>
            <w:tcW w:w="1335"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1" w:right="137"/>
              <w:jc w:val="both"/>
              <w:rPr>
                <w:rFonts w:ascii="宋体" w:hAnsi="宋体" w:cs="宋体" w:eastAsia="宋体" w:hint="default"/>
                <w:sz w:val="18"/>
                <w:szCs w:val="18"/>
              </w:rPr>
            </w:pPr>
            <w:r>
              <w:rPr>
                <w:rFonts w:ascii="宋体" w:hAnsi="宋体" w:cs="宋体" w:eastAsia="宋体" w:hint="default"/>
                <w:sz w:val="18"/>
                <w:szCs w:val="18"/>
              </w:rPr>
              <w:t>江苏光一贵仁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股权投资基金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4"/>
              <w:jc w:val="right"/>
              <w:rPr>
                <w:rFonts w:ascii="宋体" w:hAnsi="宋体" w:cs="宋体" w:eastAsia="宋体" w:hint="default"/>
                <w:sz w:val="18"/>
                <w:szCs w:val="18"/>
              </w:rPr>
            </w:pPr>
            <w:r>
              <w:rPr>
                <w:rFonts w:ascii="宋体"/>
                <w:spacing w:val="-1"/>
                <w:sz w:val="18"/>
              </w:rPr>
              <w:t>4,000,000.00</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73" w:right="0"/>
              <w:jc w:val="left"/>
              <w:rPr>
                <w:rFonts w:ascii="宋体" w:hAnsi="宋体" w:cs="宋体" w:eastAsia="宋体" w:hint="default"/>
                <w:sz w:val="18"/>
                <w:szCs w:val="18"/>
              </w:rPr>
            </w:pPr>
            <w:r>
              <w:rPr>
                <w:rFonts w:ascii="宋体"/>
                <w:sz w:val="18"/>
              </w:rPr>
              <w:t>1,500,000.00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5,500,000.00</w:t>
            </w:r>
          </w:p>
        </w:tc>
        <w:tc>
          <w:tcPr>
            <w:tcW w:w="1695" w:type="dxa"/>
            <w:tcBorders>
              <w:top w:val="single" w:sz="4" w:space="0" w:color="000000"/>
              <w:left w:val="single" w:sz="4" w:space="0" w:color="000000"/>
              <w:bottom w:val="single" w:sz="4" w:space="0" w:color="000000"/>
              <w:right w:val="single" w:sz="12" w:space="0" w:color="000000"/>
            </w:tcBorders>
          </w:tcPr>
          <w:p>
            <w:pPr/>
          </w:p>
        </w:tc>
      </w:tr>
      <w:tr>
        <w:trPr>
          <w:trHeight w:val="1028" w:hRule="exact"/>
        </w:trPr>
        <w:tc>
          <w:tcPr>
            <w:tcW w:w="1335" w:type="dxa"/>
            <w:tcBorders>
              <w:top w:val="single" w:sz="4" w:space="0" w:color="000000"/>
              <w:left w:val="single" w:sz="12" w:space="0" w:color="000000"/>
              <w:bottom w:val="single" w:sz="4" w:space="0" w:color="000000"/>
              <w:right w:val="single" w:sz="4" w:space="0" w:color="000000"/>
            </w:tcBorders>
          </w:tcPr>
          <w:p>
            <w:pPr>
              <w:pStyle w:val="TableParagraph"/>
              <w:spacing w:line="321" w:lineRule="auto" w:before="53"/>
              <w:ind w:left="91" w:right="137"/>
              <w:jc w:val="both"/>
              <w:rPr>
                <w:rFonts w:ascii="宋体" w:hAnsi="宋体" w:cs="宋体" w:eastAsia="宋体" w:hint="default"/>
                <w:sz w:val="18"/>
                <w:szCs w:val="18"/>
              </w:rPr>
            </w:pPr>
            <w:r>
              <w:rPr>
                <w:rFonts w:ascii="宋体" w:hAnsi="宋体" w:cs="宋体" w:eastAsia="宋体" w:hint="default"/>
                <w:sz w:val="18"/>
                <w:szCs w:val="18"/>
              </w:rPr>
              <w:t>江苏光一德能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电气工程有限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4"/>
              <w:jc w:val="right"/>
              <w:rPr>
                <w:rFonts w:ascii="宋体" w:hAnsi="宋体" w:cs="宋体" w:eastAsia="宋体" w:hint="default"/>
                <w:sz w:val="18"/>
                <w:szCs w:val="18"/>
              </w:rPr>
            </w:pPr>
            <w:r>
              <w:rPr>
                <w:rFonts w:ascii="宋体"/>
                <w:spacing w:val="-1"/>
                <w:sz w:val="18"/>
              </w:rPr>
              <w:t>7,047,864.02</w:t>
            </w:r>
          </w:p>
        </w:tc>
        <w:tc>
          <w:tcPr>
            <w:tcW w:w="146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81" w:right="0"/>
              <w:jc w:val="center"/>
              <w:rPr>
                <w:rFonts w:ascii="宋体" w:hAnsi="宋体" w:cs="宋体" w:eastAsia="宋体" w:hint="default"/>
                <w:sz w:val="18"/>
                <w:szCs w:val="18"/>
              </w:rPr>
            </w:pPr>
            <w:r>
              <w:rPr>
                <w:rFonts w:ascii="宋体"/>
                <w:sz w:val="18"/>
              </w:rPr>
              <w:t>11,701,197.02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7,047,864.02</w:t>
            </w:r>
          </w:p>
        </w:tc>
        <w:tc>
          <w:tcPr>
            <w:tcW w:w="16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89"/>
              <w:jc w:val="right"/>
              <w:rPr>
                <w:rFonts w:ascii="宋体" w:hAnsi="宋体" w:cs="宋体" w:eastAsia="宋体" w:hint="default"/>
                <w:sz w:val="18"/>
                <w:szCs w:val="18"/>
              </w:rPr>
            </w:pPr>
            <w:r>
              <w:rPr>
                <w:rFonts w:ascii="宋体"/>
                <w:spacing w:val="-1"/>
                <w:sz w:val="18"/>
              </w:rPr>
              <w:t>4,952,135.98</w:t>
            </w:r>
          </w:p>
        </w:tc>
      </w:tr>
      <w:tr>
        <w:trPr>
          <w:trHeight w:val="1027" w:hRule="exact"/>
        </w:trPr>
        <w:tc>
          <w:tcPr>
            <w:tcW w:w="1335"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3"/>
              <w:ind w:left="91" w:right="137"/>
              <w:jc w:val="both"/>
              <w:rPr>
                <w:rFonts w:ascii="宋体" w:hAnsi="宋体" w:cs="宋体" w:eastAsia="宋体" w:hint="default"/>
                <w:sz w:val="18"/>
                <w:szCs w:val="18"/>
              </w:rPr>
            </w:pPr>
            <w:r>
              <w:rPr>
                <w:rFonts w:ascii="宋体" w:hAnsi="宋体" w:cs="宋体" w:eastAsia="宋体" w:hint="default"/>
                <w:sz w:val="18"/>
                <w:szCs w:val="18"/>
              </w:rPr>
              <w:t>江苏德能电力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设计咨询有限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4"/>
              <w:jc w:val="right"/>
              <w:rPr>
                <w:rFonts w:ascii="宋体" w:hAnsi="宋体" w:cs="宋体" w:eastAsia="宋体" w:hint="default"/>
                <w:sz w:val="18"/>
                <w:szCs w:val="18"/>
              </w:rPr>
            </w:pPr>
            <w:r>
              <w:rPr>
                <w:rFonts w:ascii="宋体"/>
                <w:spacing w:val="-1"/>
                <w:sz w:val="18"/>
              </w:rPr>
              <w:t>5,862,818.65</w:t>
            </w:r>
          </w:p>
        </w:tc>
        <w:tc>
          <w:tcPr>
            <w:tcW w:w="146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3" w:right="0"/>
              <w:jc w:val="center"/>
              <w:rPr>
                <w:rFonts w:ascii="宋体" w:hAnsi="宋体" w:cs="宋体" w:eastAsia="宋体" w:hint="default"/>
                <w:sz w:val="18"/>
                <w:szCs w:val="18"/>
              </w:rPr>
            </w:pPr>
            <w:r>
              <w:rPr>
                <w:rFonts w:ascii="宋体"/>
                <w:sz w:val="18"/>
              </w:rPr>
              <w:t>5,862,8</w:t>
            </w:r>
          </w:p>
          <w:p>
            <w:pPr>
              <w:pStyle w:val="TableParagraph"/>
              <w:spacing w:line="240" w:lineRule="auto" w:before="76"/>
              <w:ind w:left="210" w:right="0"/>
              <w:jc w:val="center"/>
              <w:rPr>
                <w:rFonts w:ascii="宋体" w:hAnsi="宋体" w:cs="宋体" w:eastAsia="宋体" w:hint="default"/>
                <w:sz w:val="18"/>
                <w:szCs w:val="18"/>
              </w:rPr>
            </w:pPr>
            <w:r>
              <w:rPr>
                <w:rFonts w:ascii="宋体"/>
                <w:sz w:val="18"/>
              </w:rPr>
              <w:t>18.65</w:t>
            </w:r>
          </w:p>
        </w:tc>
        <w:tc>
          <w:tcPr>
            <w:tcW w:w="917"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12" w:space="0" w:color="000000"/>
            </w:tcBorders>
          </w:tcPr>
          <w:p>
            <w:pPr/>
          </w:p>
        </w:tc>
      </w:tr>
      <w:tr>
        <w:trPr>
          <w:trHeight w:val="1037" w:hRule="exact"/>
        </w:trPr>
        <w:tc>
          <w:tcPr>
            <w:tcW w:w="1335" w:type="dxa"/>
            <w:tcBorders>
              <w:top w:val="single" w:sz="4" w:space="0" w:color="000000"/>
              <w:left w:val="single" w:sz="12" w:space="0" w:color="000000"/>
              <w:bottom w:val="single" w:sz="12" w:space="0" w:color="000000"/>
              <w:right w:val="single" w:sz="4" w:space="0" w:color="000000"/>
            </w:tcBorders>
          </w:tcPr>
          <w:p>
            <w:pPr>
              <w:pStyle w:val="TableParagraph"/>
              <w:spacing w:line="316" w:lineRule="auto" w:before="54"/>
              <w:ind w:left="91" w:right="137"/>
              <w:jc w:val="both"/>
              <w:rPr>
                <w:rFonts w:ascii="宋体" w:hAnsi="宋体" w:cs="宋体" w:eastAsia="宋体" w:hint="default"/>
                <w:sz w:val="18"/>
                <w:szCs w:val="18"/>
              </w:rPr>
            </w:pPr>
            <w:r>
              <w:rPr>
                <w:rFonts w:ascii="宋体" w:hAnsi="宋体" w:cs="宋体" w:eastAsia="宋体" w:hint="default"/>
                <w:sz w:val="18"/>
                <w:szCs w:val="18"/>
              </w:rPr>
              <w:t>光一数道（北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京）科技有限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94"/>
              <w:jc w:val="right"/>
              <w:rPr>
                <w:rFonts w:ascii="宋体" w:hAnsi="宋体" w:cs="宋体" w:eastAsia="宋体" w:hint="default"/>
                <w:sz w:val="18"/>
                <w:szCs w:val="18"/>
              </w:rPr>
            </w:pPr>
            <w:r>
              <w:rPr>
                <w:rFonts w:ascii="宋体"/>
                <w:spacing w:val="-1"/>
                <w:sz w:val="18"/>
              </w:rPr>
              <w:t>671,000.00</w:t>
            </w:r>
          </w:p>
        </w:tc>
        <w:tc>
          <w:tcPr>
            <w:tcW w:w="1465" w:type="dxa"/>
            <w:tcBorders>
              <w:top w:val="single" w:sz="4" w:space="0" w:color="000000"/>
              <w:left w:val="single" w:sz="4" w:space="0" w:color="000000"/>
              <w:bottom w:val="single" w:sz="12" w:space="0" w:color="000000"/>
              <w:right w:val="single" w:sz="4" w:space="0" w:color="000000"/>
            </w:tcBorders>
          </w:tcPr>
          <w:p>
            <w:pP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sz w:val="18"/>
              </w:rPr>
              <w:t>671,000</w:t>
            </w:r>
          </w:p>
          <w:p>
            <w:pPr>
              <w:pStyle w:val="TableParagraph"/>
              <w:spacing w:line="240" w:lineRule="auto" w:before="81"/>
              <w:ind w:left="489" w:right="0"/>
              <w:jc w:val="left"/>
              <w:rPr>
                <w:rFonts w:ascii="宋体" w:hAnsi="宋体" w:cs="宋体" w:eastAsia="宋体" w:hint="default"/>
                <w:sz w:val="18"/>
                <w:szCs w:val="18"/>
              </w:rPr>
            </w:pPr>
            <w:r>
              <w:rPr>
                <w:rFonts w:ascii="宋体"/>
                <w:sz w:val="18"/>
              </w:rPr>
              <w:t>.00</w:t>
            </w:r>
          </w:p>
        </w:tc>
        <w:tc>
          <w:tcPr>
            <w:tcW w:w="917" w:type="dxa"/>
            <w:tcBorders>
              <w:top w:val="single" w:sz="4" w:space="0" w:color="000000"/>
              <w:left w:val="single" w:sz="4" w:space="0" w:color="000000"/>
              <w:bottom w:val="single" w:sz="12" w:space="0" w:color="000000"/>
              <w:right w:val="single" w:sz="4" w:space="0" w:color="000000"/>
            </w:tcBorders>
          </w:tcPr>
          <w:p>
            <w:pPr/>
          </w:p>
        </w:tc>
        <w:tc>
          <w:tcPr>
            <w:tcW w:w="1460" w:type="dxa"/>
            <w:tcBorders>
              <w:top w:val="single" w:sz="4" w:space="0" w:color="000000"/>
              <w:left w:val="single" w:sz="4" w:space="0" w:color="000000"/>
              <w:bottom w:val="single" w:sz="12" w:space="0" w:color="000000"/>
              <w:right w:val="single" w:sz="4" w:space="0" w:color="000000"/>
            </w:tcBorders>
          </w:tcPr>
          <w:p>
            <w:pPr/>
          </w:p>
        </w:tc>
        <w:tc>
          <w:tcPr>
            <w:tcW w:w="1512" w:type="dxa"/>
            <w:tcBorders>
              <w:top w:val="single" w:sz="4" w:space="0" w:color="000000"/>
              <w:left w:val="single" w:sz="4" w:space="0" w:color="000000"/>
              <w:bottom w:val="single" w:sz="12" w:space="0" w:color="000000"/>
              <w:right w:val="single" w:sz="4" w:space="0" w:color="000000"/>
            </w:tcBorders>
          </w:tcPr>
          <w:p>
            <w:pPr/>
          </w:p>
        </w:tc>
        <w:tc>
          <w:tcPr>
            <w:tcW w:w="1695"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040" w:bottom="1220" w:left="700" w:right="0"/>
        </w:sectPr>
      </w:pPr>
    </w:p>
    <w:p>
      <w:pPr>
        <w:spacing w:line="240" w:lineRule="auto" w:before="8"/>
        <w:rPr>
          <w:rFonts w:ascii="宋体" w:hAnsi="宋体" w:cs="宋体" w:eastAsia="宋体" w:hint="default"/>
          <w:sz w:val="29"/>
          <w:szCs w:val="29"/>
        </w:rPr>
      </w:pPr>
    </w:p>
    <w:tbl>
      <w:tblPr>
        <w:tblW w:w="0" w:type="auto"/>
        <w:jc w:val="left"/>
        <w:tblInd w:w="422" w:type="dxa"/>
        <w:tblLayout w:type="fixed"/>
        <w:tblCellMar>
          <w:top w:w="0" w:type="dxa"/>
          <w:left w:w="0" w:type="dxa"/>
          <w:bottom w:w="0" w:type="dxa"/>
          <w:right w:w="0" w:type="dxa"/>
        </w:tblCellMar>
        <w:tblLook w:val="01E0"/>
      </w:tblPr>
      <w:tblGrid>
        <w:gridCol w:w="1335"/>
        <w:gridCol w:w="1416"/>
        <w:gridCol w:w="1465"/>
        <w:gridCol w:w="869"/>
        <w:gridCol w:w="917"/>
        <w:gridCol w:w="1463"/>
        <w:gridCol w:w="1510"/>
        <w:gridCol w:w="1695"/>
      </w:tblGrid>
      <w:tr>
        <w:trPr>
          <w:trHeight w:val="413" w:hRule="exact"/>
        </w:trPr>
        <w:tc>
          <w:tcPr>
            <w:tcW w:w="1335"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6"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480" w:right="108" w:hanging="360"/>
              <w:jc w:val="left"/>
              <w:rPr>
                <w:rFonts w:ascii="宋体" w:hAnsi="宋体" w:cs="宋体" w:eastAsia="宋体"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2"/>
                <w:sz w:val="18"/>
                <w:szCs w:val="18"/>
              </w:rPr>
              <w:t>(</w:t>
            </w:r>
            <w:r>
              <w:rPr>
                <w:rFonts w:ascii="宋体" w:hAnsi="宋体" w:cs="宋体" w:eastAsia="宋体" w:hint="default"/>
                <w:spacing w:val="-2"/>
                <w:sz w:val="18"/>
                <w:szCs w:val="18"/>
              </w:rPr>
              <w:t>账面</w:t>
            </w:r>
            <w:r>
              <w:rPr>
                <w:rFonts w:ascii="宋体" w:hAnsi="宋体" w:cs="宋体" w:eastAsia="宋体" w:hint="default"/>
                <w:spacing w:val="-72"/>
                <w:sz w:val="18"/>
                <w:szCs w:val="18"/>
              </w:rPr>
              <w:t> </w:t>
            </w:r>
            <w:r>
              <w:rPr>
                <w:rFonts w:ascii="宋体" w:hAnsi="宋体" w:cs="宋体" w:eastAsia="宋体" w:hint="default"/>
                <w:sz w:val="18"/>
                <w:szCs w:val="18"/>
              </w:rPr>
              <w:t>价值</w:t>
            </w:r>
            <w:r>
              <w:rPr>
                <w:rFonts w:ascii="宋体" w:hAnsi="宋体" w:cs="宋体" w:eastAsia="宋体" w:hint="default"/>
                <w:sz w:val="18"/>
                <w:szCs w:val="18"/>
              </w:rPr>
              <w:t>)</w:t>
            </w:r>
          </w:p>
        </w:tc>
        <w:tc>
          <w:tcPr>
            <w:tcW w:w="4713" w:type="dxa"/>
            <w:gridSpan w:val="4"/>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10"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520" w:right="161" w:hanging="360"/>
              <w:jc w:val="left"/>
              <w:rPr>
                <w:rFonts w:ascii="宋体" w:hAnsi="宋体" w:cs="宋体" w:eastAsia="宋体"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2"/>
                <w:sz w:val="18"/>
                <w:szCs w:val="18"/>
              </w:rPr>
              <w:t>(</w:t>
            </w:r>
            <w:r>
              <w:rPr>
                <w:rFonts w:ascii="宋体" w:hAnsi="宋体" w:cs="宋体" w:eastAsia="宋体" w:hint="default"/>
                <w:spacing w:val="-2"/>
                <w:sz w:val="18"/>
                <w:szCs w:val="18"/>
              </w:rPr>
              <w:t>账面</w:t>
            </w:r>
            <w:r>
              <w:rPr>
                <w:rFonts w:ascii="宋体" w:hAnsi="宋体" w:cs="宋体" w:eastAsia="宋体" w:hint="default"/>
                <w:spacing w:val="-72"/>
                <w:sz w:val="18"/>
                <w:szCs w:val="18"/>
              </w:rPr>
              <w:t> </w:t>
            </w:r>
            <w:r>
              <w:rPr>
                <w:rFonts w:ascii="宋体" w:hAnsi="宋体" w:cs="宋体" w:eastAsia="宋体" w:hint="default"/>
                <w:sz w:val="18"/>
                <w:szCs w:val="18"/>
              </w:rPr>
              <w:t>价值</w:t>
            </w:r>
            <w:r>
              <w:rPr>
                <w:rFonts w:ascii="宋体" w:hAnsi="宋体" w:cs="宋体" w:eastAsia="宋体" w:hint="default"/>
                <w:sz w:val="18"/>
                <w:szCs w:val="18"/>
              </w:rPr>
              <w:t>)</w:t>
            </w:r>
          </w:p>
        </w:tc>
        <w:tc>
          <w:tcPr>
            <w:tcW w:w="1695"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716" w:hRule="exact"/>
        </w:trPr>
        <w:tc>
          <w:tcPr>
            <w:tcW w:w="1335" w:type="dxa"/>
            <w:vMerge/>
            <w:tcBorders>
              <w:left w:val="single" w:sz="12"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0" w:right="151" w:hanging="178"/>
              <w:jc w:val="left"/>
              <w:rPr>
                <w:rFonts w:ascii="宋体" w:hAnsi="宋体" w:cs="宋体" w:eastAsia="宋体" w:hint="default"/>
                <w:sz w:val="18"/>
                <w:szCs w:val="18"/>
              </w:rPr>
            </w:pPr>
            <w:r>
              <w:rPr>
                <w:rFonts w:ascii="宋体" w:hAnsi="宋体" w:cs="宋体" w:eastAsia="宋体" w:hint="default"/>
                <w:sz w:val="18"/>
                <w:szCs w:val="18"/>
              </w:rPr>
              <w:t>减少投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180"/>
              <w:jc w:val="left"/>
              <w:rPr>
                <w:rFonts w:ascii="宋体" w:hAnsi="宋体" w:cs="宋体" w:eastAsia="宋体" w:hint="default"/>
                <w:sz w:val="18"/>
                <w:szCs w:val="18"/>
              </w:rPr>
            </w:pPr>
            <w:r>
              <w:rPr>
                <w:rFonts w:ascii="宋体" w:hAnsi="宋体" w:cs="宋体" w:eastAsia="宋体" w:hint="default"/>
                <w:sz w:val="18"/>
                <w:szCs w:val="18"/>
              </w:rPr>
              <w:t>计提减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值准备</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10" w:type="dxa"/>
            <w:vMerge/>
            <w:tcBorders>
              <w:left w:val="single" w:sz="4" w:space="0" w:color="000000"/>
              <w:bottom w:val="single" w:sz="4" w:space="0" w:color="000000"/>
              <w:right w:val="single" w:sz="4" w:space="0" w:color="000000"/>
            </w:tcBorders>
            <w:shd w:val="clear" w:color="auto" w:fill="D2D2D2"/>
          </w:tcPr>
          <w:p>
            <w:pPr/>
          </w:p>
        </w:tc>
        <w:tc>
          <w:tcPr>
            <w:tcW w:w="1695" w:type="dxa"/>
            <w:vMerge/>
            <w:tcBorders>
              <w:left w:val="single" w:sz="4" w:space="0" w:color="000000"/>
              <w:bottom w:val="single" w:sz="4" w:space="0" w:color="000000"/>
              <w:right w:val="single" w:sz="12" w:space="0" w:color="000000"/>
            </w:tcBorders>
            <w:shd w:val="clear" w:color="auto" w:fill="D2D2D2"/>
          </w:tcPr>
          <w:p>
            <w:pPr/>
          </w:p>
        </w:tc>
      </w:tr>
      <w:tr>
        <w:trPr>
          <w:trHeight w:val="725" w:hRule="exact"/>
        </w:trPr>
        <w:tc>
          <w:tcPr>
            <w:tcW w:w="133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669,022,849.6</w:t>
            </w:r>
          </w:p>
          <w:p>
            <w:pPr>
              <w:pStyle w:val="TableParagraph"/>
              <w:spacing w:line="240" w:lineRule="auto" w:before="76"/>
              <w:ind w:right="98"/>
              <w:jc w:val="right"/>
              <w:rPr>
                <w:rFonts w:ascii="宋体" w:hAnsi="宋体" w:cs="宋体" w:eastAsia="宋体" w:hint="default"/>
                <w:sz w:val="18"/>
                <w:szCs w:val="18"/>
              </w:rPr>
            </w:pPr>
            <w:r>
              <w:rPr>
                <w:rFonts w:ascii="宋体"/>
                <w:w w:val="101"/>
                <w:sz w:val="18"/>
              </w:rPr>
              <w:t>7</w:t>
            </w:r>
            <w:r>
              <w:rPr>
                <w:rFonts w:ascii="宋体"/>
                <w:sz w:val="18"/>
              </w:rPr>
            </w:r>
          </w:p>
        </w:tc>
        <w:tc>
          <w:tcPr>
            <w:tcW w:w="14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sz w:val="18"/>
              </w:rPr>
              <w:t>1,500,000.00</w:t>
            </w:r>
          </w:p>
        </w:tc>
        <w:tc>
          <w:tcPr>
            <w:tcW w:w="8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33" w:right="0"/>
              <w:jc w:val="center"/>
              <w:rPr>
                <w:rFonts w:ascii="宋体" w:hAnsi="宋体" w:cs="宋体" w:eastAsia="宋体" w:hint="default"/>
                <w:sz w:val="18"/>
                <w:szCs w:val="18"/>
              </w:rPr>
            </w:pPr>
            <w:r>
              <w:rPr>
                <w:rFonts w:ascii="宋体"/>
                <w:sz w:val="18"/>
              </w:rPr>
              <w:t>6,533,8</w:t>
            </w:r>
          </w:p>
          <w:p>
            <w:pPr>
              <w:pStyle w:val="TableParagraph"/>
              <w:spacing w:line="240" w:lineRule="auto" w:before="76"/>
              <w:ind w:left="210" w:right="0"/>
              <w:jc w:val="center"/>
              <w:rPr>
                <w:rFonts w:ascii="宋体" w:hAnsi="宋体" w:cs="宋体" w:eastAsia="宋体" w:hint="default"/>
                <w:sz w:val="18"/>
                <w:szCs w:val="18"/>
              </w:rPr>
            </w:pPr>
            <w:r>
              <w:rPr>
                <w:rFonts w:ascii="宋体"/>
                <w:sz w:val="18"/>
              </w:rPr>
              <w:t>18.65</w:t>
            </w:r>
          </w:p>
        </w:tc>
        <w:tc>
          <w:tcPr>
            <w:tcW w:w="917" w:type="dxa"/>
            <w:tcBorders>
              <w:top w:val="single" w:sz="4" w:space="0" w:color="000000"/>
              <w:left w:val="single" w:sz="4" w:space="0" w:color="000000"/>
              <w:bottom w:val="single" w:sz="12" w:space="0" w:color="000000"/>
              <w:right w:val="single" w:sz="4" w:space="0" w:color="000000"/>
            </w:tcBorders>
          </w:tcPr>
          <w:p>
            <w:pPr/>
          </w:p>
        </w:tc>
        <w:tc>
          <w:tcPr>
            <w:tcW w:w="14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center"/>
              <w:rPr>
                <w:rFonts w:ascii="宋体" w:hAnsi="宋体" w:cs="宋体" w:eastAsia="宋体" w:hint="default"/>
                <w:sz w:val="18"/>
                <w:szCs w:val="18"/>
              </w:rPr>
            </w:pPr>
            <w:r>
              <w:rPr>
                <w:rFonts w:ascii="宋体"/>
                <w:sz w:val="18"/>
              </w:rPr>
              <w:t>11,701,197.02</w:t>
            </w:r>
          </w:p>
        </w:tc>
        <w:tc>
          <w:tcPr>
            <w:tcW w:w="15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sz w:val="18"/>
              </w:rPr>
              <w:t>663,989,031.02</w:t>
            </w:r>
          </w:p>
        </w:tc>
        <w:tc>
          <w:tcPr>
            <w:tcW w:w="169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sz w:val="18"/>
              </w:rPr>
              <w:t>252,935,368.53</w:t>
            </w:r>
          </w:p>
        </w:tc>
      </w:tr>
    </w:tbl>
    <w:p>
      <w:pPr>
        <w:spacing w:line="240" w:lineRule="auto" w:before="3"/>
        <w:rPr>
          <w:rFonts w:ascii="宋体" w:hAnsi="宋体" w:cs="宋体" w:eastAsia="宋体" w:hint="default"/>
          <w:sz w:val="19"/>
          <w:szCs w:val="19"/>
        </w:rPr>
      </w:pPr>
    </w:p>
    <w:p>
      <w:pPr>
        <w:pStyle w:val="Heading4"/>
        <w:spacing w:line="240" w:lineRule="auto"/>
        <w:ind w:left="753" w:right="0"/>
        <w:jc w:val="left"/>
        <w:rPr>
          <w:b w:val="0"/>
          <w:bCs w:val="0"/>
        </w:rPr>
      </w:pPr>
      <w:bookmarkStart w:name="（2）对联营、合营企业投资" w:id="506"/>
      <w:bookmarkEnd w:id="506"/>
      <w:r>
        <w:rPr>
          <w:b w:val="0"/>
          <w:bCs w:val="0"/>
        </w:rPr>
      </w:r>
      <w:r>
        <w:rPr/>
        <w:t>（</w:t>
      </w:r>
      <w:r>
        <w:rPr>
          <w:rFonts w:ascii="宋体" w:hAnsi="宋体" w:cs="宋体" w:eastAsia="宋体" w:hint="default"/>
        </w:rPr>
        <w:t>2</w:t>
      </w:r>
      <w:r>
        <w:rPr/>
        <w:t>）对联营、合营企业投资</w:t>
      </w:r>
      <w:r>
        <w:rPr>
          <w:b w:val="0"/>
          <w:bCs w:val="0"/>
        </w:rPr>
      </w:r>
    </w:p>
    <w:p>
      <w:pPr>
        <w:spacing w:line="240" w:lineRule="auto" w:before="5"/>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008"/>
        <w:gridCol w:w="1575"/>
        <w:gridCol w:w="428"/>
        <w:gridCol w:w="427"/>
        <w:gridCol w:w="1484"/>
        <w:gridCol w:w="485"/>
        <w:gridCol w:w="1028"/>
        <w:gridCol w:w="710"/>
        <w:gridCol w:w="653"/>
        <w:gridCol w:w="950"/>
        <w:gridCol w:w="1489"/>
        <w:gridCol w:w="720"/>
      </w:tblGrid>
      <w:tr>
        <w:trPr>
          <w:trHeight w:val="410" w:hRule="exact"/>
        </w:trPr>
        <w:tc>
          <w:tcPr>
            <w:tcW w:w="1008"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575"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21" w:lineRule="auto"/>
              <w:ind w:left="643" w:right="103" w:hanging="539"/>
              <w:jc w:val="left"/>
              <w:rPr>
                <w:rFonts w:ascii="宋体" w:hAnsi="宋体" w:cs="宋体" w:eastAsia="宋体"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2"/>
                <w:sz w:val="18"/>
                <w:szCs w:val="18"/>
              </w:rPr>
              <w:t>(</w:t>
            </w:r>
            <w:r>
              <w:rPr>
                <w:rFonts w:ascii="宋体" w:hAnsi="宋体" w:cs="宋体" w:eastAsia="宋体" w:hint="default"/>
                <w:spacing w:val="-2"/>
                <w:sz w:val="18"/>
                <w:szCs w:val="18"/>
              </w:rPr>
              <w:t>账面价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值</w:t>
            </w:r>
            <w:r>
              <w:rPr>
                <w:rFonts w:ascii="宋体" w:hAnsi="宋体" w:cs="宋体" w:eastAsia="宋体" w:hint="default"/>
                <w:sz w:val="18"/>
                <w:szCs w:val="18"/>
              </w:rPr>
              <w:t>)</w:t>
            </w:r>
          </w:p>
        </w:tc>
        <w:tc>
          <w:tcPr>
            <w:tcW w:w="6166" w:type="dxa"/>
            <w:gridSpan w:val="8"/>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89"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21" w:lineRule="auto"/>
              <w:ind w:left="513" w:right="147" w:hanging="361"/>
              <w:jc w:val="left"/>
              <w:rPr>
                <w:rFonts w:ascii="宋体" w:hAnsi="宋体" w:cs="宋体" w:eastAsia="宋体"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2"/>
                <w:sz w:val="18"/>
                <w:szCs w:val="18"/>
              </w:rPr>
              <w:t>(</w:t>
            </w:r>
            <w:r>
              <w:rPr>
                <w:rFonts w:ascii="宋体" w:hAnsi="宋体" w:cs="宋体" w:eastAsia="宋体" w:hint="default"/>
                <w:spacing w:val="-2"/>
                <w:sz w:val="18"/>
                <w:szCs w:val="18"/>
              </w:rPr>
              <w:t>账面</w:t>
            </w:r>
            <w:r>
              <w:rPr>
                <w:rFonts w:ascii="宋体" w:hAnsi="宋体" w:cs="宋体" w:eastAsia="宋体" w:hint="default"/>
                <w:spacing w:val="-71"/>
                <w:sz w:val="18"/>
                <w:szCs w:val="18"/>
              </w:rPr>
              <w:t> </w:t>
            </w:r>
            <w:r>
              <w:rPr>
                <w:rFonts w:ascii="宋体" w:hAnsi="宋体" w:cs="宋体" w:eastAsia="宋体" w:hint="default"/>
                <w:sz w:val="18"/>
                <w:szCs w:val="18"/>
              </w:rPr>
              <w:t>价值</w:t>
            </w:r>
            <w:r>
              <w:rPr>
                <w:rFonts w:ascii="宋体" w:hAnsi="宋体" w:cs="宋体" w:eastAsia="宋体" w:hint="default"/>
                <w:sz w:val="18"/>
                <w:szCs w:val="18"/>
              </w:rPr>
              <w:t>)</w:t>
            </w:r>
          </w:p>
        </w:tc>
        <w:tc>
          <w:tcPr>
            <w:tcW w:w="720" w:type="dxa"/>
            <w:vMerge w:val="restart"/>
            <w:tcBorders>
              <w:top w:val="single" w:sz="12" w:space="0" w:color="000000"/>
              <w:left w:val="single" w:sz="4" w:space="0" w:color="000000"/>
              <w:right w:val="single" w:sz="12"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9" w:lineRule="auto"/>
              <w:ind w:left="172" w:right="161"/>
              <w:jc w:val="both"/>
              <w:rPr>
                <w:rFonts w:ascii="宋体" w:hAnsi="宋体" w:cs="宋体" w:eastAsia="宋体" w:hint="default"/>
                <w:sz w:val="18"/>
                <w:szCs w:val="18"/>
              </w:rPr>
            </w:pPr>
            <w:r>
              <w:rPr>
                <w:rFonts w:ascii="宋体" w:hAnsi="宋体" w:cs="宋体" w:eastAsia="宋体" w:hint="default"/>
                <w:sz w:val="18"/>
                <w:szCs w:val="18"/>
              </w:rPr>
              <w:t>减值</w:t>
            </w:r>
            <w:r>
              <w:rPr>
                <w:rFonts w:ascii="宋体" w:hAnsi="宋体" w:cs="宋体" w:eastAsia="宋体" w:hint="default"/>
                <w:spacing w:val="-86"/>
                <w:sz w:val="18"/>
                <w:szCs w:val="18"/>
              </w:rPr>
              <w:t> </w:t>
            </w:r>
            <w:r>
              <w:rPr>
                <w:rFonts w:ascii="宋体" w:hAnsi="宋体" w:cs="宋体" w:eastAsia="宋体" w:hint="default"/>
                <w:sz w:val="18"/>
                <w:szCs w:val="18"/>
              </w:rPr>
              <w:t>准备</w:t>
            </w:r>
            <w:r>
              <w:rPr>
                <w:rFonts w:ascii="宋体" w:hAnsi="宋体" w:cs="宋体" w:eastAsia="宋体" w:hint="default"/>
                <w:spacing w:val="-86"/>
                <w:sz w:val="18"/>
                <w:szCs w:val="18"/>
              </w:rPr>
              <w:t> </w:t>
            </w:r>
            <w:r>
              <w:rPr>
                <w:rFonts w:ascii="宋体" w:hAnsi="宋体" w:cs="宋体" w:eastAsia="宋体" w:hint="default"/>
                <w:sz w:val="18"/>
                <w:szCs w:val="18"/>
              </w:rPr>
              <w:t>期末</w:t>
            </w:r>
            <w:r>
              <w:rPr>
                <w:rFonts w:ascii="宋体" w:hAnsi="宋体" w:cs="宋体" w:eastAsia="宋体" w:hint="default"/>
                <w:spacing w:val="-86"/>
                <w:sz w:val="18"/>
                <w:szCs w:val="18"/>
              </w:rPr>
              <w:t> </w:t>
            </w:r>
            <w:r>
              <w:rPr>
                <w:rFonts w:ascii="宋体" w:hAnsi="宋体" w:cs="宋体" w:eastAsia="宋体" w:hint="default"/>
                <w:sz w:val="18"/>
                <w:szCs w:val="18"/>
              </w:rPr>
              <w:t>余额</w:t>
            </w:r>
          </w:p>
        </w:tc>
      </w:tr>
      <w:tr>
        <w:trPr>
          <w:trHeight w:val="2588" w:hRule="exact"/>
        </w:trPr>
        <w:tc>
          <w:tcPr>
            <w:tcW w:w="1008" w:type="dxa"/>
            <w:vMerge/>
            <w:tcBorders>
              <w:left w:val="single" w:sz="12" w:space="0" w:color="000000"/>
              <w:bottom w:val="single" w:sz="4" w:space="0" w:color="000000"/>
              <w:right w:val="single" w:sz="4" w:space="0" w:color="000000"/>
            </w:tcBorders>
            <w:shd w:val="clear" w:color="auto" w:fill="D2D2D2"/>
          </w:tcPr>
          <w:p>
            <w:pPr/>
          </w:p>
        </w:tc>
        <w:tc>
          <w:tcPr>
            <w:tcW w:w="1575" w:type="dxa"/>
            <w:vMerge/>
            <w:tcBorders>
              <w:left w:val="single" w:sz="4" w:space="0" w:color="000000"/>
              <w:bottom w:val="single" w:sz="4" w:space="0" w:color="000000"/>
              <w:right w:val="single" w:sz="4" w:space="0" w:color="000000"/>
            </w:tcBorders>
            <w:shd w:val="clear" w:color="auto" w:fill="D2D2D2"/>
          </w:tcPr>
          <w:p>
            <w:pP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5" w:right="119"/>
              <w:jc w:val="both"/>
              <w:rPr>
                <w:rFonts w:ascii="宋体" w:hAnsi="宋体" w:cs="宋体" w:eastAsia="宋体" w:hint="default"/>
                <w:sz w:val="18"/>
                <w:szCs w:val="18"/>
              </w:rPr>
            </w:pPr>
            <w:r>
              <w:rPr>
                <w:rFonts w:ascii="宋体" w:hAnsi="宋体" w:cs="宋体" w:eastAsia="宋体" w:hint="default"/>
                <w:sz w:val="18"/>
                <w:szCs w:val="18"/>
              </w:rPr>
              <w:t>追</w:t>
            </w:r>
            <w:r>
              <w:rPr>
                <w:rFonts w:ascii="宋体" w:hAnsi="宋体" w:cs="宋体" w:eastAsia="宋体" w:hint="default"/>
                <w:spacing w:val="-88"/>
                <w:sz w:val="18"/>
                <w:szCs w:val="18"/>
              </w:rPr>
              <w:t> </w:t>
            </w:r>
            <w:r>
              <w:rPr>
                <w:rFonts w:ascii="宋体" w:hAnsi="宋体" w:cs="宋体" w:eastAsia="宋体" w:hint="default"/>
                <w:sz w:val="18"/>
                <w:szCs w:val="18"/>
              </w:rPr>
              <w:t>加</w:t>
            </w:r>
            <w:r>
              <w:rPr>
                <w:rFonts w:ascii="宋体" w:hAnsi="宋体" w:cs="宋体" w:eastAsia="宋体" w:hint="default"/>
                <w:spacing w:val="-88"/>
                <w:sz w:val="18"/>
                <w:szCs w:val="18"/>
              </w:rPr>
              <w:t> </w:t>
            </w: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9" w:right="113"/>
              <w:jc w:val="both"/>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8"/>
                <w:sz w:val="18"/>
                <w:szCs w:val="18"/>
              </w:rPr>
              <w:t> </w:t>
            </w:r>
            <w:r>
              <w:rPr>
                <w:rFonts w:ascii="宋体" w:hAnsi="宋体" w:cs="宋体" w:eastAsia="宋体" w:hint="default"/>
                <w:sz w:val="18"/>
                <w:szCs w:val="18"/>
              </w:rPr>
              <w:t>少</w:t>
            </w:r>
            <w:r>
              <w:rPr>
                <w:rFonts w:ascii="宋体" w:hAnsi="宋体" w:cs="宋体" w:eastAsia="宋体" w:hint="default"/>
                <w:spacing w:val="-88"/>
                <w:sz w:val="18"/>
                <w:szCs w:val="18"/>
              </w:rPr>
              <w:t> </w:t>
            </w:r>
            <w:r>
              <w:rPr>
                <w:rFonts w:ascii="宋体" w:hAnsi="宋体" w:cs="宋体" w:eastAsia="宋体" w:hint="default"/>
                <w:sz w:val="18"/>
                <w:szCs w:val="18"/>
              </w:rPr>
              <w:t>投</w:t>
            </w:r>
            <w:r>
              <w:rPr>
                <w:rFonts w:ascii="宋体" w:hAnsi="宋体" w:cs="宋体" w:eastAsia="宋体" w:hint="default"/>
                <w:spacing w:val="-88"/>
                <w:sz w:val="18"/>
                <w:szCs w:val="18"/>
              </w:rPr>
              <w:t> </w:t>
            </w:r>
            <w:r>
              <w:rPr>
                <w:rFonts w:ascii="宋体" w:hAnsi="宋体" w:cs="宋体" w:eastAsia="宋体" w:hint="default"/>
                <w:sz w:val="18"/>
                <w:szCs w:val="18"/>
              </w:rPr>
              <w:t>资</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379" w:right="99" w:hanging="269"/>
              <w:jc w:val="left"/>
              <w:rPr>
                <w:rFonts w:ascii="宋体" w:hAnsi="宋体" w:cs="宋体" w:eastAsia="宋体" w:hint="default"/>
                <w:sz w:val="18"/>
                <w:szCs w:val="18"/>
              </w:rPr>
            </w:pPr>
            <w:r>
              <w:rPr>
                <w:rFonts w:ascii="宋体" w:hAnsi="宋体" w:cs="宋体" w:eastAsia="宋体" w:hint="default"/>
                <w:spacing w:val="-3"/>
                <w:sz w:val="18"/>
                <w:szCs w:val="18"/>
              </w:rPr>
              <w:t>权益法下确认的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投资损益</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48" w:right="142"/>
              <w:jc w:val="both"/>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r>
              <w:rPr>
                <w:rFonts w:ascii="宋体" w:hAnsi="宋体" w:cs="宋体" w:eastAsia="宋体" w:hint="default"/>
                <w:spacing w:val="-88"/>
                <w:sz w:val="18"/>
                <w:szCs w:val="18"/>
              </w:rPr>
              <w:t> </w:t>
            </w:r>
            <w:r>
              <w:rPr>
                <w:rFonts w:ascii="宋体" w:hAnsi="宋体" w:cs="宋体" w:eastAsia="宋体" w:hint="default"/>
                <w:sz w:val="18"/>
                <w:szCs w:val="18"/>
              </w:rPr>
              <w:t>综</w:t>
            </w:r>
            <w:r>
              <w:rPr>
                <w:rFonts w:ascii="宋体" w:hAnsi="宋体" w:cs="宋体" w:eastAsia="宋体" w:hint="default"/>
                <w:spacing w:val="-88"/>
                <w:sz w:val="18"/>
                <w:szCs w:val="18"/>
              </w:rPr>
              <w:t> </w:t>
            </w:r>
            <w:r>
              <w:rPr>
                <w:rFonts w:ascii="宋体" w:hAnsi="宋体" w:cs="宋体" w:eastAsia="宋体" w:hint="default"/>
                <w:sz w:val="18"/>
                <w:szCs w:val="18"/>
              </w:rPr>
              <w:t>合</w:t>
            </w:r>
            <w:r>
              <w:rPr>
                <w:rFonts w:ascii="宋体" w:hAnsi="宋体" w:cs="宋体" w:eastAsia="宋体" w:hint="default"/>
                <w:spacing w:val="-88"/>
                <w:sz w:val="18"/>
                <w:szCs w:val="18"/>
              </w:rPr>
              <w:t> </w:t>
            </w:r>
            <w:r>
              <w:rPr>
                <w:rFonts w:ascii="宋体" w:hAnsi="宋体" w:cs="宋体" w:eastAsia="宋体" w:hint="default"/>
                <w:sz w:val="18"/>
                <w:szCs w:val="18"/>
              </w:rPr>
              <w:t>收</w:t>
            </w:r>
            <w:r>
              <w:rPr>
                <w:rFonts w:ascii="宋体" w:hAnsi="宋体" w:cs="宋体" w:eastAsia="宋体" w:hint="default"/>
                <w:spacing w:val="-88"/>
                <w:sz w:val="18"/>
                <w:szCs w:val="18"/>
              </w:rPr>
              <w:t> </w:t>
            </w:r>
            <w:r>
              <w:rPr>
                <w:rFonts w:ascii="宋体" w:hAnsi="宋体" w:cs="宋体" w:eastAsia="宋体" w:hint="default"/>
                <w:sz w:val="18"/>
                <w:szCs w:val="18"/>
              </w:rPr>
              <w:t>益</w:t>
            </w:r>
            <w:r>
              <w:rPr>
                <w:rFonts w:ascii="宋体" w:hAnsi="宋体" w:cs="宋体" w:eastAsia="宋体" w:hint="default"/>
                <w:spacing w:val="-88"/>
                <w:sz w:val="18"/>
                <w:szCs w:val="18"/>
              </w:rPr>
              <w:t> </w:t>
            </w:r>
            <w:r>
              <w:rPr>
                <w:rFonts w:ascii="宋体" w:hAnsi="宋体" w:cs="宋体" w:eastAsia="宋体" w:hint="default"/>
                <w:sz w:val="18"/>
                <w:szCs w:val="18"/>
              </w:rPr>
              <w:t>调</w:t>
            </w:r>
            <w:r>
              <w:rPr>
                <w:rFonts w:ascii="宋体" w:hAnsi="宋体" w:cs="宋体" w:eastAsia="宋体" w:hint="default"/>
                <w:spacing w:val="-88"/>
                <w:sz w:val="18"/>
                <w:szCs w:val="18"/>
              </w:rPr>
              <w:t> </w:t>
            </w:r>
            <w:r>
              <w:rPr>
                <w:rFonts w:ascii="宋体" w:hAnsi="宋体" w:cs="宋体" w:eastAsia="宋体" w:hint="default"/>
                <w:sz w:val="18"/>
                <w:szCs w:val="18"/>
              </w:rPr>
              <w:t>整</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326" w:right="147"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72" w:right="161"/>
              <w:jc w:val="both"/>
              <w:rPr>
                <w:rFonts w:ascii="宋体" w:hAnsi="宋体" w:cs="宋体" w:eastAsia="宋体" w:hint="default"/>
                <w:sz w:val="18"/>
                <w:szCs w:val="18"/>
              </w:rPr>
            </w:pPr>
            <w:r>
              <w:rPr>
                <w:rFonts w:ascii="宋体" w:hAnsi="宋体" w:cs="宋体" w:eastAsia="宋体" w:hint="default"/>
                <w:sz w:val="18"/>
                <w:szCs w:val="18"/>
              </w:rPr>
              <w:t>宣告</w:t>
            </w:r>
            <w:r>
              <w:rPr>
                <w:rFonts w:ascii="宋体" w:hAnsi="宋体" w:cs="宋体" w:eastAsia="宋体" w:hint="default"/>
                <w:spacing w:val="-86"/>
                <w:sz w:val="18"/>
                <w:szCs w:val="18"/>
              </w:rPr>
              <w:t> </w:t>
            </w:r>
            <w:r>
              <w:rPr>
                <w:rFonts w:ascii="宋体" w:hAnsi="宋体" w:cs="宋体" w:eastAsia="宋体" w:hint="default"/>
                <w:sz w:val="18"/>
                <w:szCs w:val="18"/>
              </w:rPr>
              <w:t>发放</w:t>
            </w:r>
            <w:r>
              <w:rPr>
                <w:rFonts w:ascii="宋体" w:hAnsi="宋体" w:cs="宋体" w:eastAsia="宋体" w:hint="default"/>
                <w:spacing w:val="-86"/>
                <w:sz w:val="18"/>
                <w:szCs w:val="18"/>
              </w:rPr>
              <w:t> </w:t>
            </w:r>
            <w:r>
              <w:rPr>
                <w:rFonts w:ascii="宋体" w:hAnsi="宋体" w:cs="宋体" w:eastAsia="宋体" w:hint="default"/>
                <w:sz w:val="18"/>
                <w:szCs w:val="18"/>
              </w:rPr>
              <w:t>现金</w:t>
            </w:r>
            <w:r>
              <w:rPr>
                <w:rFonts w:ascii="宋体" w:hAnsi="宋体" w:cs="宋体" w:eastAsia="宋体" w:hint="default"/>
                <w:spacing w:val="-86"/>
                <w:sz w:val="18"/>
                <w:szCs w:val="18"/>
              </w:rPr>
              <w:t> </w:t>
            </w:r>
            <w:r>
              <w:rPr>
                <w:rFonts w:ascii="宋体" w:hAnsi="宋体" w:cs="宋体" w:eastAsia="宋体" w:hint="default"/>
                <w:sz w:val="18"/>
                <w:szCs w:val="18"/>
              </w:rPr>
              <w:t>股利</w:t>
            </w:r>
            <w:r>
              <w:rPr>
                <w:rFonts w:ascii="宋体" w:hAnsi="宋体" w:cs="宋体" w:eastAsia="宋体" w:hint="default"/>
                <w:spacing w:val="-86"/>
                <w:sz w:val="18"/>
                <w:szCs w:val="18"/>
              </w:rPr>
              <w:t> </w:t>
            </w:r>
            <w:r>
              <w:rPr>
                <w:rFonts w:ascii="宋体" w:hAnsi="宋体" w:cs="宋体" w:eastAsia="宋体" w:hint="default"/>
                <w:sz w:val="18"/>
                <w:szCs w:val="18"/>
              </w:rPr>
              <w:t>或利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39" w:right="137"/>
              <w:jc w:val="both"/>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pacing w:val="-86"/>
                <w:sz w:val="18"/>
                <w:szCs w:val="18"/>
              </w:rPr>
              <w:t> </w:t>
            </w:r>
            <w:r>
              <w:rPr>
                <w:rFonts w:ascii="宋体" w:hAnsi="宋体" w:cs="宋体" w:eastAsia="宋体" w:hint="default"/>
                <w:sz w:val="18"/>
                <w:szCs w:val="18"/>
              </w:rPr>
              <w:t>减值</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9"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12" w:space="0" w:color="000000"/>
            </w:tcBorders>
            <w:shd w:val="clear" w:color="auto" w:fill="D2D2D2"/>
          </w:tcPr>
          <w:p>
            <w:pPr/>
          </w:p>
        </w:tc>
      </w:tr>
      <w:tr>
        <w:trPr>
          <w:trHeight w:val="403" w:hRule="exact"/>
        </w:trPr>
        <w:tc>
          <w:tcPr>
            <w:tcW w:w="10958" w:type="dxa"/>
            <w:gridSpan w:val="1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8" w:hRule="exact"/>
        </w:trPr>
        <w:tc>
          <w:tcPr>
            <w:tcW w:w="1008" w:type="dxa"/>
            <w:tcBorders>
              <w:top w:val="single" w:sz="4" w:space="0" w:color="000000"/>
              <w:left w:val="single" w:sz="12"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00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75"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10958" w:type="dxa"/>
            <w:gridSpan w:val="12"/>
            <w:tcBorders>
              <w:top w:val="single" w:sz="4" w:space="0" w:color="000000"/>
              <w:left w:val="single" w:sz="12" w:space="0" w:color="000000"/>
              <w:bottom w:val="single" w:sz="4" w:space="0" w:color="000000"/>
              <w:right w:val="single" w:sz="12"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1008" w:type="dxa"/>
            <w:tcBorders>
              <w:top w:val="single" w:sz="4" w:space="0" w:color="000000"/>
              <w:left w:val="single" w:sz="12" w:space="0" w:color="000000"/>
              <w:bottom w:val="single" w:sz="4" w:space="0" w:color="000000"/>
              <w:right w:val="single" w:sz="4" w:space="0" w:color="000000"/>
            </w:tcBorders>
          </w:tcPr>
          <w:p>
            <w:pPr>
              <w:pStyle w:val="TableParagraph"/>
              <w:spacing w:line="316" w:lineRule="auto" w:before="54"/>
              <w:ind w:left="96" w:right="166"/>
              <w:jc w:val="both"/>
              <w:rPr>
                <w:rFonts w:ascii="宋体" w:hAnsi="宋体" w:cs="宋体" w:eastAsia="宋体" w:hint="default"/>
                <w:sz w:val="18"/>
                <w:szCs w:val="18"/>
              </w:rPr>
            </w:pPr>
            <w:r>
              <w:rPr>
                <w:rFonts w:ascii="宋体" w:hAnsi="宋体" w:cs="宋体" w:eastAsia="宋体" w:hint="default"/>
                <w:sz w:val="18"/>
                <w:szCs w:val="18"/>
              </w:rPr>
              <w:t>中云文化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大数据科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79,664,222.05</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w w:val="95"/>
                <w:sz w:val="16"/>
              </w:rPr>
              <w:t>998,846.49</w:t>
            </w:r>
            <w:r>
              <w:rPr>
                <w:rFonts w:ascii="Times New Roman"/>
                <w:sz w:val="16"/>
              </w:rPr>
            </w:r>
          </w:p>
        </w:tc>
        <w:tc>
          <w:tcPr>
            <w:tcW w:w="48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91" w:right="0"/>
              <w:jc w:val="left"/>
              <w:rPr>
                <w:rFonts w:ascii="Times New Roman" w:hAnsi="Times New Roman" w:cs="Times New Roman" w:eastAsia="Times New Roman" w:hint="default"/>
                <w:sz w:val="16"/>
                <w:szCs w:val="16"/>
              </w:rPr>
            </w:pPr>
            <w:r>
              <w:rPr>
                <w:rFonts w:ascii="Times New Roman"/>
                <w:sz w:val="16"/>
              </w:rPr>
              <w:t>176,464.79</w:t>
            </w:r>
          </w:p>
        </w:tc>
        <w:tc>
          <w:tcPr>
            <w:tcW w:w="71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80,839,533.33</w:t>
            </w:r>
          </w:p>
        </w:tc>
        <w:tc>
          <w:tcPr>
            <w:tcW w:w="720" w:type="dxa"/>
            <w:tcBorders>
              <w:top w:val="single" w:sz="4" w:space="0" w:color="000000"/>
              <w:left w:val="single" w:sz="4" w:space="0" w:color="000000"/>
              <w:bottom w:val="single" w:sz="4" w:space="0" w:color="000000"/>
              <w:right w:val="single" w:sz="12" w:space="0" w:color="000000"/>
            </w:tcBorders>
          </w:tcPr>
          <w:p>
            <w:pPr/>
          </w:p>
        </w:tc>
      </w:tr>
      <w:tr>
        <w:trPr>
          <w:trHeight w:val="1335" w:hRule="exact"/>
        </w:trPr>
        <w:tc>
          <w:tcPr>
            <w:tcW w:w="1008"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6" w:right="165"/>
              <w:jc w:val="both"/>
              <w:rPr>
                <w:rFonts w:ascii="宋体" w:hAnsi="宋体" w:cs="宋体" w:eastAsia="宋体" w:hint="default"/>
                <w:sz w:val="18"/>
                <w:szCs w:val="18"/>
              </w:rPr>
            </w:pPr>
            <w:r>
              <w:rPr>
                <w:rFonts w:ascii="宋体" w:hAnsi="宋体" w:cs="宋体" w:eastAsia="宋体" w:hint="default"/>
                <w:sz w:val="18"/>
                <w:szCs w:val="18"/>
              </w:rPr>
              <w:t>北京中广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格兰信息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11,075,847.18</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72,372.29</w:t>
            </w:r>
          </w:p>
        </w:tc>
        <w:tc>
          <w:tcPr>
            <w:tcW w:w="48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11,148,219.47</w:t>
            </w:r>
          </w:p>
        </w:tc>
        <w:tc>
          <w:tcPr>
            <w:tcW w:w="720" w:type="dxa"/>
            <w:tcBorders>
              <w:top w:val="single" w:sz="4" w:space="0" w:color="000000"/>
              <w:left w:val="single" w:sz="4" w:space="0" w:color="000000"/>
              <w:bottom w:val="single" w:sz="4" w:space="0" w:color="000000"/>
              <w:right w:val="single" w:sz="12" w:space="0" w:color="000000"/>
            </w:tcBorders>
          </w:tcPr>
          <w:p>
            <w:pPr/>
          </w:p>
        </w:tc>
      </w:tr>
      <w:tr>
        <w:trPr>
          <w:trHeight w:val="1340" w:hRule="exact"/>
        </w:trPr>
        <w:tc>
          <w:tcPr>
            <w:tcW w:w="1008"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8"/>
              <w:ind w:left="96" w:right="165"/>
              <w:jc w:val="both"/>
              <w:rPr>
                <w:rFonts w:ascii="宋体" w:hAnsi="宋体" w:cs="宋体" w:eastAsia="宋体" w:hint="default"/>
                <w:sz w:val="18"/>
                <w:szCs w:val="18"/>
              </w:rPr>
            </w:pPr>
            <w:r>
              <w:rPr>
                <w:rFonts w:ascii="宋体" w:hAnsi="宋体" w:cs="宋体" w:eastAsia="宋体" w:hint="default"/>
                <w:sz w:val="18"/>
                <w:szCs w:val="18"/>
              </w:rPr>
              <w:t>广东今程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光一电力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3,120,055.56</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-98,549.32</w:t>
            </w:r>
          </w:p>
        </w:tc>
        <w:tc>
          <w:tcPr>
            <w:tcW w:w="48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20" w:right="0"/>
              <w:jc w:val="left"/>
              <w:rPr>
                <w:rFonts w:ascii="宋体" w:hAnsi="宋体" w:cs="宋体" w:eastAsia="宋体" w:hint="default"/>
                <w:sz w:val="18"/>
                <w:szCs w:val="18"/>
              </w:rPr>
            </w:pPr>
            <w:r>
              <w:rPr>
                <w:rFonts w:ascii="宋体"/>
                <w:sz w:val="18"/>
              </w:rPr>
              <w:t>-3,021,5</w:t>
            </w:r>
          </w:p>
          <w:p>
            <w:pPr>
              <w:pStyle w:val="TableParagraph"/>
              <w:spacing w:line="240" w:lineRule="auto" w:before="77"/>
              <w:ind w:left="388" w:right="0"/>
              <w:jc w:val="left"/>
              <w:rPr>
                <w:rFonts w:ascii="宋体" w:hAnsi="宋体" w:cs="宋体" w:eastAsia="宋体" w:hint="default"/>
                <w:sz w:val="18"/>
                <w:szCs w:val="18"/>
              </w:rPr>
            </w:pPr>
            <w:r>
              <w:rPr>
                <w:rFonts w:ascii="宋体"/>
                <w:sz w:val="18"/>
              </w:rPr>
              <w:t>06.24</w:t>
            </w:r>
          </w:p>
        </w:tc>
        <w:tc>
          <w:tcPr>
            <w:tcW w:w="148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12" w:space="0" w:color="000000"/>
            </w:tcBorders>
          </w:tcPr>
          <w:p>
            <w:pPr/>
          </w:p>
        </w:tc>
      </w:tr>
      <w:tr>
        <w:trPr>
          <w:trHeight w:val="1340" w:hRule="exact"/>
        </w:trPr>
        <w:tc>
          <w:tcPr>
            <w:tcW w:w="1008" w:type="dxa"/>
            <w:tcBorders>
              <w:top w:val="single" w:sz="4" w:space="0" w:color="000000"/>
              <w:left w:val="single" w:sz="12" w:space="0" w:color="000000"/>
              <w:bottom w:val="single" w:sz="4" w:space="0" w:color="000000"/>
              <w:right w:val="single" w:sz="4" w:space="0" w:color="000000"/>
            </w:tcBorders>
          </w:tcPr>
          <w:p>
            <w:pPr>
              <w:pStyle w:val="TableParagraph"/>
              <w:spacing w:line="319" w:lineRule="auto" w:before="53"/>
              <w:ind w:left="96" w:right="166"/>
              <w:jc w:val="both"/>
              <w:rPr>
                <w:rFonts w:ascii="宋体" w:hAnsi="宋体" w:cs="宋体" w:eastAsia="宋体" w:hint="default"/>
                <w:sz w:val="18"/>
                <w:szCs w:val="18"/>
              </w:rPr>
            </w:pPr>
            <w:r>
              <w:rPr>
                <w:rFonts w:ascii="宋体" w:hAnsi="宋体" w:cs="宋体" w:eastAsia="宋体" w:hint="default"/>
                <w:sz w:val="18"/>
                <w:szCs w:val="18"/>
              </w:rPr>
              <w:t>江苏其厚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智能电气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38,222,462.23</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10,343,386.21</w:t>
            </w:r>
          </w:p>
        </w:tc>
        <w:tc>
          <w:tcPr>
            <w:tcW w:w="48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48,565,848.44</w:t>
            </w:r>
          </w:p>
        </w:tc>
        <w:tc>
          <w:tcPr>
            <w:tcW w:w="720" w:type="dxa"/>
            <w:tcBorders>
              <w:top w:val="single" w:sz="4" w:space="0" w:color="000000"/>
              <w:left w:val="single" w:sz="4" w:space="0" w:color="000000"/>
              <w:bottom w:val="single" w:sz="4" w:space="0" w:color="000000"/>
              <w:right w:val="single" w:sz="12" w:space="0" w:color="000000"/>
            </w:tcBorders>
          </w:tcPr>
          <w:p>
            <w:pPr/>
          </w:p>
        </w:tc>
      </w:tr>
      <w:tr>
        <w:trPr>
          <w:trHeight w:val="686" w:hRule="exact"/>
        </w:trPr>
        <w:tc>
          <w:tcPr>
            <w:tcW w:w="1008" w:type="dxa"/>
            <w:tcBorders>
              <w:top w:val="single" w:sz="4" w:space="0" w:color="000000"/>
              <w:left w:val="single" w:sz="12" w:space="0" w:color="000000"/>
              <w:bottom w:val="single" w:sz="12" w:space="0" w:color="000000"/>
              <w:right w:val="single" w:sz="4" w:space="0" w:color="000000"/>
            </w:tcBorders>
          </w:tcPr>
          <w:p>
            <w:pPr>
              <w:pStyle w:val="TableParagraph"/>
              <w:spacing w:line="312" w:lineRule="auto" w:before="53"/>
              <w:ind w:left="96" w:right="166"/>
              <w:jc w:val="left"/>
              <w:rPr>
                <w:rFonts w:ascii="宋体" w:hAnsi="宋体" w:cs="宋体" w:eastAsia="宋体" w:hint="default"/>
                <w:sz w:val="18"/>
                <w:szCs w:val="18"/>
              </w:rPr>
            </w:pPr>
            <w:r>
              <w:rPr>
                <w:rFonts w:ascii="宋体" w:hAnsi="宋体" w:cs="宋体" w:eastAsia="宋体" w:hint="default"/>
                <w:sz w:val="18"/>
                <w:szCs w:val="18"/>
              </w:rPr>
              <w:t>北京大数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有容科技</w:t>
            </w:r>
          </w:p>
        </w:tc>
        <w:tc>
          <w:tcPr>
            <w:tcW w:w="15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4,358,585.66</w:t>
            </w:r>
          </w:p>
        </w:tc>
        <w:tc>
          <w:tcPr>
            <w:tcW w:w="428" w:type="dxa"/>
            <w:tcBorders>
              <w:top w:val="single" w:sz="4" w:space="0" w:color="000000"/>
              <w:left w:val="single" w:sz="4" w:space="0" w:color="000000"/>
              <w:bottom w:val="single" w:sz="12" w:space="0" w:color="000000"/>
              <w:right w:val="single" w:sz="4" w:space="0" w:color="000000"/>
            </w:tcBorders>
          </w:tcPr>
          <w:p>
            <w:pPr/>
          </w:p>
        </w:tc>
        <w:tc>
          <w:tcPr>
            <w:tcW w:w="427" w:type="dxa"/>
            <w:tcBorders>
              <w:top w:val="single" w:sz="4" w:space="0" w:color="000000"/>
              <w:left w:val="single" w:sz="4" w:space="0" w:color="000000"/>
              <w:bottom w:val="single" w:sz="12" w:space="0" w:color="000000"/>
              <w:right w:val="single" w:sz="4" w:space="0" w:color="000000"/>
            </w:tcBorders>
          </w:tcPr>
          <w:p>
            <w:pPr/>
          </w:p>
        </w:tc>
        <w:tc>
          <w:tcPr>
            <w:tcW w:w="14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185,000.11</w:t>
            </w:r>
          </w:p>
        </w:tc>
        <w:tc>
          <w:tcPr>
            <w:tcW w:w="485" w:type="dxa"/>
            <w:tcBorders>
              <w:top w:val="single" w:sz="4" w:space="0" w:color="000000"/>
              <w:left w:val="single" w:sz="4" w:space="0" w:color="000000"/>
              <w:bottom w:val="single" w:sz="12" w:space="0" w:color="000000"/>
              <w:right w:val="single" w:sz="4" w:space="0" w:color="000000"/>
            </w:tcBorders>
          </w:tcPr>
          <w:p>
            <w:pPr/>
          </w:p>
        </w:tc>
        <w:tc>
          <w:tcPr>
            <w:tcW w:w="1028" w:type="dxa"/>
            <w:tcBorders>
              <w:top w:val="single" w:sz="4" w:space="0" w:color="000000"/>
              <w:left w:val="single" w:sz="4" w:space="0" w:color="000000"/>
              <w:bottom w:val="single" w:sz="12" w:space="0" w:color="000000"/>
              <w:right w:val="single" w:sz="4" w:space="0" w:color="000000"/>
            </w:tcBorders>
          </w:tcPr>
          <w:p>
            <w:pPr/>
          </w:p>
        </w:tc>
        <w:tc>
          <w:tcPr>
            <w:tcW w:w="710" w:type="dxa"/>
            <w:tcBorders>
              <w:top w:val="single" w:sz="4" w:space="0" w:color="000000"/>
              <w:left w:val="single" w:sz="4" w:space="0" w:color="000000"/>
              <w:bottom w:val="single" w:sz="12" w:space="0" w:color="000000"/>
              <w:right w:val="single" w:sz="4" w:space="0" w:color="000000"/>
            </w:tcBorders>
          </w:tcPr>
          <w:p>
            <w:pPr/>
          </w:p>
        </w:tc>
        <w:tc>
          <w:tcPr>
            <w:tcW w:w="653" w:type="dxa"/>
            <w:tcBorders>
              <w:top w:val="single" w:sz="4" w:space="0" w:color="000000"/>
              <w:left w:val="single" w:sz="4" w:space="0" w:color="000000"/>
              <w:bottom w:val="single" w:sz="12" w:space="0" w:color="000000"/>
              <w:right w:val="single" w:sz="4" w:space="0" w:color="000000"/>
            </w:tcBorders>
          </w:tcPr>
          <w:p>
            <w:pPr/>
          </w:p>
        </w:tc>
        <w:tc>
          <w:tcPr>
            <w:tcW w:w="950" w:type="dxa"/>
            <w:tcBorders>
              <w:top w:val="single" w:sz="4" w:space="0" w:color="000000"/>
              <w:left w:val="single" w:sz="4" w:space="0" w:color="000000"/>
              <w:bottom w:val="single" w:sz="12" w:space="0" w:color="000000"/>
              <w:right w:val="single" w:sz="4" w:space="0" w:color="000000"/>
            </w:tcBorders>
          </w:tcPr>
          <w:p>
            <w:pPr/>
          </w:p>
        </w:tc>
        <w:tc>
          <w:tcPr>
            <w:tcW w:w="14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4,543,585.77</w:t>
            </w:r>
          </w:p>
        </w:tc>
        <w:tc>
          <w:tcPr>
            <w:tcW w:w="720"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040" w:bottom="1220" w:left="380" w:right="0"/>
        </w:sectPr>
      </w:pPr>
    </w:p>
    <w:p>
      <w:pPr>
        <w:spacing w:line="240" w:lineRule="auto" w:before="8"/>
        <w:rPr>
          <w:rFonts w:ascii="宋体" w:hAnsi="宋体" w:cs="宋体" w:eastAsia="宋体" w:hint="default"/>
          <w:sz w:val="29"/>
          <w:szCs w:val="29"/>
        </w:rPr>
      </w:pPr>
    </w:p>
    <w:tbl>
      <w:tblPr>
        <w:tblW w:w="0" w:type="auto"/>
        <w:jc w:val="left"/>
        <w:tblInd w:w="101" w:type="dxa"/>
        <w:tblLayout w:type="fixed"/>
        <w:tblCellMar>
          <w:top w:w="0" w:type="dxa"/>
          <w:left w:w="0" w:type="dxa"/>
          <w:bottom w:w="0" w:type="dxa"/>
          <w:right w:w="0" w:type="dxa"/>
        </w:tblCellMar>
        <w:tblLook w:val="01E0"/>
      </w:tblPr>
      <w:tblGrid>
        <w:gridCol w:w="1006"/>
        <w:gridCol w:w="1575"/>
        <w:gridCol w:w="428"/>
        <w:gridCol w:w="427"/>
        <w:gridCol w:w="1484"/>
        <w:gridCol w:w="485"/>
        <w:gridCol w:w="1028"/>
        <w:gridCol w:w="710"/>
        <w:gridCol w:w="653"/>
        <w:gridCol w:w="950"/>
        <w:gridCol w:w="1489"/>
        <w:gridCol w:w="720"/>
      </w:tblGrid>
      <w:tr>
        <w:trPr>
          <w:trHeight w:val="374" w:hRule="exact"/>
        </w:trPr>
        <w:tc>
          <w:tcPr>
            <w:tcW w:w="1006"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75" w:type="dxa"/>
            <w:tcBorders>
              <w:top w:val="single" w:sz="12" w:space="0" w:color="000000"/>
              <w:left w:val="single" w:sz="4" w:space="0" w:color="000000"/>
              <w:bottom w:val="single" w:sz="4" w:space="0" w:color="000000"/>
              <w:right w:val="single" w:sz="4" w:space="0" w:color="000000"/>
            </w:tcBorders>
          </w:tcPr>
          <w:p>
            <w:pPr/>
          </w:p>
        </w:tc>
        <w:tc>
          <w:tcPr>
            <w:tcW w:w="428" w:type="dxa"/>
            <w:tcBorders>
              <w:top w:val="single" w:sz="12" w:space="0" w:color="000000"/>
              <w:left w:val="single" w:sz="4" w:space="0" w:color="000000"/>
              <w:bottom w:val="single" w:sz="4" w:space="0" w:color="000000"/>
              <w:right w:val="single" w:sz="4" w:space="0" w:color="000000"/>
            </w:tcBorders>
          </w:tcPr>
          <w:p>
            <w:pPr/>
          </w:p>
        </w:tc>
        <w:tc>
          <w:tcPr>
            <w:tcW w:w="427" w:type="dxa"/>
            <w:tcBorders>
              <w:top w:val="single" w:sz="12" w:space="0" w:color="000000"/>
              <w:left w:val="single" w:sz="4" w:space="0" w:color="000000"/>
              <w:bottom w:val="single" w:sz="4" w:space="0" w:color="000000"/>
              <w:right w:val="single" w:sz="4" w:space="0" w:color="000000"/>
            </w:tcBorders>
          </w:tcPr>
          <w:p>
            <w:pPr/>
          </w:p>
        </w:tc>
        <w:tc>
          <w:tcPr>
            <w:tcW w:w="1484" w:type="dxa"/>
            <w:tcBorders>
              <w:top w:val="single" w:sz="12" w:space="0" w:color="000000"/>
              <w:left w:val="single" w:sz="4" w:space="0" w:color="000000"/>
              <w:bottom w:val="single" w:sz="4" w:space="0" w:color="000000"/>
              <w:right w:val="single" w:sz="4" w:space="0" w:color="000000"/>
            </w:tcBorders>
          </w:tcPr>
          <w:p>
            <w:pPr/>
          </w:p>
        </w:tc>
        <w:tc>
          <w:tcPr>
            <w:tcW w:w="485" w:type="dxa"/>
            <w:tcBorders>
              <w:top w:val="single" w:sz="12" w:space="0" w:color="000000"/>
              <w:left w:val="single" w:sz="4" w:space="0" w:color="000000"/>
              <w:bottom w:val="single" w:sz="4" w:space="0" w:color="000000"/>
              <w:right w:val="single" w:sz="4" w:space="0" w:color="000000"/>
            </w:tcBorders>
          </w:tcPr>
          <w:p>
            <w:pPr/>
          </w:p>
        </w:tc>
        <w:tc>
          <w:tcPr>
            <w:tcW w:w="1028" w:type="dxa"/>
            <w:tcBorders>
              <w:top w:val="single" w:sz="12" w:space="0" w:color="000000"/>
              <w:left w:val="single" w:sz="4" w:space="0" w:color="000000"/>
              <w:bottom w:val="single" w:sz="4" w:space="0" w:color="000000"/>
              <w:right w:val="single" w:sz="4" w:space="0" w:color="000000"/>
            </w:tcBorders>
          </w:tcPr>
          <w:p>
            <w:pPr/>
          </w:p>
        </w:tc>
        <w:tc>
          <w:tcPr>
            <w:tcW w:w="710" w:type="dxa"/>
            <w:tcBorders>
              <w:top w:val="single" w:sz="12" w:space="0" w:color="000000"/>
              <w:left w:val="single" w:sz="4" w:space="0" w:color="000000"/>
              <w:bottom w:val="single" w:sz="4" w:space="0" w:color="000000"/>
              <w:right w:val="single" w:sz="4" w:space="0" w:color="000000"/>
            </w:tcBorders>
          </w:tcPr>
          <w:p>
            <w:pPr/>
          </w:p>
        </w:tc>
        <w:tc>
          <w:tcPr>
            <w:tcW w:w="653" w:type="dxa"/>
            <w:tcBorders>
              <w:top w:val="single" w:sz="12" w:space="0" w:color="000000"/>
              <w:left w:val="single" w:sz="4" w:space="0" w:color="000000"/>
              <w:bottom w:val="single" w:sz="4" w:space="0" w:color="000000"/>
              <w:right w:val="single" w:sz="4" w:space="0" w:color="000000"/>
            </w:tcBorders>
          </w:tcPr>
          <w:p>
            <w:pPr/>
          </w:p>
        </w:tc>
        <w:tc>
          <w:tcPr>
            <w:tcW w:w="950" w:type="dxa"/>
            <w:tcBorders>
              <w:top w:val="single" w:sz="12" w:space="0" w:color="000000"/>
              <w:left w:val="single" w:sz="4" w:space="0" w:color="000000"/>
              <w:bottom w:val="single" w:sz="4" w:space="0" w:color="000000"/>
              <w:right w:val="single" w:sz="4" w:space="0" w:color="000000"/>
            </w:tcBorders>
          </w:tcPr>
          <w:p>
            <w:pPr/>
          </w:p>
        </w:tc>
        <w:tc>
          <w:tcPr>
            <w:tcW w:w="1489" w:type="dxa"/>
            <w:tcBorders>
              <w:top w:val="single" w:sz="12" w:space="0" w:color="000000"/>
              <w:left w:val="single" w:sz="4" w:space="0" w:color="000000"/>
              <w:bottom w:val="single" w:sz="4" w:space="0" w:color="000000"/>
              <w:right w:val="single" w:sz="4" w:space="0" w:color="000000"/>
            </w:tcBorders>
          </w:tcPr>
          <w:p>
            <w:pPr/>
          </w:p>
        </w:tc>
        <w:tc>
          <w:tcPr>
            <w:tcW w:w="720" w:type="dxa"/>
            <w:tcBorders>
              <w:top w:val="single" w:sz="12" w:space="0" w:color="000000"/>
              <w:left w:val="single" w:sz="4" w:space="0" w:color="000000"/>
              <w:bottom w:val="single" w:sz="4" w:space="0" w:color="000000"/>
              <w:right w:val="single" w:sz="12" w:space="0" w:color="000000"/>
            </w:tcBorders>
          </w:tcPr>
          <w:p>
            <w:pPr/>
          </w:p>
        </w:tc>
      </w:tr>
      <w:tr>
        <w:trPr>
          <w:trHeight w:val="711" w:hRule="exact"/>
        </w:trPr>
        <w:tc>
          <w:tcPr>
            <w:tcW w:w="1006"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2"/>
                <w:sz w:val="18"/>
              </w:rPr>
              <w:t>136,441,172.68</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11,501,055.78</w:t>
            </w:r>
          </w:p>
        </w:tc>
        <w:tc>
          <w:tcPr>
            <w:tcW w:w="485"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176,464.7</w:t>
            </w:r>
          </w:p>
          <w:p>
            <w:pPr>
              <w:pStyle w:val="TableParagraph"/>
              <w:spacing w:line="240" w:lineRule="auto" w:before="76"/>
              <w:ind w:right="105"/>
              <w:jc w:val="right"/>
              <w:rPr>
                <w:rFonts w:ascii="宋体" w:hAnsi="宋体" w:cs="宋体" w:eastAsia="宋体" w:hint="default"/>
                <w:sz w:val="18"/>
                <w:szCs w:val="18"/>
              </w:rPr>
            </w:pPr>
            <w:r>
              <w:rPr>
                <w:rFonts w:ascii="宋体"/>
                <w:w w:val="101"/>
                <w:sz w:val="18"/>
              </w:rPr>
              <w:t>9</w:t>
            </w:r>
            <w:r>
              <w:rPr>
                <w:rFonts w:ascii="宋体"/>
                <w:sz w:val="18"/>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0" w:right="0"/>
              <w:jc w:val="left"/>
              <w:rPr>
                <w:rFonts w:ascii="宋体" w:hAnsi="宋体" w:cs="宋体" w:eastAsia="宋体" w:hint="default"/>
                <w:sz w:val="18"/>
                <w:szCs w:val="18"/>
              </w:rPr>
            </w:pPr>
            <w:r>
              <w:rPr>
                <w:rFonts w:ascii="宋体"/>
                <w:sz w:val="18"/>
              </w:rPr>
              <w:t>-3,021,5</w:t>
            </w:r>
          </w:p>
          <w:p>
            <w:pPr>
              <w:pStyle w:val="TableParagraph"/>
              <w:spacing w:line="240" w:lineRule="auto" w:before="76"/>
              <w:ind w:left="388" w:right="0"/>
              <w:jc w:val="left"/>
              <w:rPr>
                <w:rFonts w:ascii="宋体" w:hAnsi="宋体" w:cs="宋体" w:eastAsia="宋体" w:hint="default"/>
                <w:sz w:val="18"/>
                <w:szCs w:val="18"/>
              </w:rPr>
            </w:pPr>
            <w:r>
              <w:rPr>
                <w:rFonts w:ascii="宋体"/>
                <w:sz w:val="18"/>
              </w:rPr>
              <w:t>06.24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sz w:val="18"/>
              </w:rPr>
              <w:t>145,097,187.01</w:t>
            </w:r>
          </w:p>
        </w:tc>
        <w:tc>
          <w:tcPr>
            <w:tcW w:w="720" w:type="dxa"/>
            <w:tcBorders>
              <w:top w:val="single" w:sz="4" w:space="0" w:color="000000"/>
              <w:left w:val="single" w:sz="4" w:space="0" w:color="000000"/>
              <w:bottom w:val="single" w:sz="4" w:space="0" w:color="000000"/>
              <w:right w:val="single" w:sz="12" w:space="0" w:color="000000"/>
            </w:tcBorders>
          </w:tcPr>
          <w:p>
            <w:pPr/>
          </w:p>
        </w:tc>
      </w:tr>
      <w:tr>
        <w:trPr>
          <w:trHeight w:val="725" w:hRule="exact"/>
        </w:trPr>
        <w:tc>
          <w:tcPr>
            <w:tcW w:w="1006"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宋体" w:hAnsi="宋体" w:cs="宋体" w:eastAsia="宋体" w:hint="default"/>
                <w:sz w:val="18"/>
                <w:szCs w:val="18"/>
              </w:rPr>
            </w:pPr>
            <w:r>
              <w:rPr>
                <w:rFonts w:ascii="宋体"/>
                <w:spacing w:val="-2"/>
                <w:sz w:val="18"/>
              </w:rPr>
              <w:t>136,441,172.68</w:t>
            </w:r>
          </w:p>
        </w:tc>
        <w:tc>
          <w:tcPr>
            <w:tcW w:w="428" w:type="dxa"/>
            <w:tcBorders>
              <w:top w:val="single" w:sz="4" w:space="0" w:color="000000"/>
              <w:left w:val="single" w:sz="4" w:space="0" w:color="000000"/>
              <w:bottom w:val="single" w:sz="12" w:space="0" w:color="000000"/>
              <w:right w:val="single" w:sz="4" w:space="0" w:color="000000"/>
            </w:tcBorders>
          </w:tcPr>
          <w:p>
            <w:pPr/>
          </w:p>
        </w:tc>
        <w:tc>
          <w:tcPr>
            <w:tcW w:w="427" w:type="dxa"/>
            <w:tcBorders>
              <w:top w:val="single" w:sz="4" w:space="0" w:color="000000"/>
              <w:left w:val="single" w:sz="4" w:space="0" w:color="000000"/>
              <w:bottom w:val="single" w:sz="12" w:space="0" w:color="000000"/>
              <w:right w:val="single" w:sz="4" w:space="0" w:color="000000"/>
            </w:tcBorders>
          </w:tcPr>
          <w:p>
            <w:pPr/>
          </w:p>
        </w:tc>
        <w:tc>
          <w:tcPr>
            <w:tcW w:w="14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11,501,055.78</w:t>
            </w:r>
          </w:p>
        </w:tc>
        <w:tc>
          <w:tcPr>
            <w:tcW w:w="485" w:type="dxa"/>
            <w:tcBorders>
              <w:top w:val="single" w:sz="4" w:space="0" w:color="000000"/>
              <w:left w:val="single" w:sz="4" w:space="0" w:color="000000"/>
              <w:bottom w:val="single" w:sz="12" w:space="0" w:color="000000"/>
              <w:right w:val="single" w:sz="4" w:space="0" w:color="000000"/>
            </w:tcBorders>
          </w:tcPr>
          <w:p>
            <w:pPr/>
          </w:p>
        </w:tc>
        <w:tc>
          <w:tcPr>
            <w:tcW w:w="10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176,464.7</w:t>
            </w:r>
          </w:p>
          <w:p>
            <w:pPr>
              <w:pStyle w:val="TableParagraph"/>
              <w:spacing w:line="240" w:lineRule="auto" w:before="81"/>
              <w:ind w:right="105"/>
              <w:jc w:val="right"/>
              <w:rPr>
                <w:rFonts w:ascii="宋体" w:hAnsi="宋体" w:cs="宋体" w:eastAsia="宋体" w:hint="default"/>
                <w:sz w:val="18"/>
                <w:szCs w:val="18"/>
              </w:rPr>
            </w:pPr>
            <w:r>
              <w:rPr>
                <w:rFonts w:ascii="宋体"/>
                <w:w w:val="101"/>
                <w:sz w:val="18"/>
              </w:rPr>
              <w:t>9</w:t>
            </w:r>
            <w:r>
              <w:rPr>
                <w:rFonts w:ascii="宋体"/>
                <w:sz w:val="18"/>
              </w:rPr>
            </w:r>
          </w:p>
        </w:tc>
        <w:tc>
          <w:tcPr>
            <w:tcW w:w="710" w:type="dxa"/>
            <w:tcBorders>
              <w:top w:val="single" w:sz="4" w:space="0" w:color="000000"/>
              <w:left w:val="single" w:sz="4" w:space="0" w:color="000000"/>
              <w:bottom w:val="single" w:sz="12" w:space="0" w:color="000000"/>
              <w:right w:val="single" w:sz="4" w:space="0" w:color="000000"/>
            </w:tcBorders>
          </w:tcPr>
          <w:p>
            <w:pPr/>
          </w:p>
        </w:tc>
        <w:tc>
          <w:tcPr>
            <w:tcW w:w="653" w:type="dxa"/>
            <w:tcBorders>
              <w:top w:val="single" w:sz="4" w:space="0" w:color="000000"/>
              <w:left w:val="single" w:sz="4" w:space="0" w:color="000000"/>
              <w:bottom w:val="single" w:sz="12" w:space="0" w:color="000000"/>
              <w:right w:val="single" w:sz="4" w:space="0" w:color="000000"/>
            </w:tcBorders>
          </w:tcPr>
          <w:p>
            <w:pPr/>
          </w:p>
        </w:tc>
        <w:tc>
          <w:tcPr>
            <w:tcW w:w="9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120" w:right="0"/>
              <w:jc w:val="left"/>
              <w:rPr>
                <w:rFonts w:ascii="宋体" w:hAnsi="宋体" w:cs="宋体" w:eastAsia="宋体" w:hint="default"/>
                <w:sz w:val="18"/>
                <w:szCs w:val="18"/>
              </w:rPr>
            </w:pPr>
            <w:r>
              <w:rPr>
                <w:rFonts w:ascii="宋体"/>
                <w:sz w:val="18"/>
              </w:rPr>
              <w:t>-3,021,5</w:t>
            </w:r>
          </w:p>
          <w:p>
            <w:pPr>
              <w:pStyle w:val="TableParagraph"/>
              <w:spacing w:line="240" w:lineRule="auto" w:before="81"/>
              <w:ind w:left="388" w:right="0"/>
              <w:jc w:val="left"/>
              <w:rPr>
                <w:rFonts w:ascii="宋体" w:hAnsi="宋体" w:cs="宋体" w:eastAsia="宋体" w:hint="default"/>
                <w:sz w:val="18"/>
                <w:szCs w:val="18"/>
              </w:rPr>
            </w:pPr>
            <w:r>
              <w:rPr>
                <w:rFonts w:ascii="宋体"/>
                <w:sz w:val="18"/>
              </w:rPr>
              <w:t>06.24</w:t>
            </w:r>
          </w:p>
        </w:tc>
        <w:tc>
          <w:tcPr>
            <w:tcW w:w="14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 w:right="0"/>
              <w:jc w:val="center"/>
              <w:rPr>
                <w:rFonts w:ascii="宋体" w:hAnsi="宋体" w:cs="宋体" w:eastAsia="宋体" w:hint="default"/>
                <w:sz w:val="18"/>
                <w:szCs w:val="18"/>
              </w:rPr>
            </w:pPr>
            <w:r>
              <w:rPr>
                <w:rFonts w:ascii="宋体"/>
                <w:sz w:val="18"/>
              </w:rPr>
              <w:t>145,097,187.01</w:t>
            </w:r>
          </w:p>
        </w:tc>
        <w:tc>
          <w:tcPr>
            <w:tcW w:w="720" w:type="dxa"/>
            <w:tcBorders>
              <w:top w:val="single" w:sz="4" w:space="0" w:color="000000"/>
              <w:left w:val="single" w:sz="4" w:space="0" w:color="000000"/>
              <w:bottom w:val="single" w:sz="12" w:space="0" w:color="000000"/>
              <w:right w:val="single" w:sz="12"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ind w:left="733" w:right="0"/>
        <w:jc w:val="left"/>
        <w:rPr>
          <w:b w:val="0"/>
          <w:bCs w:val="0"/>
        </w:rPr>
      </w:pPr>
      <w:bookmarkStart w:name="4、营业收入和营业成本" w:id="507"/>
      <w:bookmarkEnd w:id="507"/>
      <w:r>
        <w:rPr>
          <w:b w:val="0"/>
          <w:bCs w:val="0"/>
        </w:rPr>
      </w:r>
      <w:r>
        <w:rPr>
          <w:rFonts w:ascii="宋体" w:hAnsi="宋体" w:cs="宋体" w:eastAsia="宋体"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71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13" w:hRule="exact"/>
        </w:trPr>
        <w:tc>
          <w:tcPr>
            <w:tcW w:w="1993"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3" w:type="dxa"/>
            <w:vMerge/>
            <w:tcBorders>
              <w:left w:val="single" w:sz="12"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98"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217,804,541.56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152,147,816.61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174,964,945.83</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127,419,140.07</w:t>
            </w:r>
          </w:p>
        </w:tc>
      </w:tr>
      <w:tr>
        <w:trPr>
          <w:trHeight w:val="404" w:hRule="exact"/>
        </w:trPr>
        <w:tc>
          <w:tcPr>
            <w:tcW w:w="199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5,820,615.95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3"/>
              <w:jc w:val="right"/>
              <w:rPr>
                <w:rFonts w:ascii="宋体" w:hAnsi="宋体" w:cs="宋体" w:eastAsia="宋体" w:hint="default"/>
                <w:sz w:val="18"/>
                <w:szCs w:val="18"/>
              </w:rPr>
            </w:pPr>
            <w:r>
              <w:rPr>
                <w:rFonts w:ascii="宋体"/>
                <w:spacing w:val="-1"/>
                <w:sz w:val="18"/>
              </w:rPr>
              <w:t>2,332,689.39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4"/>
              <w:jc w:val="right"/>
              <w:rPr>
                <w:rFonts w:ascii="宋体" w:hAnsi="宋体" w:cs="宋体" w:eastAsia="宋体" w:hint="default"/>
                <w:sz w:val="18"/>
                <w:szCs w:val="18"/>
              </w:rPr>
            </w:pPr>
            <w:r>
              <w:rPr>
                <w:rFonts w:ascii="宋体"/>
                <w:spacing w:val="-1"/>
                <w:sz w:val="18"/>
              </w:rPr>
              <w:t>2,919,374.91</w:t>
            </w:r>
          </w:p>
        </w:tc>
        <w:tc>
          <w:tcPr>
            <w:tcW w:w="19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121,042.71</w:t>
            </w:r>
          </w:p>
        </w:tc>
      </w:tr>
      <w:tr>
        <w:trPr>
          <w:trHeight w:val="413" w:hRule="exact"/>
        </w:trPr>
        <w:tc>
          <w:tcPr>
            <w:tcW w:w="199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223,625,157.51</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154,480,506.00</w:t>
            </w:r>
          </w:p>
        </w:tc>
        <w:tc>
          <w:tcPr>
            <w:tcW w:w="1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2"/>
                <w:sz w:val="18"/>
              </w:rPr>
              <w:t>177,884,320.74</w:t>
            </w:r>
          </w:p>
        </w:tc>
        <w:tc>
          <w:tcPr>
            <w:tcW w:w="19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2"/>
                <w:sz w:val="18"/>
              </w:rPr>
              <w:t>127,540,182.78</w:t>
            </w:r>
          </w:p>
        </w:tc>
      </w:tr>
    </w:tbl>
    <w:p>
      <w:pPr>
        <w:pStyle w:val="BodyText"/>
        <w:spacing w:line="240" w:lineRule="auto" w:before="66"/>
        <w:ind w:left="733" w:right="0"/>
        <w:jc w:val="left"/>
      </w:pPr>
      <w:r>
        <w:rPr/>
        <w:t>是否已执行新收入准则</w:t>
      </w:r>
    </w:p>
    <w:p>
      <w:pPr>
        <w:spacing w:line="240" w:lineRule="auto" w:before="12"/>
        <w:rPr>
          <w:rFonts w:ascii="宋体" w:hAnsi="宋体" w:cs="宋体" w:eastAsia="宋体" w:hint="default"/>
          <w:sz w:val="14"/>
          <w:szCs w:val="14"/>
        </w:rPr>
      </w:pPr>
    </w:p>
    <w:p>
      <w:pPr>
        <w:spacing w:line="408" w:lineRule="auto" w:before="0"/>
        <w:ind w:left="733" w:right="9591" w:firstLine="0"/>
        <w:jc w:val="left"/>
        <w:rPr>
          <w:rFonts w:ascii="宋体" w:hAnsi="宋体" w:cs="宋体" w:eastAsia="宋体" w:hint="default"/>
          <w:sz w:val="21"/>
          <w:szCs w:val="21"/>
        </w:rPr>
      </w:pPr>
      <w:r>
        <w:rPr>
          <w:rFonts w:ascii="宋体" w:hAnsi="宋体" w:cs="宋体" w:eastAsia="宋体" w:hint="default"/>
          <w:sz w:val="21"/>
          <w:szCs w:val="21"/>
        </w:rPr>
        <w:t>□ 是 √</w:t>
      </w:r>
      <w:r>
        <w:rPr>
          <w:rFonts w:ascii="宋体" w:hAnsi="宋体" w:cs="宋体" w:eastAsia="宋体" w:hint="default"/>
          <w:spacing w:val="5"/>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bookmarkStart w:name="5、投资收益" w:id="508"/>
      <w:bookmarkEnd w:id="508"/>
      <w:r>
        <w:rPr>
          <w:rFonts w:ascii="宋体" w:hAnsi="宋体" w:cs="宋体" w:eastAsia="宋体" w:hint="default"/>
          <w:w w:val="100"/>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before="35"/>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tbl>
      <w:tblPr>
        <w:tblW w:w="0" w:type="auto"/>
        <w:jc w:val="left"/>
        <w:tblInd w:w="718" w:type="dxa"/>
        <w:tblLayout w:type="fixed"/>
        <w:tblCellMar>
          <w:top w:w="0" w:type="dxa"/>
          <w:left w:w="0" w:type="dxa"/>
          <w:bottom w:w="0" w:type="dxa"/>
          <w:right w:w="0" w:type="dxa"/>
        </w:tblCellMar>
        <w:tblLook w:val="01E0"/>
      </w:tblPr>
      <w:tblGrid>
        <w:gridCol w:w="3328"/>
        <w:gridCol w:w="3058"/>
        <w:gridCol w:w="3188"/>
      </w:tblGrid>
      <w:tr>
        <w:trPr>
          <w:trHeight w:val="410" w:hRule="exact"/>
        </w:trPr>
        <w:tc>
          <w:tcPr>
            <w:tcW w:w="332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6"/>
              <w:ind w:left="1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3"/>
              <w:ind w:right="84"/>
              <w:jc w:val="right"/>
              <w:rPr>
                <w:rFonts w:ascii="宋体" w:hAnsi="宋体" w:cs="宋体" w:eastAsia="宋体" w:hint="default"/>
                <w:sz w:val="18"/>
                <w:szCs w:val="18"/>
              </w:rPr>
            </w:pPr>
            <w:r>
              <w:rPr>
                <w:rFonts w:ascii="宋体"/>
                <w:spacing w:val="-1"/>
                <w:sz w:val="18"/>
              </w:rPr>
              <w:t>10,764,100.00</w:t>
            </w:r>
          </w:p>
        </w:tc>
      </w:tr>
      <w:tr>
        <w:trPr>
          <w:trHeight w:val="404"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11,501,055.78</w:t>
            </w:r>
          </w:p>
        </w:tc>
        <w:tc>
          <w:tcPr>
            <w:tcW w:w="31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4"/>
              <w:ind w:right="84"/>
              <w:jc w:val="right"/>
              <w:rPr>
                <w:rFonts w:ascii="宋体" w:hAnsi="宋体" w:cs="宋体" w:eastAsia="宋体" w:hint="default"/>
                <w:sz w:val="18"/>
                <w:szCs w:val="18"/>
              </w:rPr>
            </w:pPr>
            <w:r>
              <w:rPr>
                <w:rFonts w:ascii="宋体"/>
                <w:spacing w:val="-1"/>
                <w:sz w:val="18"/>
              </w:rPr>
              <w:t>4,040,552.12</w:t>
            </w:r>
          </w:p>
        </w:tc>
      </w:tr>
      <w:tr>
        <w:trPr>
          <w:trHeight w:val="398"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11,280,346.52</w:t>
            </w: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9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交易性金融资产在持有期间的投资收益</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处置交易性金融资产取得的投资收益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6,533,762.91</w:t>
            </w: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4"/>
              <w:ind w:left="95" w:right="147"/>
              <w:jc w:val="left"/>
              <w:rPr>
                <w:rFonts w:ascii="宋体" w:hAnsi="宋体" w:cs="宋体" w:eastAsia="宋体" w:hint="default"/>
                <w:sz w:val="18"/>
                <w:szCs w:val="18"/>
              </w:rPr>
            </w:pPr>
            <w:r>
              <w:rPr>
                <w:rFonts w:ascii="宋体" w:hAnsi="宋体" w:cs="宋体" w:eastAsia="宋体" w:hint="default"/>
                <w:spacing w:val="-3"/>
                <w:sz w:val="18"/>
                <w:szCs w:val="18"/>
              </w:rPr>
              <w:t>其他权益工具投资在持有期间取得的股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利收入</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持有至到期投资在持有期间的投资收益</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8"/>
              <w:ind w:left="95" w:right="147"/>
              <w:jc w:val="left"/>
              <w:rPr>
                <w:rFonts w:ascii="宋体" w:hAnsi="宋体" w:cs="宋体" w:eastAsia="宋体" w:hint="default"/>
                <w:sz w:val="18"/>
                <w:szCs w:val="18"/>
              </w:rPr>
            </w:pPr>
            <w:r>
              <w:rPr>
                <w:rFonts w:ascii="宋体" w:hAnsi="宋体" w:cs="宋体" w:eastAsia="宋体" w:hint="default"/>
                <w:spacing w:val="-3"/>
                <w:sz w:val="18"/>
                <w:szCs w:val="18"/>
              </w:rPr>
              <w:t>可供出售金融资产在持有期间的投资收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益</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处置可供出售金融资产取得的投资收益</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处置持有至到期投资取得的投资收益</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710"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47"/>
              <w:jc w:val="left"/>
              <w:rPr>
                <w:rFonts w:ascii="宋体" w:hAnsi="宋体" w:cs="宋体" w:eastAsia="宋体" w:hint="default"/>
                <w:sz w:val="18"/>
                <w:szCs w:val="18"/>
              </w:rPr>
            </w:pPr>
            <w:r>
              <w:rPr>
                <w:rFonts w:ascii="宋体" w:hAnsi="宋体" w:cs="宋体" w:eastAsia="宋体" w:hint="default"/>
                <w:spacing w:val="-3"/>
                <w:sz w:val="18"/>
                <w:szCs w:val="18"/>
              </w:rPr>
              <w:t>丧失控制权后，剩余股权按公允价值重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新计量产生的利得</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债权投资在持有期间取得的利息收入</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725" w:hRule="exact"/>
        </w:trPr>
        <w:tc>
          <w:tcPr>
            <w:tcW w:w="332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21" w:lineRule="auto" w:before="53"/>
              <w:ind w:left="95" w:right="147"/>
              <w:jc w:val="left"/>
              <w:rPr>
                <w:rFonts w:ascii="宋体" w:hAnsi="宋体" w:cs="宋体" w:eastAsia="宋体" w:hint="default"/>
                <w:sz w:val="18"/>
                <w:szCs w:val="18"/>
              </w:rPr>
            </w:pPr>
            <w:r>
              <w:rPr>
                <w:rFonts w:ascii="宋体" w:hAnsi="宋体" w:cs="宋体" w:eastAsia="宋体" w:hint="default"/>
                <w:spacing w:val="-3"/>
                <w:sz w:val="18"/>
                <w:szCs w:val="18"/>
              </w:rPr>
              <w:t>其他债权投资在持有期间取得的利息收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入</w:t>
            </w:r>
          </w:p>
        </w:tc>
        <w:tc>
          <w:tcPr>
            <w:tcW w:w="3058" w:type="dxa"/>
            <w:tcBorders>
              <w:top w:val="single" w:sz="4" w:space="0" w:color="000000"/>
              <w:left w:val="single" w:sz="4" w:space="0" w:color="000000"/>
              <w:bottom w:val="single" w:sz="12" w:space="0" w:color="000000"/>
              <w:right w:val="single" w:sz="4" w:space="0" w:color="000000"/>
            </w:tcBorders>
          </w:tcPr>
          <w:p>
            <w:pPr/>
          </w:p>
        </w:tc>
        <w:tc>
          <w:tcPr>
            <w:tcW w:w="3188" w:type="dxa"/>
            <w:tcBorders>
              <w:top w:val="single" w:sz="4" w:space="0" w:color="000000"/>
              <w:left w:val="single" w:sz="4" w:space="0" w:color="000000"/>
              <w:bottom w:val="single" w:sz="12" w:space="0" w:color="000000"/>
              <w:right w:val="single" w:sz="12" w:space="0" w:color="000000"/>
            </w:tcBorders>
          </w:tcPr>
          <w:p>
            <w:pPr/>
          </w:p>
        </w:tc>
      </w:tr>
    </w:tbl>
    <w:p>
      <w:pPr>
        <w:spacing w:after="0"/>
        <w:sectPr>
          <w:pgSz w:w="11910" w:h="16840"/>
          <w:pgMar w:header="871" w:footer="1037" w:top="1040" w:bottom="1220" w:left="400" w:right="0"/>
        </w:sectPr>
      </w:pPr>
    </w:p>
    <w:p>
      <w:pPr>
        <w:spacing w:line="240" w:lineRule="auto" w:before="8"/>
        <w:rPr>
          <w:rFonts w:ascii="宋体" w:hAnsi="宋体" w:cs="宋体" w:eastAsia="宋体" w:hint="default"/>
          <w:sz w:val="29"/>
          <w:szCs w:val="29"/>
        </w:rPr>
      </w:pPr>
    </w:p>
    <w:tbl>
      <w:tblPr>
        <w:tblW w:w="0" w:type="auto"/>
        <w:jc w:val="left"/>
        <w:tblInd w:w="138" w:type="dxa"/>
        <w:tblLayout w:type="fixed"/>
        <w:tblCellMar>
          <w:top w:w="0" w:type="dxa"/>
          <w:left w:w="0" w:type="dxa"/>
          <w:bottom w:w="0" w:type="dxa"/>
          <w:right w:w="0" w:type="dxa"/>
        </w:tblCellMar>
        <w:tblLook w:val="01E0"/>
      </w:tblPr>
      <w:tblGrid>
        <w:gridCol w:w="3328"/>
        <w:gridCol w:w="3058"/>
        <w:gridCol w:w="3188"/>
      </w:tblGrid>
      <w:tr>
        <w:trPr>
          <w:trHeight w:val="413" w:hRule="exact"/>
        </w:trPr>
        <w:tc>
          <w:tcPr>
            <w:tcW w:w="332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处置其他债权投资取得的投资收益</w:t>
            </w:r>
          </w:p>
        </w:tc>
        <w:tc>
          <w:tcPr>
            <w:tcW w:w="3058" w:type="dxa"/>
            <w:tcBorders>
              <w:top w:val="single" w:sz="12" w:space="0" w:color="000000"/>
              <w:left w:val="single" w:sz="4" w:space="0" w:color="000000"/>
              <w:bottom w:val="single" w:sz="4" w:space="0" w:color="000000"/>
              <w:right w:val="single" w:sz="4" w:space="0" w:color="000000"/>
            </w:tcBorders>
          </w:tcPr>
          <w:p>
            <w:pPr/>
          </w:p>
        </w:tc>
        <w:tc>
          <w:tcPr>
            <w:tcW w:w="3188" w:type="dxa"/>
            <w:tcBorders>
              <w:top w:val="single" w:sz="12" w:space="0" w:color="000000"/>
              <w:left w:val="single" w:sz="4" w:space="0" w:color="000000"/>
              <w:bottom w:val="single" w:sz="4" w:space="0" w:color="000000"/>
              <w:right w:val="single" w:sz="12" w:space="0" w:color="000000"/>
            </w:tcBorders>
          </w:tcPr>
          <w:p>
            <w:pP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-250,000.00</w:t>
            </w: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32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29,065,165.21</w:t>
            </w:r>
          </w:p>
        </w:tc>
        <w:tc>
          <w:tcPr>
            <w:tcW w:w="318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4"/>
              <w:ind w:left="1906" w:right="0"/>
              <w:jc w:val="left"/>
              <w:rPr>
                <w:rFonts w:ascii="宋体" w:hAnsi="宋体" w:cs="宋体" w:eastAsia="宋体" w:hint="default"/>
                <w:sz w:val="18"/>
                <w:szCs w:val="18"/>
              </w:rPr>
            </w:pPr>
            <w:r>
              <w:rPr>
                <w:rFonts w:ascii="宋体"/>
                <w:sz w:val="18"/>
              </w:rPr>
              <w:t>14,804,652.12</w:t>
            </w:r>
          </w:p>
        </w:tc>
      </w:tr>
    </w:tbl>
    <w:p>
      <w:pPr>
        <w:pStyle w:val="Heading2"/>
        <w:spacing w:line="240" w:lineRule="auto" w:before="41"/>
        <w:ind w:right="1024"/>
        <w:jc w:val="left"/>
        <w:rPr>
          <w:b w:val="0"/>
          <w:bCs w:val="0"/>
        </w:rPr>
      </w:pPr>
      <w:bookmarkStart w:name="十八、补充资料" w:id="509"/>
      <w:bookmarkEnd w:id="509"/>
      <w:r>
        <w:rPr>
          <w:b w:val="0"/>
          <w:bCs w:val="0"/>
        </w:rPr>
      </w:r>
      <w:r>
        <w:rPr/>
        <w:t>十八、补充资料</w:t>
      </w:r>
      <w:r>
        <w:rPr>
          <w:b w:val="0"/>
          <w:bCs w:val="0"/>
        </w:rPr>
      </w:r>
    </w:p>
    <w:p>
      <w:pPr>
        <w:pStyle w:val="Heading4"/>
        <w:spacing w:line="240" w:lineRule="auto" w:before="177"/>
        <w:ind w:right="1024"/>
        <w:jc w:val="left"/>
        <w:rPr>
          <w:b w:val="0"/>
          <w:bCs w:val="0"/>
        </w:rPr>
      </w:pPr>
      <w:bookmarkStart w:name="1、当期非经常性损益明细表" w:id="510"/>
      <w:bookmarkEnd w:id="510"/>
      <w:r>
        <w:rPr>
          <w:b w:val="0"/>
          <w:bCs w:val="0"/>
        </w:rPr>
      </w:r>
      <w:r>
        <w:rPr>
          <w:rFonts w:ascii="宋体" w:hAnsi="宋体" w:cs="宋体" w:eastAsia="宋体" w:hint="default"/>
        </w:rPr>
        <w:t>1</w:t>
      </w:r>
      <w:r>
        <w:rPr/>
        <w:t>、当期非经常性损益明细表</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right="1024"/>
        <w:jc w:val="left"/>
      </w:pPr>
      <w:r>
        <w:rPr/>
        <w:t>√ 适用 □</w:t>
      </w:r>
      <w:r>
        <w:rPr>
          <w:spacing w:val="4"/>
        </w:rPr>
        <w:t> </w:t>
      </w:r>
      <w:r>
        <w:rPr/>
        <w:t>不适用</w:t>
      </w:r>
    </w:p>
    <w:p>
      <w:pPr>
        <w:spacing w:line="240" w:lineRule="auto" w:before="1"/>
        <w:rPr>
          <w:rFonts w:ascii="宋体" w:hAnsi="宋体" w:cs="宋体" w:eastAsia="宋体" w:hint="default"/>
          <w:sz w:val="10"/>
          <w:szCs w:val="10"/>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3328"/>
        <w:gridCol w:w="3058"/>
        <w:gridCol w:w="3188"/>
      </w:tblGrid>
      <w:tr>
        <w:trPr>
          <w:trHeight w:val="413" w:hRule="exact"/>
        </w:trPr>
        <w:tc>
          <w:tcPr>
            <w:tcW w:w="3328"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98"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9,825,478.79</w:t>
            </w: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8"/>
              <w:ind w:left="95" w:right="325"/>
              <w:jc w:val="left"/>
              <w:rPr>
                <w:rFonts w:ascii="宋体" w:hAnsi="宋体" w:cs="宋体" w:eastAsia="宋体" w:hint="default"/>
                <w:sz w:val="18"/>
                <w:szCs w:val="18"/>
              </w:rPr>
            </w:pPr>
            <w:r>
              <w:rPr>
                <w:rFonts w:ascii="宋体" w:hAnsi="宋体" w:cs="宋体" w:eastAsia="宋体" w:hint="default"/>
                <w:spacing w:val="-3"/>
                <w:sz w:val="18"/>
                <w:szCs w:val="18"/>
              </w:rPr>
              <w:t>越权审批或无正式批准文件的税收返</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还、减免</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1027"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5" w:right="147"/>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密切相关，按照国家统一标准定额或定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量享受的政府补助除外）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99"/>
              <w:jc w:val="right"/>
              <w:rPr>
                <w:rFonts w:ascii="宋体" w:hAnsi="宋体" w:cs="宋体" w:eastAsia="宋体" w:hint="default"/>
                <w:sz w:val="18"/>
                <w:szCs w:val="18"/>
              </w:rPr>
            </w:pPr>
            <w:r>
              <w:rPr>
                <w:rFonts w:ascii="宋体"/>
                <w:spacing w:val="-1"/>
                <w:sz w:val="18"/>
              </w:rPr>
              <w:t>9,278,467.14</w:t>
            </w: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716"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9" w:lineRule="auto" w:before="53"/>
              <w:ind w:left="95" w:right="147"/>
              <w:jc w:val="left"/>
              <w:rPr>
                <w:rFonts w:ascii="宋体" w:hAnsi="宋体" w:cs="宋体" w:eastAsia="宋体" w:hint="default"/>
                <w:sz w:val="18"/>
                <w:szCs w:val="18"/>
              </w:rPr>
            </w:pPr>
            <w:r>
              <w:rPr>
                <w:rFonts w:ascii="宋体" w:hAnsi="宋体" w:cs="宋体" w:eastAsia="宋体" w:hint="default"/>
                <w:spacing w:val="-3"/>
                <w:sz w:val="18"/>
                <w:szCs w:val="18"/>
              </w:rPr>
              <w:t>计入当期损益的对非金融企业收取的资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金占用费</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590,416.67</w:t>
            </w: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2271"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3"/>
              <w:ind w:left="95" w:right="147"/>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保值业务外，持有交易性金融资产、衍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生金融资产、交易性金融负债、衍生金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融负债产生的公允价值变动损益，以及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处置交易性金融资产、衍生金融资产、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交易性金融负债、衍生金融负债和其他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债权投资取得的投资收益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6,533,762.91</w:t>
            </w: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715"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58"/>
              <w:ind w:left="95" w:right="147"/>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出</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-1,215,819.89</w:t>
            </w: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404"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pacing w:val="-3"/>
                <w:sz w:val="18"/>
                <w:szCs w:val="18"/>
              </w:rPr>
              <w:t>其他符合非经常性损益定义的损益项目</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398"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宋体" w:hAnsi="宋体" w:cs="宋体" w:eastAsia="宋体" w:hint="default"/>
                <w:sz w:val="18"/>
                <w:szCs w:val="18"/>
              </w:rPr>
            </w:pPr>
            <w:r>
              <w:rPr>
                <w:rFonts w:ascii="宋体"/>
                <w:spacing w:val="-1"/>
                <w:sz w:val="18"/>
              </w:rPr>
              <w:t>115,276.88</w:t>
            </w: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403" w:hRule="exact"/>
        </w:trPr>
        <w:tc>
          <w:tcPr>
            <w:tcW w:w="332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8"/>
              <w:ind w:left="455"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18"/>
                <w:szCs w:val="18"/>
              </w:rPr>
            </w:pPr>
            <w:r>
              <w:rPr>
                <w:rFonts w:ascii="宋体"/>
                <w:spacing w:val="-1"/>
                <w:sz w:val="18"/>
              </w:rPr>
              <w:t>480,720.12</w:t>
            </w:r>
          </w:p>
        </w:tc>
        <w:tc>
          <w:tcPr>
            <w:tcW w:w="3188" w:type="dxa"/>
            <w:tcBorders>
              <w:top w:val="single" w:sz="4" w:space="0" w:color="000000"/>
              <w:left w:val="single" w:sz="4" w:space="0" w:color="000000"/>
              <w:bottom w:val="single" w:sz="4" w:space="0" w:color="000000"/>
              <w:right w:val="single" w:sz="12" w:space="0" w:color="000000"/>
            </w:tcBorders>
          </w:tcPr>
          <w:p>
            <w:pPr/>
          </w:p>
        </w:tc>
      </w:tr>
      <w:tr>
        <w:trPr>
          <w:trHeight w:val="413" w:hRule="exact"/>
        </w:trPr>
        <w:tc>
          <w:tcPr>
            <w:tcW w:w="332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4"/>
              <w:ind w:left="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4"/>
              <w:ind w:right="99"/>
              <w:jc w:val="right"/>
              <w:rPr>
                <w:rFonts w:ascii="宋体" w:hAnsi="宋体" w:cs="宋体" w:eastAsia="宋体" w:hint="default"/>
                <w:sz w:val="18"/>
                <w:szCs w:val="18"/>
              </w:rPr>
            </w:pPr>
            <w:r>
              <w:rPr>
                <w:rFonts w:ascii="宋体"/>
                <w:spacing w:val="-1"/>
                <w:sz w:val="18"/>
              </w:rPr>
              <w:t>24,416,308.62</w:t>
            </w:r>
          </w:p>
        </w:tc>
        <w:tc>
          <w:tcPr>
            <w:tcW w:w="3188" w:type="dxa"/>
            <w:tcBorders>
              <w:top w:val="single" w:sz="4" w:space="0" w:color="000000"/>
              <w:left w:val="single" w:sz="4" w:space="0" w:color="000000"/>
              <w:bottom w:val="single" w:sz="12" w:space="0" w:color="000000"/>
              <w:right w:val="single" w:sz="12"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4"/>
        <w:spacing w:line="240" w:lineRule="auto"/>
        <w:ind w:right="1024"/>
        <w:jc w:val="left"/>
        <w:rPr>
          <w:b w:val="0"/>
          <w:bCs w:val="0"/>
        </w:rPr>
      </w:pPr>
      <w:bookmarkStart w:name="2、净资产收益率及每股收益" w:id="511"/>
      <w:bookmarkEnd w:id="511"/>
      <w:r>
        <w:rPr>
          <w:b w:val="0"/>
          <w:bCs w:val="0"/>
        </w:rPr>
      </w:r>
      <w:r>
        <w:rPr>
          <w:rFonts w:ascii="宋体" w:hAnsi="宋体" w:cs="宋体" w:eastAsia="宋体" w:hint="default"/>
        </w:rPr>
        <w:t>2</w:t>
      </w:r>
      <w:r>
        <w:rPr/>
        <w:t>、净资产收益率及每股收益</w:t>
      </w:r>
      <w:r>
        <w:rPr>
          <w:b w:val="0"/>
          <w:bCs w:val="0"/>
        </w:rPr>
      </w:r>
    </w:p>
    <w:p>
      <w:pPr>
        <w:spacing w:line="240" w:lineRule="auto" w:before="9"/>
        <w:rPr>
          <w:rFonts w:ascii="宋体" w:hAnsi="宋体" w:cs="宋体" w:eastAsia="宋体" w:hint="default"/>
          <w:b/>
          <w:bCs/>
          <w:sz w:val="26"/>
          <w:szCs w:val="26"/>
        </w:rPr>
      </w:pPr>
    </w:p>
    <w:tbl>
      <w:tblPr>
        <w:tblW w:w="0" w:type="auto"/>
        <w:jc w:val="left"/>
        <w:tblInd w:w="138" w:type="dxa"/>
        <w:tblLayout w:type="fixed"/>
        <w:tblCellMar>
          <w:top w:w="0" w:type="dxa"/>
          <w:left w:w="0" w:type="dxa"/>
          <w:bottom w:w="0" w:type="dxa"/>
          <w:right w:w="0" w:type="dxa"/>
        </w:tblCellMar>
        <w:tblLook w:val="01E0"/>
      </w:tblPr>
      <w:tblGrid>
        <w:gridCol w:w="2665"/>
        <w:gridCol w:w="3078"/>
        <w:gridCol w:w="1916"/>
        <w:gridCol w:w="1911"/>
      </w:tblGrid>
      <w:tr>
        <w:trPr>
          <w:trHeight w:val="413" w:hRule="exact"/>
        </w:trPr>
        <w:tc>
          <w:tcPr>
            <w:tcW w:w="2665"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869"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single" w:sz="12"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362" w:lineRule="auto"/>
              <w:ind w:left="917" w:right="916" w:firstLine="254"/>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w:t>
            </w:r>
            <w:r>
              <w:rPr>
                <w:rFonts w:ascii="宋体" w:hAnsi="宋体" w:cs="宋体" w:eastAsia="宋体" w:hint="default"/>
                <w:w w:val="101"/>
                <w:sz w:val="18"/>
                <w:szCs w:val="18"/>
              </w:rPr>
              <w:t> </w:t>
            </w:r>
            <w:r>
              <w:rPr>
                <w:rFonts w:ascii="宋体" w:hAnsi="宋体" w:cs="宋体" w:eastAsia="宋体" w:hint="default"/>
                <w:spacing w:val="-3"/>
                <w:sz w:val="18"/>
                <w:szCs w:val="18"/>
              </w:rPr>
              <w:t>净资产收益率</w:t>
            </w:r>
            <w:r>
              <w:rPr>
                <w:rFonts w:ascii="Times New Roman" w:hAnsi="Times New Roman" w:cs="Times New Roman" w:eastAsia="Times New Roman" w:hint="default"/>
                <w:spacing w:val="-3"/>
                <w:sz w:val="18"/>
                <w:szCs w:val="18"/>
              </w:rPr>
              <w:t>%</w:t>
            </w:r>
          </w:p>
        </w:tc>
        <w:tc>
          <w:tcPr>
            <w:tcW w:w="3827" w:type="dxa"/>
            <w:gridSpan w:val="2"/>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8"/>
              <w:ind w:left="19"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716" w:hRule="exact"/>
        </w:trPr>
        <w:tc>
          <w:tcPr>
            <w:tcW w:w="2665" w:type="dxa"/>
            <w:vMerge/>
            <w:tcBorders>
              <w:left w:val="single" w:sz="12" w:space="0" w:color="000000"/>
              <w:bottom w:val="single" w:sz="4" w:space="0" w:color="000000"/>
              <w:right w:val="single" w:sz="4" w:space="0" w:color="000000"/>
            </w:tcBorders>
            <w:shd w:val="clear" w:color="auto" w:fill="D2D2D2"/>
          </w:tcPr>
          <w:p>
            <w:pPr/>
          </w:p>
        </w:tc>
        <w:tc>
          <w:tcPr>
            <w:tcW w:w="3078"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pacing w:val="-9"/>
                <w:sz w:val="18"/>
                <w:szCs w:val="18"/>
              </w:rPr>
              <w:t>基本每股收益（元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股）</w:t>
            </w:r>
            <w:r>
              <w:rPr>
                <w:rFonts w:ascii="宋体" w:hAnsi="宋体" w:cs="宋体" w:eastAsia="宋体" w:hint="default"/>
                <w:sz w:val="18"/>
                <w:szCs w:val="18"/>
              </w:rPr>
            </w:r>
          </w:p>
        </w:tc>
        <w:tc>
          <w:tcPr>
            <w:tcW w:w="1911"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321" w:lineRule="auto" w:before="54"/>
              <w:ind w:left="773" w:right="167" w:hanging="586"/>
              <w:jc w:val="left"/>
              <w:rPr>
                <w:rFonts w:ascii="宋体" w:hAnsi="宋体" w:cs="宋体" w:eastAsia="宋体" w:hint="default"/>
                <w:sz w:val="18"/>
                <w:szCs w:val="18"/>
              </w:rPr>
            </w:pPr>
            <w:r>
              <w:rPr>
                <w:rFonts w:ascii="宋体" w:hAnsi="宋体" w:cs="宋体" w:eastAsia="宋体" w:hint="default"/>
                <w:spacing w:val="-2"/>
                <w:sz w:val="18"/>
                <w:szCs w:val="18"/>
              </w:rPr>
              <w:t>稀释每股收益（元</w:t>
            </w:r>
            <w:r>
              <w:rPr>
                <w:rFonts w:ascii="宋体" w:hAnsi="宋体" w:cs="宋体" w:eastAsia="宋体" w:hint="default"/>
                <w:spacing w:val="-2"/>
                <w:sz w:val="18"/>
                <w:szCs w:val="18"/>
              </w:rPr>
              <w:t>/</w:t>
            </w:r>
            <w:r>
              <w:rPr>
                <w:rFonts w:ascii="宋体" w:hAnsi="宋体" w:cs="宋体" w:eastAsia="宋体" w:hint="default"/>
                <w:spacing w:val="-67"/>
                <w:sz w:val="18"/>
                <w:szCs w:val="18"/>
              </w:rPr>
              <w:t> </w:t>
            </w:r>
            <w:r>
              <w:rPr>
                <w:rFonts w:ascii="宋体" w:hAnsi="宋体" w:cs="宋体" w:eastAsia="宋体" w:hint="default"/>
                <w:sz w:val="18"/>
                <w:szCs w:val="18"/>
              </w:rPr>
              <w:t>股）</w:t>
            </w:r>
          </w:p>
        </w:tc>
      </w:tr>
      <w:tr>
        <w:trPr>
          <w:trHeight w:val="413" w:hRule="exact"/>
        </w:trPr>
        <w:tc>
          <w:tcPr>
            <w:tcW w:w="266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73"/>
              <w:ind w:left="95"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w:t>
            </w:r>
          </w:p>
        </w:tc>
        <w:tc>
          <w:tcPr>
            <w:tcW w:w="30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2.36</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94"/>
              <w:jc w:val="right"/>
              <w:rPr>
                <w:rFonts w:ascii="宋体" w:hAnsi="宋体" w:cs="宋体" w:eastAsia="宋体" w:hint="default"/>
                <w:sz w:val="18"/>
                <w:szCs w:val="18"/>
              </w:rPr>
            </w:pPr>
            <w:r>
              <w:rPr>
                <w:rFonts w:ascii="宋体"/>
                <w:spacing w:val="-1"/>
                <w:sz w:val="18"/>
              </w:rPr>
              <w:t>0.0618</w:t>
            </w:r>
          </w:p>
        </w:tc>
        <w:tc>
          <w:tcPr>
            <w:tcW w:w="191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right="79"/>
              <w:jc w:val="right"/>
              <w:rPr>
                <w:rFonts w:ascii="宋体" w:hAnsi="宋体" w:cs="宋体" w:eastAsia="宋体" w:hint="default"/>
                <w:sz w:val="18"/>
                <w:szCs w:val="18"/>
              </w:rPr>
            </w:pPr>
            <w:r>
              <w:rPr>
                <w:rFonts w:ascii="宋体"/>
                <w:spacing w:val="-1"/>
                <w:sz w:val="18"/>
              </w:rPr>
              <w:t>0.0618</w:t>
            </w:r>
          </w:p>
        </w:tc>
      </w:tr>
    </w:tbl>
    <w:p>
      <w:pPr>
        <w:spacing w:after="0" w:line="240" w:lineRule="auto"/>
        <w:jc w:val="right"/>
        <w:rPr>
          <w:rFonts w:ascii="宋体" w:hAnsi="宋体" w:cs="宋体" w:eastAsia="宋体" w:hint="default"/>
          <w:sz w:val="18"/>
          <w:szCs w:val="18"/>
        </w:rPr>
        <w:sectPr>
          <w:pgSz w:w="11910" w:h="16840"/>
          <w:pgMar w:header="871" w:footer="1037" w:top="1040" w:bottom="1220" w:left="980" w:right="0"/>
        </w:sectPr>
      </w:pPr>
    </w:p>
    <w:p>
      <w:pPr>
        <w:spacing w:line="240" w:lineRule="auto" w:before="8"/>
        <w:rPr>
          <w:rFonts w:ascii="宋体" w:hAnsi="宋体" w:cs="宋体" w:eastAsia="宋体" w:hint="default"/>
          <w:b/>
          <w:bCs/>
          <w:sz w:val="29"/>
          <w:szCs w:val="29"/>
        </w:rPr>
      </w:pPr>
    </w:p>
    <w:tbl>
      <w:tblPr>
        <w:tblW w:w="0" w:type="auto"/>
        <w:jc w:val="left"/>
        <w:tblInd w:w="138" w:type="dxa"/>
        <w:tblLayout w:type="fixed"/>
        <w:tblCellMar>
          <w:top w:w="0" w:type="dxa"/>
          <w:left w:w="0" w:type="dxa"/>
          <w:bottom w:w="0" w:type="dxa"/>
          <w:right w:w="0" w:type="dxa"/>
        </w:tblCellMar>
        <w:tblLook w:val="01E0"/>
      </w:tblPr>
      <w:tblGrid>
        <w:gridCol w:w="2665"/>
        <w:gridCol w:w="3078"/>
        <w:gridCol w:w="1916"/>
        <w:gridCol w:w="1911"/>
      </w:tblGrid>
      <w:tr>
        <w:trPr>
          <w:trHeight w:val="374" w:hRule="exact"/>
        </w:trPr>
        <w:tc>
          <w:tcPr>
            <w:tcW w:w="2665" w:type="dxa"/>
            <w:tcBorders>
              <w:top w:val="single" w:sz="12"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5"/>
              <w:ind w:left="95" w:right="0"/>
              <w:jc w:val="left"/>
              <w:rPr>
                <w:rFonts w:ascii="宋体" w:hAnsi="宋体" w:cs="宋体" w:eastAsia="宋体" w:hint="default"/>
                <w:sz w:val="18"/>
                <w:szCs w:val="18"/>
              </w:rPr>
            </w:pPr>
            <w:r>
              <w:rPr>
                <w:rFonts w:ascii="宋体" w:hAnsi="宋体" w:cs="宋体" w:eastAsia="宋体" w:hint="default"/>
                <w:w w:val="101"/>
                <w:sz w:val="18"/>
                <w:szCs w:val="18"/>
              </w:rPr>
              <w:t>润</w:t>
            </w:r>
            <w:r>
              <w:rPr>
                <w:rFonts w:ascii="宋体" w:hAnsi="宋体" w:cs="宋体" w:eastAsia="宋体" w:hint="default"/>
                <w:sz w:val="18"/>
                <w:szCs w:val="18"/>
              </w:rPr>
            </w:r>
          </w:p>
        </w:tc>
        <w:tc>
          <w:tcPr>
            <w:tcW w:w="3078" w:type="dxa"/>
            <w:tcBorders>
              <w:top w:val="single" w:sz="12" w:space="0" w:color="000000"/>
              <w:left w:val="single" w:sz="4" w:space="0" w:color="000000"/>
              <w:bottom w:val="single" w:sz="4" w:space="0" w:color="000000"/>
              <w:right w:val="single" w:sz="4" w:space="0" w:color="000000"/>
            </w:tcBorders>
          </w:tcPr>
          <w:p>
            <w:pPr/>
          </w:p>
        </w:tc>
        <w:tc>
          <w:tcPr>
            <w:tcW w:w="1916" w:type="dxa"/>
            <w:tcBorders>
              <w:top w:val="single" w:sz="12" w:space="0" w:color="000000"/>
              <w:left w:val="single" w:sz="4" w:space="0" w:color="000000"/>
              <w:bottom w:val="single" w:sz="4" w:space="0" w:color="000000"/>
              <w:right w:val="single" w:sz="4" w:space="0" w:color="000000"/>
            </w:tcBorders>
          </w:tcPr>
          <w:p>
            <w:pPr/>
          </w:p>
        </w:tc>
        <w:tc>
          <w:tcPr>
            <w:tcW w:w="1911" w:type="dxa"/>
            <w:tcBorders>
              <w:top w:val="single" w:sz="12" w:space="0" w:color="000000"/>
              <w:left w:val="single" w:sz="4" w:space="0" w:color="000000"/>
              <w:bottom w:val="single" w:sz="4" w:space="0" w:color="000000"/>
              <w:right w:val="single" w:sz="12" w:space="0" w:color="000000"/>
            </w:tcBorders>
          </w:tcPr>
          <w:p>
            <w:pPr/>
          </w:p>
        </w:tc>
      </w:tr>
      <w:tr>
        <w:trPr>
          <w:trHeight w:val="725" w:hRule="exact"/>
        </w:trPr>
        <w:tc>
          <w:tcPr>
            <w:tcW w:w="2665"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316" w:lineRule="auto" w:before="53"/>
              <w:ind w:left="95" w:right="2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司普通股股东的净利润</w:t>
            </w:r>
          </w:p>
        </w:tc>
        <w:tc>
          <w:tcPr>
            <w:tcW w:w="30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5"/>
              <w:jc w:val="right"/>
              <w:rPr>
                <w:rFonts w:ascii="宋体" w:hAnsi="宋体" w:cs="宋体" w:eastAsia="宋体" w:hint="default"/>
                <w:sz w:val="18"/>
                <w:szCs w:val="18"/>
              </w:rPr>
            </w:pPr>
            <w:r>
              <w:rPr>
                <w:rFonts w:ascii="宋体"/>
                <w:sz w:val="18"/>
              </w:rPr>
              <w:t>0.07</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67" w:right="0"/>
              <w:jc w:val="left"/>
              <w:rPr>
                <w:rFonts w:ascii="宋体" w:hAnsi="宋体" w:cs="宋体" w:eastAsia="宋体" w:hint="default"/>
                <w:sz w:val="18"/>
                <w:szCs w:val="18"/>
              </w:rPr>
            </w:pPr>
            <w:r>
              <w:rPr>
                <w:rFonts w:ascii="宋体"/>
                <w:sz w:val="18"/>
              </w:rPr>
              <w:t>0.0019</w:t>
            </w:r>
          </w:p>
        </w:tc>
        <w:tc>
          <w:tcPr>
            <w:tcW w:w="191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9"/>
              <w:jc w:val="right"/>
              <w:rPr>
                <w:rFonts w:ascii="宋体" w:hAnsi="宋体" w:cs="宋体" w:eastAsia="宋体" w:hint="default"/>
                <w:sz w:val="18"/>
                <w:szCs w:val="18"/>
              </w:rPr>
            </w:pPr>
            <w:r>
              <w:rPr>
                <w:rFonts w:ascii="宋体"/>
                <w:spacing w:val="-1"/>
                <w:sz w:val="18"/>
              </w:rPr>
              <w:t>0.0019</w:t>
            </w:r>
          </w:p>
        </w:tc>
      </w:tr>
    </w:tbl>
    <w:p>
      <w:pPr>
        <w:pStyle w:val="Heading4"/>
        <w:spacing w:line="240" w:lineRule="auto" w:before="66"/>
        <w:ind w:right="1024"/>
        <w:jc w:val="left"/>
        <w:rPr>
          <w:b w:val="0"/>
          <w:bCs w:val="0"/>
        </w:rPr>
      </w:pPr>
      <w:bookmarkStart w:name="3、境内外会计准则下会计数据差异" w:id="512"/>
      <w:bookmarkEnd w:id="512"/>
      <w:r>
        <w:rPr>
          <w:b w:val="0"/>
          <w:bCs w:val="0"/>
        </w:rPr>
      </w:r>
      <w:r>
        <w:rPr>
          <w:rFonts w:ascii="宋体" w:hAnsi="宋体" w:cs="宋体" w:eastAsia="宋体" w:hint="default"/>
        </w:rPr>
        <w:t>3</w:t>
      </w:r>
      <w:r>
        <w:rPr/>
        <w:t>、境内外会计准则下会计数据差异</w:t>
      </w:r>
      <w:r>
        <w:rPr>
          <w:b w:val="0"/>
          <w:bCs w:val="0"/>
        </w:rPr>
      </w:r>
    </w:p>
    <w:p>
      <w:pPr>
        <w:spacing w:line="240" w:lineRule="auto" w:before="8"/>
        <w:rPr>
          <w:rFonts w:ascii="宋体" w:hAnsi="宋体" w:cs="宋体" w:eastAsia="宋体" w:hint="default"/>
          <w:b/>
          <w:bCs/>
          <w:sz w:val="14"/>
          <w:szCs w:val="14"/>
        </w:rPr>
      </w:pPr>
    </w:p>
    <w:p>
      <w:pPr>
        <w:pStyle w:val="Heading4"/>
        <w:spacing w:line="240" w:lineRule="auto" w:before="0"/>
        <w:ind w:right="1024"/>
        <w:jc w:val="left"/>
        <w:rPr>
          <w:b w:val="0"/>
          <w:bCs w:val="0"/>
        </w:rPr>
      </w:pPr>
      <w:bookmarkStart w:name="（1）同时按照国际会计准则与按中国会计准则披露的财务报告中净利润和净资产差异情况" w:id="513"/>
      <w:bookmarkEnd w:id="513"/>
      <w:r>
        <w:rPr>
          <w:b w:val="0"/>
          <w:bCs w:val="0"/>
        </w:rPr>
      </w:r>
      <w:r>
        <w:rPr/>
        <w:t>（</w:t>
      </w:r>
      <w:r>
        <w:rPr>
          <w:rFonts w:ascii="宋体" w:hAnsi="宋体" w:cs="宋体" w:eastAsia="宋体" w:hint="default"/>
        </w:rPr>
        <w:t>1</w:t>
      </w:r>
      <w:r>
        <w:rPr/>
        <w:t>）同时按照国际会计准则与按中国会计准则披露的财务报告中净利润和净资产差异情况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left="364" w:right="1024"/>
        <w:jc w:val="left"/>
      </w:pPr>
      <w:r>
        <w:rPr/>
        <w:t>□ 适用 √</w:t>
      </w:r>
      <w:r>
        <w:rPr>
          <w:spacing w:val="4"/>
        </w:rPr>
        <w:t> </w:t>
      </w:r>
      <w:r>
        <w:rPr/>
        <w:t>不适用</w:t>
      </w:r>
    </w:p>
    <w:p>
      <w:pPr>
        <w:spacing w:line="240" w:lineRule="auto" w:before="1"/>
        <w:rPr>
          <w:rFonts w:ascii="宋体" w:hAnsi="宋体" w:cs="宋体" w:eastAsia="宋体" w:hint="default"/>
          <w:sz w:val="10"/>
          <w:szCs w:val="10"/>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13" w:hRule="exact"/>
        </w:trPr>
        <w:tc>
          <w:tcPr>
            <w:tcW w:w="1993" w:type="dxa"/>
            <w:vMerge w:val="restart"/>
            <w:tcBorders>
              <w:top w:val="single" w:sz="12" w:space="0" w:color="000000"/>
              <w:left w:val="single" w:sz="12" w:space="0" w:color="000000"/>
              <w:right w:val="single" w:sz="4" w:space="0" w:color="000000"/>
            </w:tcBorders>
            <w:shd w:val="clear" w:color="auto" w:fill="D2D2D2"/>
          </w:tcPr>
          <w:p>
            <w:pPr/>
          </w:p>
        </w:tc>
        <w:tc>
          <w:tcPr>
            <w:tcW w:w="3755" w:type="dxa"/>
            <w:gridSpan w:val="2"/>
            <w:tcBorders>
              <w:top w:val="single" w:sz="12"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827" w:type="dxa"/>
            <w:gridSpan w:val="2"/>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净资产</w:t>
            </w:r>
          </w:p>
        </w:tc>
      </w:tr>
      <w:tr>
        <w:trPr>
          <w:trHeight w:val="398" w:hRule="exact"/>
        </w:trPr>
        <w:tc>
          <w:tcPr>
            <w:tcW w:w="1993" w:type="dxa"/>
            <w:vMerge/>
            <w:tcBorders>
              <w:left w:val="single" w:sz="12"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13" w:hRule="exact"/>
        </w:trPr>
        <w:tc>
          <w:tcPr>
            <w:tcW w:w="199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pacing w:val="-3"/>
                <w:sz w:val="18"/>
                <w:szCs w:val="18"/>
              </w:rPr>
              <w:t>按中国会计准则</w:t>
            </w:r>
          </w:p>
        </w:tc>
        <w:tc>
          <w:tcPr>
            <w:tcW w:w="18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557" w:right="0"/>
              <w:jc w:val="left"/>
              <w:rPr>
                <w:rFonts w:ascii="宋体" w:hAnsi="宋体" w:cs="宋体" w:eastAsia="宋体" w:hint="default"/>
                <w:sz w:val="18"/>
                <w:szCs w:val="18"/>
              </w:rPr>
            </w:pPr>
            <w:r>
              <w:rPr>
                <w:rFonts w:ascii="宋体"/>
                <w:sz w:val="18"/>
              </w:rPr>
              <w:t>25,891,865.34</w:t>
            </w:r>
          </w:p>
        </w:tc>
        <w:tc>
          <w:tcPr>
            <w:tcW w:w="19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633" w:right="0"/>
              <w:jc w:val="left"/>
              <w:rPr>
                <w:rFonts w:ascii="宋体" w:hAnsi="宋体" w:cs="宋体" w:eastAsia="宋体" w:hint="default"/>
                <w:sz w:val="18"/>
                <w:szCs w:val="18"/>
              </w:rPr>
            </w:pPr>
            <w:r>
              <w:rPr>
                <w:rFonts w:ascii="宋体"/>
                <w:sz w:val="18"/>
              </w:rPr>
              <w:t>23,403,488.93</w:t>
            </w:r>
          </w:p>
        </w:tc>
        <w:tc>
          <w:tcPr>
            <w:tcW w:w="19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left="360" w:right="0"/>
              <w:jc w:val="left"/>
              <w:rPr>
                <w:rFonts w:ascii="宋体" w:hAnsi="宋体" w:cs="宋体" w:eastAsia="宋体" w:hint="default"/>
                <w:sz w:val="18"/>
                <w:szCs w:val="18"/>
              </w:rPr>
            </w:pPr>
            <w:r>
              <w:rPr>
                <w:rFonts w:ascii="宋体"/>
                <w:sz w:val="18"/>
              </w:rPr>
              <w:t>1,079,176,126.30</w:t>
            </w:r>
          </w:p>
        </w:tc>
        <w:tc>
          <w:tcPr>
            <w:tcW w:w="19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3"/>
              <w:ind w:left="364" w:right="0"/>
              <w:jc w:val="left"/>
              <w:rPr>
                <w:rFonts w:ascii="宋体" w:hAnsi="宋体" w:cs="宋体" w:eastAsia="宋体" w:hint="default"/>
                <w:sz w:val="18"/>
                <w:szCs w:val="18"/>
              </w:rPr>
            </w:pPr>
            <w:r>
              <w:rPr>
                <w:rFonts w:ascii="宋体"/>
                <w:sz w:val="18"/>
              </w:rPr>
              <w:t>1,053,187,340.12</w:t>
            </w:r>
          </w:p>
        </w:tc>
      </w:tr>
    </w:tbl>
    <w:p>
      <w:pPr>
        <w:pStyle w:val="Heading4"/>
        <w:spacing w:line="240" w:lineRule="auto" w:before="67"/>
        <w:ind w:right="1024"/>
        <w:jc w:val="left"/>
        <w:rPr>
          <w:b w:val="0"/>
          <w:bCs w:val="0"/>
        </w:rPr>
      </w:pPr>
      <w:bookmarkStart w:name="（2）同时按照境外会计准则与按中国会计准则披露的财务报告中净利润和净资产差异情况" w:id="514"/>
      <w:bookmarkEnd w:id="514"/>
      <w:r>
        <w:rPr>
          <w:b w:val="0"/>
          <w:bCs w:val="0"/>
        </w:rPr>
      </w:r>
      <w:r>
        <w:rPr/>
        <w:t>（</w:t>
      </w:r>
      <w:r>
        <w:rPr>
          <w:rFonts w:ascii="宋体" w:hAnsi="宋体" w:cs="宋体" w:eastAsia="宋体" w:hint="default"/>
        </w:rPr>
        <w:t>2</w:t>
      </w:r>
      <w:r>
        <w:rPr/>
        <w:t>）同时按照境外会计准则与按中国会计准则披露的财务报告中净利润和净资产差异情况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14"/>
          <w:szCs w:val="14"/>
        </w:rPr>
      </w:pPr>
    </w:p>
    <w:p>
      <w:pPr>
        <w:pStyle w:val="BodyText"/>
        <w:spacing w:line="240" w:lineRule="auto"/>
        <w:ind w:left="364" w:right="1024"/>
        <w:jc w:val="left"/>
      </w:pPr>
      <w:r>
        <w:rPr/>
        <w:t>□ 适用 √</w:t>
      </w:r>
      <w:r>
        <w:rPr>
          <w:spacing w:val="4"/>
        </w:rPr>
        <w:t> </w:t>
      </w:r>
      <w:r>
        <w:rPr/>
        <w:t>不适用</w:t>
      </w:r>
    </w:p>
    <w:p>
      <w:pPr>
        <w:spacing w:line="240" w:lineRule="auto" w:before="8"/>
        <w:rPr>
          <w:rFonts w:ascii="宋体" w:hAnsi="宋体" w:cs="宋体" w:eastAsia="宋体" w:hint="default"/>
          <w:sz w:val="14"/>
          <w:szCs w:val="14"/>
        </w:rPr>
      </w:pPr>
    </w:p>
    <w:p>
      <w:pPr>
        <w:pStyle w:val="Heading4"/>
        <w:spacing w:line="410" w:lineRule="auto" w:before="0"/>
        <w:ind w:right="1024"/>
        <w:jc w:val="left"/>
        <w:rPr>
          <w:b w:val="0"/>
          <w:bCs w:val="0"/>
        </w:rPr>
      </w:pPr>
      <w:bookmarkStart w:name="（3）境内外会计准则下会计数据差异原因说明，对已经境外审计机构审计的数据进行差异" w:id="515"/>
      <w:bookmarkEnd w:id="515"/>
      <w:r>
        <w:rPr>
          <w:b w:val="0"/>
          <w:bCs w:val="0"/>
        </w:rPr>
      </w:r>
      <w:r>
        <w:rPr/>
        <w:t>（</w:t>
      </w:r>
      <w:r>
        <w:rPr>
          <w:rFonts w:ascii="宋体" w:hAnsi="宋体" w:cs="宋体" w:eastAsia="宋体" w:hint="default"/>
        </w:rPr>
        <w:t>3</w:t>
      </w:r>
      <w:r>
        <w:rPr/>
        <w:t>）境内外会计准则下会计数据差异原因说明，对已经境外审计机构审计的数据进行差异调节的，应注</w:t>
      </w:r>
      <w:r>
        <w:rPr>
          <w:spacing w:val="-66"/>
        </w:rPr>
        <w:t> </w:t>
      </w:r>
      <w:r>
        <w:rPr>
          <w:spacing w:val="-66"/>
        </w:rPr>
      </w:r>
      <w:r>
        <w:rPr/>
        <w:t>明该境外机构的名称</w:t>
      </w:r>
      <w:r>
        <w:rPr>
          <w:b w:val="0"/>
          <w:bCs w:val="0"/>
        </w:rPr>
      </w:r>
    </w:p>
    <w:p>
      <w:pPr>
        <w:pStyle w:val="BodyText"/>
        <w:spacing w:line="240" w:lineRule="auto" w:before="42"/>
        <w:ind w:left="364" w:right="1024"/>
        <w:jc w:val="left"/>
      </w:pPr>
      <w:r>
        <w:rPr/>
        <w:t>□ 适用 √</w:t>
      </w:r>
      <w:r>
        <w:rPr>
          <w:spacing w:val="4"/>
        </w:rPr>
        <w:t> </w:t>
      </w:r>
      <w:r>
        <w:rPr/>
        <w:t>不适用</w:t>
      </w:r>
    </w:p>
    <w:p>
      <w:pPr>
        <w:spacing w:after="0" w:line="240" w:lineRule="auto"/>
        <w:jc w:val="left"/>
        <w:sectPr>
          <w:pgSz w:w="11910" w:h="16840"/>
          <w:pgMar w:header="871" w:footer="1037" w:top="104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1"/>
        <w:spacing w:line="240" w:lineRule="auto"/>
        <w:ind w:left="3283" w:right="1024"/>
        <w:jc w:val="left"/>
        <w:rPr>
          <w:b w:val="0"/>
          <w:bCs w:val="0"/>
        </w:rPr>
      </w:pPr>
      <w:bookmarkStart w:name="第十三节 备查文件目录" w:id="516"/>
      <w:bookmarkEnd w:id="516"/>
      <w:r>
        <w:rPr>
          <w:b w:val="0"/>
          <w:bCs w:val="0"/>
        </w:rPr>
      </w:r>
      <w:bookmarkStart w:name="_bookmark12" w:id="517"/>
      <w:bookmarkEnd w:id="517"/>
      <w:r>
        <w:rPr>
          <w:b w:val="0"/>
          <w:bCs w:val="0"/>
        </w:rPr>
      </w:r>
      <w:r>
        <w:rPr/>
        <w:t>第十三节</w:t>
      </w:r>
      <w:r>
        <w:rPr>
          <w:spacing w:val="1"/>
        </w:rPr>
        <w:t> </w:t>
      </w:r>
      <w:r>
        <w:rPr/>
        <w:t>备查文件目录</w:t>
      </w:r>
      <w:r>
        <w:rPr>
          <w:b w:val="0"/>
          <w:bCs w:val="0"/>
        </w:rPr>
      </w:r>
    </w:p>
    <w:p>
      <w:pPr>
        <w:spacing w:line="240" w:lineRule="auto" w:before="7"/>
        <w:rPr>
          <w:rFonts w:ascii="宋体" w:hAnsi="宋体" w:cs="宋体" w:eastAsia="宋体" w:hint="default"/>
          <w:b/>
          <w:bCs/>
          <w:sz w:val="44"/>
          <w:szCs w:val="44"/>
        </w:rPr>
      </w:pPr>
    </w:p>
    <w:p>
      <w:pPr>
        <w:pStyle w:val="Heading3"/>
        <w:spacing w:line="357" w:lineRule="auto"/>
        <w:ind w:right="1151" w:firstLine="0"/>
        <w:jc w:val="left"/>
      </w:pPr>
      <w:r>
        <w:rPr/>
        <w:t>一、载有公司负责人、主管会计工作负责人、会计机构负责人签名并盖章的财务报表。 二、载有会计师事务所盖章、注册会计师签名并盖章的审计报告原件。 三、报告期内在中国证监会指定信息披露网站上披露的所有公司文件的正本及公告的原稿。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32"/>
          <w:szCs w:val="32"/>
        </w:rPr>
      </w:pPr>
    </w:p>
    <w:p>
      <w:pPr>
        <w:pStyle w:val="Heading3"/>
        <w:spacing w:line="508" w:lineRule="auto"/>
        <w:ind w:left="8114" w:right="1127"/>
        <w:jc w:val="both"/>
      </w:pPr>
      <w:bookmarkStart w:name="光一科技股份有限公司" w:id="518"/>
      <w:bookmarkEnd w:id="518"/>
      <w:r>
        <w:rPr/>
      </w:r>
      <w:r>
        <w:rPr/>
        <w:t>光一科技股份有限公司 </w:t>
      </w:r>
      <w:bookmarkStart w:name="董事长：龙昌明" w:id="519"/>
      <w:bookmarkEnd w:id="519"/>
      <w:r>
        <w:rPr/>
        <w:t>董事长：龙昌明</w:t>
      </w:r>
      <w:r>
        <w:rPr/>
        <w:t> </w:t>
      </w:r>
      <w:bookmarkStart w:name="2020年4月29日" w:id="520"/>
      <w:bookmarkEnd w:id="520"/>
      <w:r>
        <w:rPr/>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29</w:t>
      </w:r>
      <w:r>
        <w:rPr/>
        <w:t>日</w:t>
      </w:r>
    </w:p>
    <w:sectPr>
      <w:pgSz w:w="11910" w:h="16840"/>
      <w:pgMar w:header="871" w:footer="1037" w:top="1040" w:bottom="122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4240" type="#_x0000_t75" stroked="false">
          <v:imagedata r:id="rId1" o:title=""/>
        </v:shape>
      </w:pict>
    </w:r>
    <w:r>
      <w:rPr/>
      <w:pict>
        <v:shapetype id="_x0000_t202" o:spt="202" coordsize="21600,21600" path="m,l,21600r21600,l21600,xe">
          <v:stroke joinstyle="miter"/>
          <v:path gradientshapeok="t" o:connecttype="rect"/>
        </v:shapetype>
        <v:shape style="position:absolute;margin-left:533.190002pt;margin-top:792.762512pt;width:6.6pt;height:11.15pt;mso-position-horizontal-relative:page;mso-position-vertical-relative:page;z-index:-1024216" type="#_x0000_t202" filled="false" stroked="false">
          <v:textbox inset="0,0,0,0">
            <w:txbxContent>
              <w:p>
                <w:pPr>
                  <w:spacing w:line="202" w:lineRule="exact" w:before="0"/>
                  <w:ind w:left="20" w:right="0" w:firstLine="0"/>
                  <w:jc w:val="left"/>
                  <w:rPr>
                    <w:rFonts w:ascii="宋体" w:hAnsi="宋体" w:cs="宋体" w:eastAsia="宋体" w:hint="default"/>
                    <w:sz w:val="18"/>
                    <w:szCs w:val="18"/>
                  </w:rPr>
                </w:pPr>
                <w:r>
                  <w:rPr>
                    <w:rFonts w:ascii="宋体"/>
                    <w:w w:val="101"/>
                    <w:sz w:val="18"/>
                  </w:rPr>
                  <w:t>1</w:t>
                </w:r>
                <w:r>
                  <w:rPr>
                    <w:rFonts w:ascii="宋体"/>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4144" type="#_x0000_t75" stroked="false">
          <v:imagedata r:id="rId1" o:title=""/>
        </v:shape>
      </w:pict>
    </w:r>
    <w:r>
      <w:rPr/>
      <w:pict>
        <v:shape style="position:absolute;margin-left:527.869995pt;margin-top:779.058472pt;width:13.15pt;height:11.15pt;mso-position-horizontal-relative:page;mso-position-vertical-relative:page;z-index:-1024120" type="#_x0000_t202" filled="false" stroked="false">
          <v:textbox inset="0,0,0,0">
            <w:txbxContent>
              <w:p>
                <w:pPr>
                  <w:spacing w:line="202" w:lineRule="exact" w:before="0"/>
                  <w:ind w:left="40" w:right="0" w:firstLine="0"/>
                  <w:jc w:val="left"/>
                  <w:rPr>
                    <w:rFonts w:ascii="宋体" w:hAnsi="宋体" w:cs="宋体" w:eastAsia="宋体" w:hint="default"/>
                    <w:sz w:val="18"/>
                    <w:szCs w:val="18"/>
                  </w:rPr>
                </w:pPr>
                <w:r>
                  <w:rPr>
                    <w:rFonts w:ascii="宋体"/>
                    <w:w w:val="101"/>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24096" type="#_x0000_t75" stroked="false">
          <v:imagedata r:id="rId1" o:title=""/>
        </v:shape>
      </w:pict>
    </w:r>
    <w:r>
      <w:rPr/>
      <w:pict>
        <v:shape style="position:absolute;margin-left:523.309998pt;margin-top:779.058472pt;width:17.7pt;height:11.15pt;mso-position-horizontal-relative:page;mso-position-vertical-relative:page;z-index:-1024072" type="#_x0000_t202" filled="false" stroked="false">
          <v:textbox inset="0,0,0,0">
            <w:txbxContent>
              <w:p>
                <w:pPr>
                  <w:spacing w:line="202" w:lineRule="exact" w:before="0"/>
                  <w:ind w:left="40" w:right="0" w:firstLine="0"/>
                  <w:jc w:val="left"/>
                  <w:rPr>
                    <w:rFonts w:ascii="宋体" w:hAnsi="宋体" w:cs="宋体" w:eastAsia="宋体" w:hint="default"/>
                    <w:sz w:val="18"/>
                    <w:szCs w:val="18"/>
                  </w:rPr>
                </w:pPr>
                <w:r>
                  <w:rPr>
                    <w:rFonts w:ascii="宋体"/>
                    <w:w w:val="101"/>
                    <w:sz w:val="18"/>
                  </w:rPr>
                </w:r>
                <w:r>
                  <w:rPr/>
                  <w:fldChar w:fldCharType="begin"/>
                </w:r>
                <w:r>
                  <w:rPr>
                    <w:rFonts w:ascii="宋体"/>
                    <w:sz w:val="18"/>
                  </w:rPr>
                  <w:instrText> PAGE </w:instrText>
                </w:r>
                <w:r>
                  <w:rPr/>
                  <w:fldChar w:fldCharType="separate"/>
                </w:r>
                <w:r>
                  <w:rPr/>
                  <w:t>121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group style="position:absolute;margin-left:55.223999pt;margin-top:55.579983pt;width:485pt;height:.1pt;mso-position-horizontal-relative:page;mso-position-vertical-relative:page;z-index:-102419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62.26001pt;margin-top:42.542484pt;width:177.75pt;height:11.15pt;mso-position-horizontal-relative:page;mso-position-vertical-relative:page;z-index:-1024168" type="#_x0000_t202" filled="false" stroked="false">
          <v:textbox inset="0,0,0,0">
            <w:txbxContent>
              <w:p>
                <w:pPr>
                  <w:spacing w:line="202"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光一科技股份有限公司 </w:t>
                </w:r>
                <w:r>
                  <w:rPr>
                    <w:rFonts w:ascii="宋体" w:hAnsi="宋体" w:cs="宋体" w:eastAsia="宋体" w:hint="default"/>
                    <w:sz w:val="18"/>
                    <w:szCs w:val="18"/>
                  </w:rPr>
                  <w:t>2019</w:t>
                </w:r>
                <w:r>
                  <w:rPr>
                    <w:rFonts w:ascii="宋体" w:hAnsi="宋体" w:cs="宋体" w:eastAsia="宋体" w:hint="default"/>
                    <w:spacing w:val="-68"/>
                    <w:sz w:val="18"/>
                    <w:szCs w:val="18"/>
                  </w:rPr>
                  <w:t> </w:t>
                </w:r>
                <w:r>
                  <w:rPr>
                    <w:rFonts w:ascii="宋体" w:hAnsi="宋体" w:cs="宋体" w:eastAsia="宋体" w:hint="default"/>
                    <w:spacing w:val="-3"/>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4"/>
      <w:ind w:left="153"/>
    </w:pPr>
    <w:rPr>
      <w:rFonts w:ascii="宋体" w:hAnsi="宋体" w:eastAsia="宋体"/>
      <w:sz w:val="24"/>
      <w:szCs w:val="24"/>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spacing w:before="2"/>
      <w:ind w:left="2967"/>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hanging="720"/>
      <w:outlineLvl w:val="3"/>
    </w:pPr>
    <w:rPr>
      <w:rFonts w:ascii="宋体" w:hAnsi="宋体" w:eastAsia="宋体"/>
      <w:sz w:val="24"/>
      <w:szCs w:val="24"/>
    </w:rPr>
  </w:style>
  <w:style w:styleId="Heading4" w:type="paragraph">
    <w:name w:val="Heading 4"/>
    <w:basedOn w:val="Normal"/>
    <w:uiPriority w:val="1"/>
    <w:qFormat/>
    <w:pPr>
      <w:spacing w:before="36"/>
      <w:ind w:left="15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elefirst.com/" TargetMode="External"/><Relationship Id="rId10" Type="http://schemas.openxmlformats.org/officeDocument/2006/relationships/hyperlink" Target="mailto:gykj300356@163.com" TargetMode="External"/><Relationship Id="rId11" Type="http://schemas.openxmlformats.org/officeDocument/2006/relationships/hyperlink" Target="http://www.cninfo.com.cn/" TargetMode="External"/><Relationship Id="rId12" Type="http://schemas.openxmlformats.org/officeDocument/2006/relationships/hyperlink" Target="http://quote.cfi.cn/quote_836694.html"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3.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dc:creator>
  <dcterms:created xsi:type="dcterms:W3CDTF">2020-05-19T14:44:23Z</dcterms:created>
  <dcterms:modified xsi:type="dcterms:W3CDTF">2020-05-19T14:44:23Z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Office Word 2007</vt:lpwstr>
  </property>
  <property fmtid="{D5CDD505-2E9C-101B-9397-08002B2CF9AE}" pid="4" name="LastSaved">
    <vt:filetime>2020-05-19T00:00:00Z</vt:filetime>
  </property>
</Properties>
</file>