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Default Extension="png" ContentType="image/png"/>
  <Override PartName="/word/header6.xml" ContentType="application/vnd.openxmlformats-officedocument.wordprocessingml.head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4.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2239" w:lineRule="exact"/>
        <w:ind w:left="226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4"/>
          <w:sz w:val="20"/>
          <w:szCs w:val="20"/>
        </w:rPr>
        <w:drawing>
          <wp:inline distT="0" distB="0" distL="0" distR="0">
            <wp:extent cx="3441206" cy="142189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3441206" cy="1421892"/>
                    </a:xfrm>
                    <a:prstGeom prst="rect">
                      <a:avLst/>
                    </a:prstGeom>
                  </pic:spPr>
                </pic:pic>
              </a:graphicData>
            </a:graphic>
          </wp:inline>
        </w:drawing>
      </w:r>
      <w:r>
        <w:rPr>
          <w:rFonts w:ascii="Times New Roman" w:hAnsi="Times New Roman" w:cs="Times New Roman" w:eastAsia="Times New Roman" w:hint="default"/>
          <w:position w:val="-44"/>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spacing w:line="540" w:lineRule="exact" w:before="0"/>
        <w:ind w:left="134" w:right="134" w:firstLine="0"/>
        <w:jc w:val="center"/>
        <w:rPr>
          <w:rFonts w:ascii="宋体" w:hAnsi="宋体" w:cs="宋体" w:eastAsia="宋体" w:hint="default"/>
          <w:sz w:val="44"/>
          <w:szCs w:val="44"/>
        </w:rPr>
      </w:pPr>
      <w:r>
        <w:rPr>
          <w:rFonts w:ascii="宋体" w:hAnsi="宋体" w:cs="宋体" w:eastAsia="宋体" w:hint="default"/>
          <w:b/>
          <w:bCs/>
          <w:sz w:val="44"/>
          <w:szCs w:val="44"/>
        </w:rPr>
        <w:t>北京中文在线数字出版股份有限公司</w:t>
      </w:r>
      <w:r>
        <w:rPr>
          <w:rFonts w:ascii="宋体" w:hAnsi="宋体" w:cs="宋体" w:eastAsia="宋体" w:hint="default"/>
          <w:sz w:val="44"/>
          <w:szCs w:val="44"/>
        </w:rPr>
      </w:r>
    </w:p>
    <w:p>
      <w:pPr>
        <w:spacing w:line="240" w:lineRule="auto" w:before="8"/>
        <w:rPr>
          <w:rFonts w:ascii="宋体" w:hAnsi="宋体" w:cs="宋体" w:eastAsia="宋体" w:hint="default"/>
          <w:b/>
          <w:bCs/>
          <w:sz w:val="35"/>
          <w:szCs w:val="35"/>
        </w:rPr>
      </w:pPr>
    </w:p>
    <w:p>
      <w:pPr>
        <w:spacing w:before="0"/>
        <w:ind w:left="134" w:right="135" w:firstLine="0"/>
        <w:jc w:val="center"/>
        <w:rPr>
          <w:rFonts w:ascii="Times New Roman" w:hAnsi="Times New Roman" w:cs="Times New Roman" w:eastAsia="Times New Roman" w:hint="default"/>
          <w:sz w:val="24"/>
          <w:szCs w:val="24"/>
        </w:rPr>
      </w:pPr>
      <w:r>
        <w:rPr>
          <w:rFonts w:ascii="Times New Roman"/>
          <w:b/>
          <w:sz w:val="24"/>
        </w:rPr>
        <w:t>Beijing ChineseAll Digital Publishing</w:t>
      </w:r>
      <w:r>
        <w:rPr>
          <w:rFonts w:ascii="Times New Roman"/>
          <w:b/>
          <w:spacing w:val="-5"/>
          <w:sz w:val="24"/>
        </w:rPr>
        <w:t> </w:t>
      </w:r>
      <w:r>
        <w:rPr>
          <w:rFonts w:ascii="Times New Roman"/>
          <w:b/>
          <w:sz w:val="24"/>
        </w:rPr>
        <w:t>Co.,Ltd</w:t>
      </w:r>
      <w:r>
        <w:rPr>
          <w:rFonts w:ascii="Times New Roman"/>
          <w:sz w:val="24"/>
        </w:rPr>
      </w: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9"/>
        <w:rPr>
          <w:rFonts w:ascii="Times New Roman" w:hAnsi="Times New Roman" w:cs="Times New Roman" w:eastAsia="Times New Roman" w:hint="default"/>
          <w:b/>
          <w:bCs/>
          <w:sz w:val="28"/>
          <w:szCs w:val="28"/>
        </w:rPr>
      </w:pPr>
    </w:p>
    <w:p>
      <w:pPr>
        <w:spacing w:before="0"/>
        <w:ind w:left="134" w:right="134" w:firstLine="0"/>
        <w:jc w:val="center"/>
        <w:rPr>
          <w:rFonts w:ascii="宋体" w:hAnsi="宋体" w:cs="宋体" w:eastAsia="宋体" w:hint="default"/>
          <w:sz w:val="44"/>
          <w:szCs w:val="44"/>
        </w:rPr>
      </w:pPr>
      <w:r>
        <w:rPr>
          <w:rFonts w:ascii="Times New Roman" w:hAnsi="Times New Roman" w:cs="Times New Roman" w:eastAsia="Times New Roman" w:hint="default"/>
          <w:b/>
          <w:bCs/>
          <w:sz w:val="44"/>
          <w:szCs w:val="44"/>
        </w:rPr>
        <w:t>2014</w:t>
      </w:r>
      <w:r>
        <w:rPr>
          <w:rFonts w:ascii="Times New Roman" w:hAnsi="Times New Roman" w:cs="Times New Roman" w:eastAsia="Times New Roman" w:hint="default"/>
          <w:b/>
          <w:bCs/>
          <w:spacing w:val="-2"/>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before="367"/>
        <w:ind w:left="134" w:right="133" w:firstLine="0"/>
        <w:jc w:val="center"/>
        <w:rPr>
          <w:rFonts w:ascii="宋体" w:hAnsi="宋体" w:cs="宋体" w:eastAsia="宋体" w:hint="default"/>
          <w:sz w:val="44"/>
          <w:szCs w:val="44"/>
        </w:rPr>
      </w:pPr>
      <w:r>
        <w:rPr>
          <w:rFonts w:ascii="宋体" w:hAnsi="宋体" w:cs="宋体" w:eastAsia="宋体" w:hint="default"/>
          <w:b/>
          <w:bCs/>
          <w:sz w:val="44"/>
          <w:szCs w:val="44"/>
        </w:rPr>
        <w:t>（全文）</w:t>
      </w:r>
      <w:r>
        <w:rPr>
          <w:rFonts w:ascii="宋体" w:hAnsi="宋体" w:cs="宋体" w:eastAsia="宋体" w:hint="default"/>
          <w:sz w:val="44"/>
          <w:szCs w:val="44"/>
        </w:rPr>
      </w: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4"/>
        <w:rPr>
          <w:rFonts w:ascii="宋体" w:hAnsi="宋体" w:cs="宋体" w:eastAsia="宋体" w:hint="default"/>
          <w:b/>
          <w:bCs/>
          <w:sz w:val="58"/>
          <w:szCs w:val="58"/>
        </w:rPr>
      </w:pPr>
    </w:p>
    <w:p>
      <w:pPr>
        <w:spacing w:before="0"/>
        <w:ind w:left="134" w:right="134" w:firstLine="0"/>
        <w:jc w:val="center"/>
        <w:rPr>
          <w:rFonts w:ascii="宋体" w:hAnsi="宋体" w:cs="宋体" w:eastAsia="宋体" w:hint="default"/>
          <w:sz w:val="24"/>
          <w:szCs w:val="24"/>
        </w:rPr>
      </w:pPr>
      <w:r>
        <w:rPr>
          <w:rFonts w:ascii="Times New Roman" w:hAnsi="Times New Roman" w:cs="Times New Roman" w:eastAsia="Times New Roman" w:hint="default"/>
          <w:b/>
          <w:bCs/>
          <w:sz w:val="24"/>
          <w:szCs w:val="24"/>
        </w:rPr>
        <w:t>2015</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年</w:t>
      </w:r>
      <w:r>
        <w:rPr>
          <w:rFonts w:ascii="宋体" w:hAnsi="宋体" w:cs="宋体" w:eastAsia="宋体" w:hint="default"/>
          <w:b/>
          <w:bCs/>
          <w:spacing w:val="-61"/>
          <w:sz w:val="24"/>
          <w:szCs w:val="24"/>
        </w:rPr>
        <w:t> </w:t>
      </w:r>
      <w:r>
        <w:rPr>
          <w:rFonts w:ascii="Times New Roman" w:hAnsi="Times New Roman" w:cs="Times New Roman" w:eastAsia="Times New Roman" w:hint="default"/>
          <w:b/>
          <w:bCs/>
          <w:sz w:val="24"/>
          <w:szCs w:val="24"/>
        </w:rPr>
        <w:t>4</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月</w:t>
      </w:r>
      <w:r>
        <w:rPr>
          <w:rFonts w:ascii="宋体" w:hAnsi="宋体" w:cs="宋体" w:eastAsia="宋体" w:hint="default"/>
          <w:sz w:val="24"/>
          <w:szCs w:val="24"/>
        </w:rPr>
      </w:r>
    </w:p>
    <w:p>
      <w:pPr>
        <w:spacing w:after="0"/>
        <w:jc w:val="center"/>
        <w:rPr>
          <w:rFonts w:ascii="宋体" w:hAnsi="宋体" w:cs="宋体" w:eastAsia="宋体" w:hint="default"/>
          <w:sz w:val="24"/>
          <w:szCs w:val="24"/>
        </w:rPr>
        <w:sectPr>
          <w:headerReference w:type="default" r:id="rId5"/>
          <w:footerReference w:type="default" r:id="rId6"/>
          <w:type w:val="continuous"/>
          <w:pgSz w:w="11910" w:h="16840"/>
          <w:pgMar w:header="877" w:footer="979" w:top="1060" w:bottom="1160" w:left="980" w:right="980"/>
          <w:pgNumType w:start="1"/>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pStyle w:val="Heading1"/>
        <w:spacing w:line="240" w:lineRule="auto"/>
        <w:ind w:left="2805" w:right="213"/>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10"/>
        <w:rPr>
          <w:rFonts w:ascii="宋体" w:hAnsi="宋体" w:cs="宋体" w:eastAsia="宋体" w:hint="default"/>
          <w:b/>
          <w:bCs/>
          <w:sz w:val="44"/>
          <w:szCs w:val="44"/>
        </w:rPr>
      </w:pPr>
    </w:p>
    <w:p>
      <w:pPr>
        <w:pStyle w:val="BodyText"/>
        <w:spacing w:line="348" w:lineRule="auto" w:before="0"/>
        <w:ind w:right="231" w:firstLine="480"/>
        <w:jc w:val="both"/>
      </w:pPr>
      <w:r>
        <w:rPr>
          <w:rFonts w:ascii="Times New Roman" w:hAnsi="Times New Roman" w:cs="Times New Roman" w:eastAsia="Times New Roman" w:hint="default"/>
          <w:spacing w:val="-3"/>
        </w:rPr>
        <w:t>1</w:t>
      </w:r>
      <w:r>
        <w:rPr>
          <w:spacing w:val="-3"/>
        </w:rPr>
        <w:t>、本公司董事会、监事会及董事、监事、高级管理人员保证本报告所载资料不存在任何</w:t>
      </w:r>
      <w:r>
        <w:rPr/>
        <w:t> 虚假记载、误导性陈述或者重大遗漏，并对其内容的真实性、准确性和完整性承担个别及连 带责任。</w:t>
      </w:r>
    </w:p>
    <w:p>
      <w:pPr>
        <w:pStyle w:val="BodyText"/>
        <w:spacing w:line="240" w:lineRule="auto" w:before="202"/>
        <w:ind w:left="634" w:right="213"/>
        <w:jc w:val="left"/>
      </w:pPr>
      <w:r>
        <w:rPr>
          <w:rFonts w:ascii="Times New Roman" w:hAnsi="Times New Roman" w:cs="Times New Roman" w:eastAsia="Times New Roman" w:hint="default"/>
        </w:rPr>
        <w:t>2</w:t>
      </w:r>
      <w:r>
        <w:rPr/>
        <w:t>、所有董事亲自出席了审议本次年报的董事会会议。</w:t>
      </w:r>
    </w:p>
    <w:p>
      <w:pPr>
        <w:spacing w:line="240" w:lineRule="auto" w:before="4"/>
        <w:rPr>
          <w:rFonts w:ascii="宋体" w:hAnsi="宋体" w:cs="宋体" w:eastAsia="宋体" w:hint="default"/>
          <w:sz w:val="22"/>
          <w:szCs w:val="22"/>
        </w:rPr>
      </w:pPr>
    </w:p>
    <w:p>
      <w:pPr>
        <w:pStyle w:val="BodyText"/>
        <w:spacing w:line="338" w:lineRule="auto" w:before="0"/>
        <w:ind w:right="213" w:firstLine="480"/>
        <w:jc w:val="left"/>
      </w:pPr>
      <w:r>
        <w:rPr>
          <w:rFonts w:ascii="Times New Roman" w:hAnsi="Times New Roman" w:cs="Times New Roman" w:eastAsia="Times New Roman" w:hint="default"/>
        </w:rPr>
        <w:t>3</w:t>
      </w:r>
      <w:r>
        <w:rPr/>
        <w:t>、公司负责人童之磊、主管会计工作负责人原森民及会计机构负责人</w:t>
      </w:r>
      <w:r>
        <w:rPr>
          <w:rFonts w:ascii="Times New Roman" w:hAnsi="Times New Roman" w:cs="Times New Roman" w:eastAsia="Times New Roman" w:hint="default"/>
        </w:rPr>
        <w:t>(</w:t>
      </w:r>
      <w:r>
        <w:rPr/>
        <w:t>会计主管人员</w:t>
      </w:r>
      <w:r>
        <w:rPr>
          <w:rFonts w:ascii="Times New Roman" w:hAnsi="Times New Roman" w:cs="Times New Roman" w:eastAsia="Times New Roman" w:hint="default"/>
        </w:rPr>
        <w:t>)</w:t>
      </w:r>
      <w:r>
        <w:rPr/>
        <w:t>李 凤梅声明：保证年度报告中财务报告的真实、准确、完整。</w:t>
      </w:r>
    </w:p>
    <w:p>
      <w:pPr>
        <w:pStyle w:val="BodyText"/>
        <w:spacing w:line="348" w:lineRule="auto" w:before="211"/>
        <w:ind w:right="95" w:firstLine="480"/>
        <w:jc w:val="left"/>
      </w:pPr>
      <w:r>
        <w:rPr>
          <w:rFonts w:ascii="Times New Roman" w:hAnsi="Times New Roman" w:cs="Times New Roman" w:eastAsia="Times New Roman" w:hint="default"/>
          <w:spacing w:val="-3"/>
        </w:rPr>
        <w:t>4</w:t>
      </w:r>
      <w:r>
        <w:rPr>
          <w:spacing w:val="-3"/>
        </w:rPr>
        <w:t>、本报告中如有涉及未来的计划、业绩预测等方面的内容，均不构成本公司对任何投资</w:t>
      </w:r>
      <w:r>
        <w:rPr/>
        <w:t> </w:t>
      </w:r>
      <w:r>
        <w:rPr>
          <w:spacing w:val="-2"/>
        </w:rPr>
        <w:t>者及相关人士的承诺，投资者及相关人士均应对此保持足够的风险认识，并且应当理解计划、</w:t>
      </w:r>
      <w:r>
        <w:rPr/>
        <w:t> 预测与承诺之间的差异。</w:t>
      </w:r>
    </w:p>
    <w:p>
      <w:pPr>
        <w:spacing w:after="0" w:line="348" w:lineRule="auto"/>
        <w:jc w:val="left"/>
        <w:sectPr>
          <w:pgSz w:w="11910" w:h="16840"/>
          <w:pgMar w:header="877" w:footer="979" w:top="1100" w:bottom="1160" w:left="980" w:right="9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tabs>
          <w:tab w:pos="643" w:val="left" w:leader="none"/>
        </w:tabs>
        <w:spacing w:before="1"/>
        <w:ind w:left="0" w:right="0" w:firstLine="0"/>
        <w:jc w:val="center"/>
        <w:rPr>
          <w:rFonts w:ascii="宋体" w:hAnsi="宋体" w:cs="宋体" w:eastAsia="宋体" w:hint="default"/>
          <w:sz w:val="32"/>
          <w:szCs w:val="32"/>
        </w:rPr>
      </w:pPr>
      <w:r>
        <w:rPr>
          <w:rFonts w:ascii="宋体" w:hAnsi="宋体" w:cs="宋体" w:eastAsia="宋体" w:hint="default"/>
          <w:b/>
          <w:bCs/>
          <w:w w:val="95"/>
          <w:sz w:val="32"/>
          <w:szCs w:val="32"/>
        </w:rPr>
        <w:t>目</w:t>
        <w:tab/>
      </w:r>
      <w:r>
        <w:rPr>
          <w:rFonts w:ascii="宋体" w:hAnsi="宋体" w:cs="宋体" w:eastAsia="宋体" w:hint="default"/>
          <w:b/>
          <w:bCs/>
          <w:sz w:val="32"/>
          <w:szCs w:val="32"/>
        </w:rPr>
        <w:t>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9782" w:val="right" w:leader="dot"/>
            </w:tabs>
            <w:spacing w:line="240" w:lineRule="auto" w:before="483"/>
            <w:ind w:right="0"/>
            <w:jc w:val="left"/>
            <w:rPr>
              <w:rFonts w:ascii="宋体" w:hAnsi="宋体" w:cs="宋体" w:eastAsia="宋体" w:hint="default"/>
            </w:rPr>
          </w:pPr>
          <w:hyperlink w:history="true" w:anchor="_bookmark0">
            <w:r>
              <w:rPr/>
              <w:t>第一节</w:t>
            </w:r>
            <w:r>
              <w:rPr>
                <w:spacing w:val="-1"/>
              </w:rPr>
              <w:t> </w:t>
            </w:r>
            <w:r>
              <w:rPr/>
              <w:t>重要提示、目录和释义</w:t>
            </w:r>
            <w:r>
              <w:rPr>
                <w:rFonts w:ascii="宋体" w:hAnsi="宋体" w:cs="宋体" w:eastAsia="宋体" w:hint="default"/>
              </w:rPr>
              <w:tab/>
              <w:t>2</w:t>
            </w:r>
          </w:hyperlink>
        </w:p>
        <w:p>
          <w:pPr>
            <w:pStyle w:val="TOC1"/>
            <w:tabs>
              <w:tab w:pos="9782" w:val="right" w:leader="dot"/>
            </w:tabs>
            <w:spacing w:line="240" w:lineRule="auto"/>
            <w:ind w:right="0"/>
            <w:jc w:val="left"/>
            <w:rPr>
              <w:rFonts w:ascii="宋体" w:hAnsi="宋体" w:cs="宋体" w:eastAsia="宋体" w:hint="default"/>
            </w:rPr>
          </w:pPr>
          <w:hyperlink w:history="true" w:anchor="_bookmark1">
            <w:r>
              <w:rPr/>
              <w:t>第二节</w:t>
            </w:r>
            <w:r>
              <w:rPr>
                <w:spacing w:val="-1"/>
              </w:rPr>
              <w:t> </w:t>
            </w:r>
            <w:r>
              <w:rPr/>
              <w:t>公司基本情况简介</w:t>
            </w:r>
            <w:r>
              <w:rPr>
                <w:rFonts w:ascii="宋体" w:hAnsi="宋体" w:cs="宋体" w:eastAsia="宋体" w:hint="default"/>
              </w:rPr>
              <w:tab/>
              <w:t>6</w:t>
            </w:r>
          </w:hyperlink>
        </w:p>
        <w:p>
          <w:pPr>
            <w:pStyle w:val="TOC1"/>
            <w:tabs>
              <w:tab w:pos="9782" w:val="right" w:leader="dot"/>
            </w:tabs>
            <w:spacing w:line="240" w:lineRule="auto"/>
            <w:ind w:right="0"/>
            <w:jc w:val="left"/>
            <w:rPr>
              <w:rFonts w:ascii="宋体" w:hAnsi="宋体" w:cs="宋体" w:eastAsia="宋体" w:hint="default"/>
            </w:rPr>
          </w:pPr>
          <w:hyperlink w:history="true" w:anchor="_bookmark2">
            <w:r>
              <w:rPr/>
              <w:t>第三节</w:t>
            </w:r>
            <w:r>
              <w:rPr>
                <w:spacing w:val="-1"/>
              </w:rPr>
              <w:t> </w:t>
            </w:r>
            <w:r>
              <w:rPr/>
              <w:t>会计数据和财务指标摘要</w:t>
            </w:r>
            <w:r>
              <w:rPr>
                <w:rFonts w:ascii="宋体" w:hAnsi="宋体" w:cs="宋体" w:eastAsia="宋体" w:hint="default"/>
              </w:rPr>
              <w:tab/>
              <w:t>8</w:t>
            </w:r>
          </w:hyperlink>
        </w:p>
        <w:p>
          <w:pPr>
            <w:pStyle w:val="TOC1"/>
            <w:tabs>
              <w:tab w:pos="9783" w:val="right" w:leader="dot"/>
            </w:tabs>
            <w:spacing w:line="240" w:lineRule="auto"/>
            <w:ind w:right="0"/>
            <w:jc w:val="left"/>
            <w:rPr>
              <w:rFonts w:ascii="宋体" w:hAnsi="宋体" w:cs="宋体" w:eastAsia="宋体" w:hint="default"/>
            </w:rPr>
          </w:pPr>
          <w:hyperlink w:history="true" w:anchor="_bookmark3">
            <w:r>
              <w:rPr/>
              <w:t>第四节</w:t>
            </w:r>
            <w:r>
              <w:rPr>
                <w:spacing w:val="-1"/>
              </w:rPr>
              <w:t> </w:t>
            </w:r>
            <w:r>
              <w:rPr/>
              <w:t>董事会报告</w:t>
            </w:r>
            <w:r>
              <w:rPr>
                <w:rFonts w:ascii="宋体" w:hAnsi="宋体" w:cs="宋体" w:eastAsia="宋体" w:hint="default"/>
              </w:rPr>
              <w:tab/>
              <w:t>13</w:t>
            </w:r>
          </w:hyperlink>
        </w:p>
        <w:p>
          <w:pPr>
            <w:pStyle w:val="TOC1"/>
            <w:tabs>
              <w:tab w:pos="9783" w:val="right" w:leader="dot"/>
            </w:tabs>
            <w:spacing w:line="240" w:lineRule="auto"/>
            <w:ind w:right="0"/>
            <w:jc w:val="left"/>
            <w:rPr>
              <w:rFonts w:ascii="宋体" w:hAnsi="宋体" w:cs="宋体" w:eastAsia="宋体" w:hint="default"/>
            </w:rPr>
          </w:pPr>
          <w:hyperlink w:history="true" w:anchor="_bookmark4">
            <w:r>
              <w:rPr/>
              <w:t>第五节</w:t>
            </w:r>
            <w:r>
              <w:rPr>
                <w:spacing w:val="-1"/>
              </w:rPr>
              <w:t> </w:t>
            </w:r>
            <w:r>
              <w:rPr/>
              <w:t>重要事项</w:t>
            </w:r>
            <w:r>
              <w:rPr>
                <w:rFonts w:ascii="宋体" w:hAnsi="宋体" w:cs="宋体" w:eastAsia="宋体" w:hint="default"/>
              </w:rPr>
              <w:tab/>
              <w:t>38</w:t>
            </w:r>
          </w:hyperlink>
        </w:p>
        <w:p>
          <w:pPr>
            <w:pStyle w:val="TOC1"/>
            <w:tabs>
              <w:tab w:pos="9783" w:val="right" w:leader="dot"/>
            </w:tabs>
            <w:spacing w:line="240" w:lineRule="auto"/>
            <w:ind w:right="0"/>
            <w:jc w:val="left"/>
            <w:rPr>
              <w:rFonts w:ascii="宋体" w:hAnsi="宋体" w:cs="宋体" w:eastAsia="宋体" w:hint="default"/>
            </w:rPr>
          </w:pPr>
          <w:hyperlink w:history="true" w:anchor="_bookmark5">
            <w:r>
              <w:rPr/>
              <w:t>第六节</w:t>
            </w:r>
            <w:r>
              <w:rPr>
                <w:spacing w:val="-1"/>
              </w:rPr>
              <w:t> </w:t>
            </w:r>
            <w:r>
              <w:rPr/>
              <w:t>股份变动及股东情况</w:t>
            </w:r>
            <w:r>
              <w:rPr>
                <w:rFonts w:ascii="宋体" w:hAnsi="宋体" w:cs="宋体" w:eastAsia="宋体" w:hint="default"/>
              </w:rPr>
              <w:tab/>
              <w:t>50</w:t>
            </w:r>
          </w:hyperlink>
        </w:p>
        <w:p>
          <w:pPr>
            <w:pStyle w:val="TOC1"/>
            <w:tabs>
              <w:tab w:pos="9783" w:val="right" w:leader="dot"/>
            </w:tabs>
            <w:spacing w:line="240" w:lineRule="auto"/>
            <w:ind w:left="154" w:right="0"/>
            <w:jc w:val="left"/>
            <w:rPr>
              <w:rFonts w:ascii="宋体" w:hAnsi="宋体" w:cs="宋体" w:eastAsia="宋体" w:hint="default"/>
            </w:rPr>
          </w:pPr>
          <w:hyperlink w:history="true" w:anchor="_bookmark6">
            <w:r>
              <w:rPr/>
              <w:t>第七节</w:t>
            </w:r>
            <w:r>
              <w:rPr>
                <w:spacing w:val="-1"/>
              </w:rPr>
              <w:t> </w:t>
            </w:r>
            <w:r>
              <w:rPr/>
              <w:t>董事、监事、高级管理人员和员工情况</w:t>
            </w:r>
            <w:r>
              <w:rPr>
                <w:rFonts w:ascii="宋体" w:hAnsi="宋体" w:cs="宋体" w:eastAsia="宋体" w:hint="default"/>
              </w:rPr>
              <w:tab/>
              <w:t>56</w:t>
            </w:r>
          </w:hyperlink>
        </w:p>
        <w:p>
          <w:pPr>
            <w:pStyle w:val="TOC1"/>
            <w:tabs>
              <w:tab w:pos="9783" w:val="right" w:leader="dot"/>
            </w:tabs>
            <w:spacing w:line="240" w:lineRule="auto"/>
            <w:ind w:left="154" w:right="0"/>
            <w:jc w:val="left"/>
            <w:rPr>
              <w:rFonts w:ascii="宋体" w:hAnsi="宋体" w:cs="宋体" w:eastAsia="宋体" w:hint="default"/>
            </w:rPr>
          </w:pPr>
          <w:hyperlink w:history="true" w:anchor="_bookmark7">
            <w:r>
              <w:rPr/>
              <w:t>第八节</w:t>
            </w:r>
            <w:r>
              <w:rPr>
                <w:spacing w:val="-1"/>
              </w:rPr>
              <w:t> </w:t>
            </w:r>
            <w:r>
              <w:rPr/>
              <w:t>公司治理</w:t>
            </w:r>
            <w:r>
              <w:rPr>
                <w:rFonts w:ascii="宋体" w:hAnsi="宋体" w:cs="宋体" w:eastAsia="宋体" w:hint="default"/>
              </w:rPr>
              <w:tab/>
              <w:t>63</w:t>
            </w:r>
          </w:hyperlink>
        </w:p>
        <w:p>
          <w:pPr>
            <w:pStyle w:val="TOC1"/>
            <w:tabs>
              <w:tab w:pos="9783" w:val="right" w:leader="dot"/>
            </w:tabs>
            <w:spacing w:line="240" w:lineRule="auto"/>
            <w:ind w:left="154" w:right="0"/>
            <w:jc w:val="left"/>
            <w:rPr>
              <w:rFonts w:ascii="宋体" w:hAnsi="宋体" w:cs="宋体" w:eastAsia="宋体" w:hint="default"/>
            </w:rPr>
          </w:pPr>
          <w:hyperlink w:history="true" w:anchor="_bookmark8">
            <w:r>
              <w:rPr/>
              <w:t>第九节</w:t>
            </w:r>
            <w:r>
              <w:rPr>
                <w:spacing w:val="-1"/>
              </w:rPr>
              <w:t> </w:t>
            </w:r>
            <w:r>
              <w:rPr/>
              <w:t>财务报告</w:t>
            </w:r>
            <w:r>
              <w:rPr>
                <w:rFonts w:ascii="宋体" w:hAnsi="宋体" w:cs="宋体" w:eastAsia="宋体" w:hint="default"/>
              </w:rPr>
              <w:tab/>
              <w:t>67</w:t>
            </w:r>
          </w:hyperlink>
        </w:p>
        <w:p>
          <w:pPr>
            <w:pStyle w:val="TOC1"/>
            <w:tabs>
              <w:tab w:pos="9783" w:val="right" w:leader="dot"/>
            </w:tabs>
            <w:spacing w:line="240" w:lineRule="auto"/>
            <w:ind w:left="154" w:right="0"/>
            <w:jc w:val="left"/>
            <w:rPr>
              <w:rFonts w:ascii="宋体" w:hAnsi="宋体" w:cs="宋体" w:eastAsia="宋体" w:hint="default"/>
            </w:rPr>
          </w:pPr>
          <w:hyperlink w:history="true" w:anchor="_bookmark9">
            <w:r>
              <w:rPr/>
              <w:t>第十节</w:t>
            </w:r>
            <w:r>
              <w:rPr>
                <w:spacing w:val="-1"/>
              </w:rPr>
              <w:t> </w:t>
            </w:r>
            <w:r>
              <w:rPr/>
              <w:t>备查文件目录</w:t>
            </w:r>
            <w:r>
              <w:rPr>
                <w:rFonts w:ascii="宋体" w:hAnsi="宋体" w:cs="宋体" w:eastAsia="宋体" w:hint="default"/>
              </w:rPr>
              <w:tab/>
              <w:t>170</w:t>
            </w:r>
          </w:hyperlink>
        </w:p>
      </w:sdtContent>
    </w:sdt>
    <w:p>
      <w:pPr>
        <w:spacing w:after="0" w:line="240" w:lineRule="auto"/>
        <w:jc w:val="left"/>
        <w:rPr>
          <w:rFonts w:ascii="宋体" w:hAnsi="宋体" w:cs="宋体" w:eastAsia="宋体" w:hint="default"/>
        </w:rPr>
        <w:sectPr>
          <w:pgSz w:w="11910" w:h="16840"/>
          <w:pgMar w:header="877" w:footer="979" w:top="1100" w:bottom="1160" w:left="980" w:right="980"/>
        </w:sectPr>
      </w:pPr>
    </w:p>
    <w:p>
      <w:pPr>
        <w:spacing w:before="530"/>
        <w:ind w:left="134" w:right="13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7"/>
        <w:rPr>
          <w:rFonts w:ascii="宋体" w:hAnsi="宋体" w:cs="宋体" w:eastAsia="宋体" w:hint="default"/>
          <w:b/>
          <w:bCs/>
          <w:sz w:val="26"/>
          <w:szCs w:val="26"/>
        </w:rPr>
      </w:pPr>
    </w:p>
    <w:tbl>
      <w:tblPr>
        <w:tblW w:w="0" w:type="auto"/>
        <w:jc w:val="left"/>
        <w:tblInd w:w="162" w:type="dxa"/>
        <w:tblLayout w:type="fixed"/>
        <w:tblCellMar>
          <w:top w:w="0" w:type="dxa"/>
          <w:left w:w="0" w:type="dxa"/>
          <w:bottom w:w="0" w:type="dxa"/>
          <w:right w:w="0" w:type="dxa"/>
        </w:tblCellMar>
        <w:tblLook w:val="01E0"/>
      </w:tblPr>
      <w:tblGrid>
        <w:gridCol w:w="2975"/>
        <w:gridCol w:w="828"/>
        <w:gridCol w:w="5739"/>
      </w:tblGrid>
      <w:tr>
        <w:trPr>
          <w:trHeight w:val="402" w:hRule="exact"/>
        </w:trPr>
        <w:tc>
          <w:tcPr>
            <w:tcW w:w="29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right="19"/>
              <w:jc w:val="center"/>
              <w:rPr>
                <w:rFonts w:ascii="宋体" w:hAnsi="宋体" w:cs="宋体" w:eastAsia="宋体" w:hint="default"/>
                <w:sz w:val="21"/>
                <w:szCs w:val="21"/>
              </w:rPr>
            </w:pPr>
            <w:r>
              <w:rPr>
                <w:rFonts w:ascii="宋体" w:hAnsi="宋体" w:cs="宋体" w:eastAsia="宋体" w:hint="default"/>
                <w:b/>
                <w:bCs/>
                <w:sz w:val="21"/>
                <w:szCs w:val="21"/>
              </w:rPr>
              <w:t>释义项</w:t>
            </w:r>
            <w:r>
              <w:rPr>
                <w:rFonts w:ascii="宋体" w:hAnsi="宋体" w:cs="宋体" w:eastAsia="宋体" w:hint="default"/>
                <w:sz w:val="21"/>
                <w:szCs w:val="21"/>
              </w:rPr>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03" w:right="0"/>
              <w:jc w:val="left"/>
              <w:rPr>
                <w:rFonts w:ascii="宋体" w:hAnsi="宋体" w:cs="宋体" w:eastAsia="宋体" w:hint="default"/>
                <w:sz w:val="21"/>
                <w:szCs w:val="21"/>
              </w:rPr>
            </w:pPr>
            <w:r>
              <w:rPr>
                <w:rFonts w:ascii="宋体" w:hAnsi="宋体" w:cs="宋体" w:eastAsia="宋体" w:hint="default"/>
                <w:b/>
                <w:bCs/>
                <w:w w:val="99"/>
                <w:sz w:val="21"/>
                <w:szCs w:val="21"/>
              </w:rPr>
              <w:t>指</w:t>
            </w:r>
            <w:r>
              <w:rPr>
                <w:rFonts w:ascii="宋体" w:hAnsi="宋体" w:cs="宋体" w:eastAsia="宋体" w:hint="default"/>
                <w:sz w:val="21"/>
                <w:szCs w:val="21"/>
              </w:rPr>
            </w:r>
          </w:p>
        </w:tc>
        <w:tc>
          <w:tcPr>
            <w:tcW w:w="573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7"/>
              <w:ind w:left="20" w:right="0"/>
              <w:jc w:val="center"/>
              <w:rPr>
                <w:rFonts w:ascii="宋体" w:hAnsi="宋体" w:cs="宋体" w:eastAsia="宋体" w:hint="default"/>
                <w:sz w:val="21"/>
                <w:szCs w:val="21"/>
              </w:rPr>
            </w:pPr>
            <w:r>
              <w:rPr>
                <w:rFonts w:ascii="宋体" w:hAnsi="宋体" w:cs="宋体" w:eastAsia="宋体" w:hint="default"/>
                <w:b/>
                <w:bCs/>
                <w:sz w:val="21"/>
                <w:szCs w:val="21"/>
              </w:rPr>
              <w:t>释义内容</w:t>
            </w:r>
            <w:r>
              <w:rPr>
                <w:rFonts w:ascii="宋体" w:hAnsi="宋体" w:cs="宋体" w:eastAsia="宋体" w:hint="default"/>
                <w:sz w:val="21"/>
                <w:szCs w:val="21"/>
              </w:rPr>
            </w:r>
          </w:p>
        </w:tc>
      </w:tr>
      <w:tr>
        <w:trPr>
          <w:trHeight w:val="162" w:hRule="exact"/>
        </w:trPr>
        <w:tc>
          <w:tcPr>
            <w:tcW w:w="2975" w:type="dxa"/>
            <w:vMerge w:val="restart"/>
            <w:tcBorders>
              <w:top w:val="single" w:sz="4" w:space="0" w:color="000000"/>
              <w:left w:val="nil" w:sz="6" w:space="0" w:color="auto"/>
              <w:right w:val="single" w:sz="9" w:space="0" w:color="D2D2D2"/>
            </w:tcBorders>
          </w:tcPr>
          <w:p>
            <w:pPr>
              <w:pStyle w:val="TableParagraph"/>
              <w:spacing w:line="273" w:lineRule="auto" w:before="27"/>
              <w:ind w:left="13" w:right="26"/>
              <w:jc w:val="left"/>
              <w:rPr>
                <w:rFonts w:ascii="宋体" w:hAnsi="宋体" w:cs="宋体" w:eastAsia="宋体" w:hint="default"/>
                <w:sz w:val="21"/>
                <w:szCs w:val="21"/>
              </w:rPr>
            </w:pPr>
            <w:r>
              <w:rPr>
                <w:rFonts w:ascii="宋体" w:hAnsi="宋体" w:cs="宋体" w:eastAsia="宋体" w:hint="default"/>
                <w:spacing w:val="-2"/>
                <w:sz w:val="21"/>
                <w:szCs w:val="21"/>
              </w:rPr>
              <w:t>本公司、公司、股份公司、发行</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人、中文在线</w:t>
            </w:r>
          </w:p>
        </w:tc>
        <w:tc>
          <w:tcPr>
            <w:tcW w:w="828" w:type="dxa"/>
            <w:tcBorders>
              <w:top w:val="single" w:sz="4" w:space="0" w:color="000000"/>
              <w:left w:val="single" w:sz="4" w:space="0" w:color="000000"/>
              <w:bottom w:val="nil" w:sz="6" w:space="0" w:color="auto"/>
              <w:right w:val="single" w:sz="4" w:space="0" w:color="000000"/>
            </w:tcBorders>
            <w:shd w:val="clear" w:color="auto" w:fill="D2D2D2"/>
          </w:tcPr>
          <w:p>
            <w:pPr/>
          </w:p>
        </w:tc>
        <w:tc>
          <w:tcPr>
            <w:tcW w:w="5739" w:type="dxa"/>
            <w:vMerge w:val="restart"/>
            <w:tcBorders>
              <w:top w:val="single" w:sz="4" w:space="0" w:color="000000"/>
              <w:left w:val="single" w:sz="9" w:space="0" w:color="D2D2D2"/>
              <w:right w:val="nil" w:sz="6" w:space="0" w:color="auto"/>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北京中文在线数字出版股份有限公司</w:t>
            </w:r>
          </w:p>
        </w:tc>
      </w:tr>
      <w:tr>
        <w:trPr>
          <w:trHeight w:val="391" w:hRule="exact"/>
        </w:trPr>
        <w:tc>
          <w:tcPr>
            <w:tcW w:w="2975" w:type="dxa"/>
            <w:vMerge/>
            <w:tcBorders>
              <w:left w:val="nil" w:sz="6" w:space="0" w:color="auto"/>
              <w:right w:val="single" w:sz="9" w:space="0" w:color="D2D2D2"/>
            </w:tcBorders>
          </w:tcPr>
          <w:p>
            <w:pPr/>
          </w:p>
        </w:tc>
        <w:tc>
          <w:tcPr>
            <w:tcW w:w="8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0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739" w:type="dxa"/>
            <w:vMerge/>
            <w:tcBorders>
              <w:left w:val="single" w:sz="9" w:space="0" w:color="D2D2D2"/>
              <w:right w:val="nil" w:sz="6" w:space="0" w:color="auto"/>
            </w:tcBorders>
          </w:tcPr>
          <w:p>
            <w:pPr/>
          </w:p>
        </w:tc>
      </w:tr>
      <w:tr>
        <w:trPr>
          <w:trHeight w:val="161" w:hRule="exact"/>
        </w:trPr>
        <w:tc>
          <w:tcPr>
            <w:tcW w:w="2975" w:type="dxa"/>
            <w:vMerge/>
            <w:tcBorders>
              <w:left w:val="nil" w:sz="6" w:space="0" w:color="auto"/>
              <w:bottom w:val="single" w:sz="4" w:space="0" w:color="000000"/>
              <w:right w:val="single" w:sz="9" w:space="0" w:color="D2D2D2"/>
            </w:tcBorders>
          </w:tcPr>
          <w:p>
            <w:pPr/>
          </w:p>
        </w:tc>
        <w:tc>
          <w:tcPr>
            <w:tcW w:w="828" w:type="dxa"/>
            <w:tcBorders>
              <w:top w:val="nil" w:sz="6" w:space="0" w:color="auto"/>
              <w:left w:val="single" w:sz="4" w:space="0" w:color="000000"/>
              <w:bottom w:val="single" w:sz="4" w:space="0" w:color="000000"/>
              <w:right w:val="single" w:sz="4" w:space="0" w:color="000000"/>
            </w:tcBorders>
            <w:shd w:val="clear" w:color="auto" w:fill="D2D2D2"/>
          </w:tcPr>
          <w:p>
            <w:pPr/>
          </w:p>
        </w:tc>
        <w:tc>
          <w:tcPr>
            <w:tcW w:w="5739" w:type="dxa"/>
            <w:vMerge/>
            <w:tcBorders>
              <w:left w:val="single" w:sz="9" w:space="0" w:color="D2D2D2"/>
              <w:bottom w:val="single" w:sz="4" w:space="0" w:color="000000"/>
              <w:right w:val="nil" w:sz="6" w:space="0" w:color="auto"/>
            </w:tcBorders>
          </w:tcPr>
          <w:p>
            <w:pPr/>
          </w:p>
        </w:tc>
      </w:tr>
      <w:tr>
        <w:trPr>
          <w:trHeight w:val="402" w:hRule="exact"/>
        </w:trPr>
        <w:tc>
          <w:tcPr>
            <w:tcW w:w="2975"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中文教育</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0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73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北京中文在线教育科技发展有限公司，系公司全资子公司</w:t>
            </w:r>
          </w:p>
        </w:tc>
      </w:tr>
      <w:tr>
        <w:trPr>
          <w:trHeight w:val="402" w:hRule="exact"/>
        </w:trPr>
        <w:tc>
          <w:tcPr>
            <w:tcW w:w="2975"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中文传媒</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0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73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北京中文在线文化传媒有限公司，系公司全资子公司</w:t>
            </w:r>
          </w:p>
        </w:tc>
      </w:tr>
      <w:tr>
        <w:trPr>
          <w:trHeight w:val="402" w:hRule="exact"/>
        </w:trPr>
        <w:tc>
          <w:tcPr>
            <w:tcW w:w="2975"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上海中文在线</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0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73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上海中文在线文化发展有限公司，系公司全资子公司</w:t>
            </w:r>
          </w:p>
        </w:tc>
      </w:tr>
      <w:tr>
        <w:trPr>
          <w:trHeight w:val="402" w:hRule="exact"/>
        </w:trPr>
        <w:tc>
          <w:tcPr>
            <w:tcW w:w="2975"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四月天科技</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0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73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广州市四月天信息科技有限公司，系公司全资子公司</w:t>
            </w:r>
          </w:p>
        </w:tc>
      </w:tr>
      <w:tr>
        <w:trPr>
          <w:trHeight w:val="162" w:hRule="exact"/>
        </w:trPr>
        <w:tc>
          <w:tcPr>
            <w:tcW w:w="2975" w:type="dxa"/>
            <w:vMerge w:val="restart"/>
            <w:tcBorders>
              <w:top w:val="single" w:sz="4" w:space="0" w:color="000000"/>
              <w:left w:val="nil" w:sz="6" w:space="0" w:color="auto"/>
              <w:right w:val="single" w:sz="9" w:space="0" w:color="D2D2D2"/>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在线教育</w:t>
            </w:r>
          </w:p>
        </w:tc>
        <w:tc>
          <w:tcPr>
            <w:tcW w:w="828" w:type="dxa"/>
            <w:tcBorders>
              <w:top w:val="single" w:sz="4" w:space="0" w:color="000000"/>
              <w:left w:val="single" w:sz="4" w:space="0" w:color="000000"/>
              <w:bottom w:val="nil" w:sz="6" w:space="0" w:color="auto"/>
              <w:right w:val="single" w:sz="4" w:space="0" w:color="000000"/>
            </w:tcBorders>
            <w:shd w:val="clear" w:color="auto" w:fill="D2D2D2"/>
          </w:tcPr>
          <w:p>
            <w:pPr/>
          </w:p>
        </w:tc>
        <w:tc>
          <w:tcPr>
            <w:tcW w:w="5739" w:type="dxa"/>
            <w:vMerge w:val="restart"/>
            <w:tcBorders>
              <w:top w:val="single" w:sz="4" w:space="0" w:color="000000"/>
              <w:left w:val="single" w:sz="9" w:space="0" w:color="D2D2D2"/>
              <w:right w:val="nil" w:sz="6" w:space="0" w:color="auto"/>
            </w:tcBorders>
          </w:tcPr>
          <w:p>
            <w:pPr>
              <w:pStyle w:val="TableParagraph"/>
              <w:spacing w:line="256" w:lineRule="auto" w:before="27"/>
              <w:ind w:left="27" w:right="530"/>
              <w:jc w:val="left"/>
              <w:rPr>
                <w:rFonts w:ascii="宋体" w:hAnsi="宋体" w:cs="宋体" w:eastAsia="宋体" w:hint="default"/>
                <w:sz w:val="21"/>
                <w:szCs w:val="21"/>
              </w:rPr>
            </w:pPr>
            <w:r>
              <w:rPr>
                <w:rFonts w:ascii="宋体" w:hAnsi="宋体" w:cs="宋体" w:eastAsia="宋体" w:hint="default"/>
                <w:sz w:val="21"/>
                <w:szCs w:val="21"/>
              </w:rPr>
              <w:t>中文在线教育集团有限公司（</w:t>
            </w:r>
            <w:r>
              <w:rPr>
                <w:rFonts w:ascii="Times New Roman" w:hAnsi="Times New Roman" w:cs="Times New Roman" w:eastAsia="Times New Roman" w:hint="default"/>
                <w:sz w:val="21"/>
                <w:szCs w:val="21"/>
              </w:rPr>
              <w:t>ChineseAll Education</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Group</w:t>
            </w:r>
            <w:r>
              <w:rPr>
                <w:rFonts w:ascii="Times New Roman" w:hAnsi="Times New Roman" w:cs="Times New Roman" w:eastAsia="Times New Roman" w:hint="default"/>
                <w:w w:val="99"/>
                <w:sz w:val="21"/>
                <w:szCs w:val="21"/>
              </w:rPr>
              <w:t> </w:t>
            </w:r>
            <w:r>
              <w:rPr>
                <w:rFonts w:ascii="Times New Roman" w:hAnsi="Times New Roman" w:cs="Times New Roman" w:eastAsia="Times New Roman" w:hint="default"/>
                <w:spacing w:val="-7"/>
                <w:w w:val="99"/>
                <w:sz w:val="21"/>
                <w:szCs w:val="21"/>
              </w:rPr>
              <w:t>Limited</w:t>
            </w:r>
            <w:r>
              <w:rPr>
                <w:rFonts w:ascii="宋体" w:hAnsi="宋体" w:cs="宋体" w:eastAsia="宋体" w:hint="default"/>
                <w:spacing w:val="-7"/>
                <w:w w:val="99"/>
                <w:sz w:val="21"/>
                <w:szCs w:val="21"/>
              </w:rPr>
              <w:t>），系公司全资子公司</w:t>
            </w:r>
            <w:r>
              <w:rPr>
                <w:rFonts w:ascii="宋体" w:hAnsi="宋体" w:cs="宋体" w:eastAsia="宋体" w:hint="default"/>
                <w:spacing w:val="-7"/>
                <w:sz w:val="21"/>
                <w:szCs w:val="21"/>
              </w:rPr>
            </w:r>
          </w:p>
        </w:tc>
      </w:tr>
      <w:tr>
        <w:trPr>
          <w:trHeight w:val="391" w:hRule="exact"/>
        </w:trPr>
        <w:tc>
          <w:tcPr>
            <w:tcW w:w="2975" w:type="dxa"/>
            <w:vMerge/>
            <w:tcBorders>
              <w:left w:val="nil" w:sz="6" w:space="0" w:color="auto"/>
              <w:right w:val="single" w:sz="9" w:space="0" w:color="D2D2D2"/>
            </w:tcBorders>
          </w:tcPr>
          <w:p>
            <w:pPr/>
          </w:p>
        </w:tc>
        <w:tc>
          <w:tcPr>
            <w:tcW w:w="8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0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739" w:type="dxa"/>
            <w:vMerge/>
            <w:tcBorders>
              <w:left w:val="single" w:sz="9" w:space="0" w:color="D2D2D2"/>
              <w:right w:val="nil" w:sz="6" w:space="0" w:color="auto"/>
            </w:tcBorders>
          </w:tcPr>
          <w:p>
            <w:pPr/>
          </w:p>
        </w:tc>
      </w:tr>
      <w:tr>
        <w:trPr>
          <w:trHeight w:val="161" w:hRule="exact"/>
        </w:trPr>
        <w:tc>
          <w:tcPr>
            <w:tcW w:w="2975" w:type="dxa"/>
            <w:vMerge/>
            <w:tcBorders>
              <w:left w:val="nil" w:sz="6" w:space="0" w:color="auto"/>
              <w:bottom w:val="single" w:sz="4" w:space="0" w:color="000000"/>
              <w:right w:val="single" w:sz="9" w:space="0" w:color="D2D2D2"/>
            </w:tcBorders>
          </w:tcPr>
          <w:p>
            <w:pPr/>
          </w:p>
        </w:tc>
        <w:tc>
          <w:tcPr>
            <w:tcW w:w="828" w:type="dxa"/>
            <w:tcBorders>
              <w:top w:val="nil" w:sz="6" w:space="0" w:color="auto"/>
              <w:left w:val="single" w:sz="4" w:space="0" w:color="000000"/>
              <w:bottom w:val="single" w:sz="4" w:space="0" w:color="000000"/>
              <w:right w:val="single" w:sz="4" w:space="0" w:color="000000"/>
            </w:tcBorders>
            <w:shd w:val="clear" w:color="auto" w:fill="D2D2D2"/>
          </w:tcPr>
          <w:p>
            <w:pPr/>
          </w:p>
        </w:tc>
        <w:tc>
          <w:tcPr>
            <w:tcW w:w="5739" w:type="dxa"/>
            <w:vMerge/>
            <w:tcBorders>
              <w:left w:val="single" w:sz="9" w:space="0" w:color="D2D2D2"/>
              <w:bottom w:val="single" w:sz="4" w:space="0" w:color="000000"/>
              <w:right w:val="nil" w:sz="6" w:space="0" w:color="auto"/>
            </w:tcBorders>
          </w:tcPr>
          <w:p>
            <w:pPr/>
          </w:p>
        </w:tc>
      </w:tr>
      <w:tr>
        <w:trPr>
          <w:trHeight w:val="402" w:hRule="exact"/>
        </w:trPr>
        <w:tc>
          <w:tcPr>
            <w:tcW w:w="2975"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杭州中文在线</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0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73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杭州中文在线信息科技有限公司，系公司控股子公司</w:t>
            </w:r>
          </w:p>
        </w:tc>
      </w:tr>
      <w:tr>
        <w:trPr>
          <w:trHeight w:val="402" w:hRule="exact"/>
        </w:trPr>
        <w:tc>
          <w:tcPr>
            <w:tcW w:w="2975"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湖北中文在线</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0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73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湖北中文在线数字出版有限公司，系公司控股子公司</w:t>
            </w:r>
          </w:p>
        </w:tc>
      </w:tr>
      <w:tr>
        <w:trPr>
          <w:trHeight w:val="402" w:hRule="exact"/>
        </w:trPr>
        <w:tc>
          <w:tcPr>
            <w:tcW w:w="2975"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汤圆公司</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0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73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北京汤圆和它的小伙伴们网络科技有限公司</w:t>
            </w:r>
          </w:p>
        </w:tc>
      </w:tr>
      <w:tr>
        <w:trPr>
          <w:trHeight w:val="402" w:hRule="exact"/>
        </w:trPr>
        <w:tc>
          <w:tcPr>
            <w:tcW w:w="2975"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迈步科技</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0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73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广州市迈步信息科技有限公司，系公司参股公司</w:t>
            </w:r>
          </w:p>
        </w:tc>
      </w:tr>
      <w:tr>
        <w:trPr>
          <w:trHeight w:val="402" w:hRule="exact"/>
        </w:trPr>
        <w:tc>
          <w:tcPr>
            <w:tcW w:w="2975"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学友园中少</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0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73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北京学友园中少报刊发行有限责任公司，系中文教育参股公司</w:t>
            </w:r>
          </w:p>
        </w:tc>
      </w:tr>
      <w:tr>
        <w:trPr>
          <w:trHeight w:val="402" w:hRule="exact"/>
        </w:trPr>
        <w:tc>
          <w:tcPr>
            <w:tcW w:w="2975"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启迪华创</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0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73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北京启迪华创投资咨询有限公司，系公司股东之一</w:t>
            </w:r>
          </w:p>
        </w:tc>
      </w:tr>
      <w:tr>
        <w:trPr>
          <w:trHeight w:val="402" w:hRule="exact"/>
        </w:trPr>
        <w:tc>
          <w:tcPr>
            <w:tcW w:w="2975"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文睿投资</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0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73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上海文睿投资有限公司，系公司股东之一</w:t>
            </w:r>
          </w:p>
        </w:tc>
      </w:tr>
      <w:tr>
        <w:trPr>
          <w:trHeight w:val="402" w:hRule="exact"/>
        </w:trPr>
        <w:tc>
          <w:tcPr>
            <w:tcW w:w="2975"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华睿海越创投</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0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73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浙江华睿海越现代服务业创业投资有限公司，系公司股东之一</w:t>
            </w:r>
          </w:p>
        </w:tc>
      </w:tr>
      <w:tr>
        <w:trPr>
          <w:trHeight w:val="402" w:hRule="exact"/>
        </w:trPr>
        <w:tc>
          <w:tcPr>
            <w:tcW w:w="2975"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开物投资</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0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73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上海开物投资合伙企业（有限合伙</w:t>
            </w:r>
            <w:r>
              <w:rPr>
                <w:rFonts w:ascii="宋体" w:hAnsi="宋体" w:cs="宋体" w:eastAsia="宋体" w:hint="default"/>
                <w:spacing w:val="-106"/>
                <w:sz w:val="21"/>
                <w:szCs w:val="21"/>
              </w:rPr>
              <w:t>）</w:t>
            </w:r>
            <w:r>
              <w:rPr>
                <w:rFonts w:ascii="宋体" w:hAnsi="宋体" w:cs="宋体" w:eastAsia="宋体" w:hint="default"/>
                <w:sz w:val="21"/>
                <w:szCs w:val="21"/>
              </w:rPr>
              <w:t>，系公司股东之一</w:t>
            </w:r>
          </w:p>
        </w:tc>
      </w:tr>
      <w:tr>
        <w:trPr>
          <w:trHeight w:val="402" w:hRule="exact"/>
        </w:trPr>
        <w:tc>
          <w:tcPr>
            <w:tcW w:w="2975"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博发投资</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0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73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宁波博发投资合伙企业（有限合伙</w:t>
            </w:r>
            <w:r>
              <w:rPr>
                <w:rFonts w:ascii="宋体" w:hAnsi="宋体" w:cs="宋体" w:eastAsia="宋体" w:hint="default"/>
                <w:spacing w:val="-106"/>
                <w:sz w:val="21"/>
                <w:szCs w:val="21"/>
              </w:rPr>
              <w:t>）</w:t>
            </w:r>
            <w:r>
              <w:rPr>
                <w:rFonts w:ascii="宋体" w:hAnsi="宋体" w:cs="宋体" w:eastAsia="宋体" w:hint="default"/>
                <w:sz w:val="21"/>
                <w:szCs w:val="21"/>
              </w:rPr>
              <w:t>，系公司股东之一</w:t>
            </w:r>
          </w:p>
        </w:tc>
      </w:tr>
      <w:tr>
        <w:trPr>
          <w:trHeight w:val="402" w:hRule="exact"/>
        </w:trPr>
        <w:tc>
          <w:tcPr>
            <w:tcW w:w="2975"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德同长通</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0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73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北京德同长通投资中心（有限合伙</w:t>
            </w:r>
            <w:r>
              <w:rPr>
                <w:rFonts w:ascii="宋体" w:hAnsi="宋体" w:cs="宋体" w:eastAsia="宋体" w:hint="default"/>
                <w:spacing w:val="-106"/>
                <w:sz w:val="21"/>
                <w:szCs w:val="21"/>
              </w:rPr>
              <w:t>）</w:t>
            </w:r>
            <w:r>
              <w:rPr>
                <w:rFonts w:ascii="宋体" w:hAnsi="宋体" w:cs="宋体" w:eastAsia="宋体" w:hint="default"/>
                <w:sz w:val="21"/>
                <w:szCs w:val="21"/>
              </w:rPr>
              <w:t>，系公司股东之一</w:t>
            </w:r>
          </w:p>
        </w:tc>
      </w:tr>
      <w:tr>
        <w:trPr>
          <w:trHeight w:val="402" w:hRule="exact"/>
        </w:trPr>
        <w:tc>
          <w:tcPr>
            <w:tcW w:w="2975"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鸿达以太</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0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73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北京鸿达以太文化发展有限公司，系公司参股公司</w:t>
            </w:r>
          </w:p>
        </w:tc>
      </w:tr>
      <w:tr>
        <w:trPr>
          <w:trHeight w:val="402" w:hRule="exact"/>
        </w:trPr>
        <w:tc>
          <w:tcPr>
            <w:tcW w:w="2975"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中国联通</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0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73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中国联合网络通信集团有限公司</w:t>
            </w:r>
          </w:p>
        </w:tc>
      </w:tr>
      <w:tr>
        <w:trPr>
          <w:trHeight w:val="402" w:hRule="exact"/>
        </w:trPr>
        <w:tc>
          <w:tcPr>
            <w:tcW w:w="2975"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中国电信</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0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73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中国电信集团公司</w:t>
            </w:r>
          </w:p>
        </w:tc>
      </w:tr>
      <w:tr>
        <w:trPr>
          <w:trHeight w:val="402" w:hRule="exact"/>
        </w:trPr>
        <w:tc>
          <w:tcPr>
            <w:tcW w:w="2975"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天翼阅读</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0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73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天翼阅读文化传播有限公司，系公司参股公司</w:t>
            </w:r>
          </w:p>
        </w:tc>
      </w:tr>
      <w:tr>
        <w:trPr>
          <w:trHeight w:val="402" w:hRule="exact"/>
        </w:trPr>
        <w:tc>
          <w:tcPr>
            <w:tcW w:w="2975"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17K</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小说网</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0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73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76"/>
              <w:ind w:left="22" w:right="0"/>
              <w:jc w:val="left"/>
              <w:rPr>
                <w:rFonts w:ascii="Times New Roman" w:hAnsi="Times New Roman" w:cs="Times New Roman" w:eastAsia="Times New Roman" w:hint="default"/>
                <w:sz w:val="21"/>
                <w:szCs w:val="21"/>
              </w:rPr>
            </w:pPr>
            <w:hyperlink r:id="rId8">
              <w:r>
                <w:rPr>
                  <w:rFonts w:ascii="Times New Roman"/>
                  <w:sz w:val="21"/>
                </w:rPr>
                <w:t>www.17K.com</w:t>
              </w:r>
            </w:hyperlink>
          </w:p>
        </w:tc>
      </w:tr>
      <w:tr>
        <w:trPr>
          <w:trHeight w:val="402" w:hRule="exact"/>
        </w:trPr>
        <w:tc>
          <w:tcPr>
            <w:tcW w:w="2975"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中国移动</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0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73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中国移动通信集团公司</w:t>
            </w:r>
          </w:p>
        </w:tc>
      </w:tr>
      <w:tr>
        <w:trPr>
          <w:trHeight w:val="402" w:hRule="exact"/>
        </w:trPr>
        <w:tc>
          <w:tcPr>
            <w:tcW w:w="2975"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中国移动浙江有限公司</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0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73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中国移动通信集团浙江有限公司</w:t>
            </w:r>
          </w:p>
        </w:tc>
      </w:tr>
      <w:tr>
        <w:trPr>
          <w:trHeight w:val="402" w:hRule="exact"/>
        </w:trPr>
        <w:tc>
          <w:tcPr>
            <w:tcW w:w="2975"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0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73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北京中文在线数字出版股份有限公司股东大会</w:t>
            </w:r>
          </w:p>
        </w:tc>
      </w:tr>
      <w:tr>
        <w:trPr>
          <w:trHeight w:val="402" w:hRule="exact"/>
        </w:trPr>
        <w:tc>
          <w:tcPr>
            <w:tcW w:w="2975"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0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73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北京中文在线数字出版股份有限公司董事会</w:t>
            </w:r>
          </w:p>
        </w:tc>
      </w:tr>
      <w:tr>
        <w:trPr>
          <w:trHeight w:val="402" w:hRule="exact"/>
        </w:trPr>
        <w:tc>
          <w:tcPr>
            <w:tcW w:w="2975"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监事会</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0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73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北京中文在线数字出版股份有限公司监事会</w:t>
            </w:r>
          </w:p>
        </w:tc>
      </w:tr>
      <w:tr>
        <w:trPr>
          <w:trHeight w:val="298" w:hRule="exact"/>
        </w:trPr>
        <w:tc>
          <w:tcPr>
            <w:tcW w:w="2975" w:type="dxa"/>
            <w:vMerge w:val="restart"/>
            <w:tcBorders>
              <w:top w:val="single" w:sz="4" w:space="0" w:color="000000"/>
              <w:left w:val="nil" w:sz="6" w:space="0" w:color="auto"/>
              <w:right w:val="single" w:sz="9" w:space="0" w:color="D2D2D2"/>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828" w:type="dxa"/>
            <w:tcBorders>
              <w:top w:val="single" w:sz="4" w:space="0" w:color="000000"/>
              <w:left w:val="single" w:sz="4" w:space="0" w:color="000000"/>
              <w:bottom w:val="nil" w:sz="6" w:space="0" w:color="auto"/>
              <w:right w:val="single" w:sz="4" w:space="0" w:color="000000"/>
            </w:tcBorders>
            <w:shd w:val="clear" w:color="auto" w:fill="D2D2D2"/>
          </w:tcPr>
          <w:p>
            <w:pPr/>
          </w:p>
        </w:tc>
        <w:tc>
          <w:tcPr>
            <w:tcW w:w="5739" w:type="dxa"/>
            <w:vMerge w:val="restart"/>
            <w:tcBorders>
              <w:top w:val="single" w:sz="4" w:space="0" w:color="000000"/>
              <w:left w:val="single" w:sz="9" w:space="0" w:color="D2D2D2"/>
              <w:right w:val="nil" w:sz="6" w:space="0" w:color="auto"/>
            </w:tcBorders>
          </w:tcPr>
          <w:p>
            <w:pPr>
              <w:pStyle w:val="TableParagraph"/>
              <w:spacing w:line="271" w:lineRule="auto" w:before="27"/>
              <w:ind w:left="27" w:right="27"/>
              <w:jc w:val="left"/>
              <w:rPr>
                <w:rFonts w:ascii="宋体" w:hAnsi="宋体" w:cs="宋体" w:eastAsia="宋体" w:hint="default"/>
                <w:sz w:val="21"/>
                <w:szCs w:val="21"/>
              </w:rPr>
            </w:pPr>
            <w:r>
              <w:rPr>
                <w:rFonts w:ascii="宋体" w:hAnsi="宋体" w:cs="宋体" w:eastAsia="宋体" w:hint="default"/>
                <w:sz w:val="21"/>
                <w:szCs w:val="21"/>
              </w:rPr>
              <w:t>经中华人民共和国第十届全国人民代表大会常务委员会第十八 次会议于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日修订通过并自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日起</w:t>
            </w:r>
          </w:p>
          <w:p>
            <w:pPr>
              <w:pStyle w:val="TableParagraph"/>
              <w:spacing w:line="282" w:lineRule="exact"/>
              <w:ind w:left="2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施行的《中华人民共和国公司法</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最近一次修订时间为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2013</w:t>
            </w:r>
          </w:p>
        </w:tc>
      </w:tr>
      <w:tr>
        <w:trPr>
          <w:trHeight w:val="392" w:hRule="exact"/>
        </w:trPr>
        <w:tc>
          <w:tcPr>
            <w:tcW w:w="2975" w:type="dxa"/>
            <w:vMerge/>
            <w:tcBorders>
              <w:left w:val="nil" w:sz="6" w:space="0" w:color="auto"/>
              <w:right w:val="single" w:sz="9" w:space="0" w:color="D2D2D2"/>
            </w:tcBorders>
          </w:tcPr>
          <w:p>
            <w:pPr/>
          </w:p>
        </w:tc>
        <w:tc>
          <w:tcPr>
            <w:tcW w:w="8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0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739" w:type="dxa"/>
            <w:vMerge/>
            <w:tcBorders>
              <w:left w:val="single" w:sz="9" w:space="0" w:color="D2D2D2"/>
              <w:right w:val="nil" w:sz="6" w:space="0" w:color="auto"/>
            </w:tcBorders>
          </w:tcPr>
          <w:p>
            <w:pPr/>
          </w:p>
        </w:tc>
      </w:tr>
      <w:tr>
        <w:trPr>
          <w:trHeight w:val="296" w:hRule="exact"/>
        </w:trPr>
        <w:tc>
          <w:tcPr>
            <w:tcW w:w="2975" w:type="dxa"/>
            <w:vMerge/>
            <w:tcBorders>
              <w:left w:val="nil" w:sz="6" w:space="0" w:color="auto"/>
              <w:bottom w:val="single" w:sz="4" w:space="0" w:color="000000"/>
              <w:right w:val="single" w:sz="9" w:space="0" w:color="D2D2D2"/>
            </w:tcBorders>
          </w:tcPr>
          <w:p>
            <w:pPr/>
          </w:p>
        </w:tc>
        <w:tc>
          <w:tcPr>
            <w:tcW w:w="828" w:type="dxa"/>
            <w:tcBorders>
              <w:top w:val="nil" w:sz="6" w:space="0" w:color="auto"/>
              <w:left w:val="single" w:sz="4" w:space="0" w:color="000000"/>
              <w:bottom w:val="single" w:sz="4" w:space="0" w:color="000000"/>
              <w:right w:val="single" w:sz="4" w:space="0" w:color="000000"/>
            </w:tcBorders>
            <w:shd w:val="clear" w:color="auto" w:fill="D2D2D2"/>
          </w:tcPr>
          <w:p>
            <w:pPr/>
          </w:p>
        </w:tc>
        <w:tc>
          <w:tcPr>
            <w:tcW w:w="5739" w:type="dxa"/>
            <w:vMerge/>
            <w:tcBorders>
              <w:left w:val="single" w:sz="9" w:space="0" w:color="D2D2D2"/>
              <w:bottom w:val="single" w:sz="4" w:space="0" w:color="000000"/>
              <w:right w:val="nil" w:sz="6" w:space="0" w:color="auto"/>
            </w:tcBorders>
          </w:tcPr>
          <w:p>
            <w:pPr/>
          </w:p>
        </w:tc>
      </w:tr>
    </w:tbl>
    <w:p>
      <w:pPr>
        <w:spacing w:after="0"/>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34" w:type="dxa"/>
        <w:tblLayout w:type="fixed"/>
        <w:tblCellMar>
          <w:top w:w="0" w:type="dxa"/>
          <w:left w:w="0" w:type="dxa"/>
          <w:bottom w:w="0" w:type="dxa"/>
          <w:right w:w="0" w:type="dxa"/>
        </w:tblCellMar>
        <w:tblLook w:val="01E0"/>
      </w:tblPr>
      <w:tblGrid>
        <w:gridCol w:w="2992"/>
        <w:gridCol w:w="851"/>
        <w:gridCol w:w="5741"/>
      </w:tblGrid>
      <w:tr>
        <w:trPr>
          <w:trHeight w:val="362" w:hRule="exact"/>
        </w:trPr>
        <w:tc>
          <w:tcPr>
            <w:tcW w:w="2992" w:type="dxa"/>
            <w:tcBorders>
              <w:top w:val="single" w:sz="4" w:space="0" w:color="000000"/>
              <w:left w:val="nil" w:sz="6" w:space="0" w:color="auto"/>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41" w:type="dxa"/>
            <w:tcBorders>
              <w:top w:val="single" w:sz="4" w:space="0" w:color="000000"/>
              <w:left w:val="single" w:sz="4" w:space="0" w:color="000000"/>
              <w:bottom w:val="single" w:sz="4" w:space="0" w:color="000000"/>
              <w:right w:val="nil" w:sz="6" w:space="0" w:color="auto"/>
            </w:tcBorders>
          </w:tcPr>
          <w:p>
            <w:pPr>
              <w:pStyle w:val="TableParagraph"/>
              <w:spacing w:line="277" w:lineRule="exact"/>
              <w:ind w:left="2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1338"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42"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741" w:type="dxa"/>
            <w:tcBorders>
              <w:top w:val="single" w:sz="4" w:space="0" w:color="000000"/>
              <w:left w:val="single" w:sz="4" w:space="0" w:color="000000"/>
              <w:bottom w:val="single" w:sz="4" w:space="0" w:color="000000"/>
              <w:right w:val="nil" w:sz="6" w:space="0" w:color="auto"/>
            </w:tcBorders>
          </w:tcPr>
          <w:p>
            <w:pPr>
              <w:pStyle w:val="TableParagraph"/>
              <w:spacing w:line="271" w:lineRule="auto" w:before="26"/>
              <w:ind w:left="22" w:right="41"/>
              <w:jc w:val="left"/>
              <w:rPr>
                <w:rFonts w:ascii="宋体" w:hAnsi="宋体" w:cs="宋体" w:eastAsia="宋体" w:hint="default"/>
                <w:sz w:val="21"/>
                <w:szCs w:val="21"/>
              </w:rPr>
            </w:pPr>
            <w:r>
              <w:rPr>
                <w:rFonts w:ascii="宋体" w:hAnsi="宋体" w:cs="宋体" w:eastAsia="宋体" w:hint="default"/>
                <w:sz w:val="21"/>
                <w:szCs w:val="21"/>
              </w:rPr>
              <w:t>经中华人民共和国第十届全国人民代表大会常务委员会第十八 次会议于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日修订通过并自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日起</w:t>
            </w:r>
          </w:p>
          <w:p>
            <w:pPr>
              <w:pStyle w:val="TableParagraph"/>
              <w:spacing w:line="282"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施行的《中华人民共和国证券法</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最近一次修订时间为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2013</w:t>
            </w:r>
          </w:p>
          <w:p>
            <w:pPr>
              <w:pStyle w:val="TableParagraph"/>
              <w:spacing w:line="240" w:lineRule="auto" w:before="23"/>
              <w:ind w:left="2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02"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《创业板上市规则》</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7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《深圳证券交易所创业板股票上市规则》</w:t>
            </w:r>
          </w:p>
        </w:tc>
      </w:tr>
      <w:tr>
        <w:trPr>
          <w:trHeight w:val="71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2"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741"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6"/>
              <w:ind w:left="22" w:right="26"/>
              <w:jc w:val="left"/>
              <w:rPr>
                <w:rFonts w:ascii="宋体" w:hAnsi="宋体" w:cs="宋体" w:eastAsia="宋体" w:hint="default"/>
                <w:sz w:val="21"/>
                <w:szCs w:val="21"/>
              </w:rPr>
            </w:pPr>
            <w:r>
              <w:rPr>
                <w:rFonts w:ascii="宋体" w:hAnsi="宋体" w:cs="宋体" w:eastAsia="宋体" w:hint="default"/>
                <w:spacing w:val="-7"/>
                <w:sz w:val="21"/>
                <w:szCs w:val="21"/>
              </w:rPr>
              <w:t>《北京中文在线数字出版股份有限公司章程》，公司现行有效的</w:t>
            </w:r>
            <w:r>
              <w:rPr>
                <w:rFonts w:ascii="宋体" w:hAnsi="宋体" w:cs="宋体" w:eastAsia="宋体" w:hint="default"/>
                <w:sz w:val="21"/>
                <w:szCs w:val="21"/>
              </w:rPr>
              <w:t> 公司章程</w:t>
            </w:r>
          </w:p>
        </w:tc>
      </w:tr>
      <w:tr>
        <w:trPr>
          <w:trHeight w:val="402"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7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402"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深交所</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7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2"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7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人民币元、万元</w:t>
            </w:r>
          </w:p>
        </w:tc>
      </w:tr>
      <w:tr>
        <w:trPr>
          <w:trHeight w:val="402"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报告期、本报告期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7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日或</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02"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上年同期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7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日或</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bl>
    <w:p>
      <w:pPr>
        <w:spacing w:after="0" w:line="240" w:lineRule="auto"/>
        <w:jc w:val="left"/>
        <w:rPr>
          <w:rFonts w:ascii="宋体" w:hAnsi="宋体" w:cs="宋体" w:eastAsia="宋体" w:hint="default"/>
          <w:sz w:val="21"/>
          <w:szCs w:val="21"/>
        </w:rPr>
        <w:sectPr>
          <w:pgSz w:w="11910" w:h="16840"/>
          <w:pgMar w:header="877" w:footer="979" w:top="110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1"/>
        <w:spacing w:line="240" w:lineRule="auto"/>
        <w:ind w:left="3126" w:right="0"/>
        <w:jc w:val="left"/>
        <w:rPr>
          <w:b w:val="0"/>
          <w:bCs w:val="0"/>
        </w:rPr>
      </w:pPr>
      <w:bookmarkStart w:name="第二节 公司基本情况简介" w:id="3"/>
      <w:bookmarkEnd w:id="3"/>
      <w:r>
        <w:rPr>
          <w:b w:val="0"/>
          <w:bCs w:val="0"/>
        </w:rPr>
      </w:r>
      <w:bookmarkStart w:name="_bookmark1" w:id="4"/>
      <w:bookmarkEnd w:id="4"/>
      <w:r>
        <w:rPr>
          <w:b w:val="0"/>
          <w:bCs w:val="0"/>
        </w:rPr>
      </w:r>
      <w:r>
        <w:rPr/>
        <w:t>第二节</w:t>
      </w:r>
      <w:r>
        <w:rPr>
          <w:spacing w:val="-9"/>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before="26"/>
        <w:ind w:left="154" w:right="0" w:firstLine="0"/>
        <w:jc w:val="left"/>
        <w:rPr>
          <w:rFonts w:ascii="宋体" w:hAnsi="宋体" w:cs="宋体" w:eastAsia="宋体" w:hint="default"/>
          <w:sz w:val="24"/>
          <w:szCs w:val="24"/>
        </w:rPr>
      </w:pPr>
      <w:bookmarkStart w:name="一、公司信息" w:id="5"/>
      <w:bookmarkEnd w:id="5"/>
      <w:r>
        <w:rPr/>
      </w:r>
      <w:r>
        <w:rPr>
          <w:rFonts w:ascii="宋体" w:hAnsi="宋体" w:cs="宋体" w:eastAsia="宋体" w:hint="default"/>
          <w:b/>
          <w:bCs/>
          <w:sz w:val="24"/>
          <w:szCs w:val="24"/>
        </w:rPr>
        <w:t>一、公司信息</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6"/>
        <w:gridCol w:w="2145"/>
        <w:gridCol w:w="2188"/>
      </w:tblGrid>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b/>
                <w:bCs/>
                <w:sz w:val="21"/>
                <w:szCs w:val="21"/>
              </w:rPr>
              <w:t>股票简称</w:t>
            </w:r>
            <w:r>
              <w:rPr>
                <w:rFonts w:ascii="宋体" w:hAnsi="宋体" w:cs="宋体" w:eastAsia="宋体" w:hint="default"/>
                <w:sz w:val="21"/>
                <w:szCs w:val="21"/>
              </w:rPr>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25" w:right="0"/>
              <w:jc w:val="left"/>
              <w:rPr>
                <w:rFonts w:ascii="宋体" w:hAnsi="宋体" w:cs="宋体" w:eastAsia="宋体" w:hint="default"/>
                <w:sz w:val="21"/>
                <w:szCs w:val="21"/>
              </w:rPr>
            </w:pPr>
            <w:r>
              <w:rPr>
                <w:rFonts w:ascii="宋体" w:hAnsi="宋体" w:cs="宋体" w:eastAsia="宋体" w:hint="default"/>
                <w:b/>
                <w:bCs/>
                <w:sz w:val="21"/>
                <w:szCs w:val="21"/>
              </w:rPr>
              <w:t>中文在线</w:t>
            </w:r>
            <w:r>
              <w:rPr>
                <w:rFonts w:ascii="宋体" w:hAnsi="宋体" w:cs="宋体" w:eastAsia="宋体" w:hint="default"/>
                <w:sz w:val="21"/>
                <w:szCs w:val="21"/>
              </w:rPr>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651" w:right="0"/>
              <w:jc w:val="left"/>
              <w:rPr>
                <w:rFonts w:ascii="宋体" w:hAnsi="宋体" w:cs="宋体" w:eastAsia="宋体" w:hint="default"/>
                <w:sz w:val="21"/>
                <w:szCs w:val="21"/>
              </w:rPr>
            </w:pPr>
            <w:r>
              <w:rPr>
                <w:rFonts w:ascii="宋体" w:hAnsi="宋体" w:cs="宋体" w:eastAsia="宋体" w:hint="default"/>
                <w:b/>
                <w:bCs/>
                <w:sz w:val="21"/>
                <w:szCs w:val="21"/>
              </w:rPr>
              <w:t>股票代码</w:t>
            </w:r>
            <w:r>
              <w:rPr>
                <w:rFonts w:ascii="宋体" w:hAnsi="宋体" w:cs="宋体" w:eastAsia="宋体" w:hint="default"/>
                <w:sz w:val="21"/>
                <w:szCs w:val="21"/>
              </w:rPr>
            </w:r>
          </w:p>
        </w:tc>
        <w:tc>
          <w:tcPr>
            <w:tcW w:w="2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21"/>
                <w:szCs w:val="21"/>
              </w:rPr>
            </w:pPr>
            <w:r>
              <w:rPr>
                <w:rFonts w:ascii="Times New Roman"/>
                <w:b/>
                <w:sz w:val="21"/>
              </w:rPr>
              <w:t>300364</w:t>
            </w:r>
            <w:r>
              <w:rPr>
                <w:rFonts w:ascii="Times New Roman"/>
                <w:sz w:val="21"/>
              </w:rPr>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北京中文在线数字出版股份有限公司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中文在线</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Beijing ChineseAll Digital Publishing</w:t>
            </w:r>
            <w:r>
              <w:rPr>
                <w:rFonts w:ascii="Times New Roman"/>
                <w:spacing w:val="-6"/>
                <w:sz w:val="21"/>
              </w:rPr>
              <w:t> </w:t>
            </w:r>
            <w:r>
              <w:rPr>
                <w:rFonts w:ascii="Times New Roman"/>
                <w:sz w:val="21"/>
              </w:rPr>
              <w:t>Co.,Ltd</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ChineseAll</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童之磊</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北京市东城区安定门东大街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号楼</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100007</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北京市东城区安定门东大街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号楼</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100007</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hyperlink r:id="rId9">
              <w:r>
                <w:rPr>
                  <w:rFonts w:ascii="Times New Roman"/>
                  <w:sz w:val="21"/>
                </w:rPr>
                <w:t>http://www.chineseall.com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hyperlink r:id="rId10">
              <w:r>
                <w:rPr>
                  <w:rFonts w:ascii="Times New Roman"/>
                  <w:sz w:val="21"/>
                </w:rPr>
                <w:t>ir@chineseall.com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r>
      <w:tr>
        <w:trPr>
          <w:trHeight w:val="715"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2" w:right="165"/>
              <w:jc w:val="left"/>
              <w:rPr>
                <w:rFonts w:ascii="宋体" w:hAnsi="宋体" w:cs="宋体" w:eastAsia="宋体" w:hint="default"/>
                <w:sz w:val="21"/>
                <w:szCs w:val="21"/>
              </w:rPr>
            </w:pPr>
            <w:r>
              <w:rPr>
                <w:rFonts w:ascii="宋体" w:hAnsi="宋体" w:cs="宋体" w:eastAsia="宋体" w:hint="default"/>
                <w:sz w:val="21"/>
                <w:szCs w:val="21"/>
              </w:rPr>
              <w:t>公司聘请的会计师事务所办公 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23" w:right="0"/>
              <w:jc w:val="left"/>
              <w:rPr>
                <w:rFonts w:ascii="宋体" w:hAnsi="宋体" w:cs="宋体" w:eastAsia="宋体" w:hint="default"/>
                <w:sz w:val="21"/>
                <w:szCs w:val="21"/>
              </w:rPr>
            </w:pPr>
            <w:r>
              <w:rPr>
                <w:rFonts w:ascii="宋体" w:hAnsi="宋体" w:cs="宋体" w:eastAsia="宋体" w:hint="default"/>
                <w:sz w:val="21"/>
                <w:szCs w:val="21"/>
              </w:rPr>
              <w:t>北京市东城区朝阳门北大街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号富华大厦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bookmarkStart w:name="二、联系人和联系方式" w:id="6"/>
      <w:bookmarkEnd w:id="6"/>
      <w:r>
        <w:rPr/>
      </w: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19"/>
        <w:gridCol w:w="4076"/>
        <w:gridCol w:w="4076"/>
      </w:tblGrid>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董事会秘书</w:t>
            </w:r>
            <w:r>
              <w:rPr>
                <w:rFonts w:ascii="宋体" w:hAnsi="宋体" w:cs="宋体" w:eastAsia="宋体" w:hint="default"/>
                <w:sz w:val="21"/>
                <w:szCs w:val="21"/>
              </w:rPr>
            </w:r>
          </w:p>
        </w:tc>
        <w:tc>
          <w:tcPr>
            <w:tcW w:w="4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证券事务代表</w:t>
            </w:r>
            <w:r>
              <w:rPr>
                <w:rFonts w:ascii="宋体" w:hAnsi="宋体" w:cs="宋体" w:eastAsia="宋体" w:hint="default"/>
                <w:sz w:val="21"/>
                <w:szCs w:val="21"/>
              </w:rPr>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0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0" w:right="0"/>
              <w:jc w:val="left"/>
              <w:rPr>
                <w:rFonts w:ascii="宋体" w:hAnsi="宋体" w:cs="宋体" w:eastAsia="宋体" w:hint="default"/>
                <w:sz w:val="21"/>
                <w:szCs w:val="21"/>
              </w:rPr>
            </w:pPr>
            <w:r>
              <w:rPr>
                <w:rFonts w:ascii="宋体" w:hAnsi="宋体" w:cs="宋体" w:eastAsia="宋体" w:hint="default"/>
                <w:sz w:val="21"/>
                <w:szCs w:val="21"/>
              </w:rPr>
              <w:t>张帆</w:t>
            </w:r>
          </w:p>
        </w:tc>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王京京</w:t>
            </w:r>
          </w:p>
        </w:tc>
      </w:tr>
      <w:tr>
        <w:trPr>
          <w:trHeight w:val="161"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4076" w:type="dxa"/>
            <w:vMerge w:val="restart"/>
            <w:tcBorders>
              <w:top w:val="single" w:sz="4" w:space="0" w:color="000000"/>
              <w:left w:val="single" w:sz="9" w:space="0" w:color="D2D2D2"/>
              <w:right w:val="single" w:sz="4"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北京市东城区安定门东大街</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号楼</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层</w:t>
            </w:r>
          </w:p>
          <w:p>
            <w:pPr>
              <w:pStyle w:val="TableParagraph"/>
              <w:spacing w:line="240" w:lineRule="auto" w:before="21"/>
              <w:ind w:left="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905 </w:t>
            </w:r>
            <w:r>
              <w:rPr>
                <w:rFonts w:ascii="宋体" w:hAnsi="宋体" w:cs="宋体" w:eastAsia="宋体" w:hint="default"/>
                <w:sz w:val="21"/>
                <w:szCs w:val="21"/>
              </w:rPr>
              <w:t>号</w:t>
            </w:r>
          </w:p>
        </w:tc>
        <w:tc>
          <w:tcPr>
            <w:tcW w:w="4076" w:type="dxa"/>
            <w:vMerge w:val="restart"/>
            <w:tcBorders>
              <w:top w:val="single" w:sz="4" w:space="0" w:color="000000"/>
              <w:left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北京市东城区安定门东大街</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号楼</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层</w:t>
            </w:r>
          </w:p>
          <w:p>
            <w:pPr>
              <w:pStyle w:val="TableParagraph"/>
              <w:spacing w:line="240" w:lineRule="auto" w:before="21"/>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905 </w:t>
            </w:r>
            <w:r>
              <w:rPr>
                <w:rFonts w:ascii="宋体" w:hAnsi="宋体" w:cs="宋体" w:eastAsia="宋体" w:hint="default"/>
                <w:sz w:val="21"/>
                <w:szCs w:val="21"/>
              </w:rPr>
              <w:t>号</w:t>
            </w:r>
          </w:p>
        </w:tc>
      </w:tr>
      <w:tr>
        <w:trPr>
          <w:trHeight w:val="392"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4076" w:type="dxa"/>
            <w:vMerge/>
            <w:tcBorders>
              <w:left w:val="single" w:sz="9" w:space="0" w:color="D2D2D2"/>
              <w:right w:val="single" w:sz="4" w:space="0" w:color="000000"/>
            </w:tcBorders>
          </w:tcPr>
          <w:p>
            <w:pPr/>
          </w:p>
        </w:tc>
        <w:tc>
          <w:tcPr>
            <w:tcW w:w="4076" w:type="dxa"/>
            <w:vMerge/>
            <w:tcBorders>
              <w:left w:val="single" w:sz="4" w:space="0" w:color="000000"/>
              <w:right w:val="single" w:sz="4" w:space="0" w:color="000000"/>
            </w:tcBorders>
          </w:tcPr>
          <w:p>
            <w:pPr/>
          </w:p>
        </w:tc>
      </w:tr>
      <w:tr>
        <w:trPr>
          <w:trHeight w:val="161"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4076" w:type="dxa"/>
            <w:vMerge/>
            <w:tcBorders>
              <w:left w:val="single" w:sz="9" w:space="0" w:color="D2D2D2"/>
              <w:bottom w:val="single" w:sz="4" w:space="0" w:color="000000"/>
              <w:right w:val="single" w:sz="4" w:space="0" w:color="000000"/>
            </w:tcBorders>
          </w:tcPr>
          <w:p>
            <w:pPr/>
          </w:p>
        </w:tc>
        <w:tc>
          <w:tcPr>
            <w:tcW w:w="4076" w:type="dxa"/>
            <w:vMerge/>
            <w:tcBorders>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40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10" w:right="0"/>
              <w:jc w:val="left"/>
              <w:rPr>
                <w:rFonts w:ascii="Times New Roman" w:hAnsi="Times New Roman" w:cs="Times New Roman" w:eastAsia="Times New Roman" w:hint="default"/>
                <w:sz w:val="21"/>
                <w:szCs w:val="21"/>
              </w:rPr>
            </w:pPr>
            <w:r>
              <w:rPr>
                <w:rFonts w:ascii="Times New Roman"/>
                <w:sz w:val="21"/>
              </w:rPr>
              <w:t>010-84195757</w:t>
            </w:r>
          </w:p>
        </w:tc>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010-84195757</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40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10" w:right="0"/>
              <w:jc w:val="left"/>
              <w:rPr>
                <w:rFonts w:ascii="Times New Roman" w:hAnsi="Times New Roman" w:cs="Times New Roman" w:eastAsia="Times New Roman" w:hint="default"/>
                <w:sz w:val="21"/>
                <w:szCs w:val="21"/>
              </w:rPr>
            </w:pPr>
            <w:r>
              <w:rPr>
                <w:rFonts w:ascii="Times New Roman"/>
                <w:sz w:val="21"/>
              </w:rPr>
              <w:t>010-84195550</w:t>
            </w:r>
          </w:p>
        </w:tc>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010-84195550</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0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10" w:right="0"/>
              <w:jc w:val="left"/>
              <w:rPr>
                <w:rFonts w:ascii="Times New Roman" w:hAnsi="Times New Roman" w:cs="Times New Roman" w:eastAsia="Times New Roman" w:hint="default"/>
                <w:sz w:val="21"/>
                <w:szCs w:val="21"/>
              </w:rPr>
            </w:pPr>
            <w:hyperlink r:id="rId11">
              <w:r>
                <w:rPr>
                  <w:rFonts w:ascii="Times New Roman"/>
                  <w:sz w:val="21"/>
                </w:rPr>
                <w:t>zhangf@chineseall.com</w:t>
              </w:r>
            </w:hyperlink>
          </w:p>
        </w:tc>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hyperlink r:id="rId12">
              <w:r>
                <w:rPr>
                  <w:rFonts w:ascii="Times New Roman"/>
                  <w:sz w:val="21"/>
                </w:rPr>
                <w:t>wangjj@chineseall.com</w:t>
              </w:r>
            </w:hyperlink>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bookmarkStart w:name="三、信息披露及备置地点" w:id="7"/>
      <w:bookmarkEnd w:id="7"/>
      <w:r>
        <w:rPr/>
      </w: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61"/>
        <w:gridCol w:w="5708"/>
      </w:tblGrid>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公司选定的信息披露媒体的名称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z w:val="21"/>
                <w:szCs w:val="21"/>
              </w:rPr>
              <w:t>《上</w:t>
            </w:r>
            <w:r>
              <w:rPr>
                <w:rFonts w:ascii="宋体" w:hAnsi="宋体" w:cs="宋体" w:eastAsia="宋体" w:hint="default"/>
                <w:spacing w:val="-2"/>
                <w:sz w:val="21"/>
                <w:szCs w:val="21"/>
              </w:rPr>
              <w:t>海</w:t>
            </w:r>
            <w:r>
              <w:rPr>
                <w:rFonts w:ascii="宋体" w:hAnsi="宋体" w:cs="宋体" w:eastAsia="宋体" w:hint="default"/>
                <w:sz w:val="21"/>
                <w:szCs w:val="21"/>
              </w:rPr>
              <w:t>证券报</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证券时报</w:t>
            </w:r>
            <w:r>
              <w:rPr>
                <w:rFonts w:ascii="宋体" w:hAnsi="宋体" w:cs="宋体" w:eastAsia="宋体" w:hint="default"/>
                <w:spacing w:val="-105"/>
                <w:sz w:val="21"/>
                <w:szCs w:val="21"/>
              </w:rPr>
              <w:t>》</w:t>
            </w:r>
            <w:r>
              <w:rPr>
                <w:rFonts w:ascii="宋体" w:hAnsi="宋体" w:cs="宋体" w:eastAsia="宋体" w:hint="default"/>
                <w:spacing w:val="-106"/>
                <w:sz w:val="21"/>
                <w:szCs w:val="21"/>
              </w:rPr>
              <w:t>、</w:t>
            </w:r>
            <w:r>
              <w:rPr>
                <w:rFonts w:ascii="宋体" w:hAnsi="宋体" w:cs="宋体" w:eastAsia="宋体" w:hint="default"/>
                <w:sz w:val="21"/>
                <w:szCs w:val="21"/>
              </w:rPr>
              <w:t>《证券日报》</w:t>
            </w:r>
          </w:p>
        </w:tc>
      </w:tr>
      <w:tr>
        <w:trPr>
          <w:trHeight w:val="714"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46"/>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 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3" w:right="0"/>
              <w:jc w:val="left"/>
              <w:rPr>
                <w:rFonts w:ascii="宋体" w:hAnsi="宋体" w:cs="宋体" w:eastAsia="宋体" w:hint="default"/>
                <w:sz w:val="21"/>
                <w:szCs w:val="21"/>
              </w:rPr>
            </w:pPr>
            <w:r>
              <w:rPr>
                <w:rFonts w:ascii="宋体" w:hAnsi="宋体" w:cs="宋体" w:eastAsia="宋体" w:hint="default"/>
                <w:sz w:val="21"/>
                <w:szCs w:val="21"/>
              </w:rPr>
              <w:t>巨潮资讯网（</w:t>
            </w:r>
            <w:hyperlink r:id="rId13">
              <w:r>
                <w:rPr>
                  <w:rFonts w:ascii="Times New Roman" w:hAnsi="Times New Roman" w:cs="Times New Roman" w:eastAsia="Times New Roman" w:hint="default"/>
                  <w:sz w:val="21"/>
                  <w:szCs w:val="21"/>
                </w:rPr>
                <w:t>http://www.cninfo.com.cn</w:t>
              </w:r>
            </w:hyperlink>
            <w:r>
              <w:rPr>
                <w:rFonts w:ascii="宋体" w:hAnsi="宋体" w:cs="宋体" w:eastAsia="宋体" w:hint="default"/>
                <w:sz w:val="21"/>
                <w:szCs w:val="21"/>
              </w:rPr>
              <w:t>）</w:t>
            </w:r>
          </w:p>
        </w:tc>
      </w:tr>
    </w:tbl>
    <w:p>
      <w:pPr>
        <w:spacing w:after="0" w:line="240" w:lineRule="auto"/>
        <w:jc w:val="left"/>
        <w:rPr>
          <w:rFonts w:ascii="宋体" w:hAnsi="宋体" w:cs="宋体" w:eastAsia="宋体" w:hint="default"/>
          <w:sz w:val="21"/>
          <w:szCs w:val="21"/>
        </w:rPr>
        <w:sectPr>
          <w:pgSz w:w="11910" w:h="16840"/>
          <w:pgMar w:header="877" w:footer="979" w:top="1100" w:bottom="1160" w:left="980" w:right="980"/>
        </w:sectPr>
      </w:pPr>
    </w:p>
    <w:p>
      <w:pPr>
        <w:spacing w:line="240" w:lineRule="auto" w:before="6"/>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3861"/>
        <w:gridCol w:w="5708"/>
      </w:tblGrid>
      <w:tr>
        <w:trPr>
          <w:trHeight w:val="332" w:hRule="exact"/>
        </w:trPr>
        <w:tc>
          <w:tcPr>
            <w:tcW w:w="3861" w:type="dxa"/>
            <w:tcBorders>
              <w:top w:val="nil" w:sz="6" w:space="0" w:color="auto"/>
              <w:left w:val="nil" w:sz="6" w:space="0" w:color="auto"/>
              <w:bottom w:val="single" w:sz="4" w:space="0" w:color="000000"/>
              <w:right w:val="nil" w:sz="6" w:space="0" w:color="auto"/>
            </w:tcBorders>
          </w:tcPr>
          <w:p>
            <w:pPr/>
          </w:p>
        </w:tc>
        <w:tc>
          <w:tcPr>
            <w:tcW w:w="5708" w:type="dxa"/>
            <w:tcBorders>
              <w:top w:val="nil" w:sz="6" w:space="0" w:color="auto"/>
              <w:left w:val="nil" w:sz="6" w:space="0" w:color="auto"/>
              <w:bottom w:val="single" w:sz="4" w:space="0" w:color="000000"/>
              <w:right w:val="nil" w:sz="6" w:space="0" w:color="auto"/>
            </w:tcBorders>
          </w:tcPr>
          <w:p>
            <w:pPr/>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公司证券投资部</w:t>
            </w:r>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r>
        <w:rPr/>
        <w:pict>
          <v:group style="position:absolute;margin-left:55.200001pt;margin-top:-48.824402pt;width:485pt;height:.1pt;mso-position-horizontal-relative:page;mso-position-vertical-relative:paragraph;z-index:-742144" coordorigin="1104,-976" coordsize="9700,2">
            <v:shape style="position:absolute;left:1104;top:-976;width:9700;height:2" coordorigin="1104,-976" coordsize="9700,0" path="m1104,-976l10804,-976e" filled="false" stroked="true" strokeweight=".72pt" strokecolor="#000000">
              <v:path arrowok="t"/>
            </v:shape>
            <w10:wrap type="none"/>
          </v:group>
        </w:pict>
      </w:r>
      <w:bookmarkStart w:name="四、公司历史沿革" w:id="8"/>
      <w:bookmarkEnd w:id="8"/>
      <w:r>
        <w:rPr/>
      </w:r>
      <w:r>
        <w:rPr>
          <w:rFonts w:ascii="宋体" w:hAnsi="宋体" w:cs="宋体" w:eastAsia="宋体" w:hint="default"/>
          <w:b/>
          <w:bCs/>
          <w:sz w:val="24"/>
          <w:szCs w:val="24"/>
        </w:rPr>
        <w:t>四、公司历史沿革</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19"/>
        <w:gridCol w:w="1771"/>
        <w:gridCol w:w="1631"/>
        <w:gridCol w:w="1700"/>
        <w:gridCol w:w="1702"/>
        <w:gridCol w:w="1344"/>
      </w:tblGrid>
      <w:tr>
        <w:trPr>
          <w:trHeight w:val="71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注册登记日期</w:t>
            </w:r>
            <w:r>
              <w:rPr>
                <w:rFonts w:ascii="宋体" w:hAnsi="宋体" w:cs="宋体" w:eastAsia="宋体" w:hint="default"/>
                <w:sz w:val="21"/>
                <w:szCs w:val="21"/>
              </w:rPr>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78" w:right="0"/>
              <w:jc w:val="left"/>
              <w:rPr>
                <w:rFonts w:ascii="宋体" w:hAnsi="宋体" w:cs="宋体" w:eastAsia="宋体" w:hint="default"/>
                <w:sz w:val="21"/>
                <w:szCs w:val="21"/>
              </w:rPr>
            </w:pPr>
            <w:r>
              <w:rPr>
                <w:rFonts w:ascii="宋体" w:hAnsi="宋体" w:cs="宋体" w:eastAsia="宋体" w:hint="default"/>
                <w:b/>
                <w:bCs/>
                <w:sz w:val="21"/>
                <w:szCs w:val="21"/>
              </w:rPr>
              <w:t>注册登记地点</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423" w:right="106" w:hanging="316"/>
              <w:jc w:val="left"/>
              <w:rPr>
                <w:rFonts w:ascii="宋体" w:hAnsi="宋体" w:cs="宋体" w:eastAsia="宋体" w:hint="default"/>
                <w:sz w:val="21"/>
                <w:szCs w:val="21"/>
              </w:rPr>
            </w:pPr>
            <w:r>
              <w:rPr>
                <w:rFonts w:ascii="宋体" w:hAnsi="宋体" w:cs="宋体" w:eastAsia="宋体" w:hint="default"/>
                <w:b/>
                <w:bCs/>
                <w:sz w:val="21"/>
                <w:szCs w:val="21"/>
              </w:rPr>
              <w:t>企业法人营业执</w:t>
            </w:r>
            <w:r>
              <w:rPr>
                <w:rFonts w:ascii="宋体" w:hAnsi="宋体" w:cs="宋体" w:eastAsia="宋体" w:hint="default"/>
                <w:b/>
                <w:bCs/>
                <w:w w:val="99"/>
                <w:sz w:val="21"/>
                <w:szCs w:val="21"/>
              </w:rPr>
              <w:t> </w:t>
            </w:r>
            <w:r>
              <w:rPr>
                <w:rFonts w:ascii="宋体" w:hAnsi="宋体" w:cs="宋体" w:eastAsia="宋体" w:hint="default"/>
                <w:b/>
                <w:bCs/>
                <w:sz w:val="21"/>
                <w:szCs w:val="21"/>
              </w:rPr>
              <w:t>照注册号</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b/>
                <w:bCs/>
                <w:sz w:val="21"/>
                <w:szCs w:val="21"/>
              </w:rPr>
              <w:t>税务登记号码</w:t>
            </w:r>
            <w:r>
              <w:rPr>
                <w:rFonts w:ascii="宋体" w:hAnsi="宋体" w:cs="宋体" w:eastAsia="宋体" w:hint="default"/>
                <w:sz w:val="21"/>
                <w:szCs w:val="21"/>
              </w:rPr>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33" w:right="0"/>
              <w:jc w:val="left"/>
              <w:rPr>
                <w:rFonts w:ascii="宋体" w:hAnsi="宋体" w:cs="宋体" w:eastAsia="宋体" w:hint="default"/>
                <w:sz w:val="21"/>
                <w:szCs w:val="21"/>
              </w:rPr>
            </w:pPr>
            <w:r>
              <w:rPr>
                <w:rFonts w:ascii="宋体" w:hAnsi="宋体" w:cs="宋体" w:eastAsia="宋体" w:hint="default"/>
                <w:b/>
                <w:bCs/>
                <w:sz w:val="21"/>
                <w:szCs w:val="21"/>
              </w:rPr>
              <w:t>组织机构代码</w:t>
            </w:r>
            <w:r>
              <w:rPr>
                <w:rFonts w:ascii="宋体" w:hAnsi="宋体" w:cs="宋体" w:eastAsia="宋体" w:hint="default"/>
                <w:sz w:val="21"/>
                <w:szCs w:val="21"/>
              </w:rPr>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首次注册</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125"/>
              <w:jc w:val="left"/>
              <w:rPr>
                <w:rFonts w:ascii="宋体" w:hAnsi="宋体" w:cs="宋体" w:eastAsia="宋体" w:hint="default"/>
                <w:sz w:val="21"/>
                <w:szCs w:val="21"/>
              </w:rPr>
            </w:pPr>
            <w:r>
              <w:rPr>
                <w:rFonts w:ascii="宋体" w:hAnsi="宋体" w:cs="宋体" w:eastAsia="宋体" w:hint="default"/>
                <w:sz w:val="21"/>
                <w:szCs w:val="21"/>
              </w:rPr>
              <w:t>北京市工商行政 管理局海淀分局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1101082187644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77"/>
              <w:jc w:val="center"/>
              <w:rPr>
                <w:rFonts w:ascii="Times New Roman" w:hAnsi="Times New Roman" w:cs="Times New Roman" w:eastAsia="Times New Roman" w:hint="default"/>
                <w:sz w:val="21"/>
                <w:szCs w:val="21"/>
              </w:rPr>
            </w:pPr>
            <w:r>
              <w:rPr>
                <w:rFonts w:ascii="Times New Roman"/>
                <w:sz w:val="21"/>
              </w:rPr>
              <w:t>110101802044347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80204434-7</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24"/>
              <w:jc w:val="left"/>
              <w:rPr>
                <w:rFonts w:ascii="宋体" w:hAnsi="宋体" w:cs="宋体" w:eastAsia="宋体" w:hint="default"/>
                <w:sz w:val="21"/>
                <w:szCs w:val="21"/>
              </w:rPr>
            </w:pPr>
            <w:r>
              <w:rPr>
                <w:rFonts w:ascii="宋体" w:hAnsi="宋体" w:cs="宋体" w:eastAsia="宋体" w:hint="default"/>
                <w:sz w:val="21"/>
                <w:szCs w:val="21"/>
              </w:rPr>
              <w:t>整体变更为股 份公司</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125"/>
              <w:jc w:val="left"/>
              <w:rPr>
                <w:rFonts w:ascii="宋体" w:hAnsi="宋体" w:cs="宋体" w:eastAsia="宋体" w:hint="default"/>
                <w:sz w:val="21"/>
                <w:szCs w:val="21"/>
              </w:rPr>
            </w:pPr>
            <w:r>
              <w:rPr>
                <w:rFonts w:ascii="宋体" w:hAnsi="宋体" w:cs="宋体" w:eastAsia="宋体" w:hint="default"/>
                <w:sz w:val="21"/>
                <w:szCs w:val="21"/>
              </w:rPr>
              <w:t>北京市工商行政 管理局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110108001876442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77"/>
              <w:jc w:val="center"/>
              <w:rPr>
                <w:rFonts w:ascii="Times New Roman" w:hAnsi="Times New Roman" w:cs="Times New Roman" w:eastAsia="Times New Roman" w:hint="default"/>
                <w:sz w:val="21"/>
                <w:szCs w:val="21"/>
              </w:rPr>
            </w:pPr>
            <w:r>
              <w:rPr>
                <w:rFonts w:ascii="Times New Roman"/>
                <w:sz w:val="21"/>
              </w:rPr>
              <w:t>110101802044347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80204434-7</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24"/>
              <w:jc w:val="both"/>
              <w:rPr>
                <w:rFonts w:ascii="宋体" w:hAnsi="宋体" w:cs="宋体" w:eastAsia="宋体" w:hint="default"/>
                <w:sz w:val="21"/>
                <w:szCs w:val="21"/>
              </w:rPr>
            </w:pPr>
            <w:r>
              <w:rPr>
                <w:rFonts w:ascii="宋体" w:hAnsi="宋体" w:cs="宋体" w:eastAsia="宋体" w:hint="default"/>
                <w:sz w:val="21"/>
                <w:szCs w:val="21"/>
              </w:rPr>
              <w:t>首次公开发行 新股及经营范 围变更</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73" w:lineRule="auto"/>
              <w:ind w:left="23" w:right="125"/>
              <w:jc w:val="left"/>
              <w:rPr>
                <w:rFonts w:ascii="宋体" w:hAnsi="宋体" w:cs="宋体" w:eastAsia="宋体" w:hint="default"/>
                <w:sz w:val="21"/>
                <w:szCs w:val="21"/>
              </w:rPr>
            </w:pPr>
            <w:r>
              <w:rPr>
                <w:rFonts w:ascii="宋体" w:hAnsi="宋体" w:cs="宋体" w:eastAsia="宋体" w:hint="default"/>
                <w:sz w:val="21"/>
                <w:szCs w:val="21"/>
              </w:rPr>
              <w:t>北京市工商行政 管理局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110108001876442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right="77"/>
              <w:jc w:val="center"/>
              <w:rPr>
                <w:rFonts w:ascii="Times New Roman" w:hAnsi="Times New Roman" w:cs="Times New Roman" w:eastAsia="Times New Roman" w:hint="default"/>
                <w:sz w:val="21"/>
                <w:szCs w:val="21"/>
              </w:rPr>
            </w:pPr>
            <w:r>
              <w:rPr>
                <w:rFonts w:ascii="Times New Roman"/>
                <w:sz w:val="21"/>
              </w:rPr>
              <w:t>110101802044347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80204434-7</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79" w:top="1060" w:bottom="116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Heading1"/>
        <w:spacing w:line="240" w:lineRule="auto"/>
        <w:ind w:left="2644" w:right="0"/>
        <w:jc w:val="left"/>
        <w:rPr>
          <w:b w:val="0"/>
          <w:bCs w:val="0"/>
        </w:rPr>
      </w:pPr>
      <w:bookmarkStart w:name="第三节 会计数据和财务指标摘要" w:id="9"/>
      <w:bookmarkEnd w:id="9"/>
      <w:r>
        <w:rPr>
          <w:b w:val="0"/>
          <w:bCs w:val="0"/>
        </w:rPr>
      </w:r>
      <w:bookmarkStart w:name="_bookmark2" w:id="10"/>
      <w:bookmarkEnd w:id="10"/>
      <w:r>
        <w:rPr>
          <w:b w:val="0"/>
          <w:bCs w:val="0"/>
        </w:rPr>
      </w:r>
      <w:r>
        <w:rPr/>
        <w:t>第三节</w:t>
      </w:r>
      <w:r>
        <w:rPr>
          <w:spacing w:val="-11"/>
        </w:rPr>
        <w:t> </w:t>
      </w:r>
      <w:r>
        <w:rPr/>
        <w:t>会计数据和财务指标摘要</w:t>
      </w:r>
      <w:r>
        <w:rPr>
          <w:b w:val="0"/>
          <w:bCs w:val="0"/>
        </w:rPr>
      </w:r>
    </w:p>
    <w:p>
      <w:pPr>
        <w:spacing w:line="690" w:lineRule="atLeast" w:before="133"/>
        <w:ind w:left="633" w:right="1133" w:hanging="480"/>
        <w:jc w:val="left"/>
        <w:rPr>
          <w:rFonts w:ascii="宋体" w:hAnsi="宋体" w:cs="宋体" w:eastAsia="宋体" w:hint="default"/>
          <w:sz w:val="24"/>
          <w:szCs w:val="24"/>
        </w:rPr>
      </w:pPr>
      <w:bookmarkStart w:name="一、主要会计数据和财务指标" w:id="11"/>
      <w:bookmarkEnd w:id="11"/>
      <w:r>
        <w:rPr/>
      </w:r>
      <w:r>
        <w:rPr>
          <w:rFonts w:ascii="宋体" w:hAnsi="宋体" w:cs="宋体" w:eastAsia="宋体" w:hint="default"/>
          <w:b/>
          <w:bCs/>
          <w:sz w:val="24"/>
          <w:szCs w:val="24"/>
        </w:rPr>
        <w:t>一、主要会计数据和财务指标</w:t>
      </w:r>
      <w:r>
        <w:rPr>
          <w:rFonts w:ascii="宋体" w:hAnsi="宋体" w:cs="宋体" w:eastAsia="宋体" w:hint="default"/>
          <w:b/>
          <w:bCs/>
          <w:w w:val="99"/>
          <w:sz w:val="24"/>
          <w:szCs w:val="24"/>
        </w:rPr>
        <w:t> </w:t>
      </w:r>
      <w:r>
        <w:rPr>
          <w:rFonts w:ascii="宋体" w:hAnsi="宋体" w:cs="宋体" w:eastAsia="宋体" w:hint="default"/>
          <w:sz w:val="24"/>
          <w:szCs w:val="24"/>
        </w:rPr>
        <w:t>公司是否因会计政策变更及会计差错更正等追溯调整或重述以前年度会计数据</w:t>
      </w:r>
    </w:p>
    <w:p>
      <w:pPr>
        <w:pStyle w:val="BodyText"/>
        <w:spacing w:line="240" w:lineRule="auto" w:before="194"/>
        <w:ind w:left="63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634"/>
        <w:gridCol w:w="1775"/>
        <w:gridCol w:w="1764"/>
        <w:gridCol w:w="1763"/>
        <w:gridCol w:w="1622"/>
      </w:tblGrid>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4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2014 </w:t>
            </w:r>
            <w:r>
              <w:rPr>
                <w:rFonts w:ascii="宋体" w:hAnsi="宋体" w:cs="宋体" w:eastAsia="宋体" w:hint="default"/>
                <w:b/>
                <w:bCs/>
                <w:sz w:val="21"/>
                <w:szCs w:val="21"/>
              </w:rPr>
              <w:t>年</w:t>
            </w:r>
            <w:r>
              <w:rPr>
                <w:rFonts w:ascii="宋体" w:hAnsi="宋体" w:cs="宋体" w:eastAsia="宋体" w:hint="default"/>
                <w:sz w:val="21"/>
                <w:szCs w:val="21"/>
              </w:rPr>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2013 </w:t>
            </w:r>
            <w:r>
              <w:rPr>
                <w:rFonts w:ascii="宋体" w:hAnsi="宋体" w:cs="宋体" w:eastAsia="宋体" w:hint="default"/>
                <w:b/>
                <w:bCs/>
                <w:sz w:val="21"/>
                <w:szCs w:val="21"/>
              </w:rPr>
              <w:t>年</w:t>
            </w:r>
            <w:r>
              <w:rPr>
                <w:rFonts w:ascii="宋体" w:hAnsi="宋体" w:cs="宋体" w:eastAsia="宋体" w:hint="default"/>
                <w:sz w:val="21"/>
                <w:szCs w:val="21"/>
              </w:rPr>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39" w:right="0"/>
              <w:jc w:val="left"/>
              <w:rPr>
                <w:rFonts w:ascii="宋体" w:hAnsi="宋体" w:cs="宋体" w:eastAsia="宋体" w:hint="default"/>
                <w:sz w:val="21"/>
                <w:szCs w:val="21"/>
              </w:rPr>
            </w:pPr>
            <w:r>
              <w:rPr>
                <w:rFonts w:ascii="宋体" w:hAnsi="宋体" w:cs="宋体" w:eastAsia="宋体" w:hint="default"/>
                <w:b/>
                <w:bCs/>
                <w:sz w:val="21"/>
                <w:szCs w:val="21"/>
              </w:rPr>
              <w:t>本年比上年增减</w:t>
            </w:r>
            <w:r>
              <w:rPr>
                <w:rFonts w:ascii="宋体" w:hAnsi="宋体" w:cs="宋体" w:eastAsia="宋体" w:hint="default"/>
                <w:sz w:val="21"/>
                <w:szCs w:val="21"/>
              </w:rPr>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6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2012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269,738,063.00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220,336,179.37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22.42%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183,869,585.22</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营业成本（元）</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144,735,750.21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110,675,015.48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30.78%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83,096,101.44</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营业利润（元）</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39,920,183.04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40,593,163.52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49,342,039.99</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53,694,219.07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51,551,223.01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4.16%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62,723,246.56</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1"/>
              <w:jc w:val="left"/>
              <w:rPr>
                <w:rFonts w:ascii="宋体" w:hAnsi="宋体" w:cs="宋体" w:eastAsia="宋体" w:hint="default"/>
                <w:sz w:val="21"/>
                <w:szCs w:val="21"/>
              </w:rPr>
            </w:pPr>
            <w:r>
              <w:rPr>
                <w:rFonts w:ascii="宋体" w:hAnsi="宋体" w:cs="宋体" w:eastAsia="宋体" w:hint="default"/>
                <w:sz w:val="21"/>
                <w:szCs w:val="21"/>
              </w:rPr>
              <w:t>归属于上市公司普通股股东 的净利润（元）</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46,169,543.67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44,873,935.32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2.89%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54,398,804.97</w:t>
            </w:r>
          </w:p>
        </w:tc>
      </w:tr>
      <w:tr>
        <w:trPr>
          <w:trHeight w:val="1026"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1"/>
              <w:jc w:val="both"/>
              <w:rPr>
                <w:rFonts w:ascii="宋体" w:hAnsi="宋体" w:cs="宋体" w:eastAsia="宋体" w:hint="default"/>
                <w:sz w:val="21"/>
                <w:szCs w:val="21"/>
              </w:rPr>
            </w:pPr>
            <w:r>
              <w:rPr>
                <w:rFonts w:ascii="宋体" w:hAnsi="宋体" w:cs="宋体" w:eastAsia="宋体" w:hint="default"/>
                <w:sz w:val="21"/>
                <w:szCs w:val="21"/>
              </w:rPr>
              <w:t>归属于上市公司普通股股东 的扣除非经常性损益后的净 利润（元）</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33,513,920.78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35,727,254.32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-6.20%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44,079,446.11</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1"/>
              <w:jc w:val="left"/>
              <w:rPr>
                <w:rFonts w:ascii="宋体" w:hAnsi="宋体" w:cs="宋体" w:eastAsia="宋体" w:hint="default"/>
                <w:sz w:val="21"/>
                <w:szCs w:val="21"/>
              </w:rPr>
            </w:pPr>
            <w:r>
              <w:rPr>
                <w:rFonts w:ascii="宋体" w:hAnsi="宋体" w:cs="宋体" w:eastAsia="宋体" w:hint="default"/>
                <w:sz w:val="21"/>
                <w:szCs w:val="21"/>
              </w:rPr>
              <w:t>经营活动产生的现金流量净 额（元）</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38,325,953.08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48,711,294.92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-21.32%</w:t>
            </w:r>
            <w:r>
              <w:rPr>
                <w:rFonts w:ascii="Times New Roman"/>
                <w:sz w:val="21"/>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57,284,989.48</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1"/>
              <w:jc w:val="left"/>
              <w:rPr>
                <w:rFonts w:ascii="宋体" w:hAnsi="宋体" w:cs="宋体" w:eastAsia="宋体" w:hint="default"/>
                <w:sz w:val="21"/>
                <w:szCs w:val="21"/>
              </w:rPr>
            </w:pPr>
            <w:r>
              <w:rPr>
                <w:rFonts w:ascii="宋体" w:hAnsi="宋体" w:cs="宋体" w:eastAsia="宋体" w:hint="default"/>
                <w:sz w:val="21"/>
                <w:szCs w:val="21"/>
              </w:rPr>
              <w:t>每股经营活动产生的现金流 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0.4258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0.5412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-21.32%</w:t>
            </w:r>
            <w:r>
              <w:rPr>
                <w:rFonts w:ascii="Times New Roman"/>
                <w:sz w:val="21"/>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0.6365</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0.51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0.50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0.6</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0.51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0.50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0.6</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16.40%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17.77%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26.35%</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1"/>
              <w:jc w:val="left"/>
              <w:rPr>
                <w:rFonts w:ascii="宋体" w:hAnsi="宋体" w:cs="宋体" w:eastAsia="宋体" w:hint="default"/>
                <w:sz w:val="21"/>
                <w:szCs w:val="21"/>
              </w:rPr>
            </w:pPr>
            <w:r>
              <w:rPr>
                <w:rFonts w:ascii="宋体" w:hAnsi="宋体" w:cs="宋体" w:eastAsia="宋体" w:hint="default"/>
                <w:sz w:val="21"/>
                <w:szCs w:val="21"/>
              </w:rPr>
              <w:t>扣除非经常性损益后的加权 平均净资产收益率</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2"/>
                <w:sz w:val="21"/>
              </w:rPr>
              <w:t>11.90%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14.15%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-2.25%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21.35%</w:t>
            </w:r>
          </w:p>
        </w:tc>
      </w:tr>
      <w:tr>
        <w:trPr>
          <w:trHeight w:val="161" w:hRule="exact"/>
        </w:trPr>
        <w:tc>
          <w:tcPr>
            <w:tcW w:w="26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6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770" w:right="32" w:hanging="737"/>
              <w:jc w:val="left"/>
              <w:rPr>
                <w:rFonts w:ascii="宋体" w:hAnsi="宋体" w:cs="宋体" w:eastAsia="宋体" w:hint="default"/>
                <w:sz w:val="21"/>
                <w:szCs w:val="21"/>
              </w:rPr>
            </w:pPr>
            <w:r>
              <w:rPr>
                <w:rFonts w:ascii="宋体" w:hAnsi="宋体" w:cs="宋体" w:eastAsia="宋体" w:hint="default"/>
                <w:b/>
                <w:bCs/>
                <w:sz w:val="21"/>
                <w:szCs w:val="21"/>
              </w:rPr>
              <w:t>本年末比上年末增</w:t>
            </w:r>
            <w:r>
              <w:rPr>
                <w:rFonts w:ascii="宋体" w:hAnsi="宋体" w:cs="宋体" w:eastAsia="宋体" w:hint="default"/>
                <w:b/>
                <w:bCs/>
                <w:w w:val="99"/>
                <w:sz w:val="21"/>
                <w:szCs w:val="21"/>
              </w:rPr>
              <w:t> </w:t>
            </w:r>
            <w:r>
              <w:rPr>
                <w:rFonts w:ascii="宋体" w:hAnsi="宋体" w:cs="宋体" w:eastAsia="宋体" w:hint="default"/>
                <w:b/>
                <w:bCs/>
                <w:sz w:val="21"/>
                <w:szCs w:val="21"/>
              </w:rPr>
              <w:t>减</w:t>
            </w:r>
            <w:r>
              <w:rPr>
                <w:rFonts w:ascii="宋体" w:hAnsi="宋体" w:cs="宋体" w:eastAsia="宋体" w:hint="default"/>
                <w:sz w:val="21"/>
                <w:szCs w:val="21"/>
              </w:rPr>
            </w:r>
          </w:p>
        </w:tc>
        <w:tc>
          <w:tcPr>
            <w:tcW w:w="16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634" w:type="dxa"/>
            <w:tcBorders>
              <w:top w:val="nil" w:sz="6" w:space="0" w:color="auto"/>
              <w:left w:val="single" w:sz="4" w:space="0" w:color="000000"/>
              <w:bottom w:val="nil" w:sz="6" w:space="0" w:color="auto"/>
              <w:right w:val="single" w:sz="4" w:space="0" w:color="000000"/>
            </w:tcBorders>
            <w:shd w:val="clear" w:color="auto" w:fill="D2D2D2"/>
          </w:tcPr>
          <w:p>
            <w:pPr/>
          </w:p>
        </w:tc>
        <w:tc>
          <w:tcPr>
            <w:tcW w:w="17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44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2014</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43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2013</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763" w:type="dxa"/>
            <w:vMerge/>
            <w:tcBorders>
              <w:left w:val="single" w:sz="4" w:space="0" w:color="000000"/>
              <w:right w:val="single" w:sz="4" w:space="0" w:color="000000"/>
            </w:tcBorders>
            <w:shd w:val="clear" w:color="auto" w:fill="D2D2D2"/>
          </w:tcPr>
          <w:p>
            <w:pPr/>
          </w:p>
        </w:tc>
        <w:tc>
          <w:tcPr>
            <w:tcW w:w="1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5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161" w:hRule="exact"/>
        </w:trPr>
        <w:tc>
          <w:tcPr>
            <w:tcW w:w="26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63" w:type="dxa"/>
            <w:vMerge/>
            <w:tcBorders>
              <w:left w:val="single" w:sz="4" w:space="0" w:color="000000"/>
              <w:bottom w:val="single" w:sz="4" w:space="0" w:color="000000"/>
              <w:right w:val="single" w:sz="4" w:space="0" w:color="000000"/>
            </w:tcBorders>
            <w:shd w:val="clear" w:color="auto" w:fill="D2D2D2"/>
          </w:tcPr>
          <w:p>
            <w:pPr/>
          </w:p>
        </w:tc>
        <w:tc>
          <w:tcPr>
            <w:tcW w:w="16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期末总股本（股）</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90,000,000.00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90,000,000.00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90,000,000.00</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433,130,370.88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320,749,028.41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35.04%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280,405,845.09</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负债总额（元）</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131,217,370.17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56,637,412.66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131.68%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49,846,315.43</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1"/>
              <w:jc w:val="left"/>
              <w:rPr>
                <w:rFonts w:ascii="宋体" w:hAnsi="宋体" w:cs="宋体" w:eastAsia="宋体" w:hint="default"/>
                <w:sz w:val="21"/>
                <w:szCs w:val="21"/>
              </w:rPr>
            </w:pPr>
            <w:r>
              <w:rPr>
                <w:rFonts w:ascii="宋体" w:hAnsi="宋体" w:cs="宋体" w:eastAsia="宋体" w:hint="default"/>
                <w:sz w:val="21"/>
                <w:szCs w:val="21"/>
              </w:rPr>
              <w:t>归属于上市公司普通股股东 的所有者权益（元）</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301,206,282.41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263,336,539.05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14.38%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230,034,511.88</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1"/>
              <w:jc w:val="left"/>
              <w:rPr>
                <w:rFonts w:ascii="宋体" w:hAnsi="宋体" w:cs="宋体" w:eastAsia="宋体" w:hint="default"/>
                <w:sz w:val="21"/>
                <w:szCs w:val="21"/>
              </w:rPr>
            </w:pPr>
            <w:r>
              <w:rPr>
                <w:rFonts w:ascii="宋体" w:hAnsi="宋体" w:cs="宋体" w:eastAsia="宋体" w:hint="default"/>
                <w:sz w:val="21"/>
                <w:szCs w:val="21"/>
              </w:rPr>
              <w:t>归属于上市公司普通股股东 的每股净资产（元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3.3467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2.9260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14.38%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2.5559</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30.30%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17.66%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12.64%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17.78%</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060" w:bottom="1160" w:left="980" w:right="980"/>
        </w:sectPr>
      </w:pPr>
    </w:p>
    <w:p>
      <w:pPr>
        <w:spacing w:line="240" w:lineRule="auto" w:before="9"/>
        <w:rPr>
          <w:rFonts w:ascii="宋体" w:hAnsi="宋体" w:cs="宋体" w:eastAsia="宋体" w:hint="default"/>
          <w:sz w:val="29"/>
          <w:szCs w:val="29"/>
        </w:rPr>
      </w:pPr>
    </w:p>
    <w:p>
      <w:pPr>
        <w:pStyle w:val="BodyText"/>
        <w:spacing w:line="240" w:lineRule="auto"/>
        <w:ind w:left="634" w:right="0"/>
        <w:jc w:val="left"/>
      </w:pPr>
      <w:r>
        <w:rPr/>
        <w:t>截止披露前一交易日的公司总股本：</w:t>
      </w:r>
    </w:p>
    <w:p>
      <w:pPr>
        <w:spacing w:line="240" w:lineRule="auto" w:before="8"/>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4657"/>
        <w:gridCol w:w="4912"/>
      </w:tblGrid>
      <w:tr>
        <w:trPr>
          <w:trHeight w:val="403" w:hRule="exact"/>
        </w:trPr>
        <w:tc>
          <w:tcPr>
            <w:tcW w:w="4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截止披露前一交易日的公司总股本（股）</w:t>
            </w:r>
          </w:p>
        </w:tc>
        <w:tc>
          <w:tcPr>
            <w:tcW w:w="4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120,000,000</w:t>
            </w:r>
          </w:p>
        </w:tc>
      </w:tr>
    </w:tbl>
    <w:p>
      <w:pPr>
        <w:pStyle w:val="BodyText"/>
        <w:spacing w:line="357" w:lineRule="auto" w:before="81"/>
        <w:ind w:left="154" w:right="172" w:firstLine="480"/>
        <w:jc w:val="left"/>
      </w:pPr>
      <w:r>
        <w:rPr/>
        <w:t>公司报告期末至年度报告披露日股本是否因发行新股、增发、配股、股权激励行权、回 购等原因发生变化且影响所有者权益金额</w:t>
      </w:r>
    </w:p>
    <w:p>
      <w:pPr>
        <w:pStyle w:val="BodyText"/>
        <w:spacing w:line="240" w:lineRule="auto" w:before="76"/>
        <w:ind w:left="6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4"/>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4657"/>
        <w:gridCol w:w="4912"/>
      </w:tblGrid>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用最新股本计算的基本每股收益（元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4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0.3842</w:t>
            </w:r>
          </w:p>
        </w:tc>
      </w:tr>
    </w:tbl>
    <w:p>
      <w:pPr>
        <w:pStyle w:val="BodyText"/>
        <w:spacing w:line="240" w:lineRule="auto" w:before="81"/>
        <w:ind w:left="634" w:right="0"/>
        <w:jc w:val="left"/>
      </w:pPr>
      <w:r>
        <w:rPr/>
        <w:t>是否存在公司债</w:t>
      </w:r>
    </w:p>
    <w:p>
      <w:pPr>
        <w:spacing w:line="496" w:lineRule="auto" w:before="194"/>
        <w:ind w:left="154" w:right="569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是 </w:t>
      </w:r>
      <w:r>
        <w:rPr>
          <w:rFonts w:ascii="Times New Roman" w:hAnsi="Times New Roman" w:cs="Times New Roman" w:eastAsia="Times New Roman" w:hint="default"/>
          <w:sz w:val="24"/>
          <w:szCs w:val="24"/>
        </w:rPr>
        <w:t>√ </w:t>
      </w:r>
      <w:r>
        <w:rPr>
          <w:rFonts w:ascii="宋体" w:hAnsi="宋体" w:cs="宋体" w:eastAsia="宋体" w:hint="default"/>
          <w:sz w:val="24"/>
          <w:szCs w:val="24"/>
        </w:rPr>
        <w:t>否 </w:t>
      </w:r>
      <w:bookmarkStart w:name="二、境内外会计准则下会计数据差异" w:id="12"/>
      <w:bookmarkEnd w:id="12"/>
      <w:r>
        <w:rPr>
          <w:rFonts w:ascii="宋体" w:hAnsi="宋体" w:cs="宋体" w:eastAsia="宋体" w:hint="default"/>
          <w:sz w:val="24"/>
          <w:szCs w:val="24"/>
        </w:rPr>
      </w:r>
      <w:r>
        <w:rPr>
          <w:rFonts w:ascii="宋体" w:hAnsi="宋体" w:cs="宋体" w:eastAsia="宋体" w:hint="default"/>
          <w:b/>
          <w:bCs/>
          <w:w w:val="95"/>
          <w:sz w:val="24"/>
          <w:szCs w:val="24"/>
        </w:rPr>
        <w:t>二、境内外会计准则下会计数据差异</w:t>
      </w:r>
      <w:r>
        <w:rPr>
          <w:rFonts w:ascii="宋体" w:hAnsi="宋体" w:cs="宋体" w:eastAsia="宋体" w:hint="default"/>
          <w:sz w:val="24"/>
          <w:szCs w:val="24"/>
        </w:rPr>
      </w:r>
    </w:p>
    <w:p>
      <w:pPr>
        <w:spacing w:line="338" w:lineRule="auto" w:before="120"/>
        <w:ind w:left="154" w:right="412" w:firstLine="482"/>
        <w:jc w:val="left"/>
        <w:rPr>
          <w:rFonts w:ascii="宋体" w:hAnsi="宋体" w:cs="宋体" w:eastAsia="宋体" w:hint="default"/>
          <w:sz w:val="24"/>
          <w:szCs w:val="24"/>
        </w:rPr>
      </w:pPr>
      <w:r>
        <w:rPr>
          <w:rFonts w:ascii="Times New Roman" w:hAnsi="Times New Roman" w:cs="Times New Roman" w:eastAsia="Times New Roman" w:hint="default"/>
          <w:b/>
          <w:bCs/>
          <w:w w:val="95"/>
          <w:sz w:val="24"/>
          <w:szCs w:val="24"/>
        </w:rPr>
        <w:t>1</w:t>
      </w:r>
      <w:r>
        <w:rPr>
          <w:rFonts w:ascii="宋体" w:hAnsi="宋体" w:cs="宋体" w:eastAsia="宋体" w:hint="default"/>
          <w:b/>
          <w:bCs/>
          <w:w w:val="95"/>
          <w:sz w:val="24"/>
          <w:szCs w:val="24"/>
        </w:rPr>
        <w:t>、同时按照国际会计准则与按照中国会计准则披露的财务报告中净利润和净资产差异</w:t>
      </w:r>
      <w:r>
        <w:rPr>
          <w:rFonts w:ascii="宋体" w:hAnsi="宋体" w:cs="宋体" w:eastAsia="宋体" w:hint="default"/>
          <w:b/>
          <w:bCs/>
          <w:w w:val="99"/>
          <w:sz w:val="24"/>
          <w:szCs w:val="24"/>
        </w:rPr>
        <w:t> </w:t>
      </w:r>
      <w:r>
        <w:rPr>
          <w:rFonts w:ascii="宋体" w:hAnsi="宋体" w:cs="宋体" w:eastAsia="宋体" w:hint="default"/>
          <w:b/>
          <w:bCs/>
          <w:sz w:val="24"/>
          <w:szCs w:val="24"/>
        </w:rPr>
        <w:t>情况</w:t>
      </w:r>
      <w:r>
        <w:rPr>
          <w:rFonts w:ascii="宋体" w:hAnsi="宋体" w:cs="宋体" w:eastAsia="宋体" w:hint="default"/>
          <w:sz w:val="24"/>
          <w:szCs w:val="24"/>
        </w:rPr>
      </w:r>
    </w:p>
    <w:p>
      <w:pPr>
        <w:pStyle w:val="BodyText"/>
        <w:spacing w:line="240" w:lineRule="auto" w:before="94"/>
        <w:ind w:left="6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338" w:lineRule="auto" w:before="176"/>
        <w:ind w:left="154" w:right="412" w:firstLine="482"/>
        <w:jc w:val="left"/>
        <w:rPr>
          <w:rFonts w:ascii="宋体" w:hAnsi="宋体" w:cs="宋体" w:eastAsia="宋体" w:hint="default"/>
          <w:sz w:val="24"/>
          <w:szCs w:val="24"/>
        </w:rPr>
      </w:pPr>
      <w:r>
        <w:rPr>
          <w:rFonts w:ascii="Times New Roman" w:hAnsi="Times New Roman" w:cs="Times New Roman" w:eastAsia="Times New Roman" w:hint="default"/>
          <w:b/>
          <w:bCs/>
          <w:w w:val="95"/>
          <w:sz w:val="24"/>
          <w:szCs w:val="24"/>
        </w:rPr>
        <w:t>2</w:t>
      </w:r>
      <w:r>
        <w:rPr>
          <w:rFonts w:ascii="宋体" w:hAnsi="宋体" w:cs="宋体" w:eastAsia="宋体" w:hint="default"/>
          <w:b/>
          <w:bCs/>
          <w:w w:val="95"/>
          <w:sz w:val="24"/>
          <w:szCs w:val="24"/>
        </w:rPr>
        <w:t>、同时按照境外会计准则与按照中国会计准则披露的财务报告中净利润和净资产差异</w:t>
      </w:r>
      <w:r>
        <w:rPr>
          <w:rFonts w:ascii="宋体" w:hAnsi="宋体" w:cs="宋体" w:eastAsia="宋体" w:hint="default"/>
          <w:b/>
          <w:bCs/>
          <w:w w:val="99"/>
          <w:sz w:val="24"/>
          <w:szCs w:val="24"/>
        </w:rPr>
        <w:t> </w:t>
      </w:r>
      <w:r>
        <w:rPr>
          <w:rFonts w:ascii="宋体" w:hAnsi="宋体" w:cs="宋体" w:eastAsia="宋体" w:hint="default"/>
          <w:b/>
          <w:bCs/>
          <w:sz w:val="24"/>
          <w:szCs w:val="24"/>
        </w:rPr>
        <w:t>情况</w:t>
      </w:r>
      <w:r>
        <w:rPr>
          <w:rFonts w:ascii="宋体" w:hAnsi="宋体" w:cs="宋体" w:eastAsia="宋体" w:hint="default"/>
          <w:sz w:val="24"/>
          <w:szCs w:val="24"/>
        </w:rPr>
      </w:r>
    </w:p>
    <w:p>
      <w:pPr>
        <w:pStyle w:val="BodyText"/>
        <w:spacing w:line="240" w:lineRule="auto" w:before="95"/>
        <w:ind w:left="6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before="176"/>
        <w:ind w:left="636"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、境内外会计准则下会计数据差异说明</w:t>
      </w:r>
      <w:r>
        <w:rPr>
          <w:rFonts w:ascii="宋体" w:hAnsi="宋体" w:cs="宋体" w:eastAsia="宋体" w:hint="default"/>
          <w:sz w:val="24"/>
          <w:szCs w:val="24"/>
        </w:rPr>
      </w:r>
    </w:p>
    <w:p>
      <w:pPr>
        <w:spacing w:line="499" w:lineRule="auto" w:before="174"/>
        <w:ind w:left="154" w:right="569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三、非经常性损益的项目及金额" w:id="13"/>
      <w:bookmarkEnd w:id="13"/>
      <w:r>
        <w:rPr>
          <w:rFonts w:ascii="宋体" w:hAnsi="宋体" w:cs="宋体" w:eastAsia="宋体" w:hint="default"/>
          <w:sz w:val="24"/>
          <w:szCs w:val="24"/>
        </w:rPr>
      </w:r>
      <w:r>
        <w:rPr>
          <w:rFonts w:ascii="宋体" w:hAnsi="宋体" w:cs="宋体" w:eastAsia="宋体" w:hint="default"/>
          <w:b/>
          <w:bCs/>
          <w:w w:val="95"/>
          <w:sz w:val="24"/>
          <w:szCs w:val="24"/>
        </w:rPr>
        <w:t>三、非经常性损益的项目及金额</w:t>
      </w:r>
      <w:r>
        <w:rPr>
          <w:rFonts w:ascii="宋体" w:hAnsi="宋体" w:cs="宋体" w:eastAsia="宋体" w:hint="default"/>
          <w:sz w:val="24"/>
          <w:szCs w:val="24"/>
        </w:rPr>
      </w:r>
    </w:p>
    <w:p>
      <w:pPr>
        <w:pStyle w:val="BodyText"/>
        <w:spacing w:line="240" w:lineRule="auto" w:before="116"/>
        <w:ind w:left="6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40" w:lineRule="auto" w:before="97"/>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1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2014</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0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2013</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0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说明</w:t>
            </w:r>
            <w:r>
              <w:rPr>
                <w:rFonts w:ascii="宋体" w:hAnsi="宋体" w:cs="宋体" w:eastAsia="宋体" w:hint="default"/>
                <w:sz w:val="21"/>
                <w:szCs w:val="21"/>
              </w:rPr>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0"/>
              <w:jc w:val="left"/>
              <w:rPr>
                <w:rFonts w:ascii="宋体" w:hAnsi="宋体" w:cs="宋体" w:eastAsia="宋体" w:hint="default"/>
                <w:sz w:val="21"/>
                <w:szCs w:val="21"/>
              </w:rPr>
            </w:pPr>
            <w:r>
              <w:rPr>
                <w:rFonts w:ascii="宋体" w:hAnsi="宋体" w:cs="宋体" w:eastAsia="宋体" w:hint="default"/>
                <w:sz w:val="21"/>
                <w:szCs w:val="21"/>
              </w:rPr>
              <w:t>非流动资产处置损益（包括已计提 资产减值准备的冲销部分）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-201,666.91</w:t>
            </w:r>
            <w:r>
              <w:rPr>
                <w:rFonts w:ascii="Times New Roman"/>
                <w:sz w:val="21"/>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 返还、减免</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1"/>
              <w:jc w:val="both"/>
              <w:rPr>
                <w:rFonts w:ascii="宋体" w:hAnsi="宋体" w:cs="宋体" w:eastAsia="宋体" w:hint="default"/>
                <w:sz w:val="21"/>
                <w:szCs w:val="21"/>
              </w:rPr>
            </w:pPr>
            <w:r>
              <w:rPr>
                <w:rFonts w:ascii="宋体" w:hAnsi="宋体" w:cs="宋体" w:eastAsia="宋体" w:hint="default"/>
                <w:sz w:val="21"/>
                <w:szCs w:val="21"/>
              </w:rPr>
              <w:t>计入当期损益的政府补助（与企业 业务密切相关，按照国家统一标准 定额或定量享受的政府补助除外）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79" w:right="0"/>
              <w:jc w:val="left"/>
              <w:rPr>
                <w:rFonts w:ascii="Times New Roman" w:hAnsi="Times New Roman" w:cs="Times New Roman" w:eastAsia="Times New Roman" w:hint="default"/>
                <w:sz w:val="21"/>
                <w:szCs w:val="21"/>
              </w:rPr>
            </w:pPr>
            <w:r>
              <w:rPr>
                <w:rFonts w:ascii="Times New Roman"/>
                <w:sz w:val="21"/>
              </w:rPr>
              <w:t>13,991,797.38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88" w:right="0"/>
              <w:jc w:val="left"/>
              <w:rPr>
                <w:rFonts w:ascii="Times New Roman" w:hAnsi="Times New Roman" w:cs="Times New Roman" w:eastAsia="Times New Roman" w:hint="default"/>
                <w:sz w:val="21"/>
                <w:szCs w:val="21"/>
              </w:rPr>
            </w:pPr>
            <w:r>
              <w:rPr>
                <w:rFonts w:ascii="Times New Roman"/>
                <w:sz w:val="21"/>
              </w:rPr>
              <w:t>11,034,282.30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12,742,481.28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90"/>
              <w:jc w:val="center"/>
              <w:rPr>
                <w:rFonts w:ascii="宋体" w:hAnsi="宋体" w:cs="宋体" w:eastAsia="宋体" w:hint="default"/>
                <w:sz w:val="21"/>
                <w:szCs w:val="21"/>
              </w:rPr>
            </w:pPr>
            <w:r>
              <w:rPr>
                <w:rFonts w:ascii="宋体" w:hAnsi="宋体" w:cs="宋体" w:eastAsia="宋体" w:hint="default"/>
                <w:sz w:val="21"/>
                <w:szCs w:val="21"/>
              </w:rPr>
              <w:t>计入当期损益的对非金融企业收取</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的资金占用费</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12"/>
              <w:jc w:val="both"/>
              <w:rPr>
                <w:rFonts w:ascii="宋体" w:hAnsi="宋体" w:cs="宋体" w:eastAsia="宋体" w:hint="default"/>
                <w:sz w:val="21"/>
                <w:szCs w:val="21"/>
              </w:rPr>
            </w:pPr>
            <w:r>
              <w:rPr>
                <w:rFonts w:ascii="宋体" w:hAnsi="宋体" w:cs="宋体" w:eastAsia="宋体" w:hint="default"/>
                <w:sz w:val="21"/>
                <w:szCs w:val="21"/>
              </w:rPr>
              <w:t>企业取得子公司、联营企业及合营 企业的投资成本小于取得投资时应 享有被投资单位可辨认净资产公允 价值产生的收益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12"/>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 而计提的各项资产减值准备</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28"/>
              <w:jc w:val="left"/>
              <w:rPr>
                <w:rFonts w:ascii="宋体" w:hAnsi="宋体" w:cs="宋体" w:eastAsia="宋体" w:hint="default"/>
                <w:sz w:val="21"/>
                <w:szCs w:val="21"/>
              </w:rPr>
            </w:pPr>
            <w:r>
              <w:rPr>
                <w:rFonts w:ascii="宋体" w:hAnsi="宋体" w:cs="宋体" w:eastAsia="宋体" w:hint="default"/>
                <w:spacing w:val="-2"/>
                <w:sz w:val="21"/>
                <w:szCs w:val="21"/>
              </w:rPr>
              <w:t>企业重组费用，如安置职工的支出</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整合费用等</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40" w:right="0"/>
              <w:jc w:val="left"/>
              <w:rPr>
                <w:rFonts w:ascii="宋体" w:hAnsi="宋体" w:cs="宋体" w:eastAsia="宋体" w:hint="default"/>
                <w:sz w:val="21"/>
                <w:szCs w:val="21"/>
              </w:rPr>
            </w:pPr>
            <w:r>
              <w:rPr>
                <w:rFonts w:ascii="宋体" w:hAnsi="宋体" w:cs="宋体" w:eastAsia="宋体" w:hint="default"/>
                <w:sz w:val="21"/>
                <w:szCs w:val="21"/>
              </w:rPr>
              <w:t>、</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12"/>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 过公允价值部分的损益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12"/>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 期初至合并日的当期净损益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12"/>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 项产生的损益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12"/>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 套期保值业务外，持有交易性金融 资产、交易性金融负债产生的公允 价值变动损益，以及处置交易性金 融资产、交易性金融负债和可供出 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12"/>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 准备转回</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13"/>
              <w:jc w:val="both"/>
              <w:rPr>
                <w:rFonts w:ascii="宋体" w:hAnsi="宋体" w:cs="宋体" w:eastAsia="宋体" w:hint="default"/>
                <w:sz w:val="21"/>
                <w:szCs w:val="21"/>
              </w:rPr>
            </w:pPr>
            <w:r>
              <w:rPr>
                <w:rFonts w:ascii="宋体" w:hAnsi="宋体" w:cs="宋体" w:eastAsia="宋体" w:hint="default"/>
                <w:sz w:val="21"/>
                <w:szCs w:val="21"/>
              </w:rPr>
              <w:t>采用公允价值模式进行后续计量的 投资性房地产公允价值变动产生的 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12"/>
              <w:jc w:val="both"/>
              <w:rPr>
                <w:rFonts w:ascii="宋体" w:hAnsi="宋体" w:cs="宋体" w:eastAsia="宋体" w:hint="default"/>
                <w:sz w:val="21"/>
                <w:szCs w:val="21"/>
              </w:rPr>
            </w:pPr>
            <w:r>
              <w:rPr>
                <w:rFonts w:ascii="宋体" w:hAnsi="宋体" w:cs="宋体" w:eastAsia="宋体" w:hint="default"/>
                <w:sz w:val="21"/>
                <w:szCs w:val="21"/>
              </w:rPr>
              <w:t>根据税收、会计等法律、法规的要 求对当期损益进行一次性调整对当 期损益的影响</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12"/>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 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71" w:right="0"/>
              <w:jc w:val="left"/>
              <w:rPr>
                <w:rFonts w:ascii="Times New Roman" w:hAnsi="Times New Roman" w:cs="Times New Roman" w:eastAsia="Times New Roman" w:hint="default"/>
                <w:sz w:val="21"/>
                <w:szCs w:val="21"/>
              </w:rPr>
            </w:pPr>
            <w:r>
              <w:rPr>
                <w:rFonts w:ascii="Times New Roman"/>
                <w:sz w:val="21"/>
              </w:rPr>
              <w:t>-217,761.35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72" w:right="0"/>
              <w:jc w:val="left"/>
              <w:rPr>
                <w:rFonts w:ascii="Times New Roman" w:hAnsi="Times New Roman" w:cs="Times New Roman" w:eastAsia="Times New Roman" w:hint="default"/>
                <w:sz w:val="21"/>
                <w:szCs w:val="21"/>
              </w:rPr>
            </w:pPr>
            <w:r>
              <w:rPr>
                <w:rFonts w:ascii="Times New Roman"/>
                <w:sz w:val="21"/>
              </w:rPr>
              <w:t>-273,966.42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73" w:right="0"/>
              <w:jc w:val="left"/>
              <w:rPr>
                <w:rFonts w:ascii="Times New Roman" w:hAnsi="Times New Roman" w:cs="Times New Roman" w:eastAsia="Times New Roman" w:hint="default"/>
                <w:sz w:val="21"/>
                <w:szCs w:val="21"/>
              </w:rPr>
            </w:pPr>
            <w:r>
              <w:rPr>
                <w:rFonts w:ascii="Times New Roman"/>
                <w:sz w:val="21"/>
              </w:rPr>
              <w:t>-428,952.00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12"/>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 项目</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1,118,413.14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1,614,459.88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1,792,503.51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-825.00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12,655,622.89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9,146,681.00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10,319,358.86</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81"/>
        <w:ind w:left="634" w:right="0"/>
        <w:jc w:val="left"/>
      </w:pPr>
      <w:r>
        <w:rPr/>
        <w:t>对公司根据《公开发行证券的公司信息披露解释性公告第</w:t>
      </w:r>
      <w:r>
        <w:rPr>
          <w:spacing w:val="-60"/>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非经常性损益》定义</w:t>
      </w:r>
    </w:p>
    <w:p>
      <w:pPr>
        <w:pStyle w:val="BodyText"/>
        <w:spacing w:line="338" w:lineRule="auto" w:before="135"/>
        <w:ind w:right="172"/>
        <w:jc w:val="left"/>
      </w:pPr>
      <w:r>
        <w:rPr/>
        <w:t>界定的非经常性损益项目，以及把《公开发行证券的公司信息披露解释性公告第</w:t>
      </w:r>
      <w:r>
        <w:rPr>
          <w:spacing w:val="-59"/>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 经常性损益》中列举的非经常性损益项目界定为经常性损益的项目，应说明原因</w:t>
      </w:r>
    </w:p>
    <w:p>
      <w:pPr>
        <w:spacing w:line="496" w:lineRule="auto" w:before="95"/>
        <w:ind w:left="154" w:right="569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四、重大风险提示" w:id="14"/>
      <w:bookmarkEnd w:id="14"/>
      <w:r>
        <w:rPr>
          <w:rFonts w:ascii="宋体" w:hAnsi="宋体" w:cs="宋体" w:eastAsia="宋体" w:hint="default"/>
          <w:sz w:val="24"/>
          <w:szCs w:val="24"/>
        </w:rPr>
      </w:r>
      <w:r>
        <w:rPr>
          <w:rFonts w:ascii="宋体" w:hAnsi="宋体" w:cs="宋体" w:eastAsia="宋体" w:hint="default"/>
          <w:b/>
          <w:bCs/>
          <w:sz w:val="24"/>
          <w:szCs w:val="24"/>
        </w:rPr>
        <w:t>四、重大风险提示</w:t>
      </w:r>
      <w:r>
        <w:rPr>
          <w:rFonts w:ascii="宋体" w:hAnsi="宋体" w:cs="宋体" w:eastAsia="宋体" w:hint="default"/>
          <w:sz w:val="24"/>
          <w:szCs w:val="24"/>
        </w:rPr>
      </w:r>
    </w:p>
    <w:p>
      <w:pPr>
        <w:spacing w:line="364" w:lineRule="auto" w:before="121"/>
        <w:ind w:left="633" w:right="17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、对中国移动依赖的风险</w:t>
      </w:r>
      <w:r>
        <w:rPr>
          <w:rFonts w:ascii="宋体" w:hAnsi="宋体" w:cs="宋体" w:eastAsia="宋体" w:hint="default"/>
          <w:b/>
          <w:bCs/>
          <w:w w:val="99"/>
          <w:sz w:val="24"/>
          <w:szCs w:val="24"/>
        </w:rPr>
        <w:t> </w:t>
      </w:r>
      <w:r>
        <w:rPr>
          <w:rFonts w:ascii="宋体" w:hAnsi="宋体" w:cs="宋体" w:eastAsia="宋体" w:hint="default"/>
          <w:sz w:val="24"/>
          <w:szCs w:val="24"/>
        </w:rPr>
        <w:t>报告期内，中国移动子公司中国移动浙江有限公司是公司的重要客户。根据公司与中国</w:t>
      </w:r>
    </w:p>
    <w:p>
      <w:pPr>
        <w:pStyle w:val="BodyText"/>
        <w:spacing w:line="357" w:lineRule="auto" w:before="29"/>
        <w:ind w:right="173"/>
        <w:jc w:val="left"/>
      </w:pPr>
      <w:r>
        <w:rPr/>
        <w:t>移动浙江有限公司签订的主要协议，公司为中国移动浙江有限公司提供数字阅读产品和运营 服务。中国移动手机阅读基地作为国内手机阅读业务的主要运营平台和公司的主要客户，对 公司的经营业绩有重要影响。如果中国移动手机阅读业务经营状况不佳或者中国移动浙江有 限公司在未来的合作过程中提出解除或者不再与公司续签新的合作合同，或在合作过程中改 变合作模式、降低与公司的结算价格等，都将对公司未来的盈利能力和成长性产生不利影 响。</w:t>
      </w:r>
    </w:p>
    <w:p>
      <w:pPr>
        <w:spacing w:line="364" w:lineRule="auto" w:before="77"/>
        <w:ind w:left="633" w:right="17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、毛利率和业绩下滑的风险</w:t>
      </w:r>
      <w:r>
        <w:rPr>
          <w:rFonts w:ascii="宋体" w:hAnsi="宋体" w:cs="宋体" w:eastAsia="宋体" w:hint="default"/>
          <w:b/>
          <w:bCs/>
          <w:w w:val="99"/>
          <w:sz w:val="24"/>
          <w:szCs w:val="24"/>
        </w:rPr>
        <w:t> </w:t>
      </w:r>
      <w:r>
        <w:rPr>
          <w:rFonts w:ascii="宋体" w:hAnsi="宋体" w:cs="宋体" w:eastAsia="宋体" w:hint="default"/>
          <w:sz w:val="24"/>
          <w:szCs w:val="24"/>
        </w:rPr>
        <w:t>随着数字出版行业的逐步成熟，市场竞争逐渐激烈，公司一方面投入更高的价格购买版</w:t>
      </w:r>
    </w:p>
    <w:p>
      <w:pPr>
        <w:pStyle w:val="BodyText"/>
        <w:spacing w:line="345" w:lineRule="auto" w:before="29"/>
        <w:ind w:right="153"/>
        <w:jc w:val="left"/>
      </w:pPr>
      <w:r>
        <w:rPr/>
        <w:t>权或支付更高的版权分成比例，另一方面增加推广费加大推广力度。占公司营业收入比重超 过</w:t>
      </w:r>
      <w:r>
        <w:rPr>
          <w:spacing w:val="-60"/>
        </w:rPr>
        <w:t> </w:t>
      </w:r>
      <w:r>
        <w:rPr>
          <w:rFonts w:ascii="Times New Roman" w:hAnsi="Times New Roman" w:cs="Times New Roman" w:eastAsia="Times New Roman" w:hint="default"/>
        </w:rPr>
        <w:t>50%</w:t>
      </w:r>
      <w:r>
        <w:rPr/>
        <w:t>的数字阅读产品毛利率不断下滑从而使公司的综合毛利率出现下滑。最近三年，公司 综合毛利率分别为</w:t>
      </w:r>
      <w:r>
        <w:rPr>
          <w:spacing w:val="-61"/>
        </w:rPr>
        <w:t> </w:t>
      </w:r>
      <w:r>
        <w:rPr>
          <w:rFonts w:ascii="Times New Roman" w:hAnsi="Times New Roman" w:cs="Times New Roman" w:eastAsia="Times New Roman" w:hint="default"/>
        </w:rPr>
        <w:t>54.81%</w:t>
      </w:r>
      <w:r>
        <w:rPr/>
        <w:t>、</w:t>
      </w:r>
      <w:r>
        <w:rPr>
          <w:rFonts w:ascii="Times New Roman" w:hAnsi="Times New Roman" w:cs="Times New Roman" w:eastAsia="Times New Roman" w:hint="default"/>
        </w:rPr>
        <w:t>49.77%</w:t>
      </w:r>
      <w:r>
        <w:rPr/>
        <w:t>、</w:t>
      </w:r>
      <w:r>
        <w:rPr>
          <w:rFonts w:ascii="Times New Roman" w:hAnsi="Times New Roman" w:cs="Times New Roman" w:eastAsia="Times New Roman" w:hint="default"/>
        </w:rPr>
        <w:t>46.34%</w:t>
      </w:r>
      <w:r>
        <w:rPr/>
        <w:t>，虽然综合毛利率水平仍保持较高的水平，但 未来不排除存在毛利率进一步下降的可能。</w:t>
      </w:r>
    </w:p>
    <w:p>
      <w:pPr>
        <w:pStyle w:val="BodyText"/>
        <w:spacing w:line="338" w:lineRule="auto" w:before="86"/>
        <w:ind w:right="135" w:firstLine="48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22"/>
        </w:rPr>
        <w:t> </w:t>
      </w:r>
      <w:r>
        <w:rPr/>
        <w:t>年，公司决定继续增加对移动互联网和教育阅读产品的研发投入，若公司上述投入 未能巩固公司的市场地位和形成公司未来新的增长点，将可能导致公司业绩下滑。</w:t>
      </w:r>
    </w:p>
    <w:p>
      <w:pPr>
        <w:spacing w:line="367" w:lineRule="auto" w:before="96"/>
        <w:ind w:left="633" w:right="212"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、业绩季节性波动风险</w:t>
      </w:r>
      <w:r>
        <w:rPr>
          <w:rFonts w:ascii="宋体" w:hAnsi="宋体" w:cs="宋体" w:eastAsia="宋体" w:hint="default"/>
          <w:b/>
          <w:bCs/>
          <w:w w:val="99"/>
          <w:sz w:val="24"/>
          <w:szCs w:val="24"/>
        </w:rPr>
        <w:t> </w:t>
      </w:r>
      <w:r>
        <w:rPr>
          <w:rFonts w:ascii="宋体" w:hAnsi="宋体" w:cs="宋体" w:eastAsia="宋体" w:hint="default"/>
          <w:sz w:val="24"/>
          <w:szCs w:val="24"/>
        </w:rPr>
        <w:t>由于公司第一大客户中国移动浙江有限公司出具的结算单一般会滞后</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3-5 </w:t>
      </w:r>
      <w:r>
        <w:rPr>
          <w:rFonts w:ascii="宋体" w:hAnsi="宋体" w:cs="宋体" w:eastAsia="宋体" w:hint="default"/>
          <w:sz w:val="24"/>
          <w:szCs w:val="24"/>
        </w:rPr>
        <w:t>个月左右，公</w:t>
      </w:r>
    </w:p>
    <w:p>
      <w:pPr>
        <w:pStyle w:val="BodyText"/>
        <w:spacing w:line="338" w:lineRule="auto" w:before="0"/>
        <w:ind w:right="173"/>
        <w:jc w:val="left"/>
      </w:pPr>
      <w:r>
        <w:rPr/>
        <w:t>司手机阅读基地业务数字阅读产品上半年</w:t>
      </w:r>
      <w:r>
        <w:rPr>
          <w:spacing w:val="-60"/>
        </w:rPr>
        <w:t> </w:t>
      </w:r>
      <w:r>
        <w:rPr>
          <w:rFonts w:ascii="Times New Roman" w:hAnsi="Times New Roman" w:cs="Times New Roman" w:eastAsia="Times New Roman" w:hint="default"/>
        </w:rPr>
        <w:t>3 </w:t>
      </w:r>
      <w:r>
        <w:rPr/>
        <w:t>个月左右的包月收入因为结算单滞后，未能确认 收入导致该业务上半年所贡献的收入偏少。教育阅读产品方面，客户通常在每年上半年编制</w:t>
      </w:r>
    </w:p>
    <w:p>
      <w:pPr>
        <w:spacing w:after="0" w:line="338" w:lineRule="auto"/>
        <w:jc w:val="left"/>
        <w:sectPr>
          <w:pgSz w:w="11910" w:h="16840"/>
          <w:pgMar w:header="877" w:footer="979" w:top="1060" w:bottom="1160" w:left="980" w:right="980"/>
        </w:sectPr>
      </w:pPr>
    </w:p>
    <w:p>
      <w:pPr>
        <w:spacing w:line="240" w:lineRule="auto" w:before="7"/>
        <w:rPr>
          <w:rFonts w:ascii="宋体" w:hAnsi="宋体" w:cs="宋体" w:eastAsia="宋体" w:hint="default"/>
          <w:sz w:val="29"/>
          <w:szCs w:val="29"/>
        </w:rPr>
      </w:pPr>
    </w:p>
    <w:p>
      <w:pPr>
        <w:pStyle w:val="BodyText"/>
        <w:spacing w:line="357" w:lineRule="auto"/>
        <w:ind w:right="173"/>
        <w:jc w:val="left"/>
      </w:pPr>
      <w:r>
        <w:rPr/>
        <w:t>预算、制定采购计划，经过方案审查、立项批复、采购申请、招投标、合同签订等程序后， 项目实施主要集中在下半年，相应地公司该业务收入主要集中在下半年。</w:t>
      </w:r>
    </w:p>
    <w:p>
      <w:pPr>
        <w:pStyle w:val="BodyText"/>
        <w:spacing w:line="357" w:lineRule="auto" w:before="74"/>
        <w:ind w:right="190" w:firstLine="480"/>
        <w:jc w:val="both"/>
      </w:pPr>
      <w:r>
        <w:rPr/>
        <w:t>受上述等因素的影响，公司上半年的营业收入占全年比重偏低。而营业成本及管理费用 主要构成部分人员工资及差旅费等上下半年基本持平，使得公司上半年的营业利润和净利润 较全年相比偏低。</w:t>
      </w:r>
    </w:p>
    <w:p>
      <w:pPr>
        <w:pStyle w:val="BodyText"/>
        <w:spacing w:line="357" w:lineRule="auto" w:before="76"/>
        <w:ind w:right="189" w:firstLine="480"/>
        <w:jc w:val="both"/>
      </w:pPr>
      <w:r>
        <w:rPr/>
        <w:t>公司业绩季节性波动会给公司经营活动带来较大影响，如资金使用安排、融资活动安排 等，同时也会造成公司各类财务指标出现较大的波动，从而对投资者的判断带来不利影响。</w:t>
      </w:r>
    </w:p>
    <w:p>
      <w:pPr>
        <w:spacing w:after="0" w:line="357" w:lineRule="auto"/>
        <w:jc w:val="both"/>
        <w:sectPr>
          <w:pgSz w:w="11910" w:h="16840"/>
          <w:pgMar w:header="87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spacing w:before="26"/>
        <w:ind w:left="134" w:right="134" w:firstLine="0"/>
        <w:jc w:val="center"/>
        <w:rPr>
          <w:rFonts w:ascii="宋体" w:hAnsi="宋体" w:cs="宋体" w:eastAsia="宋体" w:hint="default"/>
          <w:sz w:val="24"/>
          <w:szCs w:val="24"/>
        </w:rPr>
      </w:pPr>
      <w:bookmarkStart w:name="第四节 董事会报告" w:id="15"/>
      <w:bookmarkEnd w:id="15"/>
      <w:r>
        <w:rPr/>
      </w:r>
      <w:bookmarkStart w:name="_bookmark3" w:id="16"/>
      <w:bookmarkEnd w:id="16"/>
      <w:r>
        <w:rPr/>
      </w:r>
      <w:r>
        <w:rPr>
          <w:rFonts w:ascii="宋体" w:hAnsi="宋体" w:cs="宋体" w:eastAsia="宋体" w:hint="default"/>
          <w:b/>
          <w:bCs/>
          <w:sz w:val="24"/>
          <w:szCs w:val="24"/>
        </w:rPr>
        <w:t>第四节</w:t>
      </w:r>
      <w:r>
        <w:rPr>
          <w:rFonts w:ascii="宋体" w:hAnsi="宋体" w:cs="宋体" w:eastAsia="宋体" w:hint="default"/>
          <w:b/>
          <w:bCs/>
          <w:spacing w:val="-6"/>
          <w:sz w:val="24"/>
          <w:szCs w:val="24"/>
        </w:rPr>
        <w:t> </w:t>
      </w:r>
      <w:r>
        <w:rPr>
          <w:rFonts w:ascii="宋体" w:hAnsi="宋体" w:cs="宋体" w:eastAsia="宋体" w:hint="default"/>
          <w:b/>
          <w:bCs/>
          <w:sz w:val="24"/>
          <w:szCs w:val="24"/>
        </w:rPr>
        <w:t>董事会报告</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26"/>
        <w:ind w:left="153" w:right="0" w:firstLine="0"/>
        <w:jc w:val="left"/>
        <w:rPr>
          <w:rFonts w:ascii="宋体" w:hAnsi="宋体" w:cs="宋体" w:eastAsia="宋体" w:hint="default"/>
          <w:sz w:val="24"/>
          <w:szCs w:val="24"/>
        </w:rPr>
      </w:pPr>
      <w:bookmarkStart w:name="一、管理层讨论与分析" w:id="17"/>
      <w:bookmarkEnd w:id="17"/>
      <w:r>
        <w:rPr/>
      </w:r>
      <w:r>
        <w:rPr>
          <w:rFonts w:ascii="宋体" w:hAnsi="宋体" w:cs="宋体" w:eastAsia="宋体" w:hint="default"/>
          <w:b/>
          <w:bCs/>
          <w:sz w:val="24"/>
          <w:szCs w:val="24"/>
        </w:rPr>
        <w:t>一、管理层讨论与分析</w:t>
      </w:r>
      <w:r>
        <w:rPr>
          <w:rFonts w:ascii="宋体" w:hAnsi="宋体" w:cs="宋体" w:eastAsia="宋体" w:hint="default"/>
          <w:sz w:val="24"/>
          <w:szCs w:val="24"/>
        </w:rPr>
      </w:r>
    </w:p>
    <w:p>
      <w:pPr>
        <w:spacing w:line="240" w:lineRule="auto" w:before="11"/>
        <w:rPr>
          <w:rFonts w:ascii="宋体" w:hAnsi="宋体" w:cs="宋体" w:eastAsia="宋体" w:hint="default"/>
          <w:b/>
          <w:bCs/>
          <w:sz w:val="22"/>
          <w:szCs w:val="22"/>
        </w:rPr>
      </w:pPr>
    </w:p>
    <w:p>
      <w:pPr>
        <w:spacing w:before="0"/>
        <w:ind w:left="153" w:right="0" w:firstLine="0"/>
        <w:jc w:val="left"/>
        <w:rPr>
          <w:rFonts w:ascii="宋体" w:hAnsi="宋体" w:cs="宋体" w:eastAsia="宋体" w:hint="default"/>
          <w:sz w:val="24"/>
          <w:szCs w:val="24"/>
        </w:rPr>
      </w:pPr>
      <w:bookmarkStart w:name="1、报告期内主要业务回顾" w:id="18"/>
      <w:bookmarkEnd w:id="18"/>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、报告期内主要业务回顾</w:t>
      </w:r>
      <w:r>
        <w:rPr>
          <w:rFonts w:ascii="宋体" w:hAnsi="宋体" w:cs="宋体" w:eastAsia="宋体" w:hint="default"/>
          <w:sz w:val="24"/>
          <w:szCs w:val="24"/>
        </w:rPr>
      </w:r>
    </w:p>
    <w:p>
      <w:pPr>
        <w:spacing w:line="240" w:lineRule="auto" w:before="4"/>
        <w:rPr>
          <w:rFonts w:ascii="宋体" w:hAnsi="宋体" w:cs="宋体" w:eastAsia="宋体" w:hint="default"/>
          <w:b/>
          <w:bCs/>
          <w:sz w:val="27"/>
          <w:szCs w:val="27"/>
        </w:rPr>
      </w:pPr>
    </w:p>
    <w:p>
      <w:pPr>
        <w:pStyle w:val="BodyText"/>
        <w:spacing w:line="350" w:lineRule="auto" w:before="0"/>
        <w:ind w:right="157" w:firstLine="480"/>
        <w:jc w:val="both"/>
      </w:pPr>
      <w:r>
        <w:rPr>
          <w:rFonts w:ascii="Times New Roman" w:hAnsi="Times New Roman" w:cs="Times New Roman" w:eastAsia="Times New Roman" w:hint="default"/>
        </w:rPr>
        <w:t>2014 </w:t>
      </w:r>
      <w:r>
        <w:rPr/>
        <w:t>年，中国经济整体运行平稳，经济发展进入</w:t>
      </w:r>
      <w:r>
        <w:rPr>
          <w:rFonts w:ascii="Times New Roman" w:hAnsi="Times New Roman" w:cs="Times New Roman" w:eastAsia="Times New Roman" w:hint="default"/>
        </w:rPr>
        <w:t>“</w:t>
      </w:r>
      <w:r>
        <w:rPr/>
        <w:t>新常态</w:t>
      </w:r>
      <w:r>
        <w:rPr>
          <w:rFonts w:ascii="Times New Roman" w:hAnsi="Times New Roman" w:cs="Times New Roman" w:eastAsia="Times New Roman" w:hint="default"/>
        </w:rPr>
        <w:t>”</w:t>
      </w:r>
      <w:r>
        <w:rPr/>
        <w:t>。国家频繁出台了《文化产业 振兴规划》、《文化部关于加快文化产业发展的指导意见》、《关于推动网络文学健康发展 的指导意见》等一系列促进文化产业发展的扶持政策，将我国文化产业发展与振兴提升到了 国家发展战略的新高度。</w:t>
      </w:r>
    </w:p>
    <w:p>
      <w:pPr>
        <w:pStyle w:val="BodyText"/>
        <w:spacing w:line="343" w:lineRule="auto" w:before="83"/>
        <w:ind w:right="135" w:firstLine="48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22"/>
        </w:rPr>
        <w:t> </w:t>
      </w:r>
      <w:r>
        <w:rPr/>
        <w:t>年，移动互联网的发展进一步推动了移动产业的发展，越来越多的移动用户已经被 碎片化的网络信息所充斥。我国移动阅读活跃用户数达</w:t>
      </w:r>
      <w:r>
        <w:rPr>
          <w:spacing w:val="-61"/>
        </w:rPr>
        <w:t> </w:t>
      </w:r>
      <w:r>
        <w:rPr>
          <w:rFonts w:ascii="Times New Roman" w:hAnsi="Times New Roman" w:cs="Times New Roman" w:eastAsia="Times New Roman" w:hint="default"/>
        </w:rPr>
        <w:t>5.9</w:t>
      </w:r>
      <w:r>
        <w:rPr>
          <w:rFonts w:ascii="Times New Roman" w:hAnsi="Times New Roman" w:cs="Times New Roman" w:eastAsia="Times New Roman" w:hint="default"/>
          <w:spacing w:val="-1"/>
        </w:rPr>
        <w:t> </w:t>
      </w:r>
      <w:r>
        <w:rPr/>
        <w:t>亿人，同比增长</w:t>
      </w:r>
      <w:r>
        <w:rPr>
          <w:spacing w:val="-61"/>
        </w:rPr>
        <w:t> </w:t>
      </w:r>
      <w:r>
        <w:rPr>
          <w:rFonts w:ascii="Times New Roman" w:hAnsi="Times New Roman" w:cs="Times New Roman" w:eastAsia="Times New Roman" w:hint="default"/>
        </w:rPr>
        <w:t>20.9%</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 国内移动阅读市场规模达到</w:t>
      </w:r>
      <w:r>
        <w:rPr>
          <w:spacing w:val="-60"/>
        </w:rPr>
        <w:t> </w:t>
      </w:r>
      <w:r>
        <w:rPr>
          <w:rFonts w:ascii="Times New Roman" w:hAnsi="Times New Roman" w:cs="Times New Roman" w:eastAsia="Times New Roman" w:hint="default"/>
        </w:rPr>
        <w:t>101.3 </w:t>
      </w:r>
      <w:r>
        <w:rPr/>
        <w:t>亿元，环比上涨了</w:t>
      </w:r>
      <w:r>
        <w:rPr>
          <w:spacing w:val="-60"/>
        </w:rPr>
        <w:t> </w:t>
      </w:r>
      <w:r>
        <w:rPr>
          <w:rFonts w:ascii="Times New Roman" w:hAnsi="Times New Roman" w:cs="Times New Roman" w:eastAsia="Times New Roman" w:hint="default"/>
        </w:rPr>
        <w:t>62.1%</w:t>
      </w:r>
      <w:r>
        <w:rPr/>
        <w:t>。与此同时，移动阅读市场竞争 进一步加剧，以百度、腾讯为代表的互联网巨头纷纷进入移动阅读市场，掀起了行业深度整 合浪潮，市场格局巨变。</w:t>
      </w:r>
    </w:p>
    <w:p>
      <w:pPr>
        <w:pStyle w:val="BodyText"/>
        <w:spacing w:line="345" w:lineRule="auto" w:before="89"/>
        <w:ind w:right="173" w:firstLine="480"/>
        <w:jc w:val="left"/>
      </w:pPr>
      <w:r>
        <w:rPr/>
        <w:t>中文在线为中国数字出版的开创者之一，也是全球最大的中文数字出版机构之一，一直 以</w:t>
      </w:r>
      <w:r>
        <w:rPr>
          <w:rFonts w:ascii="Times New Roman" w:hAnsi="Times New Roman" w:cs="Times New Roman" w:eastAsia="Times New Roman" w:hint="default"/>
        </w:rPr>
        <w:t>“</w:t>
      </w:r>
      <w:r>
        <w:rPr/>
        <w:t>数字传承文明</w:t>
      </w:r>
      <w:r>
        <w:rPr>
          <w:rFonts w:ascii="Times New Roman" w:hAnsi="Times New Roman" w:cs="Times New Roman" w:eastAsia="Times New Roman" w:hint="default"/>
        </w:rPr>
        <w:t>”</w:t>
      </w:r>
      <w:r>
        <w:rPr/>
        <w:t>为使命，秉承</w:t>
      </w:r>
      <w:r>
        <w:rPr>
          <w:rFonts w:ascii="Times New Roman" w:hAnsi="Times New Roman" w:cs="Times New Roman" w:eastAsia="Times New Roman" w:hint="default"/>
        </w:rPr>
        <w:t>“</w:t>
      </w:r>
      <w:r>
        <w:rPr/>
        <w:t>先授权、后传播</w:t>
      </w:r>
      <w:r>
        <w:rPr>
          <w:rFonts w:ascii="Times New Roman" w:hAnsi="Times New Roman" w:cs="Times New Roman" w:eastAsia="Times New Roman" w:hint="default"/>
        </w:rPr>
        <w:t>”</w:t>
      </w:r>
      <w:r>
        <w:rPr/>
        <w:t>的理念不断创新，提出全媒体出版模式 </w:t>
      </w:r>
      <w:r>
        <w:rPr>
          <w:rFonts w:ascii="Times New Roman" w:hAnsi="Times New Roman" w:cs="Times New Roman" w:eastAsia="Times New Roman" w:hint="default"/>
        </w:rPr>
        <w:t>“</w:t>
      </w:r>
      <w:r>
        <w:rPr/>
        <w:t>实现一种内容、多种媒体、同步出版</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让任何人在任何时间、任何地点，通过任何方式 获取任何想要阅读的内容</w:t>
      </w:r>
      <w:r>
        <w:rPr>
          <w:rFonts w:ascii="Times New Roman" w:hAnsi="Times New Roman" w:cs="Times New Roman" w:eastAsia="Times New Roman" w:hint="default"/>
        </w:rPr>
        <w:t>”</w:t>
      </w:r>
      <w:r>
        <w:rPr/>
        <w:t>。</w:t>
      </w:r>
    </w:p>
    <w:p>
      <w:pPr>
        <w:pStyle w:val="BodyText"/>
        <w:spacing w:line="357" w:lineRule="auto" w:before="57"/>
        <w:ind w:left="154" w:right="189" w:firstLine="480"/>
        <w:jc w:val="both"/>
      </w:pPr>
      <w:r>
        <w:rPr/>
        <w:t>报告期内，公司在移动互联网席卷全球的浪潮中，通过创新和持续的研发投入、市场拓 展，以用户为中心提升产品及服务竞争力，基本完成了总体经营目标。依托全媒体出版商业 模式及先发优势，数字阅读产品业务实现稳定增长；通过业务模式创新、优化管理等措施， 加强成本控制；完善了内部创新机制及战略投资版图，促进各业务线协同均衡发展，培育未 来增长引擎。</w:t>
      </w:r>
    </w:p>
    <w:p>
      <w:pPr>
        <w:pStyle w:val="BodyText"/>
        <w:spacing w:line="338" w:lineRule="auto" w:before="76"/>
        <w:ind w:right="213" w:firstLine="480"/>
        <w:jc w:val="left"/>
      </w:pPr>
      <w:r>
        <w:rPr/>
        <w:t>报告期内实现营业收入</w:t>
      </w:r>
      <w:r>
        <w:rPr>
          <w:spacing w:val="-60"/>
        </w:rPr>
        <w:t> </w:t>
      </w:r>
      <w:r>
        <w:rPr>
          <w:rFonts w:ascii="Times New Roman" w:hAnsi="Times New Roman" w:cs="Times New Roman" w:eastAsia="Times New Roman" w:hint="default"/>
        </w:rPr>
        <w:t>26,973.81 </w:t>
      </w:r>
      <w:r>
        <w:rPr/>
        <w:t>万元，同比增长</w:t>
      </w:r>
      <w:r>
        <w:rPr>
          <w:spacing w:val="-60"/>
        </w:rPr>
        <w:t> </w:t>
      </w:r>
      <w:r>
        <w:rPr>
          <w:rFonts w:ascii="Times New Roman" w:hAnsi="Times New Roman" w:cs="Times New Roman" w:eastAsia="Times New Roman" w:hint="default"/>
        </w:rPr>
        <w:t>22.42%</w:t>
      </w:r>
      <w:r>
        <w:rPr/>
        <w:t>；营业利润</w:t>
      </w:r>
      <w:r>
        <w:rPr>
          <w:spacing w:val="-60"/>
        </w:rPr>
        <w:t> </w:t>
      </w:r>
      <w:r>
        <w:rPr>
          <w:rFonts w:ascii="Times New Roman" w:hAnsi="Times New Roman" w:cs="Times New Roman" w:eastAsia="Times New Roman" w:hint="default"/>
        </w:rPr>
        <w:t>3,992.02 </w:t>
      </w:r>
      <w:r>
        <w:rPr/>
        <w:t>万元，同 比下降</w:t>
      </w:r>
      <w:r>
        <w:rPr>
          <w:spacing w:val="-60"/>
        </w:rPr>
        <w:t> </w:t>
      </w:r>
      <w:r>
        <w:rPr>
          <w:rFonts w:ascii="Times New Roman" w:hAnsi="Times New Roman" w:cs="Times New Roman" w:eastAsia="Times New Roman" w:hint="default"/>
        </w:rPr>
        <w:t>1.66%</w:t>
      </w:r>
      <w:r>
        <w:rPr/>
        <w:t>；归属于上市公司净利润</w:t>
      </w:r>
      <w:r>
        <w:rPr>
          <w:spacing w:val="-60"/>
        </w:rPr>
        <w:t> </w:t>
      </w:r>
      <w:r>
        <w:rPr>
          <w:rFonts w:ascii="Times New Roman" w:hAnsi="Times New Roman" w:cs="Times New Roman" w:eastAsia="Times New Roman" w:hint="default"/>
        </w:rPr>
        <w:t>4,616.95 </w:t>
      </w:r>
      <w:r>
        <w:rPr/>
        <w:t>万元，同比增长</w:t>
      </w:r>
      <w:r>
        <w:rPr>
          <w:spacing w:val="-60"/>
        </w:rPr>
        <w:t> </w:t>
      </w:r>
      <w:r>
        <w:rPr>
          <w:rFonts w:ascii="Times New Roman" w:hAnsi="Times New Roman" w:cs="Times New Roman" w:eastAsia="Times New Roman" w:hint="default"/>
        </w:rPr>
        <w:t>2.89%</w:t>
      </w:r>
      <w:r>
        <w:rPr/>
        <w:t>。</w:t>
      </w:r>
    </w:p>
    <w:p>
      <w:pPr>
        <w:spacing w:before="66"/>
        <w:ind w:left="636" w:right="0" w:firstLine="0"/>
        <w:jc w:val="left"/>
        <w:rPr>
          <w:rFonts w:ascii="宋体" w:hAnsi="宋体" w:cs="宋体" w:eastAsia="宋体" w:hint="default"/>
          <w:sz w:val="24"/>
          <w:szCs w:val="24"/>
        </w:rPr>
      </w:pPr>
      <w:r>
        <w:rPr>
          <w:rFonts w:ascii="宋体" w:hAnsi="宋体" w:cs="宋体" w:eastAsia="宋体" w:hint="default"/>
          <w:b/>
          <w:bCs/>
          <w:sz w:val="24"/>
          <w:szCs w:val="24"/>
        </w:rPr>
        <w:t>公司主要业务情况如下：</w:t>
      </w:r>
      <w:r>
        <w:rPr>
          <w:rFonts w:ascii="宋体" w:hAnsi="宋体" w:cs="宋体" w:eastAsia="宋体" w:hint="default"/>
          <w:sz w:val="24"/>
          <w:szCs w:val="24"/>
        </w:rPr>
      </w:r>
    </w:p>
    <w:p>
      <w:pPr>
        <w:spacing w:line="367" w:lineRule="auto" w:before="194"/>
        <w:ind w:left="634" w:right="412"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）专注营造版权内容沃土，夯实数字出版生态基础</w:t>
      </w:r>
      <w:r>
        <w:rPr>
          <w:rFonts w:ascii="宋体" w:hAnsi="宋体" w:cs="宋体" w:eastAsia="宋体" w:hint="default"/>
          <w:b/>
          <w:bCs/>
          <w:w w:val="99"/>
          <w:sz w:val="24"/>
          <w:szCs w:val="24"/>
        </w:rPr>
        <w:t> </w:t>
      </w:r>
      <w:r>
        <w:rPr>
          <w:rFonts w:ascii="宋体" w:hAnsi="宋体" w:cs="宋体" w:eastAsia="宋体" w:hint="default"/>
          <w:sz w:val="24"/>
          <w:szCs w:val="24"/>
        </w:rPr>
        <w:t>经过十多年积累，中文在线的数字内容产品除了名家经典、青春言情、历史军事、职</w:t>
      </w:r>
    </w:p>
    <w:p>
      <w:pPr>
        <w:spacing w:after="0" w:line="367" w:lineRule="auto"/>
        <w:jc w:val="left"/>
        <w:rPr>
          <w:rFonts w:ascii="宋体" w:hAnsi="宋体" w:cs="宋体" w:eastAsia="宋体" w:hint="default"/>
          <w:sz w:val="24"/>
          <w:szCs w:val="24"/>
        </w:rPr>
        <w:sectPr>
          <w:pgSz w:w="11910" w:h="16840"/>
          <w:pgMar w:header="877" w:footer="979" w:top="1060" w:bottom="1160" w:left="980" w:right="980"/>
        </w:sectPr>
      </w:pPr>
    </w:p>
    <w:p>
      <w:pPr>
        <w:spacing w:line="240" w:lineRule="auto" w:before="7"/>
        <w:rPr>
          <w:rFonts w:ascii="宋体" w:hAnsi="宋体" w:cs="宋体" w:eastAsia="宋体" w:hint="default"/>
          <w:sz w:val="29"/>
          <w:szCs w:val="29"/>
        </w:rPr>
      </w:pPr>
    </w:p>
    <w:p>
      <w:pPr>
        <w:pStyle w:val="BodyText"/>
        <w:spacing w:line="240" w:lineRule="auto"/>
        <w:ind w:right="0"/>
        <w:jc w:val="left"/>
        <w:rPr>
          <w:rFonts w:ascii="Times New Roman" w:hAnsi="Times New Roman" w:cs="Times New Roman" w:eastAsia="Times New Roman" w:hint="default"/>
        </w:rPr>
      </w:pPr>
      <w:r>
        <w:rPr/>
        <w:t>场、经管励志等文艺类作品外，还包括社科和教育类等长期储备资源。截至</w:t>
      </w:r>
      <w:r>
        <w:rPr>
          <w:spacing w:val="-6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31</w:t>
      </w:r>
    </w:p>
    <w:p>
      <w:pPr>
        <w:pStyle w:val="BodyText"/>
        <w:spacing w:line="240" w:lineRule="auto" w:before="135"/>
        <w:ind w:right="0"/>
        <w:jc w:val="left"/>
      </w:pPr>
      <w:r>
        <w:rPr/>
        <w:t>日，公司共拥有数字内容</w:t>
      </w:r>
      <w:r>
        <w:rPr>
          <w:spacing w:val="-69"/>
        </w:rPr>
        <w:t> </w:t>
      </w:r>
      <w:r>
        <w:rPr>
          <w:rFonts w:ascii="Times New Roman" w:hAnsi="Times New Roman" w:cs="Times New Roman" w:eastAsia="Times New Roman" w:hint="default"/>
        </w:rPr>
        <w:t>24.32</w:t>
      </w:r>
      <w:r>
        <w:rPr>
          <w:rFonts w:ascii="Times New Roman" w:hAnsi="Times New Roman" w:cs="Times New Roman" w:eastAsia="Times New Roman" w:hint="default"/>
          <w:spacing w:val="-10"/>
        </w:rPr>
        <w:t> </w:t>
      </w:r>
      <w:r>
        <w:rPr/>
        <w:t>万种，其中独家版权图书</w:t>
      </w:r>
      <w:r>
        <w:rPr>
          <w:spacing w:val="-69"/>
        </w:rPr>
        <w:t> </w:t>
      </w:r>
      <w:r>
        <w:rPr>
          <w:rFonts w:ascii="Times New Roman" w:hAnsi="Times New Roman" w:cs="Times New Roman" w:eastAsia="Times New Roman" w:hint="default"/>
        </w:rPr>
        <w:t>2.85</w:t>
      </w:r>
      <w:r>
        <w:rPr>
          <w:rFonts w:ascii="Times New Roman" w:hAnsi="Times New Roman" w:cs="Times New Roman" w:eastAsia="Times New Roman" w:hint="default"/>
          <w:spacing w:val="-10"/>
        </w:rPr>
        <w:t> </w:t>
      </w:r>
      <w:r>
        <w:rPr/>
        <w:t>万种，占比</w:t>
      </w:r>
      <w:r>
        <w:rPr>
          <w:spacing w:val="-69"/>
        </w:rPr>
        <w:t> </w:t>
      </w:r>
      <w:r>
        <w:rPr>
          <w:rFonts w:ascii="Times New Roman" w:hAnsi="Times New Roman" w:cs="Times New Roman" w:eastAsia="Times New Roman" w:hint="default"/>
        </w:rPr>
        <w:t>11.72%</w:t>
      </w:r>
      <w:r>
        <w:rPr/>
        <w:t>。公司目前</w:t>
      </w:r>
    </w:p>
    <w:p>
      <w:pPr>
        <w:pStyle w:val="BodyText"/>
        <w:spacing w:line="240" w:lineRule="auto" w:before="135"/>
        <w:ind w:right="0"/>
        <w:jc w:val="left"/>
      </w:pPr>
      <w:r>
        <w:rPr/>
        <w:t>与国内近</w:t>
      </w:r>
      <w:r>
        <w:rPr>
          <w:spacing w:val="-80"/>
        </w:rPr>
        <w:t> </w:t>
      </w:r>
      <w:r>
        <w:rPr>
          <w:rFonts w:ascii="Times New Roman" w:hAnsi="Times New Roman" w:cs="Times New Roman" w:eastAsia="Times New Roman" w:hint="default"/>
        </w:rPr>
        <w:t>300</w:t>
      </w:r>
      <w:r>
        <w:rPr>
          <w:rFonts w:ascii="Times New Roman" w:hAnsi="Times New Roman" w:cs="Times New Roman" w:eastAsia="Times New Roman" w:hint="default"/>
          <w:spacing w:val="-21"/>
        </w:rPr>
        <w:t> </w:t>
      </w:r>
      <w:r>
        <w:rPr/>
        <w:t>家出版机构合作，签约知名作家、畅销书作者</w:t>
      </w:r>
      <w:r>
        <w:rPr>
          <w:spacing w:val="-80"/>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1"/>
        </w:rPr>
        <w:t> </w:t>
      </w:r>
      <w:r>
        <w:rPr/>
        <w:t>余位，拥有驻站网络作者超</w:t>
      </w:r>
    </w:p>
    <w:p>
      <w:pPr>
        <w:pStyle w:val="BodyText"/>
        <w:spacing w:line="240" w:lineRule="auto" w:before="137"/>
        <w:ind w:right="0"/>
        <w:jc w:val="left"/>
      </w:pPr>
      <w:r>
        <w:rPr/>
        <w:t>过</w:t>
      </w:r>
      <w:r>
        <w:rPr>
          <w:spacing w:val="-60"/>
        </w:rPr>
        <w:t> </w:t>
      </w:r>
      <w:r>
        <w:rPr>
          <w:rFonts w:ascii="Times New Roman" w:hAnsi="Times New Roman" w:cs="Times New Roman" w:eastAsia="Times New Roman" w:hint="default"/>
        </w:rPr>
        <w:t>40 </w:t>
      </w:r>
      <w:r>
        <w:rPr/>
        <w:t>万名。</w:t>
      </w:r>
    </w:p>
    <w:p>
      <w:pPr>
        <w:spacing w:before="175"/>
        <w:ind w:left="636" w:right="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）深耕全媒体出版模式，</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互联网</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浪潮下重塑产业链</w:t>
      </w:r>
      <w:r>
        <w:rPr>
          <w:rFonts w:ascii="宋体" w:hAnsi="宋体" w:cs="宋体" w:eastAsia="宋体" w:hint="default"/>
          <w:sz w:val="24"/>
          <w:szCs w:val="24"/>
        </w:rPr>
      </w:r>
    </w:p>
    <w:p>
      <w:pPr>
        <w:pStyle w:val="BodyText"/>
        <w:spacing w:line="364" w:lineRule="auto" w:before="176"/>
        <w:ind w:left="634" w:right="172"/>
        <w:jc w:val="left"/>
      </w:pPr>
      <w:r>
        <w:rPr>
          <w:rFonts w:ascii="Times New Roman" w:hAnsi="Times New Roman" w:cs="Times New Roman" w:eastAsia="Times New Roman" w:hint="default"/>
        </w:rPr>
        <w:t>A.</w:t>
      </w:r>
      <w:r>
        <w:rPr/>
        <w:t>手机阅读产品 在移动互联网高速发展的背景下，公司率先与中国移动、中国电信和中国联通三大运营</w:t>
      </w:r>
    </w:p>
    <w:p>
      <w:pPr>
        <w:pStyle w:val="BodyText"/>
        <w:spacing w:line="338" w:lineRule="auto" w:before="29"/>
        <w:ind w:left="0" w:right="150"/>
        <w:jc w:val="right"/>
      </w:pPr>
      <w:r>
        <w:rPr/>
        <w:t>商建立了长期稳定的合作关系，为其提供手机阅读产品。截至</w:t>
      </w:r>
      <w:r>
        <w:rPr>
          <w:spacing w:val="-7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5"/>
        </w:rPr>
        <w:t> </w:t>
      </w:r>
      <w:r>
        <w:rPr/>
        <w:t>年</w:t>
      </w:r>
      <w:r>
        <w:rPr>
          <w:spacing w:val="-75"/>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75"/>
        </w:rPr>
        <w:t> </w:t>
      </w:r>
      <w:r>
        <w:rPr>
          <w:rFonts w:ascii="Times New Roman" w:hAnsi="Times New Roman" w:cs="Times New Roman" w:eastAsia="Times New Roman" w:hint="default"/>
        </w:rPr>
        <w:t>31</w:t>
      </w:r>
      <w:r>
        <w:rPr>
          <w:rFonts w:ascii="Times New Roman" w:hAnsi="Times New Roman" w:cs="Times New Roman" w:eastAsia="Times New Roman" w:hint="default"/>
          <w:spacing w:val="-16"/>
        </w:rPr>
        <w:t> </w:t>
      </w:r>
      <w:r>
        <w:rPr/>
        <w:t>日，公司累计 为中国移动手机阅读基地提供</w:t>
      </w:r>
      <w:r>
        <w:rPr>
          <w:spacing w:val="-75"/>
        </w:rPr>
        <w:t> </w:t>
      </w:r>
      <w:r>
        <w:rPr>
          <w:rFonts w:ascii="Times New Roman" w:hAnsi="Times New Roman" w:cs="Times New Roman" w:eastAsia="Times New Roman" w:hint="default"/>
        </w:rPr>
        <w:t>4.88</w:t>
      </w:r>
      <w:r>
        <w:rPr>
          <w:rFonts w:ascii="Times New Roman" w:hAnsi="Times New Roman" w:cs="Times New Roman" w:eastAsia="Times New Roman" w:hint="default"/>
          <w:spacing w:val="-15"/>
        </w:rPr>
        <w:t> </w:t>
      </w:r>
      <w:r>
        <w:rPr/>
        <w:t>万种图书，占其图书数字版权的</w:t>
      </w:r>
      <w:r>
        <w:rPr>
          <w:spacing w:val="-74"/>
        </w:rPr>
        <w:t> </w:t>
      </w:r>
      <w:r>
        <w:rPr>
          <w:rFonts w:ascii="Times New Roman" w:hAnsi="Times New Roman" w:cs="Times New Roman" w:eastAsia="Times New Roman" w:hint="default"/>
        </w:rPr>
        <w:t>11%</w:t>
      </w:r>
      <w:r>
        <w:rPr/>
        <w:t>左右。此外，公司还 与中国移动地方运营商开展漫画、杂志、听书业务合作关系，开拓新的手机阅读产品业务。</w:t>
      </w:r>
    </w:p>
    <w:p>
      <w:pPr>
        <w:pStyle w:val="BodyText"/>
        <w:spacing w:line="240" w:lineRule="auto" w:before="94"/>
        <w:ind w:left="633" w:right="0"/>
        <w:jc w:val="left"/>
      </w:pPr>
      <w:r>
        <w:rPr/>
        <w:t>公司自</w:t>
      </w:r>
      <w:r>
        <w:rPr>
          <w:spacing w:val="-7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5"/>
        </w:rPr>
        <w:t> </w:t>
      </w:r>
      <w:r>
        <w:rPr/>
        <w:t>年起与中国联通</w:t>
      </w:r>
      <w:r>
        <w:rPr>
          <w:rFonts w:ascii="Times New Roman" w:hAnsi="Times New Roman" w:cs="Times New Roman" w:eastAsia="Times New Roman" w:hint="default"/>
        </w:rPr>
        <w:t>“</w:t>
      </w:r>
      <w:r>
        <w:rPr/>
        <w:t>沃阅读</w:t>
      </w:r>
      <w:r>
        <w:rPr>
          <w:rFonts w:ascii="Times New Roman" w:hAnsi="Times New Roman" w:cs="Times New Roman" w:eastAsia="Times New Roman" w:hint="default"/>
        </w:rPr>
        <w:t>”</w:t>
      </w:r>
      <w:r>
        <w:rPr/>
        <w:t>和中国电信</w:t>
      </w:r>
      <w:r>
        <w:rPr>
          <w:rFonts w:ascii="Times New Roman" w:hAnsi="Times New Roman" w:cs="Times New Roman" w:eastAsia="Times New Roman" w:hint="default"/>
        </w:rPr>
        <w:t>“</w:t>
      </w:r>
      <w:r>
        <w:rPr/>
        <w:t>天翼阅读</w:t>
      </w:r>
      <w:r>
        <w:rPr>
          <w:rFonts w:ascii="Times New Roman" w:hAnsi="Times New Roman" w:cs="Times New Roman" w:eastAsia="Times New Roman" w:hint="default"/>
        </w:rPr>
        <w:t>”</w:t>
      </w:r>
      <w:r>
        <w:rPr/>
        <w:t>也开展了手机阅读产品的合</w:t>
      </w:r>
    </w:p>
    <w:p>
      <w:pPr>
        <w:pStyle w:val="BodyText"/>
        <w:spacing w:line="338" w:lineRule="auto" w:before="135"/>
        <w:ind w:right="173"/>
        <w:jc w:val="left"/>
      </w:pPr>
      <w:r>
        <w:rPr/>
        <w:t>作，为了进一步拓展在移动阅读领域的业务，</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7 </w:t>
      </w:r>
      <w:r>
        <w:rPr/>
        <w:t>月，公司斥资约</w:t>
      </w:r>
      <w:r>
        <w:rPr>
          <w:spacing w:val="-60"/>
        </w:rPr>
        <w:t> </w:t>
      </w:r>
      <w:r>
        <w:rPr>
          <w:rFonts w:ascii="Times New Roman" w:hAnsi="Times New Roman" w:cs="Times New Roman" w:eastAsia="Times New Roman" w:hint="default"/>
        </w:rPr>
        <w:t>7,063 </w:t>
      </w:r>
      <w:r>
        <w:rPr/>
        <w:t>万元，通过增 资的方式获得天翼阅读</w:t>
      </w:r>
      <w:r>
        <w:rPr>
          <w:spacing w:val="-60"/>
        </w:rPr>
        <w:t> </w:t>
      </w:r>
      <w:r>
        <w:rPr>
          <w:rFonts w:ascii="Times New Roman" w:hAnsi="Times New Roman" w:cs="Times New Roman" w:eastAsia="Times New Roman" w:hint="default"/>
        </w:rPr>
        <w:t>10.526%</w:t>
      </w:r>
      <w:r>
        <w:rPr/>
        <w:t>股权，成为后者的第二大股东。</w:t>
      </w:r>
    </w:p>
    <w:p>
      <w:pPr>
        <w:pStyle w:val="BodyText"/>
        <w:spacing w:line="367" w:lineRule="auto" w:before="67"/>
        <w:ind w:left="633" w:right="581"/>
        <w:jc w:val="left"/>
      </w:pPr>
      <w:r>
        <w:rPr>
          <w:rFonts w:ascii="Times New Roman" w:hAnsi="Times New Roman" w:cs="Times New Roman" w:eastAsia="Times New Roman" w:hint="default"/>
        </w:rPr>
        <w:t>B.</w:t>
      </w:r>
      <w:r>
        <w:rPr/>
        <w:t>互联网阅读产品 公司一直坚持</w:t>
      </w:r>
      <w:r>
        <w:rPr>
          <w:rFonts w:ascii="Times New Roman" w:hAnsi="Times New Roman" w:cs="Times New Roman" w:eastAsia="Times New Roman" w:hint="default"/>
        </w:rPr>
        <w:t>“</w:t>
      </w:r>
      <w:r>
        <w:rPr/>
        <w:t>内容为王、渠道致胜</w:t>
      </w:r>
      <w:r>
        <w:rPr>
          <w:rFonts w:ascii="Times New Roman" w:hAnsi="Times New Roman" w:cs="Times New Roman" w:eastAsia="Times New Roman" w:hint="default"/>
        </w:rPr>
        <w:t>”</w:t>
      </w:r>
      <w:r>
        <w:rPr/>
        <w:t>的发展思路，一方面坚持自有网站</w:t>
      </w:r>
      <w:r>
        <w:rPr>
          <w:rFonts w:ascii="Times New Roman" w:hAnsi="Times New Roman" w:cs="Times New Roman" w:eastAsia="Times New Roman" w:hint="default"/>
        </w:rPr>
        <w:t>“17K</w:t>
      </w:r>
      <w:r>
        <w:rPr>
          <w:rFonts w:ascii="Times New Roman" w:hAnsi="Times New Roman" w:cs="Times New Roman" w:eastAsia="Times New Roman" w:hint="default"/>
          <w:spacing w:val="-1"/>
        </w:rPr>
        <w:t> </w:t>
      </w:r>
      <w:r>
        <w:rPr/>
        <w:t>小说网</w:t>
      </w:r>
    </w:p>
    <w:p>
      <w:pPr>
        <w:pStyle w:val="BodyText"/>
        <w:spacing w:line="338" w:lineRule="auto" w:before="0"/>
        <w:ind w:left="154" w:right="138"/>
        <w:jc w:val="left"/>
      </w:pPr>
      <w:r>
        <w:rPr>
          <w:spacing w:val="-1"/>
        </w:rPr>
        <w:t>（</w:t>
      </w:r>
      <w:hyperlink r:id="rId14">
        <w:r>
          <w:rPr>
            <w:rFonts w:ascii="Times New Roman" w:hAnsi="Times New Roman" w:cs="Times New Roman" w:eastAsia="Times New Roman" w:hint="default"/>
            <w:spacing w:val="-1"/>
          </w:rPr>
          <w:t>www.17k.com</w:t>
        </w:r>
      </w:hyperlink>
      <w:r>
        <w:rPr>
          <w:spacing w:val="-1"/>
        </w:rPr>
        <w:t>）</w:t>
      </w:r>
      <w:r>
        <w:rPr>
          <w:rFonts w:ascii="Times New Roman" w:hAnsi="Times New Roman" w:cs="Times New Roman" w:eastAsia="Times New Roman" w:hint="default"/>
          <w:spacing w:val="-1"/>
        </w:rPr>
        <w:t>”</w:t>
      </w:r>
      <w:r>
        <w:rPr>
          <w:spacing w:val="-1"/>
        </w:rPr>
        <w:t>的内生发展，另一方面，积极拓展包括腾讯、百度等互联网巨头在内的众</w:t>
      </w:r>
      <w:r>
        <w:rPr/>
        <w:t> 多互联网渠道外延发展战略合作，促进用户规模和销售双重发展。</w:t>
      </w:r>
    </w:p>
    <w:p>
      <w:pPr>
        <w:pStyle w:val="BodyText"/>
        <w:spacing w:line="240" w:lineRule="auto" w:before="94"/>
        <w:ind w:left="633" w:right="0"/>
        <w:jc w:val="left"/>
      </w:pPr>
      <w:r>
        <w:rPr/>
        <w:t>截至</w:t>
      </w:r>
      <w:r>
        <w:rPr>
          <w:spacing w:val="-60"/>
        </w:rPr>
        <w:t> </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w:t>
      </w:r>
      <w:r>
        <w:rPr/>
        <w:t>中文在线</w:t>
      </w:r>
      <w:r>
        <w:rPr>
          <w:rFonts w:ascii="Times New Roman" w:hAnsi="Times New Roman" w:cs="Times New Roman" w:eastAsia="Times New Roman" w:hint="default"/>
        </w:rPr>
        <w:t>”</w:t>
      </w:r>
      <w:r>
        <w:rPr/>
        <w:t>旗下网站</w:t>
      </w:r>
      <w:r>
        <w:rPr>
          <w:rFonts w:ascii="Times New Roman" w:hAnsi="Times New Roman" w:cs="Times New Roman" w:eastAsia="Times New Roman" w:hint="default"/>
        </w:rPr>
        <w:t>“17K</w:t>
      </w:r>
      <w:r>
        <w:rPr>
          <w:rFonts w:ascii="Times New Roman" w:hAnsi="Times New Roman" w:cs="Times New Roman" w:eastAsia="Times New Roman" w:hint="default"/>
          <w:spacing w:val="-1"/>
        </w:rPr>
        <w:t> </w:t>
      </w:r>
      <w:r>
        <w:rPr/>
        <w:t>小说网</w:t>
      </w:r>
      <w:r>
        <w:rPr>
          <w:rFonts w:ascii="Times New Roman" w:hAnsi="Times New Roman" w:cs="Times New Roman" w:eastAsia="Times New Roman" w:hint="default"/>
        </w:rPr>
        <w:t>”</w:t>
      </w:r>
      <w:r>
        <w:rPr/>
        <w:t>拥有驻站网络作者</w:t>
      </w:r>
      <w:r>
        <w:rPr>
          <w:spacing w:val="-60"/>
        </w:rPr>
        <w:t> </w:t>
      </w:r>
      <w:r>
        <w:rPr>
          <w:rFonts w:ascii="Times New Roman" w:hAnsi="Times New Roman" w:cs="Times New Roman" w:eastAsia="Times New Roman" w:hint="default"/>
        </w:rPr>
        <w:t>40 </w:t>
      </w:r>
      <w:r>
        <w:rPr/>
        <w:t>余万，月活跃作</w:t>
      </w:r>
    </w:p>
    <w:p>
      <w:pPr>
        <w:pStyle w:val="BodyText"/>
        <w:spacing w:line="240" w:lineRule="auto" w:before="135"/>
        <w:ind w:right="0"/>
        <w:jc w:val="left"/>
      </w:pPr>
      <w:r>
        <w:rPr/>
        <w:t>者数超过</w:t>
      </w:r>
      <w:r>
        <w:rPr>
          <w:spacing w:val="-71"/>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万，点击过亿作品</w:t>
      </w:r>
      <w:r>
        <w:rPr>
          <w:spacing w:val="-71"/>
        </w:rPr>
        <w:t> </w:t>
      </w:r>
      <w:r>
        <w:rPr>
          <w:rFonts w:ascii="Times New Roman" w:hAnsi="Times New Roman" w:cs="Times New Roman" w:eastAsia="Times New Roman" w:hint="default"/>
        </w:rPr>
        <w:t>19</w:t>
      </w:r>
      <w:r>
        <w:rPr>
          <w:rFonts w:ascii="Times New Roman" w:hAnsi="Times New Roman" w:cs="Times New Roman" w:eastAsia="Times New Roman" w:hint="default"/>
          <w:spacing w:val="-10"/>
        </w:rPr>
        <w:t> </w:t>
      </w:r>
      <w:r>
        <w:rPr/>
        <w:t>部，日创作字数</w:t>
      </w:r>
      <w:r>
        <w:rPr>
          <w:spacing w:val="-71"/>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0"/>
        </w:rPr>
        <w:t> </w:t>
      </w:r>
      <w:r>
        <w:rPr/>
        <w:t>余万。日均访问量超过</w:t>
      </w:r>
      <w:r>
        <w:rPr>
          <w:spacing w:val="-71"/>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1"/>
        </w:rPr>
        <w:t> </w:t>
      </w:r>
      <w:r>
        <w:rPr/>
        <w:t>万，注册</w:t>
      </w:r>
    </w:p>
    <w:p>
      <w:pPr>
        <w:pStyle w:val="BodyText"/>
        <w:spacing w:line="338" w:lineRule="auto" w:before="135"/>
        <w:ind w:left="154" w:right="141"/>
        <w:jc w:val="left"/>
      </w:pPr>
      <w:r>
        <w:rPr/>
        <w:t>用户数</w:t>
      </w:r>
      <w:r>
        <w:rPr>
          <w:spacing w:val="-52"/>
        </w:rPr>
        <w:t> </w:t>
      </w:r>
      <w:r>
        <w:rPr>
          <w:rFonts w:ascii="Times New Roman" w:hAnsi="Times New Roman" w:cs="Times New Roman" w:eastAsia="Times New Roman" w:hint="default"/>
        </w:rPr>
        <w:t>3000</w:t>
      </w:r>
      <w:r>
        <w:rPr>
          <w:rFonts w:ascii="Times New Roman" w:hAnsi="Times New Roman" w:cs="Times New Roman" w:eastAsia="Times New Roman" w:hint="default"/>
          <w:spacing w:val="8"/>
        </w:rPr>
        <w:t> </w:t>
      </w:r>
      <w:r>
        <w:rPr>
          <w:spacing w:val="-3"/>
        </w:rPr>
        <w:t>万。以《官途》、《超级兵王》、《龙血战神》等为代表的大量签约作品在腾讯</w:t>
      </w:r>
      <w:r>
        <w:rPr/>
        <w:t> 网、凤凰网、百度、掌阅等渠道取得优异成绩。</w:t>
      </w:r>
    </w:p>
    <w:p>
      <w:pPr>
        <w:pStyle w:val="BodyText"/>
        <w:spacing w:line="240" w:lineRule="auto" w:before="96"/>
        <w:ind w:left="634" w:right="0"/>
        <w:jc w:val="left"/>
      </w:pPr>
      <w:r>
        <w:rPr>
          <w:rFonts w:ascii="Times New Roman" w:hAnsi="Times New Roman" w:cs="Times New Roman" w:eastAsia="Times New Roman" w:hint="default"/>
        </w:rPr>
        <w:t>C.</w:t>
      </w:r>
      <w:r>
        <w:rPr/>
        <w:t>教育行业阅读产品</w:t>
      </w:r>
    </w:p>
    <w:p>
      <w:pPr>
        <w:pStyle w:val="BodyText"/>
        <w:spacing w:line="338" w:lineRule="auto" w:before="174"/>
        <w:ind w:right="135" w:firstLine="48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22"/>
        </w:rPr>
        <w:t> </w:t>
      </w:r>
      <w:r>
        <w:rPr/>
        <w:t>年度，公司继续加大教育业务的投入力度，强化公司在数字教育领域的市场优势， 教育业务实现了跨越式发展。</w:t>
      </w:r>
    </w:p>
    <w:p>
      <w:pPr>
        <w:pStyle w:val="BodyText"/>
        <w:spacing w:line="348" w:lineRule="auto" w:before="94"/>
        <w:ind w:right="190" w:firstLine="480"/>
        <w:jc w:val="both"/>
      </w:pPr>
      <w:r>
        <w:rPr/>
        <w:t>公司教育行业阅读产品纵贯中小学并延伸至高校及公共图书馆，形成数字教育行业阅读 产品全覆盖，包括传统的数字图书馆、基于互联网模式的</w:t>
      </w:r>
      <w:r>
        <w:rPr>
          <w:rFonts w:ascii="Times New Roman" w:hAnsi="Times New Roman" w:cs="Times New Roman" w:eastAsia="Times New Roman" w:hint="default"/>
        </w:rPr>
        <w:t>“</w:t>
      </w:r>
      <w:r>
        <w:rPr/>
        <w:t>书香中国</w:t>
      </w:r>
      <w:r>
        <w:rPr>
          <w:rFonts w:ascii="Times New Roman" w:hAnsi="Times New Roman" w:cs="Times New Roman" w:eastAsia="Times New Roman" w:hint="default"/>
        </w:rPr>
        <w:t>”</w:t>
      </w:r>
      <w:r>
        <w:rPr/>
        <w:t>数字图书馆、云屏数字 借阅机等相关产品。</w:t>
      </w:r>
    </w:p>
    <w:p>
      <w:pPr>
        <w:pStyle w:val="BodyText"/>
        <w:spacing w:line="338" w:lineRule="auto" w:before="85"/>
        <w:ind w:right="254" w:firstLine="480"/>
        <w:jc w:val="left"/>
      </w:pPr>
      <w:r>
        <w:rPr/>
        <w:t>报告期内， </w:t>
      </w:r>
      <w:r>
        <w:rPr>
          <w:rFonts w:ascii="Times New Roman" w:hAnsi="Times New Roman" w:cs="Times New Roman" w:eastAsia="Times New Roman" w:hint="default"/>
        </w:rPr>
        <w:t>“</w:t>
      </w:r>
      <w:r>
        <w:rPr/>
        <w:t>书香中国</w:t>
      </w:r>
      <w:r>
        <w:rPr>
          <w:rFonts w:ascii="Times New Roman" w:hAnsi="Times New Roman" w:cs="Times New Roman" w:eastAsia="Times New Roman" w:hint="default"/>
        </w:rPr>
        <w:t>”</w:t>
      </w:r>
      <w:r>
        <w:rPr/>
        <w:t>系列已开通 </w:t>
      </w:r>
      <w:r>
        <w:rPr>
          <w:rFonts w:ascii="Times New Roman" w:hAnsi="Times New Roman" w:cs="Times New Roman" w:eastAsia="Times New Roman" w:hint="default"/>
        </w:rPr>
        <w:t>“</w:t>
      </w:r>
      <w:r>
        <w:rPr/>
        <w:t>书香燕京</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书香宁夏</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书香荆楚</w:t>
      </w:r>
      <w:r>
        <w:rPr>
          <w:rFonts w:ascii="Times New Roman" w:hAnsi="Times New Roman" w:cs="Times New Roman" w:eastAsia="Times New Roman" w:hint="default"/>
        </w:rPr>
        <w:t>”</w:t>
      </w:r>
      <w:r>
        <w:rPr/>
        <w:t>等省市服务 和</w:t>
      </w:r>
      <w:r>
        <w:rPr>
          <w:rFonts w:ascii="Times New Roman" w:hAnsi="Times New Roman" w:cs="Times New Roman" w:eastAsia="Times New Roman" w:hint="default"/>
        </w:rPr>
        <w:t>“</w:t>
      </w:r>
      <w:r>
        <w:rPr/>
        <w:t>书香清华</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书香人大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书香川大</w:t>
      </w:r>
      <w:r>
        <w:rPr>
          <w:rFonts w:ascii="Times New Roman" w:hAnsi="Times New Roman" w:cs="Times New Roman" w:eastAsia="Times New Roman" w:hint="default"/>
        </w:rPr>
        <w:t>”</w:t>
      </w:r>
      <w:r>
        <w:rPr/>
        <w:t>等高校服务，并为首都图书馆、福建图书馆提供数</w:t>
      </w:r>
    </w:p>
    <w:p>
      <w:pPr>
        <w:spacing w:after="0" w:line="338" w:lineRule="auto"/>
        <w:jc w:val="left"/>
        <w:sectPr>
          <w:pgSz w:w="11910" w:h="16840"/>
          <w:pgMar w:header="877" w:footer="979" w:top="1060" w:bottom="1160" w:left="980" w:right="980"/>
        </w:sectPr>
      </w:pPr>
    </w:p>
    <w:p>
      <w:pPr>
        <w:spacing w:line="240" w:lineRule="auto" w:before="9"/>
        <w:rPr>
          <w:rFonts w:ascii="宋体" w:hAnsi="宋体" w:cs="宋体" w:eastAsia="宋体" w:hint="default"/>
          <w:sz w:val="29"/>
          <w:szCs w:val="29"/>
        </w:rPr>
      </w:pPr>
    </w:p>
    <w:p>
      <w:pPr>
        <w:pStyle w:val="BodyText"/>
        <w:spacing w:line="240" w:lineRule="auto"/>
        <w:ind w:right="233"/>
        <w:jc w:val="left"/>
      </w:pPr>
      <w:r>
        <w:rPr/>
        <w:t>字图书馆服务。</w:t>
      </w:r>
    </w:p>
    <w:p>
      <w:pPr>
        <w:spacing w:line="367" w:lineRule="auto" w:before="193"/>
        <w:ind w:left="633" w:right="23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精耕细作出版运营，打造多维服务平台</w:t>
      </w:r>
      <w:r>
        <w:rPr>
          <w:rFonts w:ascii="宋体" w:hAnsi="宋体" w:cs="宋体" w:eastAsia="宋体" w:hint="default"/>
          <w:b/>
          <w:bCs/>
          <w:w w:val="99"/>
          <w:sz w:val="24"/>
          <w:szCs w:val="24"/>
        </w:rPr>
        <w:t> </w:t>
      </w:r>
      <w:r>
        <w:rPr>
          <w:rFonts w:ascii="宋体" w:hAnsi="宋体" w:cs="宋体" w:eastAsia="宋体" w:hint="default"/>
          <w:sz w:val="24"/>
          <w:szCs w:val="24"/>
        </w:rPr>
        <w:t>数字出版存在内容海量化、权利种类多样化、作品授权时间期限差异化等特点，综合管</w:t>
      </w:r>
    </w:p>
    <w:p>
      <w:pPr>
        <w:pStyle w:val="BodyText"/>
        <w:spacing w:line="357" w:lineRule="auto" w:before="27"/>
        <w:ind w:right="233"/>
        <w:jc w:val="left"/>
      </w:pPr>
      <w:r>
        <w:rPr/>
        <w:t>理的难度较大。而读者阅读需求各异、渠道媒介多元化等因素导致读者对数字阅读产品需求 各异，数字出版需要将海量的内容和繁杂的渠道进行有效的对接。经过多年的精耕细作，公 司已具有成熟的运营体系，实现了减少风险，提升内容周转效率，节省运营成本的管理目 标。</w:t>
      </w:r>
    </w:p>
    <w:p>
      <w:pPr>
        <w:pStyle w:val="BodyText"/>
        <w:spacing w:line="357" w:lineRule="auto" w:before="74"/>
        <w:ind w:left="154" w:right="249" w:firstLine="480"/>
        <w:jc w:val="both"/>
      </w:pPr>
      <w:r>
        <w:rPr/>
        <w:t>报告期内，公司提供运营服务的客户包括中国移动浙江有限公司、北京世纪卓越信息技 术有限公司、山东人民出版社等。</w:t>
      </w:r>
    </w:p>
    <w:p>
      <w:pPr>
        <w:pStyle w:val="BodyText"/>
        <w:spacing w:line="338" w:lineRule="auto" w:before="74"/>
        <w:ind w:right="309" w:firstLine="480"/>
        <w:jc w:val="both"/>
      </w:pPr>
      <w:r>
        <w:rPr/>
        <w:t>正是由于公司以用户为核心，精耕细作提供运营服务，</w:t>
      </w:r>
      <w:r>
        <w:rPr>
          <w:rFonts w:ascii="Times New Roman" w:hAnsi="Times New Roman" w:cs="Times New Roman" w:eastAsia="Times New Roman" w:hint="default"/>
        </w:rPr>
        <w:t>2012 </w:t>
      </w:r>
      <w:r>
        <w:rPr/>
        <w:t>至</w:t>
      </w:r>
      <w:r>
        <w:rPr>
          <w:spacing w:val="-60"/>
        </w:rPr>
        <w:t> </w:t>
      </w:r>
      <w:r>
        <w:rPr>
          <w:rFonts w:ascii="Times New Roman" w:hAnsi="Times New Roman" w:cs="Times New Roman" w:eastAsia="Times New Roman" w:hint="default"/>
        </w:rPr>
        <w:t>2014 </w:t>
      </w:r>
      <w:r>
        <w:rPr/>
        <w:t>年，出版运营服务 产生的收入分别为</w:t>
      </w:r>
      <w:r>
        <w:rPr>
          <w:spacing w:val="-60"/>
        </w:rPr>
        <w:t> </w:t>
      </w:r>
      <w:r>
        <w:rPr>
          <w:rFonts w:ascii="Times New Roman" w:hAnsi="Times New Roman" w:cs="Times New Roman" w:eastAsia="Times New Roman" w:hint="default"/>
        </w:rPr>
        <w:t>6,222.41 </w:t>
      </w:r>
      <w:r>
        <w:rPr/>
        <w:t>万元、</w:t>
      </w:r>
      <w:r>
        <w:rPr>
          <w:rFonts w:ascii="Times New Roman" w:hAnsi="Times New Roman" w:cs="Times New Roman" w:eastAsia="Times New Roman" w:hint="default"/>
        </w:rPr>
        <w:t>7,672.43 </w:t>
      </w:r>
      <w:r>
        <w:rPr/>
        <w:t>万元和</w:t>
      </w:r>
      <w:r>
        <w:rPr>
          <w:spacing w:val="-60"/>
        </w:rPr>
        <w:t> </w:t>
      </w:r>
      <w:r>
        <w:rPr>
          <w:rFonts w:ascii="Times New Roman" w:hAnsi="Times New Roman" w:cs="Times New Roman" w:eastAsia="Times New Roman" w:hint="default"/>
        </w:rPr>
        <w:t>7,719.78 </w:t>
      </w:r>
      <w:r>
        <w:rPr/>
        <w:t>万元，连续三年增长。</w:t>
      </w:r>
    </w:p>
    <w:p>
      <w:pPr>
        <w:spacing w:before="67"/>
        <w:ind w:left="636" w:right="233"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围绕版权资源优势，深度放大</w:t>
      </w:r>
      <w:r>
        <w:rPr>
          <w:rFonts w:ascii="宋体" w:hAnsi="宋体" w:cs="宋体" w:eastAsia="宋体" w:hint="default"/>
          <w:b/>
          <w:bCs/>
          <w:spacing w:val="-63"/>
          <w:sz w:val="24"/>
          <w:szCs w:val="24"/>
        </w:rPr>
        <w:t> </w:t>
      </w:r>
      <w:r>
        <w:rPr>
          <w:rFonts w:ascii="Times New Roman" w:hAnsi="Times New Roman" w:cs="Times New Roman" w:eastAsia="Times New Roman" w:hint="default"/>
          <w:b/>
          <w:bCs/>
          <w:sz w:val="24"/>
          <w:szCs w:val="24"/>
        </w:rPr>
        <w:t>IP</w:t>
      </w:r>
      <w:r>
        <w:rPr>
          <w:rFonts w:ascii="Times New Roman" w:hAnsi="Times New Roman" w:cs="Times New Roman" w:eastAsia="Times New Roman" w:hint="default"/>
          <w:b/>
          <w:bCs/>
          <w:spacing w:val="-5"/>
          <w:sz w:val="24"/>
          <w:szCs w:val="24"/>
        </w:rPr>
        <w:t> </w:t>
      </w:r>
      <w:r>
        <w:rPr>
          <w:rFonts w:ascii="宋体" w:hAnsi="宋体" w:cs="宋体" w:eastAsia="宋体" w:hint="default"/>
          <w:b/>
          <w:bCs/>
          <w:sz w:val="24"/>
          <w:szCs w:val="24"/>
        </w:rPr>
        <w:t>价值</w:t>
      </w:r>
      <w:r>
        <w:rPr>
          <w:rFonts w:ascii="宋体" w:hAnsi="宋体" w:cs="宋体" w:eastAsia="宋体" w:hint="default"/>
          <w:sz w:val="24"/>
          <w:szCs w:val="24"/>
        </w:rPr>
      </w:r>
    </w:p>
    <w:p>
      <w:pPr>
        <w:pStyle w:val="BodyText"/>
        <w:spacing w:line="338" w:lineRule="auto" w:before="174"/>
        <w:ind w:left="154" w:right="211" w:firstLine="480"/>
        <w:jc w:val="both"/>
      </w:pPr>
      <w:r>
        <w:rPr>
          <w:rFonts w:ascii="Times New Roman" w:hAnsi="Times New Roman" w:cs="Times New Roman" w:eastAsia="Times New Roman" w:hint="default"/>
        </w:rPr>
        <w:t>2014 </w:t>
      </w:r>
      <w:r>
        <w:rPr/>
        <w:t>年被媒体称为</w:t>
      </w:r>
      <w:r>
        <w:rPr>
          <w:rFonts w:ascii="Times New Roman" w:hAnsi="Times New Roman" w:cs="Times New Roman" w:eastAsia="Times New Roman" w:hint="default"/>
        </w:rPr>
        <w:t>“IP</w:t>
      </w:r>
      <w:r>
        <w:rPr>
          <w:rFonts w:ascii="Times New Roman" w:hAnsi="Times New Roman" w:cs="Times New Roman" w:eastAsia="Times New Roman" w:hint="default"/>
          <w:spacing w:val="-5"/>
        </w:rPr>
        <w:t> </w:t>
      </w:r>
      <w:r>
        <w:rPr/>
        <w:t>年</w:t>
      </w:r>
      <w:r>
        <w:rPr>
          <w:rFonts w:ascii="Times New Roman" w:hAnsi="Times New Roman" w:cs="Times New Roman" w:eastAsia="Times New Roman" w:hint="default"/>
        </w:rPr>
        <w:t>”</w:t>
      </w:r>
      <w:r>
        <w:rPr/>
        <w:t>，一时之间，</w:t>
      </w:r>
      <w:r>
        <w:rPr>
          <w:rFonts w:ascii="Times New Roman" w:hAnsi="Times New Roman" w:cs="Times New Roman" w:eastAsia="Times New Roman" w:hint="default"/>
        </w:rPr>
        <w:t>IP</w:t>
      </w:r>
      <w:r>
        <w:rPr/>
        <w:t>（知识产权）成为了文化产业的热词，影视、 游戏、视频网站等企业对热门</w:t>
      </w:r>
      <w:r>
        <w:rPr>
          <w:spacing w:val="-88"/>
        </w:rPr>
        <w:t> </w:t>
      </w:r>
      <w:r>
        <w:rPr>
          <w:rFonts w:ascii="Times New Roman" w:hAnsi="Times New Roman" w:cs="Times New Roman" w:eastAsia="Times New Roman" w:hint="default"/>
        </w:rPr>
        <w:t>IP</w:t>
      </w:r>
      <w:r>
        <w:rPr>
          <w:rFonts w:ascii="Times New Roman" w:hAnsi="Times New Roman" w:cs="Times New Roman" w:eastAsia="Times New Roman" w:hint="default"/>
          <w:spacing w:val="-28"/>
        </w:rPr>
        <w:t> </w:t>
      </w:r>
      <w:r>
        <w:rPr/>
        <w:t>的抢夺达到白热化程度。精品作品版权是所有文化产品的源 头，随着中国近年影视、动漫、游戏市场的爆热，</w:t>
      </w:r>
      <w:r>
        <w:rPr>
          <w:rFonts w:ascii="Times New Roman" w:hAnsi="Times New Roman" w:cs="Times New Roman" w:eastAsia="Times New Roman" w:hint="default"/>
        </w:rPr>
        <w:t>IP</w:t>
      </w:r>
      <w:r>
        <w:rPr>
          <w:rFonts w:ascii="Times New Roman" w:hAnsi="Times New Roman" w:cs="Times New Roman" w:eastAsia="Times New Roman" w:hint="default"/>
          <w:spacing w:val="-2"/>
        </w:rPr>
        <w:t> </w:t>
      </w:r>
      <w:r>
        <w:rPr/>
        <w:t>需求剧增。</w:t>
      </w:r>
    </w:p>
    <w:p>
      <w:pPr>
        <w:pStyle w:val="BodyText"/>
        <w:spacing w:line="338" w:lineRule="auto" w:before="65"/>
        <w:ind w:right="99" w:firstLine="480"/>
        <w:jc w:val="both"/>
      </w:pPr>
      <w:r>
        <w:rPr/>
        <w:t>近几年，数字内容增值服务业务成为中文在线的营收新亮点，</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年保持了持续大幅增 长。</w:t>
      </w:r>
      <w:r>
        <w:rPr>
          <w:rFonts w:ascii="Times New Roman" w:hAnsi="Times New Roman" w:cs="Times New Roman" w:eastAsia="Times New Roman" w:hint="default"/>
        </w:rPr>
        <w:t>2012 </w:t>
      </w:r>
      <w:r>
        <w:rPr/>
        <w:t>年至 </w:t>
      </w:r>
      <w:r>
        <w:rPr>
          <w:rFonts w:ascii="Times New Roman" w:hAnsi="Times New Roman" w:cs="Times New Roman" w:eastAsia="Times New Roman" w:hint="default"/>
        </w:rPr>
        <w:t>2014 </w:t>
      </w:r>
      <w:r>
        <w:rPr/>
        <w:t>年，公司数字增值服务收入分别为 </w:t>
      </w:r>
      <w:r>
        <w:rPr>
          <w:rFonts w:ascii="Times New Roman" w:hAnsi="Times New Roman" w:cs="Times New Roman" w:eastAsia="Times New Roman" w:hint="default"/>
        </w:rPr>
        <w:t>788.61 </w:t>
      </w:r>
      <w:r>
        <w:rPr/>
        <w:t>万元、</w:t>
      </w:r>
      <w:r>
        <w:rPr>
          <w:rFonts w:ascii="Times New Roman" w:hAnsi="Times New Roman" w:cs="Times New Roman" w:eastAsia="Times New Roman" w:hint="default"/>
        </w:rPr>
        <w:t>2,619.74</w:t>
      </w:r>
      <w:r>
        <w:rPr>
          <w:rFonts w:ascii="Times New Roman" w:hAnsi="Times New Roman" w:cs="Times New Roman" w:eastAsia="Times New Roman" w:hint="default"/>
          <w:spacing w:val="-25"/>
        </w:rPr>
        <w:t> </w:t>
      </w:r>
      <w:r>
        <w:rPr/>
        <w:t>万元、</w:t>
      </w:r>
      <w:r>
        <w:rPr>
          <w:rFonts w:ascii="Times New Roman" w:hAnsi="Times New Roman" w:cs="Times New Roman" w:eastAsia="Times New Roman" w:hint="default"/>
        </w:rPr>
        <w:t>2,717.4 </w:t>
      </w:r>
      <w:r>
        <w:rPr>
          <w:spacing w:val="1"/>
          <w:w w:val="99"/>
        </w:rPr>
        <w:t>万元。报告期内，</w:t>
      </w:r>
      <w:r>
        <w:rPr>
          <w:rFonts w:ascii="Times New Roman" w:hAnsi="Times New Roman" w:cs="Times New Roman" w:eastAsia="Times New Roman" w:hint="default"/>
          <w:spacing w:val="1"/>
          <w:w w:val="99"/>
        </w:rPr>
        <w:t>17K</w:t>
      </w:r>
      <w:r>
        <w:rPr>
          <w:rFonts w:ascii="Times New Roman" w:hAnsi="Times New Roman" w:cs="Times New Roman" w:eastAsia="Times New Roman" w:hint="default"/>
          <w:w w:val="99"/>
        </w:rPr>
        <w:t> </w:t>
      </w:r>
      <w:r>
        <w:rPr>
          <w:rFonts w:ascii="Times New Roman" w:hAnsi="Times New Roman" w:cs="Times New Roman" w:eastAsia="Times New Roman" w:hint="default"/>
          <w:spacing w:val="21"/>
          <w:w w:val="99"/>
        </w:rPr>
        <w:t> </w:t>
      </w:r>
      <w:r>
        <w:rPr>
          <w:spacing w:val="-6"/>
        </w:rPr>
        <w:t>畅销书《我的美女老师》授权影视公司改编为网络剧。《吞噬苍穹》、</w:t>
      </w:r>
    </w:p>
    <w:p>
      <w:pPr>
        <w:pStyle w:val="BodyText"/>
        <w:spacing w:line="240" w:lineRule="auto" w:before="27"/>
        <w:ind w:right="0"/>
        <w:jc w:val="left"/>
      </w:pPr>
      <w:r>
        <w:rPr/>
        <w:t>《斗神</w:t>
      </w:r>
      <w:r>
        <w:rPr>
          <w:spacing w:val="-120"/>
        </w:rPr>
        <w:t>》、</w:t>
      </w:r>
      <w:r>
        <w:rPr/>
        <w:t>《少年药王》等数十部当红人气小说将被改编手机游戏、网页游戏、客户端游戏。</w:t>
      </w:r>
    </w:p>
    <w:p>
      <w:pPr>
        <w:spacing w:line="240" w:lineRule="auto" w:before="0"/>
        <w:rPr>
          <w:rFonts w:ascii="宋体" w:hAnsi="宋体" w:cs="宋体" w:eastAsia="宋体" w:hint="default"/>
          <w:sz w:val="19"/>
          <w:szCs w:val="19"/>
        </w:rPr>
      </w:pPr>
    </w:p>
    <w:p>
      <w:pPr>
        <w:spacing w:before="0"/>
        <w:ind w:left="636" w:right="233"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）持续完善创新机制，内部孵化增长引擎</w:t>
      </w:r>
      <w:r>
        <w:rPr>
          <w:rFonts w:ascii="宋体" w:hAnsi="宋体" w:cs="宋体" w:eastAsia="宋体" w:hint="default"/>
          <w:sz w:val="24"/>
          <w:szCs w:val="24"/>
        </w:rPr>
      </w:r>
    </w:p>
    <w:p>
      <w:pPr>
        <w:pStyle w:val="BodyText"/>
        <w:spacing w:line="345" w:lineRule="auto" w:before="174"/>
        <w:ind w:right="211" w:firstLine="480"/>
        <w:jc w:val="both"/>
      </w:pPr>
      <w:r>
        <w:rPr>
          <w:rFonts w:ascii="Times New Roman" w:hAnsi="Times New Roman" w:cs="Times New Roman" w:eastAsia="Times New Roman" w:hint="default"/>
        </w:rPr>
        <w:t>“</w:t>
      </w:r>
      <w:r>
        <w:rPr/>
        <w:t>创新</w:t>
      </w:r>
      <w:r>
        <w:rPr>
          <w:rFonts w:ascii="Times New Roman" w:hAnsi="Times New Roman" w:cs="Times New Roman" w:eastAsia="Times New Roman" w:hint="default"/>
        </w:rPr>
        <w:t>”</w:t>
      </w:r>
      <w:r>
        <w:rPr/>
        <w:t>是公司的发展宗旨，是公司保持长期行业竞争优势和市场地位的重要保障。公司 建立了以用户需求为核心的创新机制，打造创新文化环境和有自身特色的创新体系。报告期 内，公司内部孵化</w:t>
      </w:r>
      <w:r>
        <w:rPr>
          <w:rFonts w:ascii="Times New Roman" w:hAnsi="Times New Roman" w:cs="Times New Roman" w:eastAsia="Times New Roman" w:hint="default"/>
        </w:rPr>
        <w:t>“</w:t>
      </w:r>
      <w:r>
        <w:rPr/>
        <w:t>汤圆创作</w:t>
      </w:r>
      <w:r>
        <w:rPr>
          <w:rFonts w:ascii="Times New Roman" w:hAnsi="Times New Roman" w:cs="Times New Roman" w:eastAsia="Times New Roman" w:hint="default"/>
        </w:rPr>
        <w:t>”</w:t>
      </w:r>
      <w:r>
        <w:rPr/>
        <w:t>，于</w:t>
      </w:r>
      <w:r>
        <w:rPr>
          <w:spacing w:val="-7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4"/>
        </w:rPr>
        <w:t> </w:t>
      </w:r>
      <w:r>
        <w:rPr/>
        <w:t>年</w:t>
      </w:r>
      <w:r>
        <w:rPr>
          <w:spacing w:val="-76"/>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月设立全资子公司北京汤圆和它的小伙伴们网络 科技有限公司独立运营。</w:t>
      </w:r>
    </w:p>
    <w:p>
      <w:pPr>
        <w:spacing w:line="240" w:lineRule="auto" w:before="7"/>
        <w:rPr>
          <w:rFonts w:ascii="宋体" w:hAnsi="宋体" w:cs="宋体" w:eastAsia="宋体" w:hint="default"/>
          <w:sz w:val="20"/>
          <w:szCs w:val="20"/>
        </w:rPr>
      </w:pPr>
    </w:p>
    <w:p>
      <w:pPr>
        <w:spacing w:before="0"/>
        <w:ind w:left="153" w:right="233" w:firstLine="0"/>
        <w:jc w:val="left"/>
        <w:rPr>
          <w:rFonts w:ascii="宋体" w:hAnsi="宋体" w:cs="宋体" w:eastAsia="宋体" w:hint="default"/>
          <w:sz w:val="24"/>
          <w:szCs w:val="24"/>
        </w:rPr>
      </w:pPr>
      <w:bookmarkStart w:name="2、报告期内主要经营情况" w:id="19"/>
      <w:bookmarkEnd w:id="19"/>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、报告期内主要经营情况</w:t>
      </w:r>
      <w:r>
        <w:rPr>
          <w:rFonts w:ascii="宋体" w:hAnsi="宋体" w:cs="宋体" w:eastAsia="宋体" w:hint="default"/>
          <w:sz w:val="24"/>
          <w:szCs w:val="24"/>
        </w:rPr>
      </w:r>
    </w:p>
    <w:p>
      <w:pPr>
        <w:spacing w:line="240" w:lineRule="auto" w:before="8"/>
        <w:rPr>
          <w:rFonts w:ascii="宋体" w:hAnsi="宋体" w:cs="宋体" w:eastAsia="宋体" w:hint="default"/>
          <w:b/>
          <w:bCs/>
          <w:sz w:val="21"/>
          <w:szCs w:val="21"/>
        </w:rPr>
      </w:pPr>
    </w:p>
    <w:p>
      <w:pPr>
        <w:spacing w:before="0"/>
        <w:ind w:left="153" w:right="233" w:firstLine="0"/>
        <w:jc w:val="left"/>
        <w:rPr>
          <w:rFonts w:ascii="宋体" w:hAnsi="宋体" w:cs="宋体" w:eastAsia="宋体" w:hint="default"/>
          <w:sz w:val="24"/>
          <w:szCs w:val="24"/>
        </w:rPr>
      </w:pPr>
      <w:bookmarkStart w:name="（1）主营业务分析" w:id="20"/>
      <w:bookmarkEnd w:id="20"/>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）主营业务分析</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spacing w:before="0"/>
        <w:ind w:left="636" w:right="233"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）概述</w:t>
      </w:r>
      <w:r>
        <w:rPr>
          <w:rFonts w:ascii="宋体" w:hAnsi="宋体" w:cs="宋体" w:eastAsia="宋体" w:hint="default"/>
          <w:sz w:val="24"/>
          <w:szCs w:val="24"/>
        </w:rPr>
      </w:r>
    </w:p>
    <w:p>
      <w:pPr>
        <w:spacing w:after="0"/>
        <w:jc w:val="left"/>
        <w:rPr>
          <w:rFonts w:ascii="宋体" w:hAnsi="宋体" w:cs="宋体" w:eastAsia="宋体" w:hint="default"/>
          <w:sz w:val="24"/>
          <w:szCs w:val="24"/>
        </w:rPr>
        <w:sectPr>
          <w:footerReference w:type="default" r:id="rId15"/>
          <w:pgSz w:w="11910" w:h="16840"/>
          <w:pgMar w:footer="979" w:header="877" w:top="1060" w:bottom="1160" w:left="980" w:right="920"/>
          <w:pgNumType w:start="15"/>
        </w:sectPr>
      </w:pPr>
    </w:p>
    <w:p>
      <w:pPr>
        <w:spacing w:line="240" w:lineRule="auto" w:before="7"/>
        <w:rPr>
          <w:rFonts w:ascii="宋体" w:hAnsi="宋体" w:cs="宋体" w:eastAsia="宋体" w:hint="default"/>
          <w:b/>
          <w:bCs/>
          <w:sz w:val="29"/>
          <w:szCs w:val="29"/>
        </w:rPr>
      </w:pPr>
    </w:p>
    <w:p>
      <w:pPr>
        <w:pStyle w:val="BodyText"/>
        <w:spacing w:line="357" w:lineRule="auto"/>
        <w:ind w:right="190" w:firstLine="480"/>
        <w:jc w:val="both"/>
      </w:pPr>
      <w:r>
        <w:rPr/>
        <w:t>本公司以出版机构、作家为正版数字内容来源，进行内容的聚合和管理，面向手机、手 持终端、互联网等出版媒体提供数字阅读产品；为数字出版和发行机构提供运营服务；通过 版权衍生产品等方式提供数字内容增值服务。</w:t>
      </w:r>
    </w:p>
    <w:p>
      <w:pPr>
        <w:pStyle w:val="BodyText"/>
        <w:spacing w:line="240" w:lineRule="auto" w:before="75"/>
        <w:ind w:left="634" w:right="0"/>
        <w:jc w:val="left"/>
      </w:pPr>
      <w:r>
        <w:rPr>
          <w:rFonts w:ascii="宋体" w:hAnsi="宋体" w:cs="宋体" w:eastAsia="宋体" w:hint="default"/>
        </w:rPr>
        <w:t>2014 </w:t>
      </w:r>
      <w:r>
        <w:rPr>
          <w:spacing w:val="13"/>
        </w:rPr>
        <w:t>年度，公司实现营业收入 </w:t>
      </w:r>
      <w:r>
        <w:rPr>
          <w:rFonts w:ascii="宋体" w:hAnsi="宋体" w:cs="宋体" w:eastAsia="宋体" w:hint="default"/>
        </w:rPr>
        <w:t>26,973.81 </w:t>
      </w:r>
      <w:r>
        <w:rPr>
          <w:spacing w:val="12"/>
        </w:rPr>
        <w:t>万元，比上年增长</w:t>
      </w:r>
      <w:r>
        <w:rPr>
          <w:spacing w:val="53"/>
        </w:rPr>
        <w:t> </w:t>
      </w:r>
      <w:r>
        <w:rPr>
          <w:rFonts w:ascii="宋体" w:hAnsi="宋体" w:cs="宋体" w:eastAsia="宋体" w:hint="default"/>
          <w:spacing w:val="7"/>
        </w:rPr>
        <w:t>22.42%</w:t>
      </w:r>
      <w:r>
        <w:rPr>
          <w:spacing w:val="7"/>
        </w:rPr>
        <w:t>，营业成本为</w:t>
      </w:r>
    </w:p>
    <w:p>
      <w:pPr>
        <w:pStyle w:val="BodyText"/>
        <w:spacing w:line="240" w:lineRule="auto" w:before="154"/>
        <w:ind w:left="154" w:right="0"/>
        <w:jc w:val="left"/>
      </w:pPr>
      <w:r>
        <w:rPr>
          <w:rFonts w:ascii="宋体" w:hAnsi="宋体" w:cs="宋体" w:eastAsia="宋体" w:hint="default"/>
        </w:rPr>
        <w:t>14</w:t>
      </w:r>
      <w:r>
        <w:rPr>
          <w:rFonts w:ascii="Times New Roman" w:hAnsi="Times New Roman" w:cs="Times New Roman" w:eastAsia="Times New Roman" w:hint="default"/>
        </w:rPr>
        <w:t>,</w:t>
      </w:r>
      <w:r>
        <w:rPr>
          <w:rFonts w:ascii="宋体" w:hAnsi="宋体" w:cs="宋体" w:eastAsia="宋体" w:hint="default"/>
        </w:rPr>
        <w:t>473.58</w:t>
      </w:r>
      <w:r>
        <w:rPr>
          <w:rFonts w:ascii="宋体" w:hAnsi="宋体" w:cs="宋体" w:eastAsia="宋体" w:hint="default"/>
          <w:spacing w:val="-66"/>
        </w:rPr>
        <w:t> </w:t>
      </w:r>
      <w:r>
        <w:rPr/>
        <w:t>万元，比上年增长</w:t>
      </w:r>
      <w:r>
        <w:rPr>
          <w:spacing w:val="-66"/>
        </w:rPr>
        <w:t> </w:t>
      </w:r>
      <w:r>
        <w:rPr>
          <w:rFonts w:ascii="宋体" w:hAnsi="宋体" w:cs="宋体" w:eastAsia="宋体" w:hint="default"/>
        </w:rPr>
        <w:t>30.78%</w:t>
      </w:r>
      <w:r>
        <w:rPr/>
        <w:t>，期间费用为</w:t>
      </w:r>
      <w:r>
        <w:rPr>
          <w:spacing w:val="-66"/>
        </w:rPr>
        <w:t> </w:t>
      </w:r>
      <w:r>
        <w:rPr>
          <w:rFonts w:ascii="宋体" w:hAnsi="宋体" w:cs="宋体" w:eastAsia="宋体" w:hint="default"/>
        </w:rPr>
        <w:t>8</w:t>
      </w:r>
      <w:r>
        <w:rPr>
          <w:rFonts w:ascii="Times New Roman" w:hAnsi="Times New Roman" w:cs="Times New Roman" w:eastAsia="Times New Roman" w:hint="default"/>
        </w:rPr>
        <w:t>,</w:t>
      </w:r>
      <w:r>
        <w:rPr>
          <w:rFonts w:ascii="宋体" w:hAnsi="宋体" w:cs="宋体" w:eastAsia="宋体" w:hint="default"/>
        </w:rPr>
        <w:t>658.95</w:t>
      </w:r>
      <w:r>
        <w:rPr>
          <w:rFonts w:ascii="宋体" w:hAnsi="宋体" w:cs="宋体" w:eastAsia="宋体" w:hint="default"/>
          <w:spacing w:val="-66"/>
        </w:rPr>
        <w:t> </w:t>
      </w:r>
      <w:r>
        <w:rPr/>
        <w:t>万元，比上年增长</w:t>
      </w:r>
      <w:r>
        <w:rPr>
          <w:spacing w:val="-66"/>
        </w:rPr>
        <w:t> </w:t>
      </w:r>
      <w:r>
        <w:rPr>
          <w:rFonts w:ascii="宋体" w:hAnsi="宋体" w:cs="宋体" w:eastAsia="宋体" w:hint="default"/>
        </w:rPr>
        <w:t>29.39%</w:t>
      </w:r>
      <w:r>
        <w:rPr/>
        <w:t>，研发</w:t>
      </w:r>
    </w:p>
    <w:p>
      <w:pPr>
        <w:pStyle w:val="BodyText"/>
        <w:spacing w:line="338" w:lineRule="auto" w:before="135"/>
        <w:ind w:right="138"/>
        <w:jc w:val="left"/>
      </w:pPr>
      <w:r>
        <w:rPr/>
        <w:t>费</w:t>
      </w:r>
      <w:r>
        <w:rPr>
          <w:spacing w:val="-41"/>
        </w:rPr>
        <w:t> </w:t>
      </w:r>
      <w:r>
        <w:rPr>
          <w:rFonts w:ascii="宋体" w:hAnsi="宋体" w:cs="宋体" w:eastAsia="宋体" w:hint="default"/>
        </w:rPr>
        <w:t>3</w:t>
      </w:r>
      <w:r>
        <w:rPr>
          <w:rFonts w:ascii="Times New Roman" w:hAnsi="Times New Roman" w:cs="Times New Roman" w:eastAsia="Times New Roman" w:hint="default"/>
        </w:rPr>
        <w:t>,</w:t>
      </w:r>
      <w:r>
        <w:rPr>
          <w:rFonts w:ascii="宋体" w:hAnsi="宋体" w:cs="宋体" w:eastAsia="宋体" w:hint="default"/>
        </w:rPr>
        <w:t>192.46</w:t>
      </w:r>
      <w:r>
        <w:rPr>
          <w:rFonts w:ascii="宋体" w:hAnsi="宋体" w:cs="宋体" w:eastAsia="宋体" w:hint="default"/>
          <w:spacing w:val="-41"/>
        </w:rPr>
        <w:t> </w:t>
      </w:r>
      <w:r>
        <w:rPr/>
        <w:t>万元，比上年增长</w:t>
      </w:r>
      <w:r>
        <w:rPr>
          <w:spacing w:val="-41"/>
        </w:rPr>
        <w:t> </w:t>
      </w:r>
      <w:r>
        <w:rPr>
          <w:rFonts w:ascii="宋体" w:hAnsi="宋体" w:cs="宋体" w:eastAsia="宋体" w:hint="default"/>
        </w:rPr>
        <w:t>32.69%</w:t>
      </w:r>
      <w:r>
        <w:rPr/>
        <w:t>，经营活动产生的现金流净额为</w:t>
      </w:r>
      <w:r>
        <w:rPr>
          <w:spacing w:val="-41"/>
        </w:rPr>
        <w:t> </w:t>
      </w:r>
      <w:r>
        <w:rPr>
          <w:rFonts w:ascii="宋体" w:hAnsi="宋体" w:cs="宋体" w:eastAsia="宋体" w:hint="default"/>
        </w:rPr>
        <w:t>3</w:t>
      </w:r>
      <w:r>
        <w:rPr>
          <w:rFonts w:ascii="Times New Roman" w:hAnsi="Times New Roman" w:cs="Times New Roman" w:eastAsia="Times New Roman" w:hint="default"/>
        </w:rPr>
        <w:t>,</w:t>
      </w:r>
      <w:r>
        <w:rPr>
          <w:rFonts w:ascii="宋体" w:hAnsi="宋体" w:cs="宋体" w:eastAsia="宋体" w:hint="default"/>
        </w:rPr>
        <w:t>832.60</w:t>
      </w:r>
      <w:r>
        <w:rPr>
          <w:rFonts w:ascii="宋体" w:hAnsi="宋体" w:cs="宋体" w:eastAsia="宋体" w:hint="default"/>
          <w:spacing w:val="-41"/>
        </w:rPr>
        <w:t> </w:t>
      </w:r>
      <w:r>
        <w:rPr/>
        <w:t>万元，比上 年下降</w:t>
      </w:r>
      <w:r>
        <w:rPr>
          <w:spacing w:val="-60"/>
        </w:rPr>
        <w:t> </w:t>
      </w:r>
      <w:r>
        <w:rPr>
          <w:rFonts w:ascii="宋体" w:hAnsi="宋体" w:cs="宋体" w:eastAsia="宋体" w:hint="default"/>
        </w:rPr>
        <w:t>21.32%</w:t>
      </w:r>
      <w:r>
        <w:rPr/>
        <w:t>。</w:t>
      </w:r>
    </w:p>
    <w:p>
      <w:pPr>
        <w:pStyle w:val="BodyText"/>
        <w:spacing w:line="357" w:lineRule="auto" w:before="95"/>
        <w:ind w:right="151" w:firstLine="480"/>
        <w:jc w:val="both"/>
      </w:pPr>
      <w:r>
        <w:rPr>
          <w:rFonts w:ascii="宋体" w:hAnsi="宋体" w:cs="宋体" w:eastAsia="宋体" w:hint="default"/>
        </w:rPr>
        <w:t>2014</w:t>
      </w:r>
      <w:r>
        <w:rPr>
          <w:rFonts w:ascii="宋体" w:hAnsi="宋体" w:cs="宋体" w:eastAsia="宋体" w:hint="default"/>
          <w:spacing w:val="-82"/>
        </w:rPr>
        <w:t> </w:t>
      </w:r>
      <w:r>
        <w:rPr/>
        <w:t>年度公司营业收入稳步增长，销售人员增加且工资标准提高，致销售费用增加；因 加大研发投入致研发费用、管理费用增加；新增银行短期借款致财务费用增加；因成本费用 支出增加及对外货币性投资致现金流量净额较上年同期大幅下降。</w:t>
      </w:r>
    </w:p>
    <w:p>
      <w:pPr>
        <w:spacing w:before="76"/>
        <w:ind w:left="636" w:right="0" w:firstLine="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）报告期利润构成或利润来源发生重大变动的说明</w:t>
      </w:r>
      <w:r>
        <w:rPr>
          <w:rFonts w:ascii="宋体" w:hAnsi="宋体" w:cs="宋体" w:eastAsia="宋体" w:hint="default"/>
          <w:sz w:val="24"/>
          <w:szCs w:val="24"/>
        </w:rPr>
      </w:r>
    </w:p>
    <w:p>
      <w:pPr>
        <w:pStyle w:val="BodyText"/>
        <w:spacing w:line="240" w:lineRule="auto" w:before="193"/>
        <w:ind w:left="6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before="176"/>
        <w:ind w:left="636"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）收入</w:t>
      </w:r>
      <w:r>
        <w:rPr>
          <w:rFonts w:ascii="宋体" w:hAnsi="宋体" w:cs="宋体" w:eastAsia="宋体" w:hint="default"/>
          <w:sz w:val="24"/>
          <w:szCs w:val="24"/>
        </w:rPr>
      </w:r>
    </w:p>
    <w:p>
      <w:pPr>
        <w:spacing w:before="198"/>
        <w:ind w:left="0" w:right="15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11"/>
        <w:rPr>
          <w:rFonts w:ascii="宋体" w:hAnsi="宋体" w:cs="宋体" w:eastAsia="宋体"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60" w:right="0"/>
              <w:jc w:val="left"/>
              <w:rPr>
                <w:rFonts w:ascii="宋体" w:hAnsi="宋体" w:cs="宋体" w:eastAsia="宋体" w:hint="default"/>
                <w:sz w:val="21"/>
                <w:szCs w:val="21"/>
              </w:rPr>
            </w:pPr>
            <w:r>
              <w:rPr>
                <w:rFonts w:ascii="宋体" w:hAnsi="宋体" w:cs="宋体" w:eastAsia="宋体" w:hint="default"/>
                <w:sz w:val="21"/>
                <w:szCs w:val="21"/>
              </w:rPr>
              <w:t>同比增减情况</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1048" w:right="0"/>
              <w:jc w:val="left"/>
              <w:rPr>
                <w:rFonts w:ascii="Times New Roman" w:hAnsi="Times New Roman" w:cs="Times New Roman" w:eastAsia="Times New Roman" w:hint="default"/>
                <w:sz w:val="21"/>
                <w:szCs w:val="21"/>
              </w:rPr>
            </w:pPr>
            <w:r>
              <w:rPr>
                <w:rFonts w:ascii="Times New Roman"/>
                <w:sz w:val="21"/>
              </w:rPr>
              <w:t>269,738,063.00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47" w:right="0"/>
              <w:jc w:val="left"/>
              <w:rPr>
                <w:rFonts w:ascii="Times New Roman" w:hAnsi="Times New Roman" w:cs="Times New Roman" w:eastAsia="Times New Roman" w:hint="default"/>
                <w:sz w:val="21"/>
                <w:szCs w:val="21"/>
              </w:rPr>
            </w:pPr>
            <w:r>
              <w:rPr>
                <w:rFonts w:ascii="Times New Roman"/>
                <w:sz w:val="21"/>
              </w:rPr>
              <w:t>220,336,179.37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22.42%</w:t>
            </w:r>
          </w:p>
        </w:tc>
      </w:tr>
    </w:tbl>
    <w:p>
      <w:pPr>
        <w:pStyle w:val="BodyText"/>
        <w:spacing w:line="240" w:lineRule="auto" w:before="81"/>
        <w:ind w:left="634" w:right="0"/>
        <w:jc w:val="left"/>
      </w:pPr>
      <w:r>
        <w:rPr/>
        <w:t>驱动收入变化的因素</w:t>
      </w:r>
    </w:p>
    <w:p>
      <w:pPr>
        <w:pStyle w:val="BodyText"/>
        <w:spacing w:line="338" w:lineRule="auto" w:before="192"/>
        <w:ind w:left="154" w:right="212" w:firstLine="480"/>
        <w:jc w:val="left"/>
      </w:pPr>
      <w:r>
        <w:rPr/>
        <w:t>报告期内实现营业收入</w:t>
      </w:r>
      <w:r>
        <w:rPr>
          <w:spacing w:val="-60"/>
        </w:rPr>
        <w:t> </w:t>
      </w:r>
      <w:r>
        <w:rPr>
          <w:rFonts w:ascii="Times New Roman" w:hAnsi="Times New Roman" w:cs="Times New Roman" w:eastAsia="Times New Roman" w:hint="default"/>
        </w:rPr>
        <w:t>26,973.81 </w:t>
      </w:r>
      <w:r>
        <w:rPr/>
        <w:t>万元，较去年同期增长</w:t>
      </w:r>
      <w:r>
        <w:rPr>
          <w:spacing w:val="-60"/>
        </w:rPr>
        <w:t> </w:t>
      </w:r>
      <w:r>
        <w:rPr>
          <w:rFonts w:ascii="Times New Roman" w:hAnsi="Times New Roman" w:cs="Times New Roman" w:eastAsia="Times New Roman" w:hint="default"/>
        </w:rPr>
        <w:t>22.42%</w:t>
      </w:r>
      <w:r>
        <w:rPr/>
        <w:t>，主要系数字阅读产品 收入增长</w:t>
      </w:r>
      <w:r>
        <w:rPr>
          <w:spacing w:val="-60"/>
        </w:rPr>
        <w:t> </w:t>
      </w:r>
      <w:r>
        <w:rPr>
          <w:rFonts w:ascii="Times New Roman" w:hAnsi="Times New Roman" w:cs="Times New Roman" w:eastAsia="Times New Roman" w:hint="default"/>
        </w:rPr>
        <w:t>40.84%</w:t>
      </w:r>
      <w:r>
        <w:rPr/>
        <w:t>所致，详见（</w:t>
      </w:r>
      <w:r>
        <w:rPr>
          <w:rFonts w:ascii="Times New Roman" w:hAnsi="Times New Roman" w:cs="Times New Roman" w:eastAsia="Times New Roman" w:hint="default"/>
        </w:rPr>
        <w:t>2</w:t>
      </w:r>
      <w:r>
        <w:rPr/>
        <w:t>）主营业务分部报告。</w:t>
      </w:r>
    </w:p>
    <w:p>
      <w:pPr>
        <w:pStyle w:val="BodyText"/>
        <w:spacing w:line="240" w:lineRule="auto" w:before="67"/>
        <w:ind w:left="633" w:right="0"/>
        <w:jc w:val="left"/>
      </w:pPr>
      <w:r>
        <w:rPr/>
        <w:t>公司实物销售收入是否大于劳务收入</w:t>
      </w:r>
    </w:p>
    <w:p>
      <w:pPr>
        <w:pStyle w:val="BodyText"/>
        <w:spacing w:line="367" w:lineRule="auto" w:before="193"/>
        <w:ind w:left="634" w:right="66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公司重大的在手订单情况</w:t>
      </w:r>
    </w:p>
    <w:p>
      <w:pPr>
        <w:pStyle w:val="BodyText"/>
        <w:spacing w:line="367" w:lineRule="auto" w:before="67"/>
        <w:ind w:left="634" w:right="7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数量分散的订单情况</w:t>
      </w:r>
    </w:p>
    <w:p>
      <w:pPr>
        <w:pStyle w:val="BodyText"/>
        <w:spacing w:line="367" w:lineRule="auto" w:before="66"/>
        <w:ind w:left="634" w:right="35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公司报告期内产品或服务发生重大变化或调整有关情况</w:t>
      </w:r>
    </w:p>
    <w:p>
      <w:pPr>
        <w:pStyle w:val="BodyText"/>
        <w:spacing w:line="240" w:lineRule="auto" w:before="66"/>
        <w:ind w:left="6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before="175"/>
        <w:ind w:left="636"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）成本</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877" w:footer="979" w:top="1060" w:bottom="1160" w:left="980" w:right="980"/>
        </w:sectPr>
      </w:pPr>
    </w:p>
    <w:p>
      <w:pPr>
        <w:spacing w:line="240" w:lineRule="auto" w:before="10"/>
        <w:rPr>
          <w:rFonts w:ascii="宋体" w:hAnsi="宋体" w:cs="宋体" w:eastAsia="宋体" w:hint="default"/>
          <w:b/>
          <w:bCs/>
          <w:sz w:val="24"/>
          <w:szCs w:val="24"/>
        </w:rPr>
      </w:pPr>
    </w:p>
    <w:p>
      <w:pPr>
        <w:spacing w:before="35"/>
        <w:ind w:left="0" w:right="15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2014 </w:t>
            </w:r>
            <w:r>
              <w:rPr>
                <w:rFonts w:ascii="宋体" w:hAnsi="宋体" w:cs="宋体" w:eastAsia="宋体" w:hint="default"/>
                <w:b/>
                <w:bCs/>
                <w:sz w:val="21"/>
                <w:szCs w:val="21"/>
              </w:rPr>
              <w:t>年</w:t>
            </w:r>
            <w:r>
              <w:rPr>
                <w:rFonts w:ascii="宋体" w:hAnsi="宋体" w:cs="宋体" w:eastAsia="宋体" w:hint="default"/>
                <w:sz w:val="21"/>
                <w:szCs w:val="21"/>
              </w:rPr>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2013 </w:t>
            </w:r>
            <w:r>
              <w:rPr>
                <w:rFonts w:ascii="宋体" w:hAnsi="宋体" w:cs="宋体" w:eastAsia="宋体" w:hint="default"/>
                <w:b/>
                <w:bCs/>
                <w:sz w:val="21"/>
                <w:szCs w:val="21"/>
              </w:rPr>
              <w:t>年</w:t>
            </w:r>
            <w:r>
              <w:rPr>
                <w:rFonts w:ascii="宋体" w:hAnsi="宋体" w:cs="宋体" w:eastAsia="宋体" w:hint="default"/>
                <w:sz w:val="21"/>
                <w:szCs w:val="21"/>
              </w:rPr>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54"/>
              <w:jc w:val="right"/>
              <w:rPr>
                <w:rFonts w:ascii="宋体" w:hAnsi="宋体" w:cs="宋体" w:eastAsia="宋体" w:hint="default"/>
                <w:sz w:val="21"/>
                <w:szCs w:val="21"/>
              </w:rPr>
            </w:pPr>
            <w:r>
              <w:rPr>
                <w:rFonts w:ascii="宋体" w:hAnsi="宋体" w:cs="宋体" w:eastAsia="宋体" w:hint="default"/>
                <w:b/>
                <w:bCs/>
                <w:w w:val="95"/>
                <w:sz w:val="21"/>
                <w:szCs w:val="21"/>
              </w:rPr>
              <w:t>占营业成本比重</w:t>
            </w:r>
            <w:r>
              <w:rPr>
                <w:rFonts w:ascii="宋体" w:hAnsi="宋体" w:cs="宋体" w:eastAsia="宋体"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54"/>
              <w:jc w:val="right"/>
              <w:rPr>
                <w:rFonts w:ascii="宋体" w:hAnsi="宋体" w:cs="宋体" w:eastAsia="宋体" w:hint="default"/>
                <w:sz w:val="21"/>
                <w:szCs w:val="21"/>
              </w:rPr>
            </w:pPr>
            <w:r>
              <w:rPr>
                <w:rFonts w:ascii="宋体" w:hAnsi="宋体" w:cs="宋体" w:eastAsia="宋体" w:hint="default"/>
                <w:b/>
                <w:bCs/>
                <w:w w:val="95"/>
                <w:sz w:val="21"/>
                <w:szCs w:val="21"/>
              </w:rPr>
              <w:t>占营业成本比重</w:t>
            </w:r>
            <w:r>
              <w:rPr>
                <w:rFonts w:ascii="宋体" w:hAnsi="宋体" w:cs="宋体" w:eastAsia="宋体" w:hint="default"/>
                <w:sz w:val="21"/>
                <w:szCs w:val="21"/>
              </w:rPr>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版税成本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51,623,084.28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35,214,722.27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31.82%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46.60%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推广成本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46,388,385.53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2"/>
                <w:sz w:val="21"/>
              </w:rPr>
              <w:t>34,278,111.04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30.97%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35.33%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硬件成本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3,624,800.88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2,488,885.96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45.64%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维权成本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1,460,360.95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824,999.65</w:t>
            </w:r>
            <w:r>
              <w:rPr>
                <w:rFonts w:ascii="Times New Roman"/>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77.01%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运营成本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38,477,434.64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26.58%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35,785,883.14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32.33%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7.52%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数据加工成本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3,161,683.93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2,082,413.42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51.83%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144,735,750.21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110,675,015.48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30.78%</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060" w:bottom="1160" w:left="980" w:right="980"/>
        </w:sectPr>
      </w:pPr>
    </w:p>
    <w:p>
      <w:pPr>
        <w:spacing w:before="81"/>
        <w:ind w:left="636" w:right="-1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）费用</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0"/>
        <w:rPr>
          <w:rFonts w:ascii="宋体" w:hAnsi="宋体" w:cs="宋体" w:eastAsia="宋体" w:hint="default"/>
          <w:b/>
          <w:bCs/>
          <w:sz w:val="20"/>
          <w:szCs w:val="20"/>
        </w:rPr>
      </w:pPr>
    </w:p>
    <w:p>
      <w:pPr>
        <w:spacing w:before="0"/>
        <w:ind w:left="636"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980" w:right="980"/>
          <w:cols w:num="2" w:equalWidth="0">
            <w:col w:w="1481" w:space="6836"/>
            <w:col w:w="1633"/>
          </w:cols>
        </w:sectPr>
      </w:pP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7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2014 </w:t>
            </w:r>
            <w:r>
              <w:rPr>
                <w:rFonts w:ascii="宋体" w:hAnsi="宋体" w:cs="宋体" w:eastAsia="宋体" w:hint="default"/>
                <w:b/>
                <w:bCs/>
                <w:sz w:val="21"/>
                <w:szCs w:val="21"/>
              </w:rPr>
              <w:t>年</w:t>
            </w:r>
            <w:r>
              <w:rPr>
                <w:rFonts w:ascii="宋体" w:hAnsi="宋体" w:cs="宋体" w:eastAsia="宋体" w:hint="default"/>
                <w:sz w:val="21"/>
                <w:szCs w:val="21"/>
              </w:rPr>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7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2013 </w:t>
            </w:r>
            <w:r>
              <w:rPr>
                <w:rFonts w:ascii="宋体" w:hAnsi="宋体" w:cs="宋体" w:eastAsia="宋体" w:hint="default"/>
                <w:b/>
                <w:bCs/>
                <w:sz w:val="21"/>
                <w:szCs w:val="21"/>
              </w:rPr>
              <w:t>年</w:t>
            </w:r>
            <w:r>
              <w:rPr>
                <w:rFonts w:ascii="宋体" w:hAnsi="宋体" w:cs="宋体" w:eastAsia="宋体" w:hint="default"/>
                <w:sz w:val="21"/>
                <w:szCs w:val="21"/>
              </w:rPr>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03"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21" w:right="0"/>
              <w:jc w:val="left"/>
              <w:rPr>
                <w:rFonts w:ascii="宋体" w:hAnsi="宋体" w:cs="宋体" w:eastAsia="宋体" w:hint="default"/>
                <w:sz w:val="21"/>
                <w:szCs w:val="21"/>
              </w:rPr>
            </w:pPr>
            <w:r>
              <w:rPr>
                <w:rFonts w:ascii="宋体" w:hAnsi="宋体" w:cs="宋体" w:eastAsia="宋体" w:hint="default"/>
                <w:b/>
                <w:bCs/>
                <w:sz w:val="21"/>
                <w:szCs w:val="21"/>
              </w:rPr>
              <w:t>重大变动说明</w:t>
            </w:r>
            <w:r>
              <w:rPr>
                <w:rFonts w:ascii="宋体" w:hAnsi="宋体" w:cs="宋体" w:eastAsia="宋体" w:hint="default"/>
                <w:sz w:val="21"/>
                <w:szCs w:val="21"/>
              </w:rPr>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90" w:right="0"/>
              <w:jc w:val="left"/>
              <w:rPr>
                <w:rFonts w:ascii="Times New Roman" w:hAnsi="Times New Roman" w:cs="Times New Roman" w:eastAsia="Times New Roman" w:hint="default"/>
                <w:sz w:val="21"/>
                <w:szCs w:val="21"/>
              </w:rPr>
            </w:pPr>
            <w:r>
              <w:rPr>
                <w:rFonts w:ascii="Times New Roman"/>
                <w:sz w:val="21"/>
              </w:rPr>
              <w:t>28,277,445.07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04" w:right="0"/>
              <w:jc w:val="left"/>
              <w:rPr>
                <w:rFonts w:ascii="Times New Roman" w:hAnsi="Times New Roman" w:cs="Times New Roman" w:eastAsia="Times New Roman" w:hint="default"/>
                <w:sz w:val="21"/>
                <w:szCs w:val="21"/>
              </w:rPr>
            </w:pPr>
            <w:r>
              <w:rPr>
                <w:rFonts w:ascii="Times New Roman"/>
                <w:sz w:val="21"/>
              </w:rPr>
              <w:t>19,929,611.98</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80" w:right="0"/>
              <w:jc w:val="left"/>
              <w:rPr>
                <w:rFonts w:ascii="Times New Roman" w:hAnsi="Times New Roman" w:cs="Times New Roman" w:eastAsia="Times New Roman" w:hint="default"/>
                <w:sz w:val="21"/>
                <w:szCs w:val="21"/>
              </w:rPr>
            </w:pPr>
            <w:r>
              <w:rPr>
                <w:rFonts w:ascii="Times New Roman"/>
                <w:sz w:val="21"/>
              </w:rPr>
              <w:t>41.89%</w:t>
            </w:r>
          </w:p>
        </w:tc>
        <w:tc>
          <w:tcPr>
            <w:tcW w:w="2918" w:type="dxa"/>
            <w:vMerge w:val="restart"/>
            <w:tcBorders>
              <w:top w:val="single" w:sz="4" w:space="0" w:color="000000"/>
              <w:left w:val="single" w:sz="4" w:space="0" w:color="000000"/>
              <w:right w:val="single" w:sz="4" w:space="0" w:color="000000"/>
            </w:tcBorders>
          </w:tcPr>
          <w:p>
            <w:pPr>
              <w:pStyle w:val="TableParagraph"/>
              <w:spacing w:line="273" w:lineRule="auto" w:before="26"/>
              <w:ind w:left="22" w:right="153"/>
              <w:jc w:val="left"/>
              <w:rPr>
                <w:rFonts w:ascii="宋体" w:hAnsi="宋体" w:cs="宋体" w:eastAsia="宋体" w:hint="default"/>
                <w:sz w:val="21"/>
                <w:szCs w:val="21"/>
              </w:rPr>
            </w:pPr>
            <w:r>
              <w:rPr>
                <w:rFonts w:ascii="宋体" w:hAnsi="宋体" w:cs="宋体" w:eastAsia="宋体" w:hint="default"/>
                <w:sz w:val="21"/>
                <w:szCs w:val="21"/>
              </w:rPr>
              <w:t>销售人员工资标准提高及销售 人员增加所致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385" w:right="0"/>
              <w:jc w:val="left"/>
              <w:rPr>
                <w:rFonts w:ascii="Times New Roman" w:hAnsi="Times New Roman" w:cs="Times New Roman" w:eastAsia="Times New Roman" w:hint="default"/>
                <w:sz w:val="21"/>
                <w:szCs w:val="21"/>
              </w:rPr>
            </w:pPr>
            <w:r>
              <w:rPr>
                <w:rFonts w:ascii="Times New Roman"/>
                <w:sz w:val="21"/>
              </w:rPr>
              <w:t>57,918,599.21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97" w:right="0"/>
              <w:jc w:val="left"/>
              <w:rPr>
                <w:rFonts w:ascii="Times New Roman" w:hAnsi="Times New Roman" w:cs="Times New Roman" w:eastAsia="Times New Roman" w:hint="default"/>
                <w:sz w:val="21"/>
                <w:szCs w:val="21"/>
              </w:rPr>
            </w:pPr>
            <w:r>
              <w:rPr>
                <w:rFonts w:ascii="Times New Roman"/>
                <w:sz w:val="21"/>
              </w:rPr>
              <w:t>47,865,038.60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80" w:right="0"/>
              <w:jc w:val="left"/>
              <w:rPr>
                <w:rFonts w:ascii="Times New Roman" w:hAnsi="Times New Roman" w:cs="Times New Roman" w:eastAsia="Times New Roman" w:hint="default"/>
                <w:sz w:val="21"/>
                <w:szCs w:val="21"/>
              </w:rPr>
            </w:pPr>
            <w:r>
              <w:rPr>
                <w:rFonts w:ascii="Times New Roman"/>
                <w:sz w:val="21"/>
              </w:rPr>
              <w:t>21.00%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研发投入增加所致</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52" w:right="0"/>
              <w:jc w:val="left"/>
              <w:rPr>
                <w:rFonts w:ascii="Times New Roman" w:hAnsi="Times New Roman" w:cs="Times New Roman" w:eastAsia="Times New Roman" w:hint="default"/>
                <w:sz w:val="21"/>
                <w:szCs w:val="21"/>
              </w:rPr>
            </w:pPr>
            <w:r>
              <w:rPr>
                <w:rFonts w:ascii="Times New Roman"/>
                <w:sz w:val="21"/>
              </w:rPr>
              <w:t>393,408.08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89" w:right="0"/>
              <w:jc w:val="left"/>
              <w:rPr>
                <w:rFonts w:ascii="Times New Roman" w:hAnsi="Times New Roman" w:cs="Times New Roman" w:eastAsia="Times New Roman" w:hint="default"/>
                <w:sz w:val="21"/>
                <w:szCs w:val="21"/>
              </w:rPr>
            </w:pPr>
            <w:r>
              <w:rPr>
                <w:rFonts w:ascii="Times New Roman"/>
                <w:sz w:val="21"/>
              </w:rPr>
              <w:t>-873,823.78</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75" w:right="0"/>
              <w:jc w:val="left"/>
              <w:rPr>
                <w:rFonts w:ascii="Times New Roman" w:hAnsi="Times New Roman" w:cs="Times New Roman" w:eastAsia="Times New Roman" w:hint="default"/>
                <w:sz w:val="21"/>
                <w:szCs w:val="21"/>
              </w:rPr>
            </w:pPr>
            <w:r>
              <w:rPr>
                <w:rFonts w:ascii="Times New Roman"/>
                <w:sz w:val="21"/>
              </w:rPr>
              <w:t>145.02%</w:t>
            </w:r>
          </w:p>
        </w:tc>
        <w:tc>
          <w:tcPr>
            <w:tcW w:w="2918" w:type="dxa"/>
            <w:vMerge w:val="restart"/>
            <w:tcBorders>
              <w:top w:val="single" w:sz="4" w:space="0" w:color="000000"/>
              <w:left w:val="single" w:sz="4" w:space="0" w:color="000000"/>
              <w:right w:val="single" w:sz="4" w:space="0" w:color="000000"/>
            </w:tcBorders>
          </w:tcPr>
          <w:p>
            <w:pPr>
              <w:pStyle w:val="TableParagraph"/>
              <w:spacing w:line="256" w:lineRule="auto" w:before="26"/>
              <w:ind w:left="22" w:right="48"/>
              <w:jc w:val="left"/>
              <w:rPr>
                <w:rFonts w:ascii="宋体" w:hAnsi="宋体" w:cs="宋体" w:eastAsia="宋体" w:hint="default"/>
                <w:sz w:val="21"/>
                <w:szCs w:val="21"/>
              </w:rPr>
            </w:pPr>
            <w:r>
              <w:rPr>
                <w:rFonts w:ascii="宋体" w:hAnsi="宋体" w:cs="宋体" w:eastAsia="宋体" w:hint="default"/>
                <w:sz w:val="21"/>
                <w:szCs w:val="21"/>
              </w:rPr>
              <w:t>新增贷款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5500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万，导致利息支 出增加</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94" w:right="0"/>
              <w:jc w:val="left"/>
              <w:rPr>
                <w:rFonts w:ascii="Times New Roman" w:hAnsi="Times New Roman" w:cs="Times New Roman" w:eastAsia="Times New Roman" w:hint="default"/>
                <w:sz w:val="21"/>
                <w:szCs w:val="21"/>
              </w:rPr>
            </w:pPr>
            <w:r>
              <w:rPr>
                <w:rFonts w:ascii="Times New Roman"/>
                <w:sz w:val="21"/>
              </w:rPr>
              <w:t>7,593,033.80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2" w:right="0"/>
              <w:jc w:val="left"/>
              <w:rPr>
                <w:rFonts w:ascii="Times New Roman" w:hAnsi="Times New Roman" w:cs="Times New Roman" w:eastAsia="Times New Roman" w:hint="default"/>
                <w:sz w:val="21"/>
                <w:szCs w:val="21"/>
              </w:rPr>
            </w:pPr>
            <w:r>
              <w:rPr>
                <w:rFonts w:ascii="Times New Roman"/>
                <w:sz w:val="21"/>
              </w:rPr>
              <w:t>6,427,228.77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80" w:right="0"/>
              <w:jc w:val="left"/>
              <w:rPr>
                <w:rFonts w:ascii="Times New Roman" w:hAnsi="Times New Roman" w:cs="Times New Roman" w:eastAsia="Times New Roman" w:hint="default"/>
                <w:sz w:val="21"/>
                <w:szCs w:val="21"/>
              </w:rPr>
            </w:pPr>
            <w:r>
              <w:rPr>
                <w:rFonts w:ascii="Times New Roman"/>
                <w:sz w:val="21"/>
              </w:rPr>
              <w:t>18.14%</w:t>
            </w:r>
          </w:p>
        </w:tc>
        <w:tc>
          <w:tcPr>
            <w:tcW w:w="2918" w:type="dxa"/>
            <w:vMerge w:val="restart"/>
            <w:tcBorders>
              <w:top w:val="single" w:sz="4" w:space="0" w:color="000000"/>
              <w:left w:val="single" w:sz="4" w:space="0" w:color="000000"/>
              <w:right w:val="single" w:sz="4" w:space="0" w:color="000000"/>
            </w:tcBorders>
          </w:tcPr>
          <w:p>
            <w:pPr>
              <w:pStyle w:val="TableParagraph"/>
              <w:spacing w:line="273" w:lineRule="auto" w:before="26"/>
              <w:ind w:left="22" w:right="153"/>
              <w:jc w:val="left"/>
              <w:rPr>
                <w:rFonts w:ascii="宋体" w:hAnsi="宋体" w:cs="宋体" w:eastAsia="宋体" w:hint="default"/>
                <w:sz w:val="21"/>
                <w:szCs w:val="21"/>
              </w:rPr>
            </w:pPr>
            <w:r>
              <w:rPr>
                <w:rFonts w:ascii="宋体" w:hAnsi="宋体" w:cs="宋体" w:eastAsia="宋体" w:hint="default"/>
                <w:sz w:val="21"/>
                <w:szCs w:val="21"/>
              </w:rPr>
              <w:t>递延收益及可弥补亏损减少所 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before="172"/>
        <w:ind w:left="636"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）研发投入</w:t>
      </w:r>
      <w:r>
        <w:rPr>
          <w:rFonts w:ascii="宋体" w:hAnsi="宋体" w:cs="宋体" w:eastAsia="宋体" w:hint="default"/>
          <w:sz w:val="24"/>
          <w:szCs w:val="24"/>
        </w:rPr>
      </w:r>
    </w:p>
    <w:p>
      <w:pPr>
        <w:pStyle w:val="BodyText"/>
        <w:spacing w:line="364" w:lineRule="auto" w:before="175"/>
        <w:ind w:left="634" w:right="1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为了巩固公司核心技术优势、全媒体出版优势，公司持续增加了对移动互联网产品和教</w:t>
      </w:r>
    </w:p>
    <w:p>
      <w:pPr>
        <w:pStyle w:val="BodyText"/>
        <w:spacing w:line="357" w:lineRule="auto" w:before="29"/>
        <w:ind w:right="189"/>
        <w:jc w:val="both"/>
      </w:pPr>
      <w:r>
        <w:rPr/>
        <w:t>育阅读产品的研发投入。</w:t>
      </w:r>
      <w:r>
        <w:rPr>
          <w:rFonts w:ascii="宋体" w:hAnsi="宋体" w:cs="宋体" w:eastAsia="宋体" w:hint="default"/>
        </w:rPr>
        <w:t>2014</w:t>
      </w:r>
      <w:r>
        <w:rPr>
          <w:rFonts w:ascii="宋体" w:hAnsi="宋体" w:cs="宋体" w:eastAsia="宋体" w:hint="default"/>
          <w:spacing w:val="-60"/>
        </w:rPr>
        <w:t> </w:t>
      </w:r>
      <w:r>
        <w:rPr/>
        <w:t>年研发支出</w:t>
      </w:r>
      <w:r>
        <w:rPr>
          <w:spacing w:val="-60"/>
        </w:rPr>
        <w:t> </w:t>
      </w:r>
      <w:r>
        <w:rPr>
          <w:rFonts w:ascii="宋体" w:hAnsi="宋体" w:cs="宋体" w:eastAsia="宋体" w:hint="default"/>
        </w:rPr>
        <w:t>3,192.46</w:t>
      </w:r>
      <w:r>
        <w:rPr>
          <w:rFonts w:ascii="宋体" w:hAnsi="宋体" w:cs="宋体" w:eastAsia="宋体" w:hint="default"/>
          <w:spacing w:val="-60"/>
        </w:rPr>
        <w:t> </w:t>
      </w:r>
      <w:r>
        <w:rPr/>
        <w:t>万元，同比增加</w:t>
      </w:r>
      <w:r>
        <w:rPr>
          <w:spacing w:val="-60"/>
        </w:rPr>
        <w:t> </w:t>
      </w:r>
      <w:r>
        <w:rPr>
          <w:rFonts w:ascii="宋体" w:hAnsi="宋体" w:cs="宋体" w:eastAsia="宋体" w:hint="default"/>
        </w:rPr>
        <w:t>32.69%</w:t>
      </w:r>
      <w:r>
        <w:rPr/>
        <w:t>，占营业收入的 </w:t>
      </w:r>
      <w:r>
        <w:rPr>
          <w:rFonts w:ascii="宋体" w:hAnsi="宋体" w:cs="宋体" w:eastAsia="宋体" w:hint="default"/>
        </w:rPr>
        <w:t>11.84%</w:t>
      </w:r>
      <w:r>
        <w:rPr/>
        <w:t>。新品研发已取得了阶段性成果，陆续投放市场，极大地提升了写作和阅读体验，增 加了教育阅读产品收入。</w:t>
      </w:r>
    </w:p>
    <w:p>
      <w:pPr>
        <w:pStyle w:val="BodyText"/>
        <w:spacing w:line="240" w:lineRule="auto" w:before="77"/>
        <w:ind w:left="634" w:right="0"/>
        <w:jc w:val="left"/>
      </w:pPr>
      <w:r>
        <w:rPr/>
        <w:t>近三年公司研发投入金额及占营业收入的比例</w:t>
      </w:r>
    </w:p>
    <w:p>
      <w:pPr>
        <w:spacing w:line="240" w:lineRule="auto" w:before="8"/>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2014 </w:t>
            </w:r>
            <w:r>
              <w:rPr>
                <w:rFonts w:ascii="宋体" w:hAnsi="宋体" w:cs="宋体" w:eastAsia="宋体" w:hint="default"/>
                <w:b/>
                <w:bCs/>
                <w:sz w:val="21"/>
                <w:szCs w:val="21"/>
              </w:rPr>
              <w:t>年</w:t>
            </w:r>
            <w:r>
              <w:rPr>
                <w:rFonts w:ascii="宋体" w:hAnsi="宋体" w:cs="宋体" w:eastAsia="宋体" w:hint="default"/>
                <w:sz w:val="21"/>
                <w:szCs w:val="21"/>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2013 </w:t>
            </w:r>
            <w:r>
              <w:rPr>
                <w:rFonts w:ascii="宋体" w:hAnsi="宋体" w:cs="宋体" w:eastAsia="宋体" w:hint="default"/>
                <w:b/>
                <w:bCs/>
                <w:sz w:val="21"/>
                <w:szCs w:val="21"/>
              </w:rPr>
              <w:t>年</w:t>
            </w:r>
            <w:r>
              <w:rPr>
                <w:rFonts w:ascii="宋体" w:hAnsi="宋体" w:cs="宋体" w:eastAsia="宋体" w:hint="default"/>
                <w:sz w:val="21"/>
                <w:szCs w:val="21"/>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2012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31,924,600.61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24,059,864.58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15,723,360.82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2"/>
                <w:sz w:val="21"/>
              </w:rPr>
              <w:t>11.84%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8.55%</w:t>
            </w:r>
          </w:p>
        </w:tc>
      </w:tr>
    </w:tbl>
    <w:p>
      <w:pPr>
        <w:pStyle w:val="BodyText"/>
        <w:spacing w:line="240" w:lineRule="auto" w:before="81"/>
        <w:ind w:left="634" w:right="0"/>
        <w:jc w:val="left"/>
      </w:pPr>
      <w:r>
        <w:rPr/>
        <w:t>研发投入资本化率大幅变动的原因及其合理性说明</w:t>
      </w:r>
    </w:p>
    <w:p>
      <w:pPr>
        <w:pStyle w:val="BodyText"/>
        <w:spacing w:line="240" w:lineRule="auto" w:before="194"/>
        <w:ind w:left="6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type w:val="continuous"/>
          <w:pgSz w:w="11910" w:h="16840"/>
          <w:pgMar w:top="1060" w:bottom="1160" w:left="980" w:right="980"/>
        </w:sectPr>
      </w:pPr>
    </w:p>
    <w:p>
      <w:pPr>
        <w:spacing w:line="240" w:lineRule="auto" w:before="9"/>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16"/>
          <w:pgSz w:w="11910" w:h="16840"/>
          <w:pgMar w:footer="979" w:header="877" w:top="1060" w:bottom="1160" w:left="980" w:right="980"/>
          <w:pgNumType w:start="18"/>
        </w:sectPr>
      </w:pPr>
    </w:p>
    <w:p>
      <w:pPr>
        <w:spacing w:before="26"/>
        <w:ind w:left="636" w:right="-1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）现金流</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7"/>
        <w:rPr>
          <w:rFonts w:ascii="宋体" w:hAnsi="宋体" w:cs="宋体" w:eastAsia="宋体" w:hint="default"/>
          <w:b/>
          <w:bCs/>
          <w:sz w:val="16"/>
          <w:szCs w:val="16"/>
        </w:rPr>
      </w:pPr>
    </w:p>
    <w:p>
      <w:pPr>
        <w:spacing w:before="0"/>
        <w:ind w:left="636"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980" w:right="980"/>
          <w:cols w:num="2" w:equalWidth="0">
            <w:col w:w="1722" w:space="6595"/>
            <w:col w:w="1633"/>
          </w:cols>
        </w:sectPr>
      </w:pP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2014 </w:t>
            </w:r>
            <w:r>
              <w:rPr>
                <w:rFonts w:ascii="宋体" w:hAnsi="宋体" w:cs="宋体" w:eastAsia="宋体" w:hint="default"/>
                <w:b/>
                <w:bCs/>
                <w:sz w:val="21"/>
                <w:szCs w:val="21"/>
              </w:rPr>
              <w:t>年</w:t>
            </w:r>
            <w:r>
              <w:rPr>
                <w:rFonts w:ascii="宋体" w:hAnsi="宋体" w:cs="宋体" w:eastAsia="宋体" w:hint="default"/>
                <w:sz w:val="21"/>
                <w:szCs w:val="21"/>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2013 </w:t>
            </w:r>
            <w:r>
              <w:rPr>
                <w:rFonts w:ascii="宋体" w:hAnsi="宋体" w:cs="宋体" w:eastAsia="宋体" w:hint="default"/>
                <w:b/>
                <w:bCs/>
                <w:sz w:val="21"/>
                <w:szCs w:val="21"/>
              </w:rPr>
              <w:t>年</w:t>
            </w:r>
            <w:r>
              <w:rPr>
                <w:rFonts w:ascii="宋体" w:hAnsi="宋体" w:cs="宋体" w:eastAsia="宋体" w:hint="default"/>
                <w:sz w:val="21"/>
                <w:szCs w:val="21"/>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9"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275,015,850.02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230,235,891.45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19.45%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236,689,896.94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181,524,596.53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30.39%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36"/>
              <w:jc w:val="left"/>
              <w:rPr>
                <w:rFonts w:ascii="宋体" w:hAnsi="宋体" w:cs="宋体" w:eastAsia="宋体" w:hint="default"/>
                <w:sz w:val="21"/>
                <w:szCs w:val="21"/>
              </w:rPr>
            </w:pPr>
            <w:r>
              <w:rPr>
                <w:rFonts w:ascii="宋体" w:hAnsi="宋体" w:cs="宋体" w:eastAsia="宋体" w:hint="default"/>
                <w:sz w:val="21"/>
                <w:szCs w:val="21"/>
              </w:rPr>
              <w:t>经营活动产生的现金流量 净额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38,325,953.08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48,711,294.92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-21.32%</w:t>
            </w:r>
            <w:r>
              <w:rPr>
                <w:rFonts w:ascii="Times New Roman"/>
                <w:sz w:val="21"/>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1,080,175.37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141,810,152.59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25,324,784.76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459.97%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35"/>
              <w:jc w:val="left"/>
              <w:rPr>
                <w:rFonts w:ascii="宋体" w:hAnsi="宋体" w:cs="宋体" w:eastAsia="宋体" w:hint="default"/>
                <w:sz w:val="21"/>
                <w:szCs w:val="21"/>
              </w:rPr>
            </w:pPr>
            <w:r>
              <w:rPr>
                <w:rFonts w:ascii="宋体" w:hAnsi="宋体" w:cs="宋体" w:eastAsia="宋体" w:hint="default"/>
                <w:sz w:val="21"/>
                <w:szCs w:val="21"/>
              </w:rPr>
              <w:t>投资活动产生的现金流量 净额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-140,729,977.22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-25,324,784.76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-455.70%</w:t>
            </w:r>
            <w:r>
              <w:rPr>
                <w:rFonts w:ascii="Times New Roman"/>
                <w:sz w:val="21"/>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55,000,000.00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9,785,973.35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11,554,890.68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-15.31%</w:t>
            </w:r>
            <w:r>
              <w:rPr>
                <w:rFonts w:ascii="Times New Roman"/>
                <w:sz w:val="21"/>
              </w:rPr>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36"/>
              <w:jc w:val="left"/>
              <w:rPr>
                <w:rFonts w:ascii="宋体" w:hAnsi="宋体" w:cs="宋体" w:eastAsia="宋体" w:hint="default"/>
                <w:sz w:val="21"/>
                <w:szCs w:val="21"/>
              </w:rPr>
            </w:pPr>
            <w:r>
              <w:rPr>
                <w:rFonts w:ascii="宋体" w:hAnsi="宋体" w:cs="宋体" w:eastAsia="宋体" w:hint="default"/>
                <w:sz w:val="21"/>
                <w:szCs w:val="21"/>
              </w:rPr>
              <w:t>筹资活动产生的现金流量 净额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45,214,026.65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-11,554,890.68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491.30%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36"/>
              <w:jc w:val="left"/>
              <w:rPr>
                <w:rFonts w:ascii="宋体" w:hAnsi="宋体" w:cs="宋体" w:eastAsia="宋体" w:hint="default"/>
                <w:sz w:val="21"/>
                <w:szCs w:val="21"/>
              </w:rPr>
            </w:pPr>
            <w:r>
              <w:rPr>
                <w:rFonts w:ascii="宋体" w:hAnsi="宋体" w:cs="宋体" w:eastAsia="宋体" w:hint="default"/>
                <w:sz w:val="21"/>
                <w:szCs w:val="21"/>
              </w:rPr>
              <w:t>现金及现金等价物净增加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-57,189,998.88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11,831,619.48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-583.37%</w:t>
            </w:r>
            <w:r>
              <w:rPr>
                <w:rFonts w:ascii="Times New Roman"/>
                <w:sz w:val="21"/>
              </w:rPr>
            </w:r>
          </w:p>
        </w:tc>
      </w:tr>
    </w:tbl>
    <w:p>
      <w:pPr>
        <w:pStyle w:val="BodyText"/>
        <w:spacing w:line="240" w:lineRule="auto" w:before="81"/>
        <w:ind w:left="134" w:right="4469"/>
        <w:jc w:val="center"/>
      </w:pPr>
      <w:r>
        <w:rPr/>
        <w:t>相关数据同比发生变动</w:t>
      </w:r>
      <w:r>
        <w:rPr>
          <w:spacing w:val="-60"/>
        </w:rPr>
        <w:t> </w:t>
      </w:r>
      <w:r>
        <w:rPr>
          <w:rFonts w:ascii="Times New Roman" w:hAnsi="Times New Roman" w:cs="Times New Roman" w:eastAsia="Times New Roman" w:hint="default"/>
        </w:rPr>
        <w:t>30%</w:t>
      </w:r>
      <w:r>
        <w:rPr/>
        <w:t>以上的原因说明</w:t>
      </w:r>
    </w:p>
    <w:p>
      <w:pPr>
        <w:pStyle w:val="BodyText"/>
        <w:spacing w:line="240" w:lineRule="auto" w:before="177"/>
        <w:ind w:left="6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40" w:lineRule="auto" w:before="175"/>
        <w:ind w:left="634" w:right="0"/>
        <w:jc w:val="left"/>
      </w:pPr>
      <w:r>
        <w:rPr/>
        <w:t>①经营活动的现金流出较上年同期增加</w:t>
      </w:r>
      <w:r>
        <w:rPr>
          <w:spacing w:val="-61"/>
        </w:rPr>
        <w:t> </w:t>
      </w:r>
      <w:r>
        <w:rPr>
          <w:rFonts w:ascii="Times New Roman" w:hAnsi="Times New Roman" w:cs="Times New Roman" w:eastAsia="Times New Roman" w:hint="default"/>
        </w:rPr>
        <w:t>30.39%</w:t>
      </w:r>
      <w:r>
        <w:rPr/>
        <w:t>，系成本费用支出增加所致。</w:t>
      </w:r>
    </w:p>
    <w:p>
      <w:pPr>
        <w:pStyle w:val="BodyText"/>
        <w:spacing w:line="240" w:lineRule="auto" w:before="174"/>
        <w:ind w:left="633" w:right="0"/>
        <w:jc w:val="left"/>
      </w:pPr>
      <w:r>
        <w:rPr/>
        <w:t>②投资活动的现金流入较上年同期增加，为参股公司学友园中少分配的</w:t>
      </w:r>
      <w:r>
        <w:rPr>
          <w:spacing w:val="-60"/>
        </w:rPr>
        <w:t> </w:t>
      </w:r>
      <w:r>
        <w:rPr>
          <w:rFonts w:ascii="Times New Roman" w:hAnsi="Times New Roman" w:cs="Times New Roman" w:eastAsia="Times New Roman" w:hint="default"/>
        </w:rPr>
        <w:t>2013 </w:t>
      </w:r>
      <w:r>
        <w:rPr/>
        <w:t>年度现金</w:t>
      </w:r>
    </w:p>
    <w:p>
      <w:pPr>
        <w:pStyle w:val="BodyText"/>
        <w:spacing w:line="240" w:lineRule="auto" w:before="137"/>
        <w:ind w:right="0"/>
        <w:jc w:val="left"/>
      </w:pPr>
      <w:r>
        <w:rPr/>
        <w:t>分红</w:t>
      </w:r>
      <w:r>
        <w:rPr>
          <w:spacing w:val="-60"/>
        </w:rPr>
        <w:t> </w:t>
      </w:r>
      <w:r>
        <w:rPr>
          <w:rFonts w:ascii="Times New Roman" w:hAnsi="Times New Roman" w:cs="Times New Roman" w:eastAsia="Times New Roman" w:hint="default"/>
        </w:rPr>
        <w:t>108.02 </w:t>
      </w:r>
      <w:r>
        <w:rPr/>
        <w:t>万元。</w:t>
      </w:r>
    </w:p>
    <w:p>
      <w:pPr>
        <w:pStyle w:val="BodyText"/>
        <w:spacing w:line="338" w:lineRule="auto" w:before="175"/>
        <w:ind w:right="213" w:firstLine="480"/>
        <w:jc w:val="left"/>
      </w:pPr>
      <w:r>
        <w:rPr/>
        <w:t>③投资活动的现金流出较上年同期增加</w:t>
      </w:r>
      <w:r>
        <w:rPr>
          <w:spacing w:val="-60"/>
        </w:rPr>
        <w:t> </w:t>
      </w:r>
      <w:r>
        <w:rPr>
          <w:rFonts w:ascii="Times New Roman" w:hAnsi="Times New Roman" w:cs="Times New Roman" w:eastAsia="Times New Roman" w:hint="default"/>
        </w:rPr>
        <w:t>459.97%</w:t>
      </w:r>
      <w:r>
        <w:rPr/>
        <w:t>、投资活动产生的现金流量净额较上年 同期增加</w:t>
      </w:r>
      <w:r>
        <w:rPr>
          <w:spacing w:val="-60"/>
        </w:rPr>
        <w:t> </w:t>
      </w:r>
      <w:r>
        <w:rPr>
          <w:rFonts w:ascii="Times New Roman" w:hAnsi="Times New Roman" w:cs="Times New Roman" w:eastAsia="Times New Roman" w:hint="default"/>
        </w:rPr>
        <w:t>455.70%</w:t>
      </w:r>
      <w:r>
        <w:rPr/>
        <w:t>，系投资天翼阅读、在线教育并由其投资</w:t>
      </w:r>
      <w:r>
        <w:rPr>
          <w:spacing w:val="-60"/>
        </w:rPr>
        <w:t> </w:t>
      </w:r>
      <w:r>
        <w:rPr>
          <w:rFonts w:ascii="Times New Roman" w:hAnsi="Times New Roman" w:cs="Times New Roman" w:eastAsia="Times New Roman" w:hint="default"/>
        </w:rPr>
        <w:t>MOOC-CN</w:t>
      </w:r>
      <w:r>
        <w:rPr>
          <w:rFonts w:ascii="Times New Roman" w:hAnsi="Times New Roman" w:cs="Times New Roman" w:eastAsia="Times New Roman" w:hint="default"/>
          <w:spacing w:val="-1"/>
        </w:rPr>
        <w:t> </w:t>
      </w:r>
      <w:r>
        <w:rPr>
          <w:rFonts w:ascii="Times New Roman" w:hAnsi="Times New Roman" w:cs="Times New Roman" w:eastAsia="Times New Roman" w:hint="default"/>
        </w:rPr>
        <w:t>Information</w:t>
      </w:r>
      <w:r>
        <w:rPr>
          <w:rFonts w:ascii="Times New Roman" w:hAnsi="Times New Roman" w:cs="Times New Roman" w:eastAsia="Times New Roman" w:hint="default"/>
        </w:rPr>
        <w:t> Technology</w:t>
      </w:r>
      <w:r>
        <w:rPr/>
        <w:t>（</w:t>
      </w:r>
      <w:r>
        <w:rPr>
          <w:rFonts w:ascii="Times New Roman" w:hAnsi="Times New Roman" w:cs="Times New Roman" w:eastAsia="Times New Roman" w:hint="default"/>
        </w:rPr>
        <w:t>Cayman</w:t>
      </w:r>
      <w:r>
        <w:rPr/>
        <w:t>）</w:t>
      </w:r>
      <w:r>
        <w:rPr>
          <w:rFonts w:ascii="Times New Roman" w:hAnsi="Times New Roman" w:cs="Times New Roman" w:eastAsia="Times New Roman" w:hint="default"/>
        </w:rPr>
        <w:t>Corporation</w:t>
      </w:r>
      <w:r>
        <w:rPr>
          <w:rFonts w:ascii="Times New Roman" w:hAnsi="Times New Roman" w:cs="Times New Roman" w:eastAsia="Times New Roman" w:hint="default"/>
          <w:spacing w:val="-2"/>
        </w:rPr>
        <w:t> </w:t>
      </w:r>
      <w:r>
        <w:rPr/>
        <w:t>共计</w:t>
      </w:r>
      <w:r>
        <w:rPr>
          <w:spacing w:val="-62"/>
        </w:rPr>
        <w:t> </w:t>
      </w:r>
      <w:r>
        <w:rPr>
          <w:rFonts w:ascii="Times New Roman" w:hAnsi="Times New Roman" w:cs="Times New Roman" w:eastAsia="Times New Roman" w:hint="default"/>
        </w:rPr>
        <w:t>8,063.72</w:t>
      </w:r>
      <w:r>
        <w:rPr>
          <w:rFonts w:ascii="Times New Roman" w:hAnsi="Times New Roman" w:cs="Times New Roman" w:eastAsia="Times New Roman" w:hint="default"/>
          <w:spacing w:val="-2"/>
        </w:rPr>
        <w:t> </w:t>
      </w:r>
      <w:r>
        <w:rPr/>
        <w:t>万元所致。</w:t>
      </w:r>
    </w:p>
    <w:p>
      <w:pPr>
        <w:pStyle w:val="BodyText"/>
        <w:spacing w:line="240" w:lineRule="auto" w:before="65"/>
        <w:ind w:left="633" w:right="0"/>
        <w:jc w:val="left"/>
      </w:pPr>
      <w:r>
        <w:rPr/>
        <w:t>④筹资活动现金流入较上年同期增加、筹资活动产生的现金流量净额较上年同期增加</w:t>
      </w:r>
    </w:p>
    <w:p>
      <w:pPr>
        <w:pStyle w:val="BodyText"/>
        <w:spacing w:line="240" w:lineRule="auto" w:before="155"/>
        <w:ind w:right="0"/>
        <w:jc w:val="left"/>
      </w:pPr>
      <w:r>
        <w:rPr>
          <w:rFonts w:ascii="Times New Roman" w:hAnsi="Times New Roman" w:cs="Times New Roman" w:eastAsia="Times New Roman" w:hint="default"/>
        </w:rPr>
        <w:t>491.30%</w:t>
      </w:r>
      <w:r>
        <w:rPr/>
        <w:t>，系新增银行短期借款</w:t>
      </w:r>
      <w:r>
        <w:rPr>
          <w:spacing w:val="-61"/>
        </w:rPr>
        <w:t> </w:t>
      </w:r>
      <w:r>
        <w:rPr>
          <w:rFonts w:ascii="Times New Roman" w:hAnsi="Times New Roman" w:cs="Times New Roman" w:eastAsia="Times New Roman" w:hint="default"/>
        </w:rPr>
        <w:t>5,500</w:t>
      </w:r>
      <w:r>
        <w:rPr>
          <w:rFonts w:ascii="Times New Roman" w:hAnsi="Times New Roman" w:cs="Times New Roman" w:eastAsia="Times New Roman" w:hint="default"/>
          <w:spacing w:val="-1"/>
        </w:rPr>
        <w:t> </w:t>
      </w:r>
      <w:r>
        <w:rPr/>
        <w:t>万元所致。</w:t>
      </w:r>
    </w:p>
    <w:p>
      <w:pPr>
        <w:pStyle w:val="BodyText"/>
        <w:spacing w:line="338" w:lineRule="auto" w:before="174"/>
        <w:ind w:right="213" w:firstLine="480"/>
        <w:jc w:val="left"/>
      </w:pPr>
      <w:r>
        <w:rPr/>
        <w:t>⑤现金及现金等价物净增加额较上年同期减少</w:t>
      </w:r>
      <w:r>
        <w:rPr>
          <w:spacing w:val="-60"/>
        </w:rPr>
        <w:t> </w:t>
      </w:r>
      <w:r>
        <w:rPr>
          <w:rFonts w:ascii="Times New Roman" w:hAnsi="Times New Roman" w:cs="Times New Roman" w:eastAsia="Times New Roman" w:hint="default"/>
        </w:rPr>
        <w:t>583.37%</w:t>
      </w:r>
      <w:r>
        <w:rPr/>
        <w:t>，系成本费用支出增加及对外投 资增加所致。</w:t>
      </w:r>
    </w:p>
    <w:p>
      <w:pPr>
        <w:pStyle w:val="BodyText"/>
        <w:spacing w:line="240" w:lineRule="auto" w:before="96"/>
        <w:ind w:left="633" w:right="0"/>
        <w:jc w:val="left"/>
      </w:pPr>
      <w:r>
        <w:rPr/>
        <w:t>报告期内公司经营活动的现金流量与本年度净利润存在重大差异的原因说明</w:t>
      </w:r>
    </w:p>
    <w:p>
      <w:pPr>
        <w:pStyle w:val="BodyText"/>
        <w:spacing w:line="240" w:lineRule="auto" w:before="193"/>
        <w:ind w:left="6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before="175"/>
        <w:ind w:left="636"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8</w:t>
      </w:r>
      <w:r>
        <w:rPr>
          <w:rFonts w:ascii="宋体" w:hAnsi="宋体" w:cs="宋体" w:eastAsia="宋体" w:hint="default"/>
          <w:b/>
          <w:bCs/>
          <w:sz w:val="24"/>
          <w:szCs w:val="24"/>
        </w:rPr>
        <w:t>）公司主要供应商、客户情况</w:t>
      </w:r>
      <w:r>
        <w:rPr>
          <w:rFonts w:ascii="宋体" w:hAnsi="宋体" w:cs="宋体" w:eastAsia="宋体" w:hint="default"/>
          <w:sz w:val="24"/>
          <w:szCs w:val="24"/>
        </w:rPr>
      </w:r>
    </w:p>
    <w:p>
      <w:pPr>
        <w:spacing w:after="0"/>
        <w:jc w:val="left"/>
        <w:rPr>
          <w:rFonts w:ascii="宋体" w:hAnsi="宋体" w:cs="宋体" w:eastAsia="宋体" w:hint="default"/>
          <w:sz w:val="24"/>
          <w:szCs w:val="24"/>
        </w:rPr>
        <w:sectPr>
          <w:type w:val="continuous"/>
          <w:pgSz w:w="11910" w:h="16840"/>
          <w:pgMar w:top="1060" w:bottom="1160" w:left="980" w:right="980"/>
        </w:sectPr>
      </w:pPr>
    </w:p>
    <w:p>
      <w:pPr>
        <w:spacing w:line="240" w:lineRule="auto" w:before="9"/>
        <w:rPr>
          <w:rFonts w:ascii="宋体" w:hAnsi="宋体" w:cs="宋体" w:eastAsia="宋体" w:hint="default"/>
          <w:b/>
          <w:bCs/>
          <w:sz w:val="29"/>
          <w:szCs w:val="29"/>
        </w:rPr>
      </w:pPr>
    </w:p>
    <w:p>
      <w:pPr>
        <w:pStyle w:val="BodyText"/>
        <w:spacing w:line="240" w:lineRule="auto"/>
        <w:ind w:left="633" w:right="0"/>
        <w:jc w:val="left"/>
      </w:pPr>
      <w:r>
        <w:rPr/>
        <w:t>公司主要销售客户情况</w:t>
      </w:r>
    </w:p>
    <w:p>
      <w:pPr>
        <w:spacing w:line="240" w:lineRule="auto" w:before="8"/>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143,558,236.25</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53.22%</w:t>
            </w:r>
          </w:p>
        </w:tc>
      </w:tr>
    </w:tbl>
    <w:p>
      <w:pPr>
        <w:pStyle w:val="BodyText"/>
        <w:spacing w:line="240" w:lineRule="auto" w:before="81"/>
        <w:ind w:left="634" w:right="0"/>
        <w:jc w:val="left"/>
      </w:pPr>
      <w:r>
        <w:rPr/>
        <w:t>向单一客户销售比例超过</w:t>
      </w:r>
      <w:r>
        <w:rPr>
          <w:spacing w:val="-60"/>
        </w:rPr>
        <w:t> </w:t>
      </w:r>
      <w:r>
        <w:rPr>
          <w:rFonts w:ascii="Times New Roman" w:hAnsi="Times New Roman" w:cs="Times New Roman" w:eastAsia="Times New Roman" w:hint="default"/>
        </w:rPr>
        <w:t>30%</w:t>
      </w:r>
      <w:r>
        <w:rPr/>
        <w:t>的客户资料</w:t>
      </w:r>
    </w:p>
    <w:p>
      <w:pPr>
        <w:pStyle w:val="BodyText"/>
        <w:spacing w:line="240" w:lineRule="auto" w:before="175"/>
        <w:ind w:left="6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4"/>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842"/>
        <w:gridCol w:w="2086"/>
        <w:gridCol w:w="2820"/>
        <w:gridCol w:w="2820"/>
      </w:tblGrid>
      <w:tr>
        <w:trPr>
          <w:trHeight w:val="714"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93" w:right="0"/>
              <w:jc w:val="left"/>
              <w:rPr>
                <w:rFonts w:ascii="宋体" w:hAnsi="宋体" w:cs="宋体" w:eastAsia="宋体" w:hint="default"/>
                <w:sz w:val="21"/>
                <w:szCs w:val="21"/>
              </w:rPr>
            </w:pPr>
            <w:r>
              <w:rPr>
                <w:rFonts w:ascii="宋体" w:hAnsi="宋体" w:cs="宋体" w:eastAsia="宋体" w:hint="default"/>
                <w:b/>
                <w:bCs/>
                <w:sz w:val="21"/>
                <w:szCs w:val="21"/>
              </w:rPr>
              <w:t>客户名称</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04" w:right="0"/>
              <w:jc w:val="left"/>
              <w:rPr>
                <w:rFonts w:ascii="宋体" w:hAnsi="宋体" w:cs="宋体" w:eastAsia="宋体" w:hint="default"/>
                <w:sz w:val="21"/>
                <w:szCs w:val="21"/>
              </w:rPr>
            </w:pPr>
            <w:r>
              <w:rPr>
                <w:rFonts w:ascii="宋体" w:hAnsi="宋体" w:cs="宋体" w:eastAsia="宋体" w:hint="default"/>
                <w:b/>
                <w:bCs/>
                <w:sz w:val="21"/>
                <w:szCs w:val="21"/>
              </w:rPr>
              <w:t>销售额（元）</w:t>
            </w:r>
            <w:r>
              <w:rPr>
                <w:rFonts w:ascii="宋体" w:hAnsi="宋体" w:cs="宋体" w:eastAsia="宋体" w:hint="default"/>
                <w:sz w:val="21"/>
                <w:szCs w:val="21"/>
              </w:rPr>
            </w:r>
          </w:p>
        </w:tc>
        <w:tc>
          <w:tcPr>
            <w:tcW w:w="2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b/>
                <w:bCs/>
                <w:sz w:val="21"/>
                <w:szCs w:val="21"/>
              </w:rPr>
              <w:t>占年度销售总额比例</w:t>
            </w:r>
            <w:r>
              <w:rPr>
                <w:rFonts w:ascii="宋体" w:hAnsi="宋体" w:cs="宋体" w:eastAsia="宋体" w:hint="default"/>
                <w:sz w:val="21"/>
                <w:szCs w:val="21"/>
              </w:rPr>
            </w:r>
          </w:p>
        </w:tc>
        <w:tc>
          <w:tcPr>
            <w:tcW w:w="2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50" w:right="35" w:hanging="316"/>
              <w:jc w:val="left"/>
              <w:rPr>
                <w:rFonts w:ascii="宋体" w:hAnsi="宋体" w:cs="宋体" w:eastAsia="宋体" w:hint="default"/>
                <w:sz w:val="21"/>
                <w:szCs w:val="21"/>
              </w:rPr>
            </w:pPr>
            <w:r>
              <w:rPr>
                <w:rFonts w:ascii="宋体" w:hAnsi="宋体" w:cs="宋体" w:eastAsia="宋体" w:hint="default"/>
                <w:b/>
                <w:bCs/>
                <w:sz w:val="21"/>
                <w:szCs w:val="21"/>
              </w:rPr>
              <w:t>销售金额或比例与以前年度相</w:t>
            </w:r>
            <w:r>
              <w:rPr>
                <w:rFonts w:ascii="宋体" w:hAnsi="宋体" w:cs="宋体" w:eastAsia="宋体" w:hint="default"/>
                <w:b/>
                <w:bCs/>
                <w:w w:val="99"/>
                <w:sz w:val="21"/>
                <w:szCs w:val="21"/>
              </w:rPr>
              <w:t> </w:t>
            </w:r>
            <w:r>
              <w:rPr>
                <w:rFonts w:ascii="宋体" w:hAnsi="宋体" w:cs="宋体" w:eastAsia="宋体" w:hint="default"/>
                <w:b/>
                <w:bCs/>
                <w:sz w:val="21"/>
                <w:szCs w:val="21"/>
              </w:rPr>
              <w:t>比发生较大变化的说明</w:t>
            </w:r>
            <w:r>
              <w:rPr>
                <w:rFonts w:ascii="宋体" w:hAnsi="宋体" w:cs="宋体" w:eastAsia="宋体" w:hint="default"/>
                <w:sz w:val="21"/>
                <w:szCs w:val="21"/>
              </w:rPr>
            </w:r>
          </w:p>
        </w:tc>
      </w:tr>
      <w:tr>
        <w:trPr>
          <w:trHeight w:val="1650" w:hRule="exact"/>
        </w:trPr>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22" w:right="129"/>
              <w:jc w:val="left"/>
              <w:rPr>
                <w:rFonts w:ascii="宋体" w:hAnsi="宋体" w:cs="宋体" w:eastAsia="宋体" w:hint="default"/>
                <w:sz w:val="21"/>
                <w:szCs w:val="21"/>
              </w:rPr>
            </w:pPr>
            <w:r>
              <w:rPr>
                <w:rFonts w:ascii="宋体" w:hAnsi="宋体" w:cs="宋体" w:eastAsia="宋体" w:hint="default"/>
                <w:sz w:val="21"/>
                <w:szCs w:val="21"/>
              </w:rPr>
              <w:t>中国移动通信集团 浙江有限公司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21"/>
              <w:jc w:val="right"/>
              <w:rPr>
                <w:rFonts w:ascii="Times New Roman" w:hAnsi="Times New Roman" w:cs="Times New Roman" w:eastAsia="Times New Roman" w:hint="default"/>
                <w:sz w:val="21"/>
                <w:szCs w:val="21"/>
              </w:rPr>
            </w:pPr>
            <w:r>
              <w:rPr>
                <w:rFonts w:ascii="Times New Roman"/>
                <w:spacing w:val="-1"/>
                <w:sz w:val="21"/>
              </w:rPr>
              <w:t>106,475,748.87</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21"/>
              <w:jc w:val="right"/>
              <w:rPr>
                <w:rFonts w:ascii="Times New Roman" w:hAnsi="Times New Roman" w:cs="Times New Roman" w:eastAsia="Times New Roman" w:hint="default"/>
                <w:sz w:val="21"/>
                <w:szCs w:val="21"/>
              </w:rPr>
            </w:pPr>
            <w:r>
              <w:rPr>
                <w:rFonts w:ascii="Times New Roman"/>
                <w:sz w:val="21"/>
              </w:rPr>
              <w:t>39.47%</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26"/>
              <w:ind w:left="22" w:right="57"/>
              <w:jc w:val="both"/>
              <w:rPr>
                <w:rFonts w:ascii="宋体" w:hAnsi="宋体" w:cs="宋体" w:eastAsia="宋体" w:hint="default"/>
                <w:sz w:val="21"/>
                <w:szCs w:val="21"/>
              </w:rPr>
            </w:pPr>
            <w:r>
              <w:rPr>
                <w:rFonts w:ascii="宋体" w:hAnsi="宋体" w:cs="宋体" w:eastAsia="宋体" w:hint="default"/>
                <w:sz w:val="21"/>
                <w:szCs w:val="21"/>
              </w:rPr>
              <w:t>本年度对该客户销售额占销售 总额比例下降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4.72%</w:t>
            </w:r>
            <w:r>
              <w:rPr>
                <w:rFonts w:ascii="宋体" w:hAnsi="宋体" w:cs="宋体" w:eastAsia="宋体" w:hint="default"/>
                <w:sz w:val="21"/>
                <w:szCs w:val="21"/>
              </w:rPr>
              <w:t>，主要原 因为对该客户销售额的增长幅 度低于公司总销售额的增长幅 度。</w:t>
            </w:r>
          </w:p>
        </w:tc>
      </w:tr>
      <w:tr>
        <w:trPr>
          <w:trHeight w:val="402"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106,475,748.87</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39.47%</w:t>
            </w:r>
          </w:p>
        </w:tc>
        <w:tc>
          <w:tcPr>
            <w:tcW w:w="2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81"/>
        <w:ind w:left="634" w:right="0"/>
        <w:jc w:val="left"/>
      </w:pPr>
      <w:r>
        <w:rPr/>
        <w:t>公司主要供应商情况</w:t>
      </w:r>
    </w:p>
    <w:p>
      <w:pPr>
        <w:spacing w:line="240" w:lineRule="auto" w:before="10"/>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28,788,294.62</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3"/>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16.63%</w:t>
            </w:r>
          </w:p>
        </w:tc>
      </w:tr>
    </w:tbl>
    <w:p>
      <w:pPr>
        <w:pStyle w:val="BodyText"/>
        <w:spacing w:line="240" w:lineRule="auto" w:before="81"/>
        <w:ind w:left="634" w:right="0"/>
        <w:jc w:val="left"/>
      </w:pPr>
      <w:r>
        <w:rPr/>
        <w:t>向单一供应商采购比例超过</w:t>
      </w:r>
      <w:r>
        <w:rPr>
          <w:spacing w:val="-60"/>
        </w:rPr>
        <w:t> </w:t>
      </w:r>
      <w:r>
        <w:rPr>
          <w:rFonts w:ascii="Times New Roman" w:hAnsi="Times New Roman" w:cs="Times New Roman" w:eastAsia="Times New Roman" w:hint="default"/>
        </w:rPr>
        <w:t>30%</w:t>
      </w:r>
      <w:r>
        <w:rPr/>
        <w:t>的客户资料</w:t>
      </w:r>
    </w:p>
    <w:p>
      <w:pPr>
        <w:pStyle w:val="BodyText"/>
        <w:spacing w:line="240" w:lineRule="auto" w:before="176"/>
        <w:ind w:left="6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367" w:lineRule="auto" w:before="175"/>
        <w:ind w:left="633" w:right="161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9</w:t>
      </w:r>
      <w:r>
        <w:rPr>
          <w:rFonts w:ascii="宋体" w:hAnsi="宋体" w:cs="宋体" w:eastAsia="宋体" w:hint="default"/>
          <w:b/>
          <w:bCs/>
          <w:sz w:val="24"/>
          <w:szCs w:val="24"/>
        </w:rPr>
        <w:t>）公司未来发展与规划延续至报告期的说明</w:t>
      </w:r>
      <w:r>
        <w:rPr>
          <w:rFonts w:ascii="宋体" w:hAnsi="宋体" w:cs="宋体" w:eastAsia="宋体" w:hint="default"/>
          <w:b/>
          <w:bCs/>
          <w:w w:val="99"/>
          <w:sz w:val="24"/>
          <w:szCs w:val="24"/>
        </w:rPr>
        <w:t> </w:t>
      </w:r>
      <w:r>
        <w:rPr>
          <w:rFonts w:ascii="宋体" w:hAnsi="宋体" w:cs="宋体" w:eastAsia="宋体" w:hint="default"/>
          <w:sz w:val="24"/>
          <w:szCs w:val="24"/>
        </w:rPr>
        <w:t>首次公开发行招股说明书中披露的未来发展与规划在本报告期的实施情况</w:t>
      </w:r>
    </w:p>
    <w:p>
      <w:pPr>
        <w:pStyle w:val="BodyText"/>
        <w:spacing w:line="367" w:lineRule="auto" w:before="67"/>
        <w:ind w:left="634" w:right="35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前期披露的发展战略和经营计划在报告期内的进展情况</w:t>
      </w:r>
    </w:p>
    <w:p>
      <w:pPr>
        <w:pStyle w:val="BodyText"/>
        <w:spacing w:line="352" w:lineRule="auto" w:before="65"/>
        <w:ind w:right="173" w:firstLine="480"/>
        <w:jc w:val="left"/>
      </w:pPr>
      <w:r>
        <w:rPr/>
        <w:t>报告期内，公司严格按照招股说明书中公司未来三年发展战略与目标推进，紧抓行业政 策优势，坚持以数字出版为中心，以数字阅读产品、数字出版运营服务、数字内容增值服务 为三大业务模式，围绕年度经营计划，基础业务稳定发展，开启数字教育布局，数字内容增 值服务快速扩张。报告期内，新增版权内容</w:t>
      </w:r>
      <w:r>
        <w:rPr>
          <w:spacing w:val="-62"/>
        </w:rPr>
        <w:t> </w:t>
      </w:r>
      <w:r>
        <w:rPr>
          <w:rFonts w:ascii="Times New Roman" w:hAnsi="Times New Roman" w:cs="Times New Roman" w:eastAsia="Times New Roman" w:hint="default"/>
        </w:rPr>
        <w:t>45365</w:t>
      </w:r>
      <w:r>
        <w:rPr>
          <w:rFonts w:ascii="Times New Roman" w:hAnsi="Times New Roman" w:cs="Times New Roman" w:eastAsia="Times New Roman" w:hint="default"/>
          <w:spacing w:val="-2"/>
        </w:rPr>
        <w:t> </w:t>
      </w:r>
      <w:r>
        <w:rPr/>
        <w:t>种，其中买断版权</w:t>
      </w:r>
      <w:r>
        <w:rPr>
          <w:spacing w:val="-62"/>
        </w:rPr>
        <w:t> </w:t>
      </w:r>
      <w:r>
        <w:rPr>
          <w:rFonts w:ascii="Times New Roman" w:hAnsi="Times New Roman" w:cs="Times New Roman" w:eastAsia="Times New Roman" w:hint="default"/>
        </w:rPr>
        <w:t>9255</w:t>
      </w:r>
      <w:r>
        <w:rPr>
          <w:rFonts w:ascii="Times New Roman" w:hAnsi="Times New Roman" w:cs="Times New Roman" w:eastAsia="Times New Roman" w:hint="default"/>
          <w:spacing w:val="-2"/>
        </w:rPr>
        <w:t> </w:t>
      </w:r>
      <w:r>
        <w:rPr/>
        <w:t>种，分成</w:t>
      </w:r>
      <w:r>
        <w:rPr>
          <w:spacing w:val="-62"/>
        </w:rPr>
        <w:t> </w:t>
      </w:r>
      <w:r>
        <w:rPr>
          <w:rFonts w:ascii="Times New Roman" w:hAnsi="Times New Roman" w:cs="Times New Roman" w:eastAsia="Times New Roman" w:hint="default"/>
        </w:rPr>
        <w:t>36110 </w:t>
      </w:r>
      <w:r>
        <w:rPr/>
        <w:t>种。以采集内容为核心的</w:t>
      </w:r>
      <w:r>
        <w:rPr>
          <w:rFonts w:ascii="Times New Roman" w:hAnsi="Times New Roman" w:cs="Times New Roman" w:eastAsia="Times New Roman" w:hint="default"/>
        </w:rPr>
        <w:t>“17K</w:t>
      </w:r>
      <w:r>
        <w:rPr>
          <w:rFonts w:ascii="Times New Roman" w:hAnsi="Times New Roman" w:cs="Times New Roman" w:eastAsia="Times New Roman" w:hint="default"/>
          <w:spacing w:val="-1"/>
        </w:rPr>
        <w:t> </w:t>
      </w:r>
      <w:r>
        <w:rPr/>
        <w:t>小说网</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汤圆创作</w:t>
      </w:r>
      <w:r>
        <w:rPr>
          <w:rFonts w:ascii="Times New Roman" w:hAnsi="Times New Roman" w:cs="Times New Roman" w:eastAsia="Times New Roman" w:hint="default"/>
        </w:rPr>
        <w:t>”</w:t>
      </w:r>
      <w:r>
        <w:rPr/>
        <w:t>注册作者数和活跃作者数显著增加。</w:t>
      </w:r>
    </w:p>
    <w:p>
      <w:pPr>
        <w:pStyle w:val="BodyText"/>
        <w:spacing w:line="240" w:lineRule="auto" w:before="52"/>
        <w:ind w:left="633" w:right="0"/>
        <w:jc w:val="left"/>
      </w:pPr>
      <w:r>
        <w:rPr/>
        <w:t>公司实际经营业绩较曾公开披露过的本年度盈利预测低于或高于</w:t>
      </w:r>
      <w:r>
        <w:rPr>
          <w:spacing w:val="-59"/>
        </w:rPr>
        <w:t> </w:t>
      </w:r>
      <w:r>
        <w:rPr>
          <w:rFonts w:ascii="Times New Roman" w:hAnsi="Times New Roman" w:cs="Times New Roman" w:eastAsia="Times New Roman" w:hint="default"/>
        </w:rPr>
        <w:t>20%</w:t>
      </w:r>
      <w:r>
        <w:rPr/>
        <w:t>以上的差异原因</w:t>
      </w:r>
    </w:p>
    <w:p>
      <w:pPr>
        <w:pStyle w:val="BodyText"/>
        <w:spacing w:line="240" w:lineRule="auto" w:before="175"/>
        <w:ind w:left="6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877" w:footer="979" w:top="1060" w:bottom="1160" w:left="980" w:right="980"/>
        </w:sectPr>
      </w:pPr>
    </w:p>
    <w:p>
      <w:pPr>
        <w:spacing w:line="240" w:lineRule="auto" w:before="8"/>
        <w:rPr>
          <w:rFonts w:ascii="宋体" w:hAnsi="宋体" w:cs="宋体" w:eastAsia="宋体" w:hint="default"/>
          <w:sz w:val="23"/>
          <w:szCs w:val="23"/>
        </w:rPr>
      </w:pPr>
    </w:p>
    <w:p>
      <w:pPr>
        <w:spacing w:before="26"/>
        <w:ind w:left="153" w:right="0" w:firstLine="0"/>
        <w:jc w:val="left"/>
        <w:rPr>
          <w:rFonts w:ascii="宋体" w:hAnsi="宋体" w:cs="宋体" w:eastAsia="宋体" w:hint="default"/>
          <w:sz w:val="24"/>
          <w:szCs w:val="24"/>
        </w:rPr>
      </w:pPr>
      <w:bookmarkStart w:name="（2）主营业务分部报告" w:id="21"/>
      <w:bookmarkEnd w:id="21"/>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）主营业务分部报告</w:t>
      </w:r>
      <w:r>
        <w:rPr>
          <w:rFonts w:ascii="宋体" w:hAnsi="宋体" w:cs="宋体" w:eastAsia="宋体" w:hint="default"/>
          <w:sz w:val="24"/>
          <w:szCs w:val="24"/>
        </w:rPr>
      </w:r>
    </w:p>
    <w:p>
      <w:pPr>
        <w:spacing w:line="240" w:lineRule="auto" w:before="7"/>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77" w:footer="979" w:top="1060" w:bottom="1160" w:left="980" w:right="980"/>
        </w:sectPr>
      </w:pPr>
    </w:p>
    <w:p>
      <w:pPr>
        <w:spacing w:before="26"/>
        <w:ind w:left="636" w:right="0" w:firstLine="0"/>
        <w:jc w:val="left"/>
        <w:rPr>
          <w:rFonts w:ascii="宋体" w:hAnsi="宋体" w:cs="宋体" w:eastAsia="宋体" w:hint="default"/>
          <w:sz w:val="24"/>
          <w:szCs w:val="24"/>
        </w:rPr>
      </w:pPr>
      <w:r>
        <w:rPr>
          <w:rFonts w:ascii="Times New Roman" w:hAnsi="Times New Roman" w:cs="Times New Roman" w:eastAsia="Times New Roman" w:hint="default"/>
          <w:b/>
          <w:bCs/>
          <w:w w:val="95"/>
          <w:sz w:val="24"/>
          <w:szCs w:val="24"/>
        </w:rPr>
        <w:t>1</w:t>
      </w:r>
      <w:r>
        <w:rPr>
          <w:rFonts w:ascii="宋体" w:hAnsi="宋体" w:cs="宋体" w:eastAsia="宋体" w:hint="default"/>
          <w:b/>
          <w:bCs/>
          <w:w w:val="95"/>
          <w:sz w:val="24"/>
          <w:szCs w:val="24"/>
        </w:rPr>
        <w:t>）报告期主营业务收入及主营业务利润的构成</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7"/>
        <w:rPr>
          <w:rFonts w:ascii="宋体" w:hAnsi="宋体" w:cs="宋体" w:eastAsia="宋体" w:hint="default"/>
          <w:b/>
          <w:bCs/>
          <w:sz w:val="16"/>
          <w:szCs w:val="16"/>
        </w:rPr>
      </w:pPr>
    </w:p>
    <w:p>
      <w:pPr>
        <w:spacing w:before="0"/>
        <w:ind w:left="636"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980" w:right="980"/>
          <w:cols w:num="2" w:equalWidth="0">
            <w:col w:w="5572" w:space="2745"/>
            <w:col w:w="1633"/>
          </w:cols>
        </w:sectPr>
      </w:pP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57" w:right="0"/>
              <w:jc w:val="left"/>
              <w:rPr>
                <w:rFonts w:ascii="宋体" w:hAnsi="宋体" w:cs="宋体" w:eastAsia="宋体" w:hint="default"/>
                <w:sz w:val="21"/>
                <w:szCs w:val="21"/>
              </w:rPr>
            </w:pPr>
            <w:r>
              <w:rPr>
                <w:rFonts w:ascii="宋体" w:hAnsi="宋体" w:cs="宋体" w:eastAsia="宋体" w:hint="default"/>
                <w:b/>
                <w:bCs/>
                <w:sz w:val="21"/>
                <w:szCs w:val="21"/>
              </w:rPr>
              <w:t>主营业务收入</w:t>
            </w:r>
            <w:r>
              <w:rPr>
                <w:rFonts w:ascii="宋体" w:hAnsi="宋体" w:cs="宋体" w:eastAsia="宋体" w:hint="default"/>
                <w:sz w:val="21"/>
                <w:szCs w:val="21"/>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56" w:right="0"/>
              <w:jc w:val="left"/>
              <w:rPr>
                <w:rFonts w:ascii="宋体" w:hAnsi="宋体" w:cs="宋体" w:eastAsia="宋体" w:hint="default"/>
                <w:sz w:val="21"/>
                <w:szCs w:val="21"/>
              </w:rPr>
            </w:pPr>
            <w:r>
              <w:rPr>
                <w:rFonts w:ascii="宋体" w:hAnsi="宋体" w:cs="宋体" w:eastAsia="宋体" w:hint="default"/>
                <w:b/>
                <w:bCs/>
                <w:sz w:val="21"/>
                <w:szCs w:val="21"/>
              </w:rPr>
              <w:t>主营业务利润</w:t>
            </w:r>
            <w:r>
              <w:rPr>
                <w:rFonts w:ascii="宋体" w:hAnsi="宋体" w:cs="宋体" w:eastAsia="宋体" w:hint="default"/>
                <w:sz w:val="21"/>
                <w:szCs w:val="21"/>
              </w:rPr>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b/>
                <w:bCs/>
                <w:sz w:val="21"/>
                <w:szCs w:val="21"/>
              </w:rPr>
              <w:t>分产品</w:t>
            </w:r>
            <w:r>
              <w:rPr>
                <w:rFonts w:ascii="宋体" w:hAnsi="宋体" w:cs="宋体" w:eastAsia="宋体" w:hint="default"/>
                <w:sz w:val="21"/>
                <w:szCs w:val="21"/>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、数字阅读产品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165,366,217.52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71,318,481.29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、数字出版运营服务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77,197,798.89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36,168,122.40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、数字内容增值服务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27,174,046.59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17,515,709.10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269,738,063.00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125,002,312.79</w:t>
            </w:r>
          </w:p>
        </w:tc>
      </w:tr>
    </w:tbl>
    <w:p>
      <w:pPr>
        <w:spacing w:before="81"/>
        <w:ind w:left="636"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）占比</w:t>
      </w:r>
      <w:r>
        <w:rPr>
          <w:rFonts w:ascii="宋体" w:hAnsi="宋体" w:cs="宋体" w:eastAsia="宋体" w:hint="default"/>
          <w:b/>
          <w:bCs/>
          <w:spacing w:val="-64"/>
          <w:sz w:val="24"/>
          <w:szCs w:val="24"/>
        </w:rPr>
        <w:t> </w:t>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以上的产品、行业或地区情况</w:t>
      </w:r>
      <w:r>
        <w:rPr>
          <w:rFonts w:ascii="宋体" w:hAnsi="宋体" w:cs="宋体" w:eastAsia="宋体" w:hint="default"/>
          <w:sz w:val="24"/>
          <w:szCs w:val="24"/>
        </w:rPr>
      </w:r>
    </w:p>
    <w:p>
      <w:pPr>
        <w:spacing w:line="240" w:lineRule="auto" w:before="7"/>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type w:val="continuous"/>
          <w:pgSz w:w="11910" w:h="16840"/>
          <w:pgMar w:top="1060" w:bottom="1160" w:left="980" w:right="980"/>
        </w:sectPr>
      </w:pPr>
    </w:p>
    <w:p>
      <w:pPr>
        <w:pStyle w:val="BodyText"/>
        <w:spacing w:line="240" w:lineRule="auto"/>
        <w:ind w:left="63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16"/>
          <w:szCs w:val="16"/>
        </w:rPr>
      </w:pPr>
    </w:p>
    <w:p>
      <w:pPr>
        <w:spacing w:before="0"/>
        <w:ind w:left="633"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980" w:right="980"/>
          <w:cols w:num="2" w:equalWidth="0">
            <w:col w:w="2472" w:space="5847"/>
            <w:col w:w="1631"/>
          </w:cols>
        </w:sectPr>
      </w:pP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55"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51" w:right="46" w:hanging="106"/>
              <w:jc w:val="left"/>
              <w:rPr>
                <w:rFonts w:ascii="宋体" w:hAnsi="宋体" w:cs="宋体" w:eastAsia="宋体" w:hint="default"/>
                <w:sz w:val="21"/>
                <w:szCs w:val="21"/>
              </w:rPr>
            </w:pPr>
            <w:r>
              <w:rPr>
                <w:rFonts w:ascii="宋体" w:hAnsi="宋体" w:cs="宋体" w:eastAsia="宋体" w:hint="default"/>
                <w:b/>
                <w:bCs/>
                <w:sz w:val="21"/>
                <w:szCs w:val="21"/>
              </w:rPr>
              <w:t>营业收入比上</w:t>
            </w:r>
            <w:r>
              <w:rPr>
                <w:rFonts w:ascii="宋体" w:hAnsi="宋体" w:cs="宋体" w:eastAsia="宋体" w:hint="default"/>
                <w:b/>
                <w:bCs/>
                <w:w w:val="99"/>
                <w:sz w:val="21"/>
                <w:szCs w:val="21"/>
              </w:rPr>
              <w:t> </w:t>
            </w:r>
            <w:r>
              <w:rPr>
                <w:rFonts w:ascii="宋体" w:hAnsi="宋体" w:cs="宋体" w:eastAsia="宋体" w:hint="default"/>
                <w:b/>
                <w:bCs/>
                <w:sz w:val="21"/>
                <w:szCs w:val="21"/>
              </w:rPr>
              <w:t>年同期增减</w:t>
            </w:r>
            <w:r>
              <w:rPr>
                <w:rFonts w:ascii="宋体" w:hAnsi="宋体" w:cs="宋体" w:eastAsia="宋体" w:hint="default"/>
                <w:sz w:val="21"/>
                <w:szCs w:val="21"/>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51" w:right="46" w:hanging="106"/>
              <w:jc w:val="left"/>
              <w:rPr>
                <w:rFonts w:ascii="宋体" w:hAnsi="宋体" w:cs="宋体" w:eastAsia="宋体" w:hint="default"/>
                <w:sz w:val="21"/>
                <w:szCs w:val="21"/>
              </w:rPr>
            </w:pPr>
            <w:r>
              <w:rPr>
                <w:rFonts w:ascii="宋体" w:hAnsi="宋体" w:cs="宋体" w:eastAsia="宋体" w:hint="default"/>
                <w:b/>
                <w:bCs/>
                <w:sz w:val="21"/>
                <w:szCs w:val="21"/>
              </w:rPr>
              <w:t>营业成本比上</w:t>
            </w:r>
            <w:r>
              <w:rPr>
                <w:rFonts w:ascii="宋体" w:hAnsi="宋体" w:cs="宋体" w:eastAsia="宋体" w:hint="default"/>
                <w:b/>
                <w:bCs/>
                <w:w w:val="99"/>
                <w:sz w:val="21"/>
                <w:szCs w:val="21"/>
              </w:rPr>
              <w:t> </w:t>
            </w:r>
            <w:r>
              <w:rPr>
                <w:rFonts w:ascii="宋体" w:hAnsi="宋体" w:cs="宋体" w:eastAsia="宋体" w:hint="default"/>
                <w:b/>
                <w:bCs/>
                <w:sz w:val="21"/>
                <w:szCs w:val="21"/>
              </w:rPr>
              <w:t>年同期增减</w:t>
            </w:r>
            <w:r>
              <w:rPr>
                <w:rFonts w:ascii="宋体" w:hAnsi="宋体" w:cs="宋体" w:eastAsia="宋体" w:hint="default"/>
                <w:sz w:val="21"/>
                <w:szCs w:val="21"/>
              </w:rPr>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59" w:right="47" w:hanging="210"/>
              <w:jc w:val="left"/>
              <w:rPr>
                <w:rFonts w:ascii="宋体" w:hAnsi="宋体" w:cs="宋体" w:eastAsia="宋体" w:hint="default"/>
                <w:sz w:val="21"/>
                <w:szCs w:val="21"/>
              </w:rPr>
            </w:pPr>
            <w:r>
              <w:rPr>
                <w:rFonts w:ascii="宋体" w:hAnsi="宋体" w:cs="宋体" w:eastAsia="宋体" w:hint="default"/>
                <w:b/>
                <w:bCs/>
                <w:sz w:val="21"/>
                <w:szCs w:val="21"/>
              </w:rPr>
              <w:t>毛利率比上年</w:t>
            </w:r>
            <w:r>
              <w:rPr>
                <w:rFonts w:ascii="宋体" w:hAnsi="宋体" w:cs="宋体" w:eastAsia="宋体" w:hint="default"/>
                <w:b/>
                <w:bCs/>
                <w:w w:val="99"/>
                <w:sz w:val="21"/>
                <w:szCs w:val="21"/>
              </w:rPr>
              <w:t> </w:t>
            </w:r>
            <w:r>
              <w:rPr>
                <w:rFonts w:ascii="宋体" w:hAnsi="宋体" w:cs="宋体" w:eastAsia="宋体" w:hint="default"/>
                <w:b/>
                <w:bCs/>
                <w:sz w:val="21"/>
                <w:szCs w:val="21"/>
              </w:rPr>
              <w:t>同期增减</w:t>
            </w:r>
            <w:r>
              <w:rPr>
                <w:rFonts w:ascii="宋体" w:hAnsi="宋体" w:cs="宋体" w:eastAsia="宋体" w:hint="default"/>
                <w:sz w:val="21"/>
                <w:szCs w:val="21"/>
              </w:rPr>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b/>
                <w:bCs/>
                <w:sz w:val="21"/>
                <w:szCs w:val="21"/>
              </w:rPr>
              <w:t>分产品</w:t>
            </w:r>
            <w:r>
              <w:rPr>
                <w:rFonts w:ascii="宋体" w:hAnsi="宋体" w:cs="宋体" w:eastAsia="宋体" w:hint="default"/>
                <w:sz w:val="21"/>
                <w:szCs w:val="21"/>
              </w:rPr>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7"/>
              <w:ind w:left="22" w:right="22"/>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、数字阅读产</w:t>
            </w:r>
            <w:r>
              <w:rPr>
                <w:rFonts w:ascii="宋体" w:hAnsi="宋体" w:cs="宋体" w:eastAsia="宋体" w:hint="default"/>
                <w:sz w:val="21"/>
                <w:szCs w:val="21"/>
              </w:rPr>
              <w:t> 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165,366,217.5</w:t>
            </w:r>
          </w:p>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z w:val="21"/>
              </w:rPr>
              <w:t>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94,047,736.23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34.33%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2.75%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7"/>
              <w:ind w:left="22" w:right="22"/>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、数字出版运</w:t>
            </w:r>
            <w:r>
              <w:rPr>
                <w:rFonts w:ascii="宋体" w:hAnsi="宋体" w:cs="宋体" w:eastAsia="宋体" w:hint="default"/>
                <w:sz w:val="21"/>
                <w:szCs w:val="21"/>
              </w:rPr>
              <w:t> 营服务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2" w:right="0"/>
              <w:jc w:val="center"/>
              <w:rPr>
                <w:rFonts w:ascii="Times New Roman" w:hAnsi="Times New Roman" w:cs="Times New Roman" w:eastAsia="Times New Roman" w:hint="default"/>
                <w:sz w:val="21"/>
                <w:szCs w:val="21"/>
              </w:rPr>
            </w:pPr>
            <w:r>
              <w:rPr>
                <w:rFonts w:ascii="Times New Roman"/>
                <w:sz w:val="21"/>
              </w:rPr>
              <w:t>77,197,798.89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41,029,676.49</w:t>
            </w:r>
            <w:r>
              <w:rPr>
                <w:rFonts w:ascii="Times New Roman"/>
                <w:sz w:val="21"/>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8.61%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-3.91%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7"/>
              <w:ind w:left="22" w:right="22"/>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、数字内容增</w:t>
            </w:r>
            <w:r>
              <w:rPr>
                <w:rFonts w:ascii="宋体" w:hAnsi="宋体" w:cs="宋体" w:eastAsia="宋体" w:hint="default"/>
                <w:sz w:val="21"/>
                <w:szCs w:val="21"/>
              </w:rPr>
              <w:t> 值服务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2" w:right="0"/>
              <w:jc w:val="center"/>
              <w:rPr>
                <w:rFonts w:ascii="Times New Roman" w:hAnsi="Times New Roman" w:cs="Times New Roman" w:eastAsia="Times New Roman" w:hint="default"/>
                <w:sz w:val="21"/>
                <w:szCs w:val="21"/>
              </w:rPr>
            </w:pPr>
            <w:r>
              <w:rPr>
                <w:rFonts w:ascii="Times New Roman"/>
                <w:sz w:val="21"/>
              </w:rPr>
              <w:t>27,174,046.59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9,658,337.49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64.46%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234.60%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-24.52%</w:t>
            </w:r>
            <w:r>
              <w:rPr>
                <w:rFonts w:ascii="Times New Roman"/>
                <w:sz w:val="21"/>
              </w:rPr>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269,738,063.0</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144,735,750.2</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22.42%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30.78%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-3.43%</w:t>
            </w:r>
          </w:p>
        </w:tc>
      </w:tr>
    </w:tbl>
    <w:p>
      <w:pPr>
        <w:spacing w:line="338" w:lineRule="auto" w:before="81"/>
        <w:ind w:left="153" w:right="0" w:firstLine="482"/>
        <w:jc w:val="left"/>
        <w:rPr>
          <w:rFonts w:ascii="宋体" w:hAnsi="宋体" w:cs="宋体" w:eastAsia="宋体" w:hint="default"/>
          <w:sz w:val="24"/>
          <w:szCs w:val="24"/>
        </w:rPr>
      </w:pPr>
      <w:r>
        <w:rPr>
          <w:rFonts w:ascii="Times New Roman" w:hAnsi="Times New Roman" w:cs="Times New Roman" w:eastAsia="Times New Roman" w:hint="default"/>
          <w:b/>
          <w:bCs/>
          <w:spacing w:val="-4"/>
          <w:w w:val="99"/>
          <w:sz w:val="24"/>
          <w:szCs w:val="24"/>
        </w:rPr>
        <w:t>3</w:t>
      </w:r>
      <w:r>
        <w:rPr>
          <w:rFonts w:ascii="宋体" w:hAnsi="宋体" w:cs="宋体" w:eastAsia="宋体" w:hint="default"/>
          <w:b/>
          <w:bCs/>
          <w:spacing w:val="-4"/>
          <w:w w:val="99"/>
          <w:sz w:val="24"/>
          <w:szCs w:val="24"/>
        </w:rPr>
        <w:t>）公司主营业务数据统计口径在报告期发生调整的情况下，公司最近</w:t>
      </w:r>
      <w:r>
        <w:rPr>
          <w:rFonts w:ascii="宋体" w:hAnsi="宋体" w:cs="宋体" w:eastAsia="宋体" w:hint="default"/>
          <w:b/>
          <w:bCs/>
          <w:spacing w:val="-52"/>
          <w:w w:val="99"/>
          <w:sz w:val="24"/>
          <w:szCs w:val="24"/>
        </w:rPr>
        <w:t> </w:t>
      </w:r>
      <w:r>
        <w:rPr>
          <w:rFonts w:ascii="Times New Roman" w:hAnsi="Times New Roman" w:cs="Times New Roman" w:eastAsia="Times New Roman" w:hint="default"/>
          <w:b/>
          <w:bCs/>
          <w:sz w:val="24"/>
          <w:szCs w:val="24"/>
        </w:rPr>
        <w:t>3</w:t>
      </w:r>
      <w:r>
        <w:rPr>
          <w:rFonts w:ascii="Times New Roman" w:hAnsi="Times New Roman" w:cs="Times New Roman" w:eastAsia="Times New Roman" w:hint="default"/>
          <w:b/>
          <w:bCs/>
          <w:spacing w:val="2"/>
          <w:sz w:val="24"/>
          <w:szCs w:val="24"/>
        </w:rPr>
        <w:t> </w:t>
      </w:r>
      <w:r>
        <w:rPr>
          <w:rFonts w:ascii="宋体" w:hAnsi="宋体" w:cs="宋体" w:eastAsia="宋体" w:hint="default"/>
          <w:b/>
          <w:bCs/>
          <w:w w:val="99"/>
          <w:sz w:val="24"/>
          <w:szCs w:val="24"/>
        </w:rPr>
        <w:t>年按报告期末口 </w:t>
      </w:r>
      <w:r>
        <w:rPr>
          <w:rFonts w:ascii="宋体" w:hAnsi="宋体" w:cs="宋体" w:eastAsia="宋体" w:hint="default"/>
          <w:b/>
          <w:bCs/>
          <w:sz w:val="24"/>
          <w:szCs w:val="24"/>
        </w:rPr>
        <w:t>径调整后的主营业务数据</w:t>
      </w:r>
      <w:r>
        <w:rPr>
          <w:rFonts w:ascii="宋体" w:hAnsi="宋体" w:cs="宋体" w:eastAsia="宋体" w:hint="default"/>
          <w:sz w:val="24"/>
          <w:szCs w:val="24"/>
        </w:rPr>
      </w:r>
    </w:p>
    <w:p>
      <w:pPr>
        <w:pStyle w:val="BodyText"/>
        <w:spacing w:line="240" w:lineRule="auto" w:before="95"/>
        <w:ind w:left="6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4"/>
        <w:rPr>
          <w:rFonts w:ascii="宋体" w:hAnsi="宋体" w:cs="宋体" w:eastAsia="宋体" w:hint="default"/>
          <w:sz w:val="27"/>
          <w:szCs w:val="27"/>
        </w:rPr>
      </w:pPr>
    </w:p>
    <w:p>
      <w:pPr>
        <w:spacing w:before="0"/>
        <w:ind w:left="13" w:right="6881" w:firstLine="0"/>
        <w:jc w:val="center"/>
        <w:rPr>
          <w:rFonts w:ascii="宋体" w:hAnsi="宋体" w:cs="宋体" w:eastAsia="宋体" w:hint="default"/>
          <w:sz w:val="24"/>
          <w:szCs w:val="24"/>
        </w:rPr>
      </w:pPr>
      <w:bookmarkStart w:name="（3）资产、负债状况分析" w:id="22"/>
      <w:bookmarkEnd w:id="22"/>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）资产、负债状况分析</w:t>
      </w:r>
      <w:r>
        <w:rPr>
          <w:rFonts w:ascii="宋体" w:hAnsi="宋体" w:cs="宋体" w:eastAsia="宋体" w:hint="default"/>
          <w:sz w:val="24"/>
          <w:szCs w:val="24"/>
        </w:rPr>
      </w:r>
    </w:p>
    <w:p>
      <w:pPr>
        <w:spacing w:line="240" w:lineRule="auto" w:before="6"/>
        <w:rPr>
          <w:rFonts w:ascii="宋体" w:hAnsi="宋体" w:cs="宋体" w:eastAsia="宋体" w:hint="default"/>
          <w:b/>
          <w:bCs/>
          <w:sz w:val="25"/>
          <w:szCs w:val="25"/>
        </w:rPr>
      </w:pPr>
    </w:p>
    <w:p>
      <w:pPr>
        <w:spacing w:before="26"/>
        <w:ind w:left="636"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）资产项目重大变动情况</w:t>
      </w:r>
      <w:r>
        <w:rPr>
          <w:rFonts w:ascii="宋体" w:hAnsi="宋体" w:cs="宋体" w:eastAsia="宋体" w:hint="default"/>
          <w:sz w:val="24"/>
          <w:szCs w:val="24"/>
        </w:rPr>
      </w:r>
    </w:p>
    <w:p>
      <w:pPr>
        <w:pStyle w:val="BodyText"/>
        <w:spacing w:line="240" w:lineRule="auto" w:before="97"/>
        <w:ind w:left="0" w:right="150"/>
        <w:jc w:val="right"/>
      </w:pPr>
      <w:r>
        <w:rPr/>
        <w:t>单位：元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8"/>
        <w:gridCol w:w="1468"/>
        <w:gridCol w:w="993"/>
        <w:gridCol w:w="1559"/>
        <w:gridCol w:w="1134"/>
        <w:gridCol w:w="1134"/>
        <w:gridCol w:w="1914"/>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4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2014</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9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2013</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b/>
                <w:bCs/>
                <w:sz w:val="21"/>
                <w:szCs w:val="21"/>
              </w:rPr>
              <w:t>比重增减</w:t>
            </w:r>
            <w:r>
              <w:rPr>
                <w:rFonts w:ascii="宋体" w:hAnsi="宋体" w:cs="宋体" w:eastAsia="宋体" w:hint="default"/>
                <w:sz w:val="21"/>
                <w:szCs w:val="21"/>
              </w:rPr>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b/>
                <w:bCs/>
                <w:sz w:val="21"/>
                <w:szCs w:val="21"/>
              </w:rPr>
              <w:t>重大变动说明</w:t>
            </w:r>
            <w:r>
              <w:rPr>
                <w:rFonts w:ascii="宋体" w:hAnsi="宋体" w:cs="宋体" w:eastAsia="宋体" w:hint="default"/>
                <w:sz w:val="21"/>
                <w:szCs w:val="21"/>
              </w:rPr>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80" w:right="66" w:hanging="212"/>
              <w:jc w:val="left"/>
              <w:rPr>
                <w:rFonts w:ascii="宋体" w:hAnsi="宋体" w:cs="宋体" w:eastAsia="宋体" w:hint="default"/>
                <w:sz w:val="21"/>
                <w:szCs w:val="21"/>
              </w:rPr>
            </w:pPr>
            <w:r>
              <w:rPr>
                <w:rFonts w:ascii="宋体" w:hAnsi="宋体" w:cs="宋体" w:eastAsia="宋体" w:hint="default"/>
                <w:b/>
                <w:bCs/>
                <w:sz w:val="21"/>
                <w:szCs w:val="21"/>
              </w:rPr>
              <w:t>占总资产</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56" w:right="34" w:hanging="422"/>
              <w:jc w:val="left"/>
              <w:rPr>
                <w:rFonts w:ascii="宋体" w:hAnsi="宋体" w:cs="宋体" w:eastAsia="宋体" w:hint="default"/>
                <w:sz w:val="21"/>
                <w:szCs w:val="21"/>
              </w:rPr>
            </w:pPr>
            <w:r>
              <w:rPr>
                <w:rFonts w:ascii="宋体" w:hAnsi="宋体" w:cs="宋体" w:eastAsia="宋体" w:hint="default"/>
                <w:b/>
                <w:bCs/>
                <w:sz w:val="21"/>
                <w:szCs w:val="21"/>
              </w:rPr>
              <w:t>占总资产比</w:t>
            </w:r>
            <w:r>
              <w:rPr>
                <w:rFonts w:ascii="宋体" w:hAnsi="宋体" w:cs="宋体" w:eastAsia="宋体" w:hint="default"/>
                <w:b/>
                <w:bCs/>
                <w:w w:val="99"/>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13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468"/>
        <w:gridCol w:w="993"/>
        <w:gridCol w:w="1559"/>
        <w:gridCol w:w="1134"/>
        <w:gridCol w:w="1134"/>
        <w:gridCol w:w="1914"/>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59,956,818.95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13.84%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116,330,817.83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36.27%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-22.43%</w:t>
            </w:r>
            <w:r>
              <w:rPr>
                <w:rFonts w:ascii="Times New Roman"/>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99"/>
              <w:jc w:val="both"/>
              <w:rPr>
                <w:rFonts w:ascii="宋体" w:hAnsi="宋体" w:cs="宋体" w:eastAsia="宋体" w:hint="default"/>
                <w:sz w:val="21"/>
                <w:szCs w:val="21"/>
              </w:rPr>
            </w:pPr>
            <w:r>
              <w:rPr>
                <w:rFonts w:ascii="宋体" w:hAnsi="宋体" w:cs="宋体" w:eastAsia="宋体" w:hint="default"/>
                <w:sz w:val="21"/>
                <w:szCs w:val="21"/>
              </w:rPr>
              <w:t>系成本费用支出增 加及对外投资增加 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97,537,231.63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22.52%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66,570,485.30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20.75%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1.77%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1,446,666.98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0.33%</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0.33%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4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73,505,105.81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16.97%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68,508,849.85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21.36%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-4.39%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4,849,986.52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1.12%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4,279,356.44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-0.21%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before="81"/>
        <w:ind w:left="636"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）负债项目重大变动情况</w:t>
      </w:r>
      <w:r>
        <w:rPr>
          <w:rFonts w:ascii="宋体" w:hAnsi="宋体" w:cs="宋体" w:eastAsia="宋体" w:hint="default"/>
          <w:sz w:val="24"/>
          <w:szCs w:val="24"/>
        </w:rPr>
      </w:r>
    </w:p>
    <w:p>
      <w:pPr>
        <w:pStyle w:val="BodyText"/>
        <w:spacing w:line="240" w:lineRule="auto" w:before="97"/>
        <w:ind w:left="0" w:right="150"/>
        <w:jc w:val="right"/>
      </w:pPr>
      <w:r>
        <w:rPr/>
        <w:t>单位：元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357"/>
        <w:gridCol w:w="1468"/>
        <w:gridCol w:w="1134"/>
        <w:gridCol w:w="821"/>
        <w:gridCol w:w="1063"/>
        <w:gridCol w:w="798"/>
        <w:gridCol w:w="2918"/>
      </w:tblGrid>
      <w:tr>
        <w:trPr>
          <w:trHeight w:val="206" w:hRule="exact"/>
        </w:trPr>
        <w:tc>
          <w:tcPr>
            <w:tcW w:w="1357" w:type="dxa"/>
            <w:vMerge w:val="restart"/>
            <w:tcBorders>
              <w:top w:val="single" w:sz="4" w:space="0" w:color="000000"/>
              <w:left w:val="single" w:sz="4" w:space="0" w:color="000000"/>
              <w:right w:val="single" w:sz="4" w:space="0" w:color="000000"/>
            </w:tcBorders>
            <w:shd w:val="clear" w:color="auto" w:fill="D2D2D2"/>
          </w:tcPr>
          <w:p>
            <w:pPr/>
          </w:p>
        </w:tc>
        <w:tc>
          <w:tcPr>
            <w:tcW w:w="26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2014 </w:t>
            </w:r>
            <w:r>
              <w:rPr>
                <w:rFonts w:ascii="宋体" w:hAnsi="宋体" w:cs="宋体" w:eastAsia="宋体" w:hint="default"/>
                <w:b/>
                <w:bCs/>
                <w:sz w:val="21"/>
                <w:szCs w:val="21"/>
              </w:rPr>
              <w:t>年</w:t>
            </w:r>
            <w:r>
              <w:rPr>
                <w:rFonts w:ascii="宋体" w:hAnsi="宋体" w:cs="宋体" w:eastAsia="宋体" w:hint="default"/>
                <w:sz w:val="21"/>
                <w:szCs w:val="21"/>
              </w:rPr>
            </w:r>
          </w:p>
        </w:tc>
        <w:tc>
          <w:tcPr>
            <w:tcW w:w="18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59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2013 </w:t>
            </w:r>
            <w:r>
              <w:rPr>
                <w:rFonts w:ascii="宋体" w:hAnsi="宋体" w:cs="宋体" w:eastAsia="宋体" w:hint="default"/>
                <w:b/>
                <w:bCs/>
                <w:sz w:val="21"/>
                <w:szCs w:val="21"/>
              </w:rPr>
              <w:t>年</w:t>
            </w:r>
            <w:r>
              <w:rPr>
                <w:rFonts w:ascii="宋体" w:hAnsi="宋体" w:cs="宋体" w:eastAsia="宋体" w:hint="default"/>
                <w:sz w:val="21"/>
                <w:szCs w:val="21"/>
              </w:rPr>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2602" w:type="dxa"/>
            <w:gridSpan w:val="2"/>
            <w:vMerge/>
            <w:tcBorders>
              <w:left w:val="single" w:sz="4" w:space="0" w:color="000000"/>
              <w:bottom w:val="single" w:sz="4" w:space="0" w:color="000000"/>
              <w:right w:val="single" w:sz="4" w:space="0" w:color="000000"/>
            </w:tcBorders>
            <w:shd w:val="clear" w:color="auto" w:fill="D2D2D2"/>
          </w:tcPr>
          <w:p>
            <w:pPr/>
          </w:p>
        </w:tc>
        <w:tc>
          <w:tcPr>
            <w:tcW w:w="1884" w:type="dxa"/>
            <w:gridSpan w:val="2"/>
            <w:vMerge/>
            <w:tcBorders>
              <w:left w:val="single" w:sz="4" w:space="0" w:color="000000"/>
              <w:bottom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287" w:right="77" w:hanging="212"/>
              <w:jc w:val="left"/>
              <w:rPr>
                <w:rFonts w:ascii="宋体" w:hAnsi="宋体" w:cs="宋体" w:eastAsia="宋体" w:hint="default"/>
                <w:sz w:val="21"/>
                <w:szCs w:val="21"/>
              </w:rPr>
            </w:pPr>
            <w:r>
              <w:rPr>
                <w:rFonts w:ascii="宋体" w:hAnsi="宋体" w:cs="宋体" w:eastAsia="宋体" w:hint="default"/>
                <w:b/>
                <w:bCs/>
                <w:sz w:val="21"/>
                <w:szCs w:val="21"/>
              </w:rPr>
              <w:t>比重增</w:t>
            </w:r>
            <w:r>
              <w:rPr>
                <w:rFonts w:ascii="宋体" w:hAnsi="宋体" w:cs="宋体" w:eastAsia="宋体" w:hint="default"/>
                <w:b/>
                <w:bCs/>
                <w:spacing w:val="1"/>
                <w:w w:val="99"/>
                <w:sz w:val="21"/>
                <w:szCs w:val="21"/>
              </w:rPr>
              <w:t> </w:t>
            </w:r>
            <w:r>
              <w:rPr>
                <w:rFonts w:ascii="宋体" w:hAnsi="宋体" w:cs="宋体" w:eastAsia="宋体" w:hint="default"/>
                <w:b/>
                <w:bCs/>
                <w:sz w:val="21"/>
                <w:szCs w:val="21"/>
              </w:rPr>
              <w:t>减</w:t>
            </w:r>
            <w:r>
              <w:rPr>
                <w:rFonts w:ascii="宋体" w:hAnsi="宋体" w:cs="宋体" w:eastAsia="宋体" w:hint="default"/>
                <w:sz w:val="21"/>
                <w:szCs w:val="21"/>
              </w:rPr>
            </w: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9"/>
              <w:ind w:left="455" w:right="34" w:hanging="422"/>
              <w:jc w:val="left"/>
              <w:rPr>
                <w:rFonts w:ascii="宋体" w:hAnsi="宋体" w:cs="宋体" w:eastAsia="宋体" w:hint="default"/>
                <w:sz w:val="21"/>
                <w:szCs w:val="21"/>
              </w:rPr>
            </w:pPr>
            <w:r>
              <w:rPr>
                <w:rFonts w:ascii="宋体" w:hAnsi="宋体" w:cs="宋体" w:eastAsia="宋体" w:hint="default"/>
                <w:b/>
                <w:bCs/>
                <w:sz w:val="21"/>
                <w:szCs w:val="21"/>
              </w:rPr>
              <w:t>占总资产比</w:t>
            </w:r>
            <w:r>
              <w:rPr>
                <w:rFonts w:ascii="宋体" w:hAnsi="宋体" w:cs="宋体" w:eastAsia="宋体" w:hint="default"/>
                <w:b/>
                <w:bCs/>
                <w:w w:val="99"/>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9"/>
              <w:ind w:left="315" w:right="102" w:hanging="212"/>
              <w:jc w:val="left"/>
              <w:rPr>
                <w:rFonts w:ascii="宋体" w:hAnsi="宋体" w:cs="宋体" w:eastAsia="宋体" w:hint="default"/>
                <w:sz w:val="21"/>
                <w:szCs w:val="21"/>
              </w:rPr>
            </w:pPr>
            <w:r>
              <w:rPr>
                <w:rFonts w:ascii="宋体" w:hAnsi="宋体" w:cs="宋体" w:eastAsia="宋体" w:hint="default"/>
                <w:b/>
                <w:bCs/>
                <w:sz w:val="21"/>
                <w:szCs w:val="21"/>
              </w:rPr>
              <w:t>占总资产</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798" w:type="dxa"/>
            <w:vMerge/>
            <w:tcBorders>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821" w:right="0"/>
              <w:jc w:val="left"/>
              <w:rPr>
                <w:rFonts w:ascii="宋体" w:hAnsi="宋体" w:cs="宋体" w:eastAsia="宋体" w:hint="default"/>
                <w:sz w:val="21"/>
                <w:szCs w:val="21"/>
              </w:rPr>
            </w:pPr>
            <w:r>
              <w:rPr>
                <w:rFonts w:ascii="宋体" w:hAnsi="宋体" w:cs="宋体" w:eastAsia="宋体" w:hint="default"/>
                <w:b/>
                <w:bCs/>
                <w:sz w:val="21"/>
                <w:szCs w:val="21"/>
              </w:rPr>
              <w:t>重大变动说明</w:t>
            </w:r>
            <w:r>
              <w:rPr>
                <w:rFonts w:ascii="宋体" w:hAnsi="宋体" w:cs="宋体" w:eastAsia="宋体" w:hint="default"/>
                <w:sz w:val="21"/>
                <w:szCs w:val="21"/>
              </w:rPr>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34"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94"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468"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4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4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215" w:right="0"/>
              <w:jc w:val="left"/>
              <w:rPr>
                <w:rFonts w:ascii="Times New Roman" w:hAnsi="Times New Roman" w:cs="Times New Roman" w:eastAsia="Times New Roman" w:hint="default"/>
                <w:sz w:val="21"/>
                <w:szCs w:val="21"/>
              </w:rPr>
            </w:pPr>
            <w:r>
              <w:rPr>
                <w:rFonts w:ascii="Times New Roman"/>
                <w:sz w:val="21"/>
              </w:rPr>
              <w:t>55,000,000.00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52" w:right="0"/>
              <w:jc w:val="left"/>
              <w:rPr>
                <w:rFonts w:ascii="Times New Roman" w:hAnsi="Times New Roman" w:cs="Times New Roman" w:eastAsia="Times New Roman" w:hint="default"/>
                <w:sz w:val="21"/>
                <w:szCs w:val="21"/>
              </w:rPr>
            </w:pPr>
            <w:r>
              <w:rPr>
                <w:rFonts w:ascii="Times New Roman"/>
                <w:sz w:val="21"/>
              </w:rPr>
              <w:t>12.70%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87" w:right="0"/>
              <w:jc w:val="left"/>
              <w:rPr>
                <w:rFonts w:ascii="Times New Roman" w:hAnsi="Times New Roman" w:cs="Times New Roman" w:eastAsia="Times New Roman" w:hint="default"/>
                <w:sz w:val="21"/>
                <w:szCs w:val="21"/>
              </w:rPr>
            </w:pPr>
            <w:r>
              <w:rPr>
                <w:rFonts w:ascii="Times New Roman"/>
                <w:sz w:val="21"/>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16" w:right="0"/>
              <w:jc w:val="left"/>
              <w:rPr>
                <w:rFonts w:ascii="Times New Roman" w:hAnsi="Times New Roman" w:cs="Times New Roman" w:eastAsia="Times New Roman" w:hint="default"/>
                <w:sz w:val="21"/>
                <w:szCs w:val="21"/>
              </w:rPr>
            </w:pPr>
            <w:r>
              <w:rPr>
                <w:rFonts w:ascii="Times New Roman"/>
                <w:sz w:val="21"/>
              </w:rPr>
              <w:t>12.70%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468"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before="81"/>
        <w:ind w:left="636"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）以公允价值计量的资产和负债</w:t>
      </w:r>
      <w:r>
        <w:rPr>
          <w:rFonts w:ascii="宋体" w:hAnsi="宋体" w:cs="宋体" w:eastAsia="宋体" w:hint="default"/>
          <w:sz w:val="24"/>
          <w:szCs w:val="24"/>
        </w:rPr>
      </w:r>
    </w:p>
    <w:p>
      <w:pPr>
        <w:pStyle w:val="BodyText"/>
        <w:spacing w:line="367" w:lineRule="auto" w:before="175"/>
        <w:ind w:left="634" w:right="40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报告期内公司主要资产计量属性是否发生重大变化</w:t>
      </w:r>
    </w:p>
    <w:p>
      <w:pPr>
        <w:pStyle w:val="BodyText"/>
        <w:spacing w:line="240" w:lineRule="auto" w:before="66"/>
        <w:ind w:left="63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3"/>
        <w:rPr>
          <w:rFonts w:ascii="宋体" w:hAnsi="宋体" w:cs="宋体" w:eastAsia="宋体" w:hint="default"/>
          <w:sz w:val="27"/>
          <w:szCs w:val="27"/>
        </w:rPr>
      </w:pPr>
    </w:p>
    <w:p>
      <w:pPr>
        <w:spacing w:before="0"/>
        <w:ind w:left="154" w:right="0" w:firstLine="0"/>
        <w:jc w:val="left"/>
        <w:rPr>
          <w:rFonts w:ascii="宋体" w:hAnsi="宋体" w:cs="宋体" w:eastAsia="宋体" w:hint="default"/>
          <w:sz w:val="24"/>
          <w:szCs w:val="24"/>
        </w:rPr>
      </w:pPr>
      <w:bookmarkStart w:name="（4）公司竞争能力重大变化分析" w:id="23"/>
      <w:bookmarkEnd w:id="23"/>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）公司竞争能力重大变化分析</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pStyle w:val="BodyText"/>
        <w:spacing w:line="240" w:lineRule="auto" w:before="0"/>
        <w:ind w:left="6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7"/>
          <w:szCs w:val="27"/>
        </w:rPr>
      </w:pPr>
    </w:p>
    <w:p>
      <w:pPr>
        <w:spacing w:before="0"/>
        <w:ind w:left="154" w:right="0" w:firstLine="0"/>
        <w:jc w:val="left"/>
        <w:rPr>
          <w:rFonts w:ascii="宋体" w:hAnsi="宋体" w:cs="宋体" w:eastAsia="宋体" w:hint="default"/>
          <w:sz w:val="24"/>
          <w:szCs w:val="24"/>
        </w:rPr>
      </w:pPr>
      <w:bookmarkStart w:name="（5）投资状况分析" w:id="24"/>
      <w:bookmarkEnd w:id="24"/>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）投资状况分析</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spacing w:before="0"/>
        <w:ind w:left="636"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）对外投资情况</w:t>
      </w:r>
      <w:r>
        <w:rPr>
          <w:rFonts w:ascii="宋体" w:hAnsi="宋体" w:cs="宋体" w:eastAsia="宋体" w:hint="default"/>
          <w:sz w:val="24"/>
          <w:szCs w:val="24"/>
        </w:rPr>
      </w:r>
    </w:p>
    <w:p>
      <w:pPr>
        <w:pStyle w:val="BodyText"/>
        <w:spacing w:line="240" w:lineRule="auto" w:before="175"/>
        <w:ind w:left="6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35"/>
        <w:ind w:left="0" w:right="1201" w:firstLine="0"/>
        <w:jc w:val="right"/>
        <w:rPr>
          <w:rFonts w:ascii="宋体" w:hAnsi="宋体" w:cs="宋体" w:eastAsia="宋体" w:hint="default"/>
          <w:sz w:val="21"/>
          <w:szCs w:val="21"/>
        </w:rPr>
      </w:pPr>
      <w:r>
        <w:rPr/>
        <w:pict>
          <v:shape style="position:absolute;margin-left:56.459999pt;margin-top:-96.046326pt;width:479.25pt;height:116.6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34"/>
                    <w:gridCol w:w="1057"/>
                    <w:gridCol w:w="671"/>
                    <w:gridCol w:w="1595"/>
                    <w:gridCol w:w="924"/>
                    <w:gridCol w:w="138"/>
                    <w:gridCol w:w="1064"/>
                    <w:gridCol w:w="930"/>
                    <w:gridCol w:w="92"/>
                    <w:gridCol w:w="966"/>
                  </w:tblGrid>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对外投资情况</w:t>
                        </w:r>
                        <w:r>
                          <w:rPr>
                            <w:rFonts w:ascii="宋体" w:hAnsi="宋体" w:cs="宋体" w:eastAsia="宋体" w:hint="default"/>
                            <w:sz w:val="21"/>
                            <w:szCs w:val="21"/>
                          </w:rPr>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6" w:right="0"/>
                          <w:jc w:val="left"/>
                          <w:rPr>
                            <w:rFonts w:ascii="宋体" w:hAnsi="宋体" w:cs="宋体" w:eastAsia="宋体" w:hint="default"/>
                            <w:sz w:val="21"/>
                            <w:szCs w:val="21"/>
                          </w:rPr>
                        </w:pPr>
                        <w:r>
                          <w:rPr>
                            <w:rFonts w:ascii="宋体" w:hAnsi="宋体" w:cs="宋体" w:eastAsia="宋体" w:hint="default"/>
                            <w:sz w:val="21"/>
                            <w:szCs w:val="21"/>
                          </w:rPr>
                          <w:t>报告期投资额（元）</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8" w:right="0"/>
                          <w:jc w:val="left"/>
                          <w:rPr>
                            <w:rFonts w:ascii="宋体" w:hAnsi="宋体" w:cs="宋体" w:eastAsia="宋体" w:hint="default"/>
                            <w:sz w:val="21"/>
                            <w:szCs w:val="21"/>
                          </w:rPr>
                        </w:pPr>
                        <w:r>
                          <w:rPr>
                            <w:rFonts w:ascii="宋体" w:hAnsi="宋体" w:cs="宋体" w:eastAsia="宋体" w:hint="default"/>
                            <w:sz w:val="21"/>
                            <w:szCs w:val="21"/>
                          </w:rPr>
                          <w:t>上年同期投资额（元）</w:t>
                        </w:r>
                      </w:p>
                    </w:tc>
                    <w:tc>
                      <w:tcPr>
                        <w:tcW w:w="318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51" w:right="0"/>
                          <w:jc w:val="left"/>
                          <w:rPr>
                            <w:rFonts w:ascii="Times New Roman" w:hAnsi="Times New Roman" w:cs="Times New Roman" w:eastAsia="Times New Roman" w:hint="default"/>
                            <w:sz w:val="21"/>
                            <w:szCs w:val="21"/>
                          </w:rPr>
                        </w:pPr>
                        <w:r>
                          <w:rPr>
                            <w:rFonts w:ascii="Times New Roman"/>
                            <w:sz w:val="21"/>
                          </w:rPr>
                          <w:t>80,637,210.00</w:t>
                        </w:r>
                      </w:p>
                    </w:tc>
                    <w:tc>
                      <w:tcPr>
                        <w:tcW w:w="3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49" w:right="0"/>
                          <w:jc w:val="left"/>
                          <w:rPr>
                            <w:rFonts w:ascii="Times New Roman" w:hAnsi="Times New Roman" w:cs="Times New Roman" w:eastAsia="Times New Roman" w:hint="default"/>
                            <w:sz w:val="21"/>
                            <w:szCs w:val="21"/>
                          </w:rPr>
                        </w:pPr>
                        <w:r>
                          <w:rPr>
                            <w:rFonts w:ascii="Times New Roman"/>
                            <w:sz w:val="21"/>
                          </w:rPr>
                          <w:t>29,000,000.00</w:t>
                        </w:r>
                      </w:p>
                    </w:tc>
                    <w:tc>
                      <w:tcPr>
                        <w:tcW w:w="31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178.06%</w:t>
                        </w: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被投资公司情况</w:t>
                        </w:r>
                        <w:r>
                          <w:rPr>
                            <w:rFonts w:ascii="宋体" w:hAnsi="宋体" w:cs="宋体" w:eastAsia="宋体" w:hint="default"/>
                            <w:sz w:val="21"/>
                            <w:szCs w:val="21"/>
                          </w:rPr>
                        </w:r>
                      </w:p>
                    </w:tc>
                  </w:tr>
                  <w:tr>
                    <w:trPr>
                      <w:trHeight w:val="714"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640"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b/>
                            <w:bCs/>
                            <w:sz w:val="21"/>
                            <w:szCs w:val="21"/>
                          </w:rPr>
                          <w:t>主要业务</w:t>
                        </w:r>
                        <w:r>
                          <w:rPr>
                            <w:rFonts w:ascii="宋体" w:hAnsi="宋体" w:cs="宋体" w:eastAsia="宋体" w:hint="default"/>
                            <w:sz w:val="21"/>
                            <w:szCs w:val="21"/>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5" w:right="53"/>
                          <w:jc w:val="left"/>
                          <w:rPr>
                            <w:rFonts w:ascii="宋体" w:hAnsi="宋体" w:cs="宋体" w:eastAsia="宋体" w:hint="default"/>
                            <w:sz w:val="21"/>
                            <w:szCs w:val="21"/>
                          </w:rPr>
                        </w:pPr>
                        <w:r>
                          <w:rPr>
                            <w:rFonts w:ascii="宋体" w:hAnsi="宋体" w:cs="宋体" w:eastAsia="宋体" w:hint="default"/>
                            <w:b/>
                            <w:bCs/>
                            <w:sz w:val="21"/>
                            <w:szCs w:val="21"/>
                          </w:rPr>
                          <w:t>上市公司占被投</w:t>
                        </w:r>
                        <w:r>
                          <w:rPr>
                            <w:rFonts w:ascii="宋体" w:hAnsi="宋体" w:cs="宋体" w:eastAsia="宋体" w:hint="default"/>
                            <w:b/>
                            <w:bCs/>
                            <w:w w:val="99"/>
                            <w:sz w:val="21"/>
                            <w:szCs w:val="21"/>
                          </w:rPr>
                          <w:t> </w:t>
                        </w:r>
                        <w:r>
                          <w:rPr>
                            <w:rFonts w:ascii="宋体" w:hAnsi="宋体" w:cs="宋体" w:eastAsia="宋体" w:hint="default"/>
                            <w:b/>
                            <w:bCs/>
                            <w:sz w:val="21"/>
                            <w:szCs w:val="21"/>
                          </w:rPr>
                          <w:t>资公司权益比例</w:t>
                        </w:r>
                        <w:r>
                          <w:rPr>
                            <w:rFonts w:ascii="宋体" w:hAnsi="宋体" w:cs="宋体" w:eastAsia="宋体" w:hint="default"/>
                            <w:sz w:val="21"/>
                            <w:szCs w:val="21"/>
                          </w:rPr>
                        </w:r>
                      </w:p>
                    </w:tc>
                    <w:tc>
                      <w:tcPr>
                        <w:tcW w:w="10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b/>
                            <w:bCs/>
                            <w:sz w:val="21"/>
                            <w:szCs w:val="21"/>
                          </w:rPr>
                          <w:t>资金来源</w:t>
                        </w:r>
                        <w:r>
                          <w:rPr>
                            <w:rFonts w:ascii="宋体" w:hAnsi="宋体" w:cs="宋体" w:eastAsia="宋体" w:hint="default"/>
                            <w:sz w:val="21"/>
                            <w:szCs w:val="21"/>
                          </w:rPr>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09" w:right="0"/>
                          <w:jc w:val="left"/>
                          <w:rPr>
                            <w:rFonts w:ascii="宋体" w:hAnsi="宋体" w:cs="宋体" w:eastAsia="宋体" w:hint="default"/>
                            <w:sz w:val="21"/>
                            <w:szCs w:val="21"/>
                          </w:rPr>
                        </w:pPr>
                        <w:r>
                          <w:rPr>
                            <w:rFonts w:ascii="宋体" w:hAnsi="宋体" w:cs="宋体" w:eastAsia="宋体" w:hint="default"/>
                            <w:b/>
                            <w:bCs/>
                            <w:sz w:val="21"/>
                            <w:szCs w:val="21"/>
                          </w:rPr>
                          <w:t>合作方</w:t>
                        </w:r>
                        <w:r>
                          <w:rPr>
                            <w:rFonts w:ascii="宋体" w:hAnsi="宋体" w:cs="宋体" w:eastAsia="宋体" w:hint="default"/>
                            <w:sz w:val="21"/>
                            <w:szCs w:val="21"/>
                          </w:rPr>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36" w:firstLine="14"/>
                          <w:jc w:val="left"/>
                          <w:rPr>
                            <w:rFonts w:ascii="宋体" w:hAnsi="宋体" w:cs="宋体" w:eastAsia="宋体" w:hint="default"/>
                            <w:sz w:val="21"/>
                            <w:szCs w:val="21"/>
                          </w:rPr>
                        </w:pPr>
                        <w:r>
                          <w:rPr>
                            <w:rFonts w:ascii="宋体" w:hAnsi="宋体" w:cs="宋体" w:eastAsia="宋体" w:hint="default"/>
                            <w:b/>
                            <w:bCs/>
                            <w:sz w:val="21"/>
                            <w:szCs w:val="21"/>
                          </w:rPr>
                          <w:t>本期投资</w:t>
                        </w:r>
                        <w:r>
                          <w:rPr>
                            <w:rFonts w:ascii="宋体" w:hAnsi="宋体" w:cs="宋体" w:eastAsia="宋体" w:hint="default"/>
                            <w:b/>
                            <w:bCs/>
                            <w:spacing w:val="1"/>
                            <w:w w:val="99"/>
                            <w:sz w:val="21"/>
                            <w:szCs w:val="21"/>
                          </w:rPr>
                          <w:t> </w:t>
                        </w:r>
                        <w:r>
                          <w:rPr>
                            <w:rFonts w:ascii="宋体" w:hAnsi="宋体" w:cs="宋体" w:eastAsia="宋体" w:hint="default"/>
                            <w:b/>
                            <w:bCs/>
                            <w:spacing w:val="-19"/>
                            <w:sz w:val="21"/>
                            <w:szCs w:val="21"/>
                          </w:rPr>
                          <w:t>盈亏（元</w:t>
                        </w:r>
                        <w:r>
                          <w:rPr>
                            <w:rFonts w:ascii="宋体" w:hAnsi="宋体" w:cs="宋体" w:eastAsia="宋体" w:hint="default"/>
                            <w:spacing w:val="-19"/>
                            <w:sz w:val="21"/>
                            <w:szCs w:val="21"/>
                          </w:rPr>
                        </w:r>
                      </w:p>
                    </w:tc>
                    <w:tc>
                      <w:tcPr>
                        <w:tcW w:w="92" w:type="dxa"/>
                        <w:tcBorders>
                          <w:top w:val="single" w:sz="4" w:space="0" w:color="000000"/>
                          <w:left w:val="single" w:sz="4" w:space="0" w:color="000000"/>
                          <w:bottom w:val="single" w:sz="4" w:space="0" w:color="000000"/>
                          <w:right w:val="nil" w:sz="6" w:space="0" w:color="auto"/>
                        </w:tcBorders>
                        <w:shd w:val="clear" w:color="auto" w:fill="D2D2D2"/>
                      </w:tcPr>
                      <w:p>
                        <w:pPr/>
                      </w:p>
                    </w:tc>
                    <w:tc>
                      <w:tcPr>
                        <w:tcW w:w="96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5" w:right="0"/>
                          <w:jc w:val="left"/>
                          <w:rPr>
                            <w:rFonts w:ascii="宋体" w:hAnsi="宋体" w:cs="宋体" w:eastAsia="宋体" w:hint="default"/>
                            <w:sz w:val="21"/>
                            <w:szCs w:val="21"/>
                          </w:rPr>
                        </w:pPr>
                        <w:r>
                          <w:rPr>
                            <w:rFonts w:ascii="宋体" w:hAnsi="宋体" w:cs="宋体" w:eastAsia="宋体" w:hint="default"/>
                            <w:b/>
                            <w:bCs/>
                            <w:sz w:val="21"/>
                            <w:szCs w:val="21"/>
                          </w:rPr>
                          <w:t>是否涉诉</w:t>
                        </w:r>
                        <w:r>
                          <w:rPr>
                            <w:rFonts w:ascii="宋体" w:hAnsi="宋体" w:cs="宋体" w:eastAsia="宋体" w:hint="default"/>
                            <w:sz w:val="21"/>
                            <w:szCs w:val="21"/>
                          </w:rPr>
                        </w:r>
                      </w:p>
                    </w:tc>
                  </w:tr>
                </w:tbl>
                <w:p>
                  <w:pPr/>
                </w:p>
              </w:txbxContent>
            </v:textbox>
            <w10:wrap type="none"/>
          </v:shape>
        </w:pict>
      </w:r>
      <w:r>
        <w:rPr>
          <w:rFonts w:ascii="宋体" w:hAnsi="宋体" w:cs="宋体" w:eastAsia="宋体" w:hint="default"/>
          <w:b/>
          <w:bCs/>
          <w:w w:val="99"/>
          <w:sz w:val="21"/>
          <w:szCs w:val="21"/>
        </w:rPr>
        <w:t>）</w:t>
      </w:r>
      <w:r>
        <w:rPr>
          <w:rFonts w:ascii="宋体" w:hAnsi="宋体" w:cs="宋体" w:eastAsia="宋体" w:hint="default"/>
          <w:sz w:val="21"/>
          <w:szCs w:val="21"/>
        </w:rPr>
      </w:r>
    </w:p>
    <w:p>
      <w:pPr>
        <w:spacing w:after="0"/>
        <w:jc w:val="right"/>
        <w:rPr>
          <w:rFonts w:ascii="宋体" w:hAnsi="宋体" w:cs="宋体" w:eastAsia="宋体" w:hint="default"/>
          <w:sz w:val="21"/>
          <w:szCs w:val="21"/>
        </w:rPr>
        <w:sectPr>
          <w:pgSz w:w="11910" w:h="16840"/>
          <w:pgMar w:header="87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134"/>
        <w:gridCol w:w="1728"/>
        <w:gridCol w:w="1595"/>
        <w:gridCol w:w="1062"/>
        <w:gridCol w:w="1064"/>
        <w:gridCol w:w="930"/>
        <w:gridCol w:w="1057"/>
      </w:tblGrid>
      <w:tr>
        <w:trPr>
          <w:trHeight w:val="1026"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22" w:right="209"/>
              <w:jc w:val="left"/>
              <w:rPr>
                <w:rFonts w:ascii="宋体" w:hAnsi="宋体" w:cs="宋体" w:eastAsia="宋体" w:hint="default"/>
                <w:sz w:val="21"/>
                <w:szCs w:val="21"/>
              </w:rPr>
            </w:pPr>
            <w:r>
              <w:rPr>
                <w:rFonts w:ascii="宋体" w:hAnsi="宋体" w:cs="宋体" w:eastAsia="宋体" w:hint="default"/>
                <w:sz w:val="21"/>
                <w:szCs w:val="21"/>
              </w:rPr>
              <w:t>中文在线教育集团有 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5"/>
              <w:jc w:val="left"/>
              <w:rPr>
                <w:rFonts w:ascii="宋体" w:hAnsi="宋体" w:cs="宋体" w:eastAsia="宋体" w:hint="default"/>
                <w:sz w:val="21"/>
                <w:szCs w:val="21"/>
              </w:rPr>
            </w:pPr>
            <w:r>
              <w:rPr>
                <w:rFonts w:ascii="宋体" w:hAnsi="宋体" w:cs="宋体" w:eastAsia="宋体" w:hint="default"/>
                <w:sz w:val="21"/>
                <w:szCs w:val="21"/>
              </w:rPr>
              <w:t>拓展公司在亚太 地区的市场，发展 公司的国际业务。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-50,437.3</w:t>
            </w:r>
            <w:r>
              <w:rPr>
                <w:rFonts w:ascii="Times New Roman"/>
                <w:sz w:val="21"/>
              </w:rPr>
            </w:r>
          </w:p>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z w:val="21"/>
              </w:rPr>
              <w:t>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50"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73" w:lineRule="auto"/>
              <w:ind w:left="22" w:right="209"/>
              <w:jc w:val="both"/>
              <w:rPr>
                <w:rFonts w:ascii="宋体" w:hAnsi="宋体" w:cs="宋体" w:eastAsia="宋体" w:hint="default"/>
                <w:sz w:val="21"/>
                <w:szCs w:val="21"/>
              </w:rPr>
            </w:pPr>
            <w:r>
              <w:rPr>
                <w:rFonts w:ascii="宋体" w:hAnsi="宋体" w:cs="宋体" w:eastAsia="宋体" w:hint="default"/>
                <w:sz w:val="21"/>
                <w:szCs w:val="21"/>
              </w:rPr>
              <w:t>北京汤圆和它的小伙 伴们网络科技有限公 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
              <w:jc w:val="left"/>
              <w:rPr>
                <w:rFonts w:ascii="宋体" w:hAnsi="宋体" w:cs="宋体" w:eastAsia="宋体" w:hint="default"/>
                <w:sz w:val="21"/>
                <w:szCs w:val="21"/>
              </w:rPr>
            </w:pPr>
            <w:r>
              <w:rPr>
                <w:rFonts w:ascii="宋体" w:hAnsi="宋体" w:cs="宋体" w:eastAsia="宋体" w:hint="default"/>
                <w:sz w:val="21"/>
                <w:szCs w:val="21"/>
              </w:rPr>
              <w:t>基于移动互联网 的手机等移动设 备的创作平台研 发，新媒体内容的 运营及推广。</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6"/>
              <w:ind w:right="20"/>
              <w:jc w:val="right"/>
              <w:rPr>
                <w:rFonts w:ascii="Times New Roman" w:hAnsi="Times New Roman" w:cs="Times New Roman" w:eastAsia="Times New Roman" w:hint="default"/>
                <w:sz w:val="21"/>
                <w:szCs w:val="21"/>
              </w:rPr>
            </w:pPr>
            <w:r>
              <w:rPr>
                <w:rFonts w:ascii="Times New Roman"/>
                <w:sz w:val="21"/>
              </w:rPr>
              <w:t>100.00%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6"/>
              <w:ind w:left="22"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91" w:right="0"/>
              <w:jc w:val="left"/>
              <w:rPr>
                <w:rFonts w:ascii="Times New Roman" w:hAnsi="Times New Roman" w:cs="Times New Roman" w:eastAsia="Times New Roman" w:hint="default"/>
                <w:sz w:val="21"/>
                <w:szCs w:val="21"/>
              </w:rPr>
            </w:pPr>
            <w:r>
              <w:rPr>
                <w:rFonts w:ascii="Times New Roman"/>
                <w:sz w:val="21"/>
              </w:rPr>
              <w:t>-1,700,71</w:t>
            </w:r>
          </w:p>
          <w:p>
            <w:pPr>
              <w:pStyle w:val="TableParagraph"/>
              <w:spacing w:line="240" w:lineRule="auto" w:before="71"/>
              <w:ind w:left="529" w:right="0"/>
              <w:jc w:val="left"/>
              <w:rPr>
                <w:rFonts w:ascii="Times New Roman" w:hAnsi="Times New Roman" w:cs="Times New Roman" w:eastAsia="Times New Roman" w:hint="default"/>
                <w:sz w:val="21"/>
                <w:szCs w:val="21"/>
              </w:rPr>
            </w:pPr>
            <w:r>
              <w:rPr>
                <w:rFonts w:ascii="Times New Roman"/>
                <w:sz w:val="21"/>
              </w:rPr>
              <w:t>3.87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394"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73" w:lineRule="auto"/>
              <w:ind w:left="22" w:right="209"/>
              <w:jc w:val="left"/>
              <w:rPr>
                <w:rFonts w:ascii="宋体" w:hAnsi="宋体" w:cs="宋体" w:eastAsia="宋体" w:hint="default"/>
                <w:sz w:val="21"/>
                <w:szCs w:val="21"/>
              </w:rPr>
            </w:pPr>
            <w:r>
              <w:rPr>
                <w:rFonts w:ascii="宋体" w:hAnsi="宋体" w:cs="宋体" w:eastAsia="宋体" w:hint="default"/>
                <w:sz w:val="21"/>
                <w:szCs w:val="21"/>
              </w:rPr>
              <w:t>天翼阅读文化传播有 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9"/>
                <w:szCs w:val="29"/>
              </w:rPr>
            </w:pPr>
          </w:p>
          <w:p>
            <w:pPr>
              <w:pStyle w:val="TableParagraph"/>
              <w:spacing w:line="268" w:lineRule="auto"/>
              <w:ind w:left="22" w:right="15"/>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PC</w:t>
            </w:r>
            <w:r>
              <w:rPr>
                <w:rFonts w:ascii="宋体" w:hAnsi="宋体" w:cs="宋体" w:eastAsia="宋体" w:hint="default"/>
                <w:sz w:val="21"/>
                <w:szCs w:val="21"/>
              </w:rPr>
              <w:t>、手机平板 电脑和</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TV</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为阅读 载体，为用户提供 图书、报刊杂志、 漫画、有声读物、 资讯等各种类型 的数字化阅读服 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10.53%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6"/>
              <w:ind w:left="22"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9"/>
              <w:jc w:val="left"/>
              <w:rPr>
                <w:rFonts w:ascii="宋体" w:hAnsi="宋体" w:cs="宋体" w:eastAsia="宋体" w:hint="default"/>
                <w:sz w:val="21"/>
                <w:szCs w:val="21"/>
              </w:rPr>
            </w:pPr>
            <w:r>
              <w:rPr>
                <w:rFonts w:ascii="宋体" w:hAnsi="宋体" w:cs="宋体" w:eastAsia="宋体" w:hint="default"/>
                <w:sz w:val="21"/>
                <w:szCs w:val="21"/>
              </w:rPr>
              <w:t>中国电信 集团公司； 江苏凤凰 出版传媒 股份有限 </w:t>
            </w:r>
            <w:r>
              <w:rPr>
                <w:rFonts w:ascii="宋体" w:hAnsi="宋体" w:cs="宋体" w:eastAsia="宋体" w:hint="default"/>
                <w:spacing w:val="-9"/>
                <w:sz w:val="21"/>
                <w:szCs w:val="21"/>
              </w:rPr>
              <w:t>公司；新华</w:t>
            </w:r>
            <w:r>
              <w:rPr>
                <w:rFonts w:ascii="宋体" w:hAnsi="宋体" w:cs="宋体" w:eastAsia="宋体" w:hint="default"/>
                <w:sz w:val="21"/>
                <w:szCs w:val="21"/>
              </w:rPr>
              <w:t> 网股份有 </w:t>
            </w:r>
            <w:r>
              <w:rPr>
                <w:rFonts w:ascii="宋体" w:hAnsi="宋体" w:cs="宋体" w:eastAsia="宋体" w:hint="default"/>
                <w:spacing w:val="-9"/>
                <w:sz w:val="21"/>
                <w:szCs w:val="21"/>
              </w:rPr>
              <w:t>限公司；杭</w:t>
            </w:r>
            <w:r>
              <w:rPr>
                <w:rFonts w:ascii="宋体" w:hAnsi="宋体" w:cs="宋体" w:eastAsia="宋体" w:hint="default"/>
                <w:sz w:val="21"/>
                <w:szCs w:val="21"/>
              </w:rPr>
              <w:t> 州思本投 资咨询合 </w:t>
            </w:r>
            <w:r>
              <w:rPr>
                <w:rFonts w:ascii="宋体" w:hAnsi="宋体" w:cs="宋体" w:eastAsia="宋体" w:hint="default"/>
                <w:spacing w:val="-9"/>
                <w:sz w:val="21"/>
                <w:szCs w:val="21"/>
              </w:rPr>
              <w:t>伙企业（有</w:t>
            </w:r>
            <w:r>
              <w:rPr>
                <w:rFonts w:ascii="宋体" w:hAnsi="宋体" w:cs="宋体" w:eastAsia="宋体" w:hint="default"/>
                <w:sz w:val="21"/>
                <w:szCs w:val="21"/>
              </w:rPr>
              <w:t> </w:t>
            </w:r>
            <w:r>
              <w:rPr>
                <w:rFonts w:ascii="宋体" w:hAnsi="宋体" w:cs="宋体" w:eastAsia="宋体" w:hint="default"/>
                <w:spacing w:val="-21"/>
                <w:sz w:val="21"/>
                <w:szCs w:val="21"/>
              </w:rPr>
              <w:t>限合伙）；</w:t>
            </w:r>
            <w:r>
              <w:rPr>
                <w:rFonts w:ascii="宋体" w:hAnsi="宋体" w:cs="宋体" w:eastAsia="宋体" w:hint="default"/>
                <w:sz w:val="21"/>
                <w:szCs w:val="21"/>
              </w:rPr>
              <w:t> 杭州万卷 投资咨询 合伙企业</w:t>
            </w:r>
          </w:p>
          <w:p>
            <w:pPr>
              <w:pStyle w:val="TableParagraph"/>
              <w:spacing w:line="273" w:lineRule="auto" w:before="7"/>
              <w:ind w:left="22" w:right="189"/>
              <w:jc w:val="left"/>
              <w:rPr>
                <w:rFonts w:ascii="宋体" w:hAnsi="宋体" w:cs="宋体" w:eastAsia="宋体" w:hint="default"/>
                <w:sz w:val="21"/>
                <w:szCs w:val="21"/>
              </w:rPr>
            </w:pPr>
            <w:r>
              <w:rPr>
                <w:rFonts w:ascii="宋体" w:hAnsi="宋体" w:cs="宋体" w:eastAsia="宋体" w:hint="default"/>
                <w:sz w:val="21"/>
                <w:szCs w:val="21"/>
              </w:rPr>
              <w:t>（有限合 伙）</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529" w:right="0"/>
              <w:jc w:val="left"/>
              <w:rPr>
                <w:rFonts w:ascii="Times New Roman" w:hAnsi="Times New Roman" w:cs="Times New Roman" w:eastAsia="Times New Roman" w:hint="default"/>
                <w:sz w:val="21"/>
                <w:szCs w:val="21"/>
              </w:rPr>
            </w:pPr>
            <w:r>
              <w:rPr>
                <w:rFonts w:ascii="Times New Roman"/>
                <w:sz w:val="21"/>
              </w:rPr>
              <w:t>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before="81"/>
        <w:ind w:left="636"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）募集资金使用情况</w:t>
      </w:r>
      <w:r>
        <w:rPr>
          <w:rFonts w:ascii="宋体" w:hAnsi="宋体" w:cs="宋体" w:eastAsia="宋体" w:hint="default"/>
          <w:sz w:val="24"/>
          <w:szCs w:val="24"/>
        </w:rPr>
      </w:r>
    </w:p>
    <w:p>
      <w:pPr>
        <w:spacing w:line="376" w:lineRule="auto" w:before="176"/>
        <w:ind w:left="634" w:right="473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公司报告期无募集资金使用情况。 </w:t>
      </w:r>
      <w:r>
        <w:rPr>
          <w:rFonts w:ascii="Times New Roman" w:hAnsi="Times New Roman" w:cs="Times New Roman" w:eastAsia="Times New Roman" w:hint="default"/>
          <w:b/>
          <w:bCs/>
          <w:w w:val="95"/>
          <w:sz w:val="24"/>
          <w:szCs w:val="24"/>
        </w:rPr>
        <w:t>3</w:t>
      </w:r>
      <w:r>
        <w:rPr>
          <w:rFonts w:ascii="宋体" w:hAnsi="宋体" w:cs="宋体" w:eastAsia="宋体" w:hint="default"/>
          <w:b/>
          <w:bCs/>
          <w:w w:val="95"/>
          <w:sz w:val="24"/>
          <w:szCs w:val="24"/>
        </w:rPr>
        <w:t>）非募集资金投资的重大项目情况</w:t>
      </w:r>
      <w:r>
        <w:rPr>
          <w:rFonts w:ascii="宋体" w:hAnsi="宋体" w:cs="宋体" w:eastAsia="宋体" w:hint="default"/>
          <w:sz w:val="24"/>
          <w:szCs w:val="24"/>
        </w:rPr>
      </w:r>
    </w:p>
    <w:p>
      <w:pPr>
        <w:spacing w:line="376" w:lineRule="auto" w:before="24"/>
        <w:ind w:left="634" w:right="473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公司报告期无非募集资金投资的重大项目。 </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）持有其他上市公司股权情况</w:t>
      </w:r>
      <w:r>
        <w:rPr>
          <w:rFonts w:ascii="宋体" w:hAnsi="宋体" w:cs="宋体" w:eastAsia="宋体" w:hint="default"/>
          <w:sz w:val="24"/>
          <w:szCs w:val="24"/>
        </w:rPr>
      </w:r>
    </w:p>
    <w:p>
      <w:pPr>
        <w:pStyle w:val="BodyText"/>
        <w:spacing w:line="240" w:lineRule="auto" w:before="24"/>
        <w:ind w:left="6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before="175"/>
        <w:ind w:left="636"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）持有金融企业股权情况</w:t>
      </w:r>
      <w:r>
        <w:rPr>
          <w:rFonts w:ascii="宋体" w:hAnsi="宋体" w:cs="宋体" w:eastAsia="宋体" w:hint="default"/>
          <w:sz w:val="24"/>
          <w:szCs w:val="24"/>
        </w:rPr>
      </w:r>
    </w:p>
    <w:p>
      <w:pPr>
        <w:pStyle w:val="BodyText"/>
        <w:spacing w:line="367" w:lineRule="auto" w:before="177"/>
        <w:ind w:left="634" w:right="5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公司报告期未持有金融企业股权。</w:t>
      </w:r>
    </w:p>
    <w:p>
      <w:pPr>
        <w:spacing w:after="0" w:line="367" w:lineRule="auto"/>
        <w:jc w:val="left"/>
        <w:sectPr>
          <w:pgSz w:w="11910" w:h="16840"/>
          <w:pgMar w:header="877" w:footer="979" w:top="1060" w:bottom="1160" w:left="980" w:right="980"/>
        </w:sectPr>
      </w:pPr>
    </w:p>
    <w:p>
      <w:pPr>
        <w:spacing w:line="240" w:lineRule="auto" w:before="9"/>
        <w:rPr>
          <w:rFonts w:ascii="宋体" w:hAnsi="宋体" w:cs="宋体" w:eastAsia="宋体" w:hint="default"/>
          <w:sz w:val="29"/>
          <w:szCs w:val="29"/>
        </w:rPr>
      </w:pPr>
    </w:p>
    <w:p>
      <w:pPr>
        <w:spacing w:before="26"/>
        <w:ind w:left="636"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）买卖其他上市公司股份的情况</w:t>
      </w:r>
      <w:r>
        <w:rPr>
          <w:rFonts w:ascii="宋体" w:hAnsi="宋体" w:cs="宋体" w:eastAsia="宋体" w:hint="default"/>
          <w:sz w:val="24"/>
          <w:szCs w:val="24"/>
        </w:rPr>
      </w:r>
    </w:p>
    <w:p>
      <w:pPr>
        <w:pStyle w:val="BodyText"/>
        <w:spacing w:line="240" w:lineRule="auto" w:before="175"/>
        <w:ind w:left="6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before="176"/>
        <w:ind w:left="636"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）以公允价值计量的金融资产</w:t>
      </w:r>
      <w:r>
        <w:rPr>
          <w:rFonts w:ascii="宋体" w:hAnsi="宋体" w:cs="宋体" w:eastAsia="宋体" w:hint="default"/>
          <w:sz w:val="24"/>
          <w:szCs w:val="24"/>
        </w:rPr>
      </w:r>
    </w:p>
    <w:p>
      <w:pPr>
        <w:pStyle w:val="BodyText"/>
        <w:spacing w:line="240" w:lineRule="auto" w:before="175"/>
        <w:ind w:left="6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877" w:footer="979" w:top="1060" w:bottom="1160" w:left="980" w:right="98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5"/>
          <w:szCs w:val="15"/>
        </w:rPr>
      </w:pPr>
    </w:p>
    <w:p>
      <w:pPr>
        <w:spacing w:before="26"/>
        <w:ind w:left="140" w:right="0" w:firstLine="0"/>
        <w:jc w:val="left"/>
        <w:rPr>
          <w:rFonts w:ascii="宋体" w:hAnsi="宋体" w:cs="宋体" w:eastAsia="宋体" w:hint="default"/>
          <w:sz w:val="24"/>
          <w:szCs w:val="24"/>
        </w:rPr>
      </w:pPr>
      <w:bookmarkStart w:name="（6）主要控股参股公司分析" w:id="25"/>
      <w:bookmarkEnd w:id="25"/>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）主要控股参股公司分析</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pStyle w:val="BodyText"/>
        <w:spacing w:line="240" w:lineRule="auto" w:before="0"/>
        <w:ind w:left="6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5"/>
        <w:rPr>
          <w:rFonts w:ascii="宋体" w:hAnsi="宋体" w:cs="宋体" w:eastAsia="宋体" w:hint="default"/>
          <w:sz w:val="11"/>
          <w:szCs w:val="11"/>
        </w:rPr>
      </w:pPr>
    </w:p>
    <w:p>
      <w:pPr>
        <w:pStyle w:val="BodyText"/>
        <w:spacing w:line="240" w:lineRule="auto"/>
        <w:ind w:left="620" w:right="0"/>
        <w:jc w:val="left"/>
      </w:pPr>
      <w:r>
        <w:rPr/>
        <w:t>主要子公司、参股公司情况</w:t>
      </w:r>
    </w:p>
    <w:p>
      <w:pPr>
        <w:pStyle w:val="BodyText"/>
        <w:spacing w:line="240" w:lineRule="auto" w:before="114"/>
        <w:ind w:left="0" w:right="136"/>
        <w:jc w:val="right"/>
      </w:pPr>
      <w:r>
        <w:rPr/>
        <w:t>单位：元</w:t>
      </w:r>
    </w:p>
    <w:p>
      <w:pPr>
        <w:spacing w:line="240" w:lineRule="auto" w:before="11"/>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199"/>
        <w:gridCol w:w="423"/>
        <w:gridCol w:w="578"/>
        <w:gridCol w:w="3776"/>
        <w:gridCol w:w="1263"/>
        <w:gridCol w:w="1369"/>
        <w:gridCol w:w="1369"/>
        <w:gridCol w:w="1369"/>
        <w:gridCol w:w="1334"/>
        <w:gridCol w:w="1334"/>
      </w:tblGrid>
      <w:tr>
        <w:trPr>
          <w:trHeight w:val="1338"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1"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0" w:right="100"/>
              <w:jc w:val="both"/>
              <w:rPr>
                <w:rFonts w:ascii="宋体" w:hAnsi="宋体" w:cs="宋体" w:eastAsia="宋体" w:hint="default"/>
                <w:sz w:val="21"/>
                <w:szCs w:val="21"/>
              </w:rPr>
            </w:pPr>
            <w:r>
              <w:rPr>
                <w:rFonts w:ascii="宋体" w:hAnsi="宋体" w:cs="宋体" w:eastAsia="宋体" w:hint="default"/>
                <w:b/>
                <w:bCs/>
                <w:sz w:val="21"/>
                <w:szCs w:val="21"/>
              </w:rPr>
              <w:t>公</w:t>
            </w:r>
            <w:r>
              <w:rPr>
                <w:rFonts w:ascii="宋体" w:hAnsi="宋体" w:cs="宋体" w:eastAsia="宋体" w:hint="default"/>
                <w:b/>
                <w:bCs/>
                <w:w w:val="99"/>
                <w:sz w:val="21"/>
                <w:szCs w:val="21"/>
              </w:rPr>
              <w:t> </w:t>
            </w:r>
            <w:r>
              <w:rPr>
                <w:rFonts w:ascii="宋体" w:hAnsi="宋体" w:cs="宋体" w:eastAsia="宋体" w:hint="default"/>
                <w:b/>
                <w:bCs/>
                <w:sz w:val="21"/>
                <w:szCs w:val="21"/>
              </w:rPr>
              <w:t>司</w:t>
            </w:r>
            <w:r>
              <w:rPr>
                <w:rFonts w:ascii="宋体" w:hAnsi="宋体" w:cs="宋体" w:eastAsia="宋体" w:hint="default"/>
                <w:b/>
                <w:bCs/>
                <w:w w:val="99"/>
                <w:sz w:val="21"/>
                <w:szCs w:val="21"/>
              </w:rPr>
              <w:t> </w:t>
            </w:r>
            <w:r>
              <w:rPr>
                <w:rFonts w:ascii="宋体" w:hAnsi="宋体" w:cs="宋体" w:eastAsia="宋体" w:hint="default"/>
                <w:b/>
                <w:bCs/>
                <w:sz w:val="21"/>
                <w:szCs w:val="21"/>
              </w:rPr>
              <w:t>类</w:t>
            </w:r>
            <w:r>
              <w:rPr>
                <w:rFonts w:ascii="宋体" w:hAnsi="宋体" w:cs="宋体" w:eastAsia="宋体" w:hint="default"/>
                <w:b/>
                <w:bCs/>
                <w:w w:val="99"/>
                <w:sz w:val="21"/>
                <w:szCs w:val="21"/>
              </w:rPr>
              <w:t> </w:t>
            </w:r>
            <w:r>
              <w:rPr>
                <w:rFonts w:ascii="宋体" w:hAnsi="宋体" w:cs="宋体" w:eastAsia="宋体" w:hint="default"/>
                <w:b/>
                <w:bCs/>
                <w:sz w:val="21"/>
                <w:szCs w:val="21"/>
              </w:rPr>
              <w:t>型</w:t>
            </w:r>
            <w:r>
              <w:rPr>
                <w:rFonts w:ascii="宋体" w:hAnsi="宋体" w:cs="宋体" w:eastAsia="宋体" w:hint="default"/>
                <w:sz w:val="21"/>
                <w:szCs w:val="21"/>
              </w:rPr>
            </w: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74" w:right="71"/>
              <w:jc w:val="left"/>
              <w:rPr>
                <w:rFonts w:ascii="宋体" w:hAnsi="宋体" w:cs="宋体" w:eastAsia="宋体" w:hint="default"/>
                <w:sz w:val="21"/>
                <w:szCs w:val="21"/>
              </w:rPr>
            </w:pPr>
            <w:r>
              <w:rPr>
                <w:rFonts w:ascii="宋体" w:hAnsi="宋体" w:cs="宋体" w:eastAsia="宋体" w:hint="default"/>
                <w:b/>
                <w:bCs/>
                <w:sz w:val="21"/>
                <w:szCs w:val="21"/>
              </w:rPr>
              <w:t>所处</w:t>
            </w:r>
            <w:r>
              <w:rPr>
                <w:rFonts w:ascii="宋体" w:hAnsi="宋体" w:cs="宋体" w:eastAsia="宋体" w:hint="default"/>
                <w:b/>
                <w:bCs/>
                <w:spacing w:val="1"/>
                <w:w w:val="99"/>
                <w:sz w:val="21"/>
                <w:szCs w:val="21"/>
              </w:rPr>
              <w:t> </w:t>
            </w:r>
            <w:r>
              <w:rPr>
                <w:rFonts w:ascii="宋体" w:hAnsi="宋体" w:cs="宋体" w:eastAsia="宋体" w:hint="default"/>
                <w:b/>
                <w:bCs/>
                <w:sz w:val="21"/>
                <w:szCs w:val="21"/>
              </w:rPr>
              <w:t>行业</w:t>
            </w:r>
            <w:r>
              <w:rPr>
                <w:rFonts w:ascii="宋体" w:hAnsi="宋体" w:cs="宋体" w:eastAsia="宋体" w:hint="default"/>
                <w:sz w:val="21"/>
                <w:szCs w:val="21"/>
              </w:rPr>
            </w:r>
          </w:p>
        </w:tc>
        <w:tc>
          <w:tcPr>
            <w:tcW w:w="3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b/>
                <w:bCs/>
                <w:sz w:val="21"/>
                <w:szCs w:val="21"/>
              </w:rPr>
              <w:t>主要产品或服务</w:t>
            </w:r>
            <w:r>
              <w:rPr>
                <w:rFonts w:ascii="宋体" w:hAnsi="宋体" w:cs="宋体" w:eastAsia="宋体" w:hint="default"/>
                <w:sz w:val="21"/>
                <w:szCs w:val="21"/>
              </w:rPr>
            </w:r>
          </w:p>
        </w:tc>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sz w:val="21"/>
                <w:szCs w:val="21"/>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b/>
                <w:bCs/>
                <w:sz w:val="21"/>
                <w:szCs w:val="21"/>
              </w:rPr>
              <w:t>净资产</w:t>
            </w:r>
            <w:r>
              <w:rPr>
                <w:rFonts w:ascii="宋体" w:hAnsi="宋体" w:cs="宋体" w:eastAsia="宋体" w:hint="default"/>
                <w:sz w:val="21"/>
                <w:szCs w:val="21"/>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b/>
                <w:bCs/>
                <w:sz w:val="21"/>
                <w:szCs w:val="21"/>
              </w:rPr>
              <w:t>营业利润</w:t>
            </w:r>
            <w:r>
              <w:rPr>
                <w:rFonts w:ascii="宋体" w:hAnsi="宋体" w:cs="宋体" w:eastAsia="宋体" w:hint="default"/>
                <w:sz w:val="21"/>
                <w:szCs w:val="21"/>
              </w:rPr>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46" w:right="0"/>
              <w:jc w:val="left"/>
              <w:rPr>
                <w:rFonts w:ascii="宋体" w:hAnsi="宋体" w:cs="宋体" w:eastAsia="宋体" w:hint="default"/>
                <w:sz w:val="21"/>
                <w:szCs w:val="21"/>
              </w:rPr>
            </w:pPr>
            <w:r>
              <w:rPr>
                <w:rFonts w:ascii="宋体" w:hAnsi="宋体" w:cs="宋体" w:eastAsia="宋体" w:hint="default"/>
                <w:b/>
                <w:bCs/>
                <w:sz w:val="21"/>
                <w:szCs w:val="21"/>
              </w:rPr>
              <w:t>净利润</w:t>
            </w:r>
            <w:r>
              <w:rPr>
                <w:rFonts w:ascii="宋体" w:hAnsi="宋体" w:cs="宋体" w:eastAsia="宋体" w:hint="default"/>
                <w:sz w:val="21"/>
                <w:szCs w:val="21"/>
              </w:rPr>
            </w:r>
          </w:p>
        </w:tc>
      </w:tr>
      <w:tr>
        <w:trPr>
          <w:trHeight w:val="1338" w:hRule="exact"/>
        </w:trPr>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114"/>
              <w:jc w:val="both"/>
              <w:rPr>
                <w:rFonts w:ascii="宋体" w:hAnsi="宋体" w:cs="宋体" w:eastAsia="宋体" w:hint="default"/>
                <w:sz w:val="21"/>
                <w:szCs w:val="21"/>
              </w:rPr>
            </w:pPr>
            <w:r>
              <w:rPr>
                <w:rFonts w:ascii="宋体" w:hAnsi="宋体" w:cs="宋体" w:eastAsia="宋体" w:hint="default"/>
                <w:sz w:val="21"/>
                <w:szCs w:val="21"/>
              </w:rPr>
              <w:t>北京中文在 线文化传媒 有限公司</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178"/>
              <w:jc w:val="both"/>
              <w:rPr>
                <w:rFonts w:ascii="宋体" w:hAnsi="宋体" w:cs="宋体" w:eastAsia="宋体" w:hint="default"/>
                <w:sz w:val="21"/>
                <w:szCs w:val="21"/>
              </w:rPr>
            </w:pPr>
            <w:r>
              <w:rPr>
                <w:rFonts w:ascii="宋体" w:hAnsi="宋体" w:cs="宋体" w:eastAsia="宋体" w:hint="default"/>
                <w:sz w:val="21"/>
                <w:szCs w:val="21"/>
              </w:rPr>
              <w:t>子 公 司</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3" w:right="122"/>
              <w:jc w:val="left"/>
              <w:rPr>
                <w:rFonts w:ascii="宋体" w:hAnsi="宋体" w:cs="宋体" w:eastAsia="宋体" w:hint="default"/>
                <w:sz w:val="21"/>
                <w:szCs w:val="21"/>
              </w:rPr>
            </w:pPr>
            <w:r>
              <w:rPr>
                <w:rFonts w:ascii="宋体" w:hAnsi="宋体" w:cs="宋体" w:eastAsia="宋体" w:hint="default"/>
                <w:sz w:val="21"/>
                <w:szCs w:val="21"/>
              </w:rPr>
              <w:t>互联 网</w:t>
            </w:r>
          </w:p>
        </w:tc>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4"/>
                <w:sz w:val="21"/>
                <w:szCs w:val="21"/>
              </w:rPr>
              <w:t>为手机、手持终端、互联网等媒体提供数</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4"/>
                <w:sz w:val="21"/>
                <w:szCs w:val="21"/>
              </w:rPr>
              <w:t>字阅读产品，并向出版社、游戏公司、影</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视制作公司等机构提供纸质出版权和改 编权等数字内容增值服务。</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45,118,330.05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262,885.57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70,896,043.51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-4,061,624.48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-2,524,572.81</w:t>
            </w:r>
          </w:p>
        </w:tc>
      </w:tr>
      <w:tr>
        <w:trPr>
          <w:trHeight w:val="1026" w:hRule="exact"/>
        </w:trPr>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4"/>
              <w:jc w:val="both"/>
              <w:rPr>
                <w:rFonts w:ascii="宋体" w:hAnsi="宋体" w:cs="宋体" w:eastAsia="宋体" w:hint="default"/>
                <w:sz w:val="21"/>
                <w:szCs w:val="21"/>
              </w:rPr>
            </w:pPr>
            <w:r>
              <w:rPr>
                <w:rFonts w:ascii="宋体" w:hAnsi="宋体" w:cs="宋体" w:eastAsia="宋体" w:hint="default"/>
                <w:sz w:val="21"/>
                <w:szCs w:val="21"/>
              </w:rPr>
              <w:t>上海中文在 线文化发展 有限公司</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78"/>
              <w:jc w:val="both"/>
              <w:rPr>
                <w:rFonts w:ascii="宋体" w:hAnsi="宋体" w:cs="宋体" w:eastAsia="宋体" w:hint="default"/>
                <w:sz w:val="21"/>
                <w:szCs w:val="21"/>
              </w:rPr>
            </w:pPr>
            <w:r>
              <w:rPr>
                <w:rFonts w:ascii="宋体" w:hAnsi="宋体" w:cs="宋体" w:eastAsia="宋体" w:hint="default"/>
                <w:sz w:val="21"/>
                <w:szCs w:val="21"/>
              </w:rPr>
              <w:t>子 公 司</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122"/>
              <w:jc w:val="both"/>
              <w:rPr>
                <w:rFonts w:ascii="宋体" w:hAnsi="宋体" w:cs="宋体" w:eastAsia="宋体" w:hint="default"/>
                <w:sz w:val="21"/>
                <w:szCs w:val="21"/>
              </w:rPr>
            </w:pPr>
            <w:r>
              <w:rPr>
                <w:rFonts w:ascii="宋体" w:hAnsi="宋体" w:cs="宋体" w:eastAsia="宋体" w:hint="default"/>
                <w:sz w:val="21"/>
                <w:szCs w:val="21"/>
              </w:rPr>
              <w:t>文化 及教 育</w:t>
            </w:r>
          </w:p>
        </w:tc>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6"/>
              <w:ind w:left="22" w:right="79"/>
              <w:jc w:val="left"/>
              <w:rPr>
                <w:rFonts w:ascii="宋体" w:hAnsi="宋体" w:cs="宋体" w:eastAsia="宋体" w:hint="default"/>
                <w:sz w:val="21"/>
                <w:szCs w:val="21"/>
              </w:rPr>
            </w:pPr>
            <w:r>
              <w:rPr>
                <w:rFonts w:ascii="宋体" w:hAnsi="宋体" w:cs="宋体" w:eastAsia="宋体" w:hint="default"/>
                <w:sz w:val="21"/>
                <w:szCs w:val="21"/>
              </w:rPr>
              <w:t>经营上海本地及周边地区范围内的中小 学及公共数字图书馆业务，以及参与</w:t>
            </w:r>
            <w:r>
              <w:rPr>
                <w:rFonts w:ascii="Times New Roman" w:hAnsi="Times New Roman" w:cs="Times New Roman" w:eastAsia="Times New Roman" w:hint="default"/>
                <w:sz w:val="21"/>
                <w:szCs w:val="21"/>
              </w:rPr>
              <w:t>“</w:t>
            </w:r>
            <w:r>
              <w:rPr>
                <w:rFonts w:ascii="宋体" w:hAnsi="宋体" w:cs="宋体" w:eastAsia="宋体" w:hint="default"/>
                <w:sz w:val="21"/>
                <w:szCs w:val="21"/>
              </w:rPr>
              <w:t>电 子书包</w:t>
            </w:r>
            <w:r>
              <w:rPr>
                <w:rFonts w:ascii="Times New Roman" w:hAnsi="Times New Roman" w:cs="Times New Roman" w:eastAsia="Times New Roman" w:hint="default"/>
                <w:sz w:val="21"/>
                <w:szCs w:val="21"/>
              </w:rPr>
              <w:t>”</w:t>
            </w:r>
            <w:r>
              <w:rPr>
                <w:rFonts w:ascii="宋体" w:hAnsi="宋体" w:cs="宋体" w:eastAsia="宋体" w:hint="default"/>
                <w:sz w:val="21"/>
                <w:szCs w:val="21"/>
              </w:rPr>
              <w:t>试点项目。</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22,723,367.58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18,952,278.75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17,093,912.11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9,564,133.35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8,826,589.93</w:t>
            </w:r>
          </w:p>
        </w:tc>
      </w:tr>
      <w:tr>
        <w:trPr>
          <w:trHeight w:val="1338" w:hRule="exact"/>
        </w:trPr>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4"/>
              <w:jc w:val="both"/>
              <w:rPr>
                <w:rFonts w:ascii="宋体" w:hAnsi="宋体" w:cs="宋体" w:eastAsia="宋体" w:hint="default"/>
                <w:sz w:val="21"/>
                <w:szCs w:val="21"/>
              </w:rPr>
            </w:pPr>
            <w:r>
              <w:rPr>
                <w:rFonts w:ascii="宋体" w:hAnsi="宋体" w:cs="宋体" w:eastAsia="宋体" w:hint="default"/>
                <w:sz w:val="21"/>
                <w:szCs w:val="21"/>
              </w:rPr>
              <w:t>北京中文在 线教育科技 发展有限公 司</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178"/>
              <w:jc w:val="both"/>
              <w:rPr>
                <w:rFonts w:ascii="宋体" w:hAnsi="宋体" w:cs="宋体" w:eastAsia="宋体" w:hint="default"/>
                <w:sz w:val="21"/>
                <w:szCs w:val="21"/>
              </w:rPr>
            </w:pPr>
            <w:r>
              <w:rPr>
                <w:rFonts w:ascii="宋体" w:hAnsi="宋体" w:cs="宋体" w:eastAsia="宋体" w:hint="default"/>
                <w:sz w:val="21"/>
                <w:szCs w:val="21"/>
              </w:rPr>
              <w:t>子 公 司</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教育</w:t>
            </w:r>
          </w:p>
        </w:tc>
        <w:tc>
          <w:tcPr>
            <w:tcW w:w="377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48"/>
              <w:jc w:val="center"/>
              <w:rPr>
                <w:rFonts w:ascii="宋体" w:hAnsi="宋体" w:cs="宋体" w:eastAsia="宋体" w:hint="default"/>
                <w:sz w:val="21"/>
                <w:szCs w:val="21"/>
              </w:rPr>
            </w:pPr>
            <w:r>
              <w:rPr>
                <w:rFonts w:ascii="宋体" w:hAnsi="宋体" w:cs="宋体" w:eastAsia="宋体" w:hint="default"/>
                <w:sz w:val="21"/>
                <w:szCs w:val="21"/>
              </w:rPr>
              <w:t>提供中小学数字图书馆等教育阅读服务。</w:t>
            </w:r>
          </w:p>
        </w:tc>
        <w:tc>
          <w:tcPr>
            <w:tcW w:w="12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 w:right="0"/>
              <w:jc w:val="left"/>
              <w:rPr>
                <w:rFonts w:ascii="Times New Roman" w:hAnsi="Times New Roman" w:cs="Times New Roman" w:eastAsia="Times New Roman" w:hint="default"/>
                <w:sz w:val="21"/>
                <w:szCs w:val="21"/>
              </w:rPr>
            </w:pPr>
            <w:r>
              <w:rPr>
                <w:rFonts w:ascii="Times New Roman"/>
                <w:sz w:val="21"/>
              </w:rPr>
              <w:t>20,000,000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44,229,952.57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24,177,746.69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7,093,299.68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3,909,595.64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3,708,490.87</w:t>
            </w:r>
          </w:p>
        </w:tc>
      </w:tr>
      <w:tr>
        <w:trPr>
          <w:trHeight w:val="1338" w:hRule="exact"/>
        </w:trPr>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114"/>
              <w:jc w:val="both"/>
              <w:rPr>
                <w:rFonts w:ascii="宋体" w:hAnsi="宋体" w:cs="宋体" w:eastAsia="宋体" w:hint="default"/>
                <w:sz w:val="21"/>
                <w:szCs w:val="21"/>
              </w:rPr>
            </w:pPr>
            <w:r>
              <w:rPr>
                <w:rFonts w:ascii="宋体" w:hAnsi="宋体" w:cs="宋体" w:eastAsia="宋体" w:hint="default"/>
                <w:sz w:val="21"/>
                <w:szCs w:val="21"/>
              </w:rPr>
              <w:t>广州市四月 天信息科技 有限公司</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178"/>
              <w:jc w:val="both"/>
              <w:rPr>
                <w:rFonts w:ascii="宋体" w:hAnsi="宋体" w:cs="宋体" w:eastAsia="宋体" w:hint="default"/>
                <w:sz w:val="21"/>
                <w:szCs w:val="21"/>
              </w:rPr>
            </w:pPr>
            <w:r>
              <w:rPr>
                <w:rFonts w:ascii="宋体" w:hAnsi="宋体" w:cs="宋体" w:eastAsia="宋体" w:hint="default"/>
                <w:sz w:val="21"/>
                <w:szCs w:val="21"/>
              </w:rPr>
              <w:t>子 公 司</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3" w:right="122"/>
              <w:jc w:val="left"/>
              <w:rPr>
                <w:rFonts w:ascii="宋体" w:hAnsi="宋体" w:cs="宋体" w:eastAsia="宋体" w:hint="default"/>
                <w:sz w:val="21"/>
                <w:szCs w:val="21"/>
              </w:rPr>
            </w:pPr>
            <w:r>
              <w:rPr>
                <w:rFonts w:ascii="宋体" w:hAnsi="宋体" w:cs="宋体" w:eastAsia="宋体" w:hint="default"/>
                <w:sz w:val="21"/>
                <w:szCs w:val="21"/>
              </w:rPr>
              <w:t>互联 网</w:t>
            </w:r>
          </w:p>
        </w:tc>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4"/>
                <w:sz w:val="21"/>
                <w:szCs w:val="21"/>
              </w:rPr>
              <w:t>为手机、手持终端、互联网等媒体提供数</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4"/>
                <w:sz w:val="21"/>
                <w:szCs w:val="21"/>
              </w:rPr>
              <w:t>字阅读产品，并向出版社、游戏公司、影</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视制作公司等机构提供纸质出版权和改 编权等数字内容增值服务。</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1,346,700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16,614,946.72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2,217,662.30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25,638,752.81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558,210.79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288,411.62</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6"/>
              <w:ind w:left="22" w:right="114"/>
              <w:jc w:val="left"/>
              <w:rPr>
                <w:rFonts w:ascii="宋体" w:hAnsi="宋体" w:cs="宋体" w:eastAsia="宋体" w:hint="default"/>
                <w:sz w:val="21"/>
                <w:szCs w:val="21"/>
              </w:rPr>
            </w:pPr>
            <w:r>
              <w:rPr>
                <w:rFonts w:ascii="宋体" w:hAnsi="宋体" w:cs="宋体" w:eastAsia="宋体" w:hint="default"/>
                <w:sz w:val="21"/>
                <w:szCs w:val="21"/>
              </w:rPr>
              <w:t>杭州中文在 线信息科技</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6"/>
              <w:ind w:left="22" w:right="178"/>
              <w:jc w:val="left"/>
              <w:rPr>
                <w:rFonts w:ascii="宋体" w:hAnsi="宋体" w:cs="宋体" w:eastAsia="宋体" w:hint="default"/>
                <w:sz w:val="21"/>
                <w:szCs w:val="21"/>
              </w:rPr>
            </w:pPr>
            <w:r>
              <w:rPr>
                <w:rFonts w:ascii="宋体" w:hAnsi="宋体" w:cs="宋体" w:eastAsia="宋体" w:hint="default"/>
                <w:sz w:val="21"/>
                <w:szCs w:val="21"/>
              </w:rPr>
              <w:t>子 公</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122"/>
              <w:jc w:val="left"/>
              <w:rPr>
                <w:rFonts w:ascii="宋体" w:hAnsi="宋体" w:cs="宋体" w:eastAsia="宋体" w:hint="default"/>
                <w:sz w:val="21"/>
                <w:szCs w:val="21"/>
              </w:rPr>
            </w:pPr>
            <w:r>
              <w:rPr>
                <w:rFonts w:ascii="宋体" w:hAnsi="宋体" w:cs="宋体" w:eastAsia="宋体" w:hint="default"/>
                <w:sz w:val="21"/>
                <w:szCs w:val="21"/>
              </w:rPr>
              <w:t>信息 技术</w:t>
            </w:r>
          </w:p>
        </w:tc>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73"/>
              <w:jc w:val="left"/>
              <w:rPr>
                <w:rFonts w:ascii="宋体" w:hAnsi="宋体" w:cs="宋体" w:eastAsia="宋体" w:hint="default"/>
                <w:sz w:val="21"/>
                <w:szCs w:val="21"/>
              </w:rPr>
            </w:pPr>
            <w:r>
              <w:rPr>
                <w:rFonts w:ascii="宋体" w:hAnsi="宋体" w:cs="宋体" w:eastAsia="宋体" w:hint="default"/>
                <w:sz w:val="21"/>
                <w:szCs w:val="21"/>
              </w:rPr>
              <w:t>提供内容数字化加工及无线阅读渠道推 广服务。</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2,912,656.45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2,355,727.67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820,085.17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-227,861.34</w:t>
            </w:r>
            <w:r>
              <w:rPr>
                <w:rFonts w:ascii="Times New Roman"/>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-227,861.34</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headerReference w:type="default" r:id="rId17"/>
          <w:footerReference w:type="default" r:id="rId18"/>
          <w:pgSz w:w="16840" w:h="11910" w:orient="landscape"/>
          <w:pgMar w:header="867" w:footer="979" w:top="1060" w:bottom="1160" w:left="1300" w:right="1300"/>
          <w:pgNumType w:start="24"/>
        </w:sectPr>
      </w:pPr>
    </w:p>
    <w:p>
      <w:pPr>
        <w:spacing w:line="240" w:lineRule="auto" w:before="4"/>
        <w:rPr>
          <w:rFonts w:ascii="Times New Roman" w:hAnsi="Times New Roman" w:cs="Times New Roman" w:eastAsia="Times New Roman" w:hint="default"/>
          <w:sz w:val="3"/>
          <w:szCs w:val="3"/>
        </w:rPr>
      </w:pPr>
      <w:r>
        <w:rPr/>
        <w:pict>
          <v:shape style="position:absolute;margin-left:362.726013pt;margin-top:75.300011pt;width:69.650pt;height:23.45pt;mso-position-horizontal-relative:page;mso-position-vertical-relative:page;z-index:-742000" type="#_x0000_t202" filled="false" stroked="false">
            <v:textbox inset="0,0,0,0">
              <w:txbxContent>
                <w:p>
                  <w:pPr>
                    <w:spacing w:line="240" w:lineRule="auto" w:before="10"/>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r>
        <w:rPr/>
        <w:pict>
          <v:shape style="position:absolute;margin-left:362.779999pt;margin-top:461.160004pt;width:69.6pt;height:23.4pt;mso-position-horizontal-relative:page;mso-position-vertical-relative:page;z-index:-741976" type="#_x0000_t202" filled="false" stroked="false">
            <v:textbox inset="0,0,0,0">
              <w:txbxContent>
                <w:p>
                  <w:pPr>
                    <w:spacing w:before="26"/>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r>
        <w:rPr/>
        <w:pict>
          <v:group style="position:absolute;margin-left:369.679993pt;margin-top:236.540009pt;width:62.7pt;height:23.45pt;mso-position-horizontal-relative:page;mso-position-vertical-relative:page;z-index:-741952" coordorigin="7394,4731" coordsize="1254,469">
            <v:shape style="position:absolute;left:7394;top:4731;width:1254;height:469" coordorigin="7394,4731" coordsize="1254,469" path="m7394,5199l8647,5199,8647,4731,7394,4731,7394,5199xe" filled="true" fillcolor="#ffffff" stroked="false">
              <v:path arrowok="t"/>
              <v:fill type="solid"/>
            </v:shape>
            <w10:wrap type="none"/>
          </v:group>
        </w:pict>
      </w:r>
      <w:r>
        <w:rPr/>
        <w:pict>
          <v:group style="position:absolute;margin-left:369.679993pt;margin-top:303.460022pt;width:62.7pt;height:23.4pt;mso-position-horizontal-relative:page;mso-position-vertical-relative:page;z-index:-741928" coordorigin="7394,6069" coordsize="1254,468">
            <v:shape style="position:absolute;left:7394;top:6069;width:1254;height:468" coordorigin="7394,6069" coordsize="1254,468" path="m7394,6537l8647,6537,8647,6069,7394,6069,7394,6537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199"/>
        <w:gridCol w:w="423"/>
        <w:gridCol w:w="578"/>
        <w:gridCol w:w="3776"/>
        <w:gridCol w:w="1263"/>
        <w:gridCol w:w="1369"/>
        <w:gridCol w:w="1369"/>
        <w:gridCol w:w="1369"/>
        <w:gridCol w:w="1334"/>
        <w:gridCol w:w="1334"/>
      </w:tblGrid>
      <w:tr>
        <w:trPr>
          <w:trHeight w:val="377" w:hRule="exact"/>
        </w:trPr>
        <w:tc>
          <w:tcPr>
            <w:tcW w:w="1199" w:type="dxa"/>
            <w:tcBorders>
              <w:top w:val="single" w:sz="15"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423" w:type="dxa"/>
            <w:tcBorders>
              <w:top w:val="single" w:sz="15"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578" w:type="dxa"/>
            <w:tcBorders>
              <w:top w:val="single" w:sz="15" w:space="0" w:color="000000"/>
              <w:left w:val="single" w:sz="4" w:space="0" w:color="000000"/>
              <w:bottom w:val="single" w:sz="4" w:space="0" w:color="000000"/>
              <w:right w:val="single" w:sz="4" w:space="0" w:color="000000"/>
            </w:tcBorders>
          </w:tcPr>
          <w:p>
            <w:pPr/>
          </w:p>
        </w:tc>
        <w:tc>
          <w:tcPr>
            <w:tcW w:w="3776" w:type="dxa"/>
            <w:tcBorders>
              <w:top w:val="single" w:sz="15" w:space="0" w:color="000000"/>
              <w:left w:val="single" w:sz="4" w:space="0" w:color="000000"/>
              <w:bottom w:val="single" w:sz="4" w:space="0" w:color="000000"/>
              <w:right w:val="single" w:sz="4" w:space="0" w:color="000000"/>
            </w:tcBorders>
          </w:tcPr>
          <w:p>
            <w:pPr/>
          </w:p>
        </w:tc>
        <w:tc>
          <w:tcPr>
            <w:tcW w:w="1263" w:type="dxa"/>
            <w:tcBorders>
              <w:top w:val="single" w:sz="15" w:space="0" w:color="000000"/>
              <w:left w:val="single" w:sz="4" w:space="0" w:color="000000"/>
              <w:bottom w:val="single" w:sz="4" w:space="0" w:color="000000"/>
              <w:right w:val="single" w:sz="4" w:space="0" w:color="000000"/>
            </w:tcBorders>
          </w:tcPr>
          <w:p>
            <w:pPr/>
          </w:p>
        </w:tc>
        <w:tc>
          <w:tcPr>
            <w:tcW w:w="1369" w:type="dxa"/>
            <w:tcBorders>
              <w:top w:val="single" w:sz="15" w:space="0" w:color="000000"/>
              <w:left w:val="single" w:sz="4" w:space="0" w:color="000000"/>
              <w:bottom w:val="single" w:sz="4" w:space="0" w:color="000000"/>
              <w:right w:val="single" w:sz="4" w:space="0" w:color="000000"/>
            </w:tcBorders>
          </w:tcPr>
          <w:p>
            <w:pPr/>
          </w:p>
        </w:tc>
        <w:tc>
          <w:tcPr>
            <w:tcW w:w="1369" w:type="dxa"/>
            <w:tcBorders>
              <w:top w:val="single" w:sz="15" w:space="0" w:color="000000"/>
              <w:left w:val="single" w:sz="4" w:space="0" w:color="000000"/>
              <w:bottom w:val="single" w:sz="4" w:space="0" w:color="000000"/>
              <w:right w:val="single" w:sz="4" w:space="0" w:color="000000"/>
            </w:tcBorders>
          </w:tcPr>
          <w:p>
            <w:pPr/>
          </w:p>
        </w:tc>
        <w:tc>
          <w:tcPr>
            <w:tcW w:w="1369" w:type="dxa"/>
            <w:tcBorders>
              <w:top w:val="single" w:sz="15" w:space="0" w:color="000000"/>
              <w:left w:val="single" w:sz="4" w:space="0" w:color="000000"/>
              <w:bottom w:val="single" w:sz="4" w:space="0" w:color="000000"/>
              <w:right w:val="single" w:sz="4" w:space="0" w:color="000000"/>
            </w:tcBorders>
          </w:tcPr>
          <w:p>
            <w:pPr/>
          </w:p>
        </w:tc>
        <w:tc>
          <w:tcPr>
            <w:tcW w:w="1334" w:type="dxa"/>
            <w:tcBorders>
              <w:top w:val="single" w:sz="15" w:space="0" w:color="000000"/>
              <w:left w:val="single" w:sz="4" w:space="0" w:color="000000"/>
              <w:bottom w:val="single" w:sz="4" w:space="0" w:color="000000"/>
              <w:right w:val="single" w:sz="4" w:space="0" w:color="000000"/>
            </w:tcBorders>
          </w:tcPr>
          <w:p>
            <w:pPr/>
          </w:p>
        </w:tc>
        <w:tc>
          <w:tcPr>
            <w:tcW w:w="1334" w:type="dxa"/>
            <w:tcBorders>
              <w:top w:val="single" w:sz="15" w:space="0" w:color="000000"/>
              <w:left w:val="single" w:sz="4" w:space="0" w:color="000000"/>
              <w:bottom w:val="single" w:sz="4" w:space="0" w:color="000000"/>
              <w:right w:val="single" w:sz="4" w:space="0" w:color="000000"/>
            </w:tcBorders>
          </w:tcPr>
          <w:p>
            <w:pPr/>
          </w:p>
        </w:tc>
      </w:tr>
      <w:tr>
        <w:trPr>
          <w:trHeight w:val="1338" w:hRule="exact"/>
        </w:trPr>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73" w:lineRule="auto"/>
              <w:ind w:left="22" w:right="114"/>
              <w:jc w:val="both"/>
              <w:rPr>
                <w:rFonts w:ascii="宋体" w:hAnsi="宋体" w:cs="宋体" w:eastAsia="宋体" w:hint="default"/>
                <w:sz w:val="21"/>
                <w:szCs w:val="21"/>
              </w:rPr>
            </w:pPr>
            <w:r>
              <w:rPr>
                <w:rFonts w:ascii="宋体" w:hAnsi="宋体" w:cs="宋体" w:eastAsia="宋体" w:hint="default"/>
                <w:sz w:val="21"/>
                <w:szCs w:val="21"/>
              </w:rPr>
              <w:t>湖北中文在 线数字出版 有限公司</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73" w:lineRule="auto"/>
              <w:ind w:left="22" w:right="178"/>
              <w:jc w:val="both"/>
              <w:rPr>
                <w:rFonts w:ascii="宋体" w:hAnsi="宋体" w:cs="宋体" w:eastAsia="宋体" w:hint="default"/>
                <w:sz w:val="21"/>
                <w:szCs w:val="21"/>
              </w:rPr>
            </w:pPr>
            <w:r>
              <w:rPr>
                <w:rFonts w:ascii="宋体" w:hAnsi="宋体" w:cs="宋体" w:eastAsia="宋体" w:hint="default"/>
                <w:sz w:val="21"/>
                <w:szCs w:val="21"/>
              </w:rPr>
              <w:t>子 公 司</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122"/>
              <w:jc w:val="both"/>
              <w:rPr>
                <w:rFonts w:ascii="宋体" w:hAnsi="宋体" w:cs="宋体" w:eastAsia="宋体" w:hint="default"/>
                <w:sz w:val="21"/>
                <w:szCs w:val="21"/>
              </w:rPr>
            </w:pPr>
            <w:r>
              <w:rPr>
                <w:rFonts w:ascii="宋体" w:hAnsi="宋体" w:cs="宋体" w:eastAsia="宋体" w:hint="default"/>
                <w:sz w:val="21"/>
                <w:szCs w:val="21"/>
              </w:rPr>
              <w:t>数字 出版 及教 育</w:t>
            </w:r>
          </w:p>
        </w:tc>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73" w:lineRule="auto"/>
              <w:ind w:left="22" w:right="22"/>
              <w:jc w:val="left"/>
              <w:rPr>
                <w:rFonts w:ascii="宋体" w:hAnsi="宋体" w:cs="宋体" w:eastAsia="宋体" w:hint="default"/>
                <w:sz w:val="21"/>
                <w:szCs w:val="21"/>
              </w:rPr>
            </w:pPr>
            <w:r>
              <w:rPr>
                <w:rFonts w:ascii="宋体" w:hAnsi="宋体" w:cs="宋体" w:eastAsia="宋体" w:hint="default"/>
                <w:spacing w:val="-10"/>
                <w:sz w:val="21"/>
                <w:szCs w:val="21"/>
              </w:rPr>
              <w:t>提供手机教育、数字教育、数字农家书屋</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4"/>
                <w:sz w:val="21"/>
                <w:szCs w:val="21"/>
              </w:rPr>
              <w:t>数字版权交易、数字出版培训等方面的服</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务。</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62.7pt;height:23.45pt;mso-position-horizontal-relative:char;mso-position-vertical-relative:line" coordorigin="0,0" coordsize="1254,469">
                  <v:group style="position:absolute;left:0;top:0;width:1254;height:469" coordorigin="0,0" coordsize="1254,469">
                    <v:shape style="position:absolute;left:0;top:0;width:1254;height:469" coordorigin="0,0" coordsize="1254,469" path="m0,468l1253,468,1253,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20,000,000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32,340,777.01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16,452,258.37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3,270,492.77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-9,544,227.43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-3,544,227.43</w:t>
            </w:r>
          </w:p>
        </w:tc>
      </w:tr>
      <w:tr>
        <w:trPr>
          <w:trHeight w:val="1026" w:hRule="exact"/>
        </w:trPr>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4"/>
              <w:jc w:val="both"/>
              <w:rPr>
                <w:rFonts w:ascii="宋体" w:hAnsi="宋体" w:cs="宋体" w:eastAsia="宋体" w:hint="default"/>
                <w:sz w:val="21"/>
                <w:szCs w:val="21"/>
              </w:rPr>
            </w:pPr>
            <w:r>
              <w:rPr>
                <w:rFonts w:ascii="宋体" w:hAnsi="宋体" w:cs="宋体" w:eastAsia="宋体" w:hint="default"/>
                <w:sz w:val="21"/>
                <w:szCs w:val="21"/>
              </w:rPr>
              <w:t>中文在线教 育集团有限 公司</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78"/>
              <w:jc w:val="both"/>
              <w:rPr>
                <w:rFonts w:ascii="宋体" w:hAnsi="宋体" w:cs="宋体" w:eastAsia="宋体" w:hint="default"/>
                <w:sz w:val="21"/>
                <w:szCs w:val="21"/>
              </w:rPr>
            </w:pPr>
            <w:r>
              <w:rPr>
                <w:rFonts w:ascii="宋体" w:hAnsi="宋体" w:cs="宋体" w:eastAsia="宋体" w:hint="default"/>
                <w:sz w:val="21"/>
                <w:szCs w:val="21"/>
              </w:rPr>
              <w:t>子 公 司</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3" w:right="122"/>
              <w:jc w:val="left"/>
              <w:rPr>
                <w:rFonts w:ascii="宋体" w:hAnsi="宋体" w:cs="宋体" w:eastAsia="宋体" w:hint="default"/>
                <w:sz w:val="21"/>
                <w:szCs w:val="21"/>
              </w:rPr>
            </w:pPr>
            <w:r>
              <w:rPr>
                <w:rFonts w:ascii="宋体" w:hAnsi="宋体" w:cs="宋体" w:eastAsia="宋体" w:hint="default"/>
                <w:sz w:val="21"/>
                <w:szCs w:val="21"/>
              </w:rPr>
              <w:t>投资 管理</w:t>
            </w:r>
          </w:p>
        </w:tc>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2" w:right="22"/>
              <w:jc w:val="left"/>
              <w:rPr>
                <w:rFonts w:ascii="宋体" w:hAnsi="宋体" w:cs="宋体" w:eastAsia="宋体" w:hint="default"/>
                <w:sz w:val="21"/>
                <w:szCs w:val="21"/>
              </w:rPr>
            </w:pPr>
            <w:r>
              <w:rPr>
                <w:rFonts w:ascii="宋体" w:hAnsi="宋体" w:cs="宋体" w:eastAsia="宋体" w:hint="default"/>
                <w:spacing w:val="-4"/>
                <w:sz w:val="21"/>
                <w:szCs w:val="21"/>
              </w:rPr>
              <w:t>拓展公司在亚太地区的市场，发展公司的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国际业务。</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10000 </w:t>
            </w:r>
            <w:r>
              <w:rPr>
                <w:rFonts w:ascii="宋体" w:hAnsi="宋体" w:cs="宋体" w:eastAsia="宋体" w:hint="default"/>
                <w:sz w:val="21"/>
                <w:szCs w:val="21"/>
              </w:rPr>
              <w:t>元港元</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/7994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22"/>
              <w:jc w:val="right"/>
              <w:rPr>
                <w:rFonts w:ascii="Times New Roman" w:hAnsi="Times New Roman" w:cs="Times New Roman" w:eastAsia="Times New Roman" w:hint="default"/>
                <w:sz w:val="21"/>
                <w:szCs w:val="21"/>
              </w:rPr>
            </w:pPr>
            <w:r>
              <w:rPr>
                <w:rFonts w:ascii="Times New Roman"/>
                <w:spacing w:val="-1"/>
                <w:sz w:val="21"/>
              </w:rPr>
              <w:t>7,318,630.01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21"/>
              <w:jc w:val="right"/>
              <w:rPr>
                <w:rFonts w:ascii="Times New Roman" w:hAnsi="Times New Roman" w:cs="Times New Roman" w:eastAsia="Times New Roman" w:hint="default"/>
                <w:sz w:val="21"/>
                <w:szCs w:val="21"/>
              </w:rPr>
            </w:pPr>
            <w:r>
              <w:rPr>
                <w:rFonts w:ascii="Times New Roman"/>
                <w:spacing w:val="-1"/>
                <w:sz w:val="21"/>
              </w:rPr>
              <w:t>-42,527.33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21"/>
              <w:jc w:val="right"/>
              <w:rPr>
                <w:rFonts w:ascii="Times New Roman" w:hAnsi="Times New Roman" w:cs="Times New Roman" w:eastAsia="Times New Roman" w:hint="default"/>
                <w:sz w:val="21"/>
                <w:szCs w:val="21"/>
              </w:rPr>
            </w:pPr>
            <w:r>
              <w:rPr>
                <w:rFonts w:ascii="Times New Roman"/>
                <w:sz w:val="21"/>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20"/>
              <w:jc w:val="right"/>
              <w:rPr>
                <w:rFonts w:ascii="Times New Roman" w:hAnsi="Times New Roman" w:cs="Times New Roman" w:eastAsia="Times New Roman" w:hint="default"/>
                <w:sz w:val="21"/>
                <w:szCs w:val="21"/>
              </w:rPr>
            </w:pPr>
            <w:r>
              <w:rPr>
                <w:rFonts w:ascii="Times New Roman"/>
                <w:w w:val="95"/>
                <w:sz w:val="21"/>
              </w:rPr>
              <w:t>-50,437.33</w:t>
            </w:r>
            <w:r>
              <w:rPr>
                <w:rFonts w:ascii="Times New Roman"/>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9"/>
              <w:jc w:val="right"/>
              <w:rPr>
                <w:rFonts w:ascii="Times New Roman" w:hAnsi="Times New Roman" w:cs="Times New Roman" w:eastAsia="Times New Roman" w:hint="default"/>
                <w:sz w:val="21"/>
                <w:szCs w:val="21"/>
              </w:rPr>
            </w:pPr>
            <w:r>
              <w:rPr>
                <w:rFonts w:ascii="Times New Roman"/>
                <w:w w:val="95"/>
                <w:sz w:val="21"/>
              </w:rPr>
              <w:t>-50,437.33</w:t>
            </w:r>
            <w:r>
              <w:rPr>
                <w:rFonts w:ascii="Times New Roman"/>
                <w:sz w:val="21"/>
              </w:rPr>
            </w:r>
          </w:p>
        </w:tc>
      </w:tr>
      <w:tr>
        <w:trPr>
          <w:trHeight w:val="1338" w:hRule="exact"/>
        </w:trPr>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4"/>
              <w:jc w:val="both"/>
              <w:rPr>
                <w:rFonts w:ascii="宋体" w:hAnsi="宋体" w:cs="宋体" w:eastAsia="宋体" w:hint="default"/>
                <w:sz w:val="21"/>
                <w:szCs w:val="21"/>
              </w:rPr>
            </w:pPr>
            <w:r>
              <w:rPr>
                <w:rFonts w:ascii="宋体" w:hAnsi="宋体" w:cs="宋体" w:eastAsia="宋体" w:hint="default"/>
                <w:sz w:val="21"/>
                <w:szCs w:val="21"/>
              </w:rPr>
              <w:t>北京汤圆和 它的小伙伴 们网络科技 有限公司</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2" w:right="178"/>
              <w:jc w:val="both"/>
              <w:rPr>
                <w:rFonts w:ascii="宋体" w:hAnsi="宋体" w:cs="宋体" w:eastAsia="宋体" w:hint="default"/>
                <w:sz w:val="21"/>
                <w:szCs w:val="21"/>
              </w:rPr>
            </w:pPr>
            <w:r>
              <w:rPr>
                <w:rFonts w:ascii="宋体" w:hAnsi="宋体" w:cs="宋体" w:eastAsia="宋体" w:hint="default"/>
                <w:sz w:val="21"/>
                <w:szCs w:val="21"/>
              </w:rPr>
              <w:t>子 公 司</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23" w:right="122"/>
              <w:jc w:val="left"/>
              <w:rPr>
                <w:rFonts w:ascii="宋体" w:hAnsi="宋体" w:cs="宋体" w:eastAsia="宋体" w:hint="default"/>
                <w:sz w:val="21"/>
                <w:szCs w:val="21"/>
              </w:rPr>
            </w:pPr>
            <w:r>
              <w:rPr>
                <w:rFonts w:ascii="宋体" w:hAnsi="宋体" w:cs="宋体" w:eastAsia="宋体" w:hint="default"/>
                <w:sz w:val="21"/>
                <w:szCs w:val="21"/>
              </w:rPr>
              <w:t>互联 网</w:t>
            </w:r>
          </w:p>
        </w:tc>
        <w:tc>
          <w:tcPr>
            <w:tcW w:w="377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22" w:right="-48"/>
              <w:jc w:val="left"/>
              <w:rPr>
                <w:rFonts w:ascii="宋体" w:hAnsi="宋体" w:cs="宋体" w:eastAsia="宋体" w:hint="default"/>
                <w:sz w:val="21"/>
                <w:szCs w:val="21"/>
              </w:rPr>
            </w:pPr>
            <w:r>
              <w:rPr>
                <w:rFonts w:ascii="宋体" w:hAnsi="宋体" w:cs="宋体" w:eastAsia="宋体" w:hint="default"/>
                <w:sz w:val="21"/>
                <w:szCs w:val="21"/>
              </w:rPr>
              <w:t>基于移动互联网的手机等移动设备的创 作平台研发，新媒体内容的运营及推广。</w:t>
            </w:r>
          </w:p>
        </w:tc>
        <w:tc>
          <w:tcPr>
            <w:tcW w:w="12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1" w:right="0"/>
              <w:jc w:val="left"/>
              <w:rPr>
                <w:rFonts w:ascii="Times New Roman" w:hAnsi="Times New Roman" w:cs="Times New Roman" w:eastAsia="Times New Roman" w:hint="default"/>
                <w:sz w:val="21"/>
                <w:szCs w:val="21"/>
              </w:rPr>
            </w:pPr>
            <w:r>
              <w:rPr>
                <w:rFonts w:ascii="Times New Roman"/>
                <w:sz w:val="21"/>
              </w:rPr>
              <w:t>10,000,000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8,730,386.92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8,299,286.13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28,301.89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-1,700,713.87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-1,700,713.87</w:t>
            </w:r>
          </w:p>
        </w:tc>
      </w:tr>
      <w:tr>
        <w:trPr>
          <w:trHeight w:val="1338" w:hRule="exact"/>
        </w:trPr>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2" w:right="114"/>
              <w:jc w:val="both"/>
              <w:rPr>
                <w:rFonts w:ascii="宋体" w:hAnsi="宋体" w:cs="宋体" w:eastAsia="宋体" w:hint="default"/>
                <w:sz w:val="21"/>
                <w:szCs w:val="21"/>
              </w:rPr>
            </w:pPr>
            <w:r>
              <w:rPr>
                <w:rFonts w:ascii="宋体" w:hAnsi="宋体" w:cs="宋体" w:eastAsia="宋体" w:hint="default"/>
                <w:sz w:val="21"/>
                <w:szCs w:val="21"/>
              </w:rPr>
              <w:t>广州市迈步 信息科技有 限公司</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78"/>
              <w:jc w:val="both"/>
              <w:rPr>
                <w:rFonts w:ascii="宋体" w:hAnsi="宋体" w:cs="宋体" w:eastAsia="宋体" w:hint="default"/>
                <w:sz w:val="21"/>
                <w:szCs w:val="21"/>
              </w:rPr>
            </w:pPr>
            <w:r>
              <w:rPr>
                <w:rFonts w:ascii="宋体" w:hAnsi="宋体" w:cs="宋体" w:eastAsia="宋体" w:hint="default"/>
                <w:sz w:val="21"/>
                <w:szCs w:val="21"/>
              </w:rPr>
              <w:t>参 股 公 司</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23" w:right="122"/>
              <w:jc w:val="left"/>
              <w:rPr>
                <w:rFonts w:ascii="宋体" w:hAnsi="宋体" w:cs="宋体" w:eastAsia="宋体" w:hint="default"/>
                <w:sz w:val="21"/>
                <w:szCs w:val="21"/>
              </w:rPr>
            </w:pPr>
            <w:r>
              <w:rPr>
                <w:rFonts w:ascii="宋体" w:hAnsi="宋体" w:cs="宋体" w:eastAsia="宋体" w:hint="default"/>
                <w:sz w:val="21"/>
                <w:szCs w:val="21"/>
              </w:rPr>
              <w:t>信息 服务</w:t>
            </w:r>
          </w:p>
        </w:tc>
        <w:tc>
          <w:tcPr>
            <w:tcW w:w="377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22" w:right="-48"/>
              <w:jc w:val="left"/>
              <w:rPr>
                <w:rFonts w:ascii="宋体" w:hAnsi="宋体" w:cs="宋体" w:eastAsia="宋体" w:hint="default"/>
                <w:sz w:val="21"/>
                <w:szCs w:val="21"/>
              </w:rPr>
            </w:pPr>
            <w:r>
              <w:rPr>
                <w:rFonts w:ascii="宋体" w:hAnsi="宋体" w:cs="宋体" w:eastAsia="宋体" w:hint="default"/>
                <w:spacing w:val="-4"/>
                <w:sz w:val="21"/>
                <w:szCs w:val="21"/>
              </w:rPr>
              <w:t>向手机用户直接提供数字阅读服务，以及</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为中国移动手机阅读基地提供推广服务。</w:t>
            </w:r>
          </w:p>
        </w:tc>
        <w:tc>
          <w:tcPr>
            <w:tcW w:w="12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1" w:right="0"/>
              <w:jc w:val="left"/>
              <w:rPr>
                <w:rFonts w:ascii="Times New Roman" w:hAnsi="Times New Roman" w:cs="Times New Roman" w:eastAsia="Times New Roman" w:hint="default"/>
                <w:sz w:val="21"/>
                <w:szCs w:val="21"/>
              </w:rPr>
            </w:pPr>
            <w:r>
              <w:rPr>
                <w:rFonts w:ascii="Times New Roman"/>
                <w:sz w:val="21"/>
              </w:rPr>
              <w:t>1,818,182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3,682,352.85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-1,552,651.13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8,351,622.51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1,757,932.89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1,749,009.95</w:t>
            </w:r>
          </w:p>
        </w:tc>
      </w:tr>
      <w:tr>
        <w:trPr>
          <w:trHeight w:val="1338" w:hRule="exact"/>
        </w:trPr>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4"/>
              <w:jc w:val="both"/>
              <w:rPr>
                <w:rFonts w:ascii="宋体" w:hAnsi="宋体" w:cs="宋体" w:eastAsia="宋体" w:hint="default"/>
                <w:sz w:val="21"/>
                <w:szCs w:val="21"/>
              </w:rPr>
            </w:pPr>
            <w:r>
              <w:rPr>
                <w:rFonts w:ascii="宋体" w:hAnsi="宋体" w:cs="宋体" w:eastAsia="宋体" w:hint="default"/>
                <w:sz w:val="21"/>
                <w:szCs w:val="21"/>
              </w:rPr>
              <w:t>北京学友园 中少报刊发 行有限责任 公司</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78"/>
              <w:jc w:val="both"/>
              <w:rPr>
                <w:rFonts w:ascii="宋体" w:hAnsi="宋体" w:cs="宋体" w:eastAsia="宋体" w:hint="default"/>
                <w:sz w:val="21"/>
                <w:szCs w:val="21"/>
              </w:rPr>
            </w:pPr>
            <w:r>
              <w:rPr>
                <w:rFonts w:ascii="宋体" w:hAnsi="宋体" w:cs="宋体" w:eastAsia="宋体" w:hint="default"/>
                <w:sz w:val="21"/>
                <w:szCs w:val="21"/>
              </w:rPr>
              <w:t>参 股 公 司</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文化</w:t>
            </w:r>
          </w:p>
        </w:tc>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少儿图书期刊的编辑和发行。</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54,599,266.06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30,124,838.19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86,261,920.69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8,958,061.86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7,804,811.39</w:t>
            </w:r>
          </w:p>
        </w:tc>
      </w:tr>
      <w:tr>
        <w:trPr>
          <w:trHeight w:val="1338" w:hRule="exact"/>
        </w:trPr>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73" w:lineRule="auto"/>
              <w:ind w:left="22" w:right="114"/>
              <w:jc w:val="both"/>
              <w:rPr>
                <w:rFonts w:ascii="宋体" w:hAnsi="宋体" w:cs="宋体" w:eastAsia="宋体" w:hint="default"/>
                <w:sz w:val="21"/>
                <w:szCs w:val="21"/>
              </w:rPr>
            </w:pPr>
            <w:r>
              <w:rPr>
                <w:rFonts w:ascii="宋体" w:hAnsi="宋体" w:cs="宋体" w:eastAsia="宋体" w:hint="default"/>
                <w:sz w:val="21"/>
                <w:szCs w:val="21"/>
              </w:rPr>
              <w:t>北京鸿达以 太文化发展 有限公司</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78"/>
              <w:jc w:val="both"/>
              <w:rPr>
                <w:rFonts w:ascii="宋体" w:hAnsi="宋体" w:cs="宋体" w:eastAsia="宋体" w:hint="default"/>
                <w:sz w:val="21"/>
                <w:szCs w:val="21"/>
              </w:rPr>
            </w:pPr>
            <w:r>
              <w:rPr>
                <w:rFonts w:ascii="宋体" w:hAnsi="宋体" w:cs="宋体" w:eastAsia="宋体" w:hint="default"/>
                <w:sz w:val="21"/>
                <w:szCs w:val="21"/>
              </w:rPr>
              <w:t>参 股 公 司</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文化</w:t>
            </w:r>
          </w:p>
        </w:tc>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有声读物的批发零售。</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30,138,345.88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27,967,429.59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22,774,364.28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6,435,394.51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5,940,167.83</w:t>
            </w:r>
          </w:p>
        </w:tc>
      </w:tr>
      <w:tr>
        <w:trPr>
          <w:trHeight w:val="1338" w:hRule="exact"/>
        </w:trPr>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2" w:right="114"/>
              <w:jc w:val="both"/>
              <w:rPr>
                <w:rFonts w:ascii="宋体" w:hAnsi="宋体" w:cs="宋体" w:eastAsia="宋体" w:hint="default"/>
                <w:sz w:val="21"/>
                <w:szCs w:val="21"/>
              </w:rPr>
            </w:pPr>
            <w:r>
              <w:rPr>
                <w:rFonts w:ascii="宋体" w:hAnsi="宋体" w:cs="宋体" w:eastAsia="宋体" w:hint="default"/>
                <w:sz w:val="21"/>
                <w:szCs w:val="21"/>
              </w:rPr>
              <w:t>天翼阅读文 化传播有限 公司</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78"/>
              <w:jc w:val="both"/>
              <w:rPr>
                <w:rFonts w:ascii="宋体" w:hAnsi="宋体" w:cs="宋体" w:eastAsia="宋体" w:hint="default"/>
                <w:sz w:val="21"/>
                <w:szCs w:val="21"/>
              </w:rPr>
            </w:pPr>
            <w:r>
              <w:rPr>
                <w:rFonts w:ascii="宋体" w:hAnsi="宋体" w:cs="宋体" w:eastAsia="宋体" w:hint="default"/>
                <w:sz w:val="21"/>
                <w:szCs w:val="21"/>
              </w:rPr>
              <w:t>参 股 公 司</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23" w:right="122"/>
              <w:jc w:val="left"/>
              <w:rPr>
                <w:rFonts w:ascii="宋体" w:hAnsi="宋体" w:cs="宋体" w:eastAsia="宋体" w:hint="default"/>
                <w:sz w:val="21"/>
                <w:szCs w:val="21"/>
              </w:rPr>
            </w:pPr>
            <w:r>
              <w:rPr>
                <w:rFonts w:ascii="宋体" w:hAnsi="宋体" w:cs="宋体" w:eastAsia="宋体" w:hint="default"/>
                <w:sz w:val="21"/>
                <w:szCs w:val="21"/>
              </w:rPr>
              <w:t>数字 出版</w:t>
            </w:r>
          </w:p>
        </w:tc>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26"/>
              <w:ind w:left="22" w:right="21"/>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PC</w:t>
            </w:r>
            <w:r>
              <w:rPr>
                <w:rFonts w:ascii="宋体" w:hAnsi="宋体" w:cs="宋体" w:eastAsia="宋体" w:hint="default"/>
                <w:spacing w:val="-3"/>
                <w:sz w:val="21"/>
                <w:szCs w:val="21"/>
              </w:rPr>
              <w:t>、手机平板电脑和</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TV </w:t>
            </w:r>
            <w:r>
              <w:rPr>
                <w:rFonts w:ascii="宋体" w:hAnsi="宋体" w:cs="宋体" w:eastAsia="宋体" w:hint="default"/>
                <w:sz w:val="21"/>
                <w:szCs w:val="21"/>
              </w:rPr>
              <w:t>为阅读载体</w:t>
            </w:r>
            <w:r>
              <w:rPr>
                <w:rFonts w:ascii="宋体" w:hAnsi="宋体" w:cs="宋体" w:eastAsia="宋体" w:hint="default"/>
                <w:spacing w:val="-102"/>
                <w:sz w:val="21"/>
                <w:szCs w:val="21"/>
              </w:rPr>
              <w:t> </w:t>
            </w:r>
            <w:r>
              <w:rPr>
                <w:rFonts w:ascii="宋体" w:hAnsi="宋体" w:cs="宋体" w:eastAsia="宋体" w:hint="default"/>
                <w:spacing w:val="-4"/>
                <w:sz w:val="21"/>
                <w:szCs w:val="21"/>
              </w:rPr>
              <w:t>为用户提供图书、报刊杂志、漫画、有声</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读物、资讯等各种类型的数字化阅读服 务。</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62.7pt;height:23.4pt;mso-position-horizontal-relative:char;mso-position-vertical-relative:line" coordorigin="0,0" coordsize="1254,468">
                  <v:group style="position:absolute;left:0;top:0;width:1254;height:468" coordorigin="0,0" coordsize="1254,468">
                    <v:shape style="position:absolute;left:0;top:0;width:1254;height:468" coordorigin="0,0" coordsize="1254,468" path="m0,468l1253,468,1253,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259,076,000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305,103,697.32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243,481,402.70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234,856,026.66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-29,099,055.82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-24,682,410.20</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67" w:footer="979" w:top="1060" w:bottom="1160" w:left="1300" w:right="1300"/>
        </w:sectPr>
      </w:pPr>
    </w:p>
    <w:p>
      <w:pPr>
        <w:spacing w:line="240" w:lineRule="auto" w:before="2"/>
        <w:rPr>
          <w:rFonts w:ascii="Times New Roman" w:hAnsi="Times New Roman" w:cs="Times New Roman" w:eastAsia="Times New Roman" w:hint="default"/>
          <w:sz w:val="29"/>
          <w:szCs w:val="29"/>
        </w:rPr>
      </w:pPr>
    </w:p>
    <w:p>
      <w:pPr>
        <w:pStyle w:val="BodyText"/>
        <w:spacing w:line="240" w:lineRule="auto"/>
        <w:ind w:left="633" w:right="0"/>
        <w:jc w:val="left"/>
      </w:pPr>
      <w:r>
        <w:rPr/>
        <w:t>主要子公司、参股公司情况说明</w:t>
      </w:r>
    </w:p>
    <w:p>
      <w:pPr>
        <w:pStyle w:val="BodyText"/>
        <w:spacing w:line="367" w:lineRule="auto" w:before="193"/>
        <w:ind w:left="633" w:right="2453"/>
        <w:jc w:val="left"/>
      </w:pPr>
      <w:r>
        <w:rPr/>
        <w:t>中文传媒出现亏损，主要原因系</w:t>
      </w:r>
      <w:r>
        <w:rPr>
          <w:spacing w:val="-60"/>
        </w:rPr>
        <w:t> </w:t>
      </w:r>
      <w:r>
        <w:rPr>
          <w:rFonts w:ascii="Times New Roman" w:hAnsi="Times New Roman" w:cs="Times New Roman" w:eastAsia="Times New Roman" w:hint="default"/>
        </w:rPr>
        <w:t>2014 </w:t>
      </w:r>
      <w:r>
        <w:rPr/>
        <w:t>年增加了推广和研发投入。 报告期内取得和处置子公司的情况</w:t>
      </w:r>
    </w:p>
    <w:p>
      <w:pPr>
        <w:pStyle w:val="BodyText"/>
        <w:spacing w:line="240" w:lineRule="auto" w:before="66"/>
        <w:ind w:left="6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4"/>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69"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875" w:right="32" w:hanging="844"/>
              <w:jc w:val="left"/>
              <w:rPr>
                <w:rFonts w:ascii="宋体" w:hAnsi="宋体" w:cs="宋体" w:eastAsia="宋体" w:hint="default"/>
                <w:sz w:val="21"/>
                <w:szCs w:val="21"/>
              </w:rPr>
            </w:pPr>
            <w:r>
              <w:rPr>
                <w:rFonts w:ascii="宋体" w:hAnsi="宋体" w:cs="宋体" w:eastAsia="宋体" w:hint="default"/>
                <w:b/>
                <w:bCs/>
                <w:sz w:val="21"/>
                <w:szCs w:val="21"/>
              </w:rPr>
              <w:t>报告期内取得和处置子公</w:t>
            </w:r>
            <w:r>
              <w:rPr>
                <w:rFonts w:ascii="宋体" w:hAnsi="宋体" w:cs="宋体" w:eastAsia="宋体" w:hint="default"/>
                <w:b/>
                <w:bCs/>
                <w:w w:val="99"/>
                <w:sz w:val="21"/>
                <w:szCs w:val="21"/>
              </w:rPr>
              <w:t> </w:t>
            </w:r>
            <w:r>
              <w:rPr>
                <w:rFonts w:ascii="宋体" w:hAnsi="宋体" w:cs="宋体" w:eastAsia="宋体" w:hint="default"/>
                <w:b/>
                <w:bCs/>
                <w:sz w:val="21"/>
                <w:szCs w:val="21"/>
              </w:rPr>
              <w:t>司目的</w:t>
            </w:r>
            <w:r>
              <w:rPr>
                <w:rFonts w:ascii="宋体" w:hAnsi="宋体" w:cs="宋体" w:eastAsia="宋体" w:hint="default"/>
                <w:sz w:val="21"/>
                <w:szCs w:val="21"/>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874" w:right="32" w:hanging="844"/>
              <w:jc w:val="left"/>
              <w:rPr>
                <w:rFonts w:ascii="宋体" w:hAnsi="宋体" w:cs="宋体" w:eastAsia="宋体" w:hint="default"/>
                <w:sz w:val="21"/>
                <w:szCs w:val="21"/>
              </w:rPr>
            </w:pPr>
            <w:r>
              <w:rPr>
                <w:rFonts w:ascii="宋体" w:hAnsi="宋体" w:cs="宋体" w:eastAsia="宋体" w:hint="default"/>
                <w:b/>
                <w:bCs/>
                <w:sz w:val="21"/>
                <w:szCs w:val="21"/>
              </w:rPr>
              <w:t>报告期内取得和处置子公</w:t>
            </w:r>
            <w:r>
              <w:rPr>
                <w:rFonts w:ascii="宋体" w:hAnsi="宋体" w:cs="宋体" w:eastAsia="宋体" w:hint="default"/>
                <w:b/>
                <w:bCs/>
                <w:w w:val="99"/>
                <w:sz w:val="21"/>
                <w:szCs w:val="21"/>
              </w:rPr>
              <w:t> </w:t>
            </w:r>
            <w:r>
              <w:rPr>
                <w:rFonts w:ascii="宋体" w:hAnsi="宋体" w:cs="宋体" w:eastAsia="宋体" w:hint="default"/>
                <w:b/>
                <w:bCs/>
                <w:sz w:val="21"/>
                <w:szCs w:val="21"/>
              </w:rPr>
              <w:t>司方式</w:t>
            </w:r>
            <w:r>
              <w:rPr>
                <w:rFonts w:ascii="宋体" w:hAnsi="宋体" w:cs="宋体" w:eastAsia="宋体" w:hint="default"/>
                <w:sz w:val="21"/>
                <w:szCs w:val="21"/>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b/>
                <w:bCs/>
                <w:sz w:val="21"/>
                <w:szCs w:val="21"/>
              </w:rPr>
              <w:t>对整体生产和业绩的影响</w:t>
            </w:r>
            <w:r>
              <w:rPr>
                <w:rFonts w:ascii="宋体" w:hAnsi="宋体" w:cs="宋体" w:eastAsia="宋体" w:hint="default"/>
                <w:sz w:val="21"/>
                <w:szCs w:val="21"/>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47"/>
              <w:jc w:val="left"/>
              <w:rPr>
                <w:rFonts w:ascii="宋体" w:hAnsi="宋体" w:cs="宋体" w:eastAsia="宋体" w:hint="default"/>
                <w:sz w:val="21"/>
                <w:szCs w:val="21"/>
              </w:rPr>
            </w:pPr>
            <w:r>
              <w:rPr>
                <w:rFonts w:ascii="宋体" w:hAnsi="宋体" w:cs="宋体" w:eastAsia="宋体" w:hint="default"/>
                <w:sz w:val="21"/>
                <w:szCs w:val="21"/>
              </w:rPr>
              <w:t>中文在线教育集团有限公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47"/>
              <w:jc w:val="left"/>
              <w:rPr>
                <w:rFonts w:ascii="宋体" w:hAnsi="宋体" w:cs="宋体" w:eastAsia="宋体" w:hint="default"/>
                <w:sz w:val="21"/>
                <w:szCs w:val="21"/>
              </w:rPr>
            </w:pPr>
            <w:r>
              <w:rPr>
                <w:rFonts w:ascii="宋体" w:hAnsi="宋体" w:cs="宋体" w:eastAsia="宋体" w:hint="default"/>
                <w:sz w:val="21"/>
                <w:szCs w:val="21"/>
              </w:rPr>
              <w:t>拓展公司在亚太地区的市 </w:t>
            </w:r>
            <w:r>
              <w:rPr>
                <w:rFonts w:ascii="宋体" w:hAnsi="宋体" w:cs="宋体" w:eastAsia="宋体" w:hint="default"/>
                <w:spacing w:val="-8"/>
                <w:sz w:val="21"/>
                <w:szCs w:val="21"/>
              </w:rPr>
              <w:t>场，发展公司的国际业务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15" w:lineRule="exact"/>
              <w:ind w:left="22" w:right="0"/>
              <w:jc w:val="left"/>
              <w:rPr>
                <w:rFonts w:ascii="宋体" w:hAnsi="宋体" w:cs="宋体" w:eastAsia="宋体" w:hint="default"/>
                <w:sz w:val="21"/>
                <w:szCs w:val="21"/>
              </w:rPr>
            </w:pPr>
            <w:r>
              <w:rPr>
                <w:rFonts w:ascii="宋体" w:hAnsi="宋体" w:cs="宋体" w:eastAsia="宋体" w:hint="default"/>
                <w:sz w:val="21"/>
                <w:szCs w:val="21"/>
              </w:rPr>
              <w:t>设立</w:t>
            </w:r>
          </w:p>
          <w:p>
            <w:pPr>
              <w:pStyle w:val="TableParagraph"/>
              <w:spacing w:line="215" w:lineRule="exact"/>
              <w:ind w:left="-139" w:right="0"/>
              <w:jc w:val="left"/>
              <w:rPr>
                <w:rFonts w:ascii="宋体" w:hAnsi="宋体" w:cs="宋体" w:eastAsia="宋体" w:hint="default"/>
                <w:sz w:val="21"/>
                <w:szCs w:val="21"/>
              </w:rPr>
            </w:pPr>
            <w:r>
              <w:rPr>
                <w:rFonts w:ascii="宋体" w:hAnsi="宋体" w:cs="宋体" w:eastAsia="宋体" w:hint="default"/>
                <w:sz w:val="21"/>
                <w:szCs w:val="21"/>
              </w:rPr>
              <w:t>。</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47"/>
              <w:jc w:val="left"/>
              <w:rPr>
                <w:rFonts w:ascii="宋体" w:hAnsi="宋体" w:cs="宋体" w:eastAsia="宋体" w:hint="default"/>
                <w:sz w:val="21"/>
                <w:szCs w:val="21"/>
              </w:rPr>
            </w:pPr>
            <w:r>
              <w:rPr>
                <w:rFonts w:ascii="宋体" w:hAnsi="宋体" w:cs="宋体" w:eastAsia="宋体" w:hint="default"/>
                <w:sz w:val="21"/>
                <w:szCs w:val="21"/>
              </w:rPr>
              <w:t>目前尚在投入期，对业绩 无明显影响。</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47"/>
              <w:jc w:val="left"/>
              <w:rPr>
                <w:rFonts w:ascii="宋体" w:hAnsi="宋体" w:cs="宋体" w:eastAsia="宋体" w:hint="default"/>
                <w:sz w:val="21"/>
                <w:szCs w:val="21"/>
              </w:rPr>
            </w:pPr>
            <w:r>
              <w:rPr>
                <w:rFonts w:ascii="宋体" w:hAnsi="宋体" w:cs="宋体" w:eastAsia="宋体" w:hint="default"/>
                <w:sz w:val="21"/>
                <w:szCs w:val="21"/>
              </w:rPr>
              <w:t>北京汤圆和它的小伙伴们 网络科技有限公司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布局移动创作</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设立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47"/>
              <w:jc w:val="left"/>
              <w:rPr>
                <w:rFonts w:ascii="宋体" w:hAnsi="宋体" w:cs="宋体" w:eastAsia="宋体" w:hint="default"/>
                <w:sz w:val="21"/>
                <w:szCs w:val="21"/>
              </w:rPr>
            </w:pPr>
            <w:r>
              <w:rPr>
                <w:rFonts w:ascii="宋体" w:hAnsi="宋体" w:cs="宋体" w:eastAsia="宋体" w:hint="default"/>
                <w:sz w:val="21"/>
                <w:szCs w:val="21"/>
              </w:rPr>
              <w:t>目前尚在投入期，对业绩 无明显影响。</w:t>
            </w:r>
          </w:p>
        </w:tc>
      </w:tr>
    </w:tbl>
    <w:p>
      <w:pPr>
        <w:spacing w:line="240" w:lineRule="auto" w:before="2"/>
        <w:rPr>
          <w:rFonts w:ascii="宋体" w:hAnsi="宋体" w:cs="宋体" w:eastAsia="宋体" w:hint="default"/>
          <w:sz w:val="18"/>
          <w:szCs w:val="18"/>
        </w:rPr>
      </w:pPr>
    </w:p>
    <w:p>
      <w:pPr>
        <w:spacing w:before="26"/>
        <w:ind w:left="154" w:right="0" w:firstLine="0"/>
        <w:jc w:val="both"/>
        <w:rPr>
          <w:rFonts w:ascii="宋体" w:hAnsi="宋体" w:cs="宋体" w:eastAsia="宋体" w:hint="default"/>
          <w:sz w:val="24"/>
          <w:szCs w:val="24"/>
        </w:rPr>
      </w:pPr>
      <w:r>
        <w:rPr/>
        <w:pict>
          <v:group style="position:absolute;margin-left:296.200012pt;margin-top:-76.034378pt;width:119.15pt;height:27.95pt;mso-position-horizontal-relative:page;mso-position-vertical-relative:paragraph;z-index:-741904" coordorigin="5924,-1521" coordsize="2383,559">
            <v:group style="position:absolute;left:5935;top:-1509;width:2;height:392" coordorigin="5935,-1509" coordsize="2,392">
              <v:shape style="position:absolute;left:5935;top:-1509;width:2;height:392" coordorigin="5935,-1509" coordsize="0,392" path="m5935,-1509l5935,-1118e" filled="false" stroked="true" strokeweight="1.140pt" strokecolor="#ffffff">
                <v:path arrowok="t"/>
              </v:shape>
            </v:group>
            <v:group style="position:absolute;left:5924;top:-1118;width:2383;height:156" coordorigin="5924,-1118" coordsize="2383,156">
              <v:shape style="position:absolute;left:5924;top:-1118;width:2383;height:156" coordorigin="5924,-1118" coordsize="2383,156" path="m5924,-962l8306,-962,8306,-1118,5924,-1118,5924,-962xe" filled="true" fillcolor="#ffffff" stroked="false">
                <v:path arrowok="t"/>
                <v:fill type="solid"/>
              </v:shape>
            </v:group>
            <v:group style="position:absolute;left:5947;top:-1509;width:2337;height:392" coordorigin="5947,-1509" coordsize="2337,392">
              <v:shape style="position:absolute;left:5947;top:-1509;width:2337;height:392" coordorigin="5947,-1509" coordsize="2337,392" path="m5947,-1118l8284,-1118,8284,-1509,5947,-1509,5947,-1118xe" filled="true" fillcolor="#ffffff" stroked="false">
                <v:path arrowok="t"/>
                <v:fill type="solid"/>
              </v:shape>
            </v:group>
            <w10:wrap type="none"/>
          </v:group>
        </w:pict>
      </w:r>
      <w:bookmarkStart w:name="（7）公司控制的特殊目的主体情况" w:id="26"/>
      <w:bookmarkEnd w:id="26"/>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）公司控制的特殊目的主体情况</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spacing w:line="496" w:lineRule="auto" w:before="0"/>
        <w:ind w:left="154" w:right="569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二、公司未来发展的展望" w:id="27"/>
      <w:bookmarkEnd w:id="27"/>
      <w:r>
        <w:rPr>
          <w:rFonts w:ascii="宋体" w:hAnsi="宋体" w:cs="宋体" w:eastAsia="宋体" w:hint="default"/>
          <w:sz w:val="24"/>
          <w:szCs w:val="24"/>
        </w:rPr>
      </w:r>
      <w:r>
        <w:rPr>
          <w:rFonts w:ascii="宋体" w:hAnsi="宋体" w:cs="宋体" w:eastAsia="宋体" w:hint="default"/>
          <w:b/>
          <w:bCs/>
          <w:w w:val="95"/>
          <w:sz w:val="24"/>
          <w:szCs w:val="24"/>
        </w:rPr>
        <w:t>二、公司未来发展的展望</w:t>
      </w:r>
      <w:r>
        <w:rPr>
          <w:rFonts w:ascii="宋体" w:hAnsi="宋体" w:cs="宋体" w:eastAsia="宋体" w:hint="default"/>
          <w:sz w:val="24"/>
          <w:szCs w:val="24"/>
        </w:rPr>
      </w:r>
    </w:p>
    <w:p>
      <w:pPr>
        <w:spacing w:line="367" w:lineRule="auto" w:before="121"/>
        <w:ind w:left="634"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、行业发展格局与趋势</w:t>
      </w:r>
      <w:r>
        <w:rPr>
          <w:rFonts w:ascii="宋体" w:hAnsi="宋体" w:cs="宋体" w:eastAsia="宋体" w:hint="default"/>
          <w:b/>
          <w:bCs/>
          <w:w w:val="99"/>
          <w:sz w:val="24"/>
          <w:szCs w:val="24"/>
        </w:rPr>
        <w:t> </w:t>
      </w:r>
      <w:r>
        <w:rPr>
          <w:rFonts w:ascii="宋体" w:hAnsi="宋体" w:cs="宋体" w:eastAsia="宋体" w:hint="default"/>
          <w:sz w:val="24"/>
          <w:szCs w:val="24"/>
        </w:rPr>
        <w:t>数字出版产业的发展得到国家政策的大力支持。目前，数字出版已成为文化产业新的经</w:t>
      </w:r>
    </w:p>
    <w:p>
      <w:pPr>
        <w:pStyle w:val="BodyText"/>
        <w:spacing w:line="357" w:lineRule="auto"/>
        <w:ind w:left="154" w:right="159"/>
        <w:jc w:val="both"/>
      </w:pPr>
      <w:r>
        <w:rPr/>
        <w:t>济增长点，是新闻出版业的战略性新兴产业和主要发展方向，推动传统出版传媒与新兴出版 传媒融合发展，大力发展数字出版产业已成为我国实现向出版强国迈进的重要战略任务。</w:t>
      </w:r>
    </w:p>
    <w:p>
      <w:pPr>
        <w:pStyle w:val="BodyText"/>
        <w:spacing w:line="338" w:lineRule="auto" w:before="74"/>
        <w:ind w:left="154" w:right="0" w:firstLine="480"/>
        <w:jc w:val="left"/>
      </w:pPr>
      <w:r>
        <w:rPr>
          <w:spacing w:val="-6"/>
        </w:rPr>
        <w:t>（</w:t>
      </w:r>
      <w:r>
        <w:rPr>
          <w:rFonts w:ascii="Times New Roman" w:hAnsi="Times New Roman" w:cs="Times New Roman" w:eastAsia="Times New Roman" w:hint="default"/>
          <w:spacing w:val="-6"/>
        </w:rPr>
        <w:t>1</w:t>
      </w:r>
      <w:r>
        <w:rPr>
          <w:spacing w:val="-6"/>
        </w:rPr>
        <w:t>）“互联网</w:t>
      </w:r>
      <w:r>
        <w:rPr>
          <w:rFonts w:ascii="Times New Roman" w:hAnsi="Times New Roman" w:cs="Times New Roman" w:eastAsia="Times New Roman" w:hint="default"/>
          <w:spacing w:val="-6"/>
        </w:rPr>
        <w:t>+</w:t>
      </w:r>
      <w:r>
        <w:rPr>
          <w:spacing w:val="-6"/>
        </w:rPr>
        <w:t>”上升为国家战略，互联网将全面融合到文化产业的各个领域，新闻出版</w:t>
      </w:r>
      <w:r>
        <w:rPr/>
        <w:t> 行业形成传统媒体和新兴媒体融合发展格局</w:t>
      </w:r>
    </w:p>
    <w:p>
      <w:pPr>
        <w:pStyle w:val="BodyText"/>
        <w:spacing w:line="240" w:lineRule="auto" w:before="95"/>
        <w:ind w:left="154" w:right="0"/>
        <w:jc w:val="both"/>
      </w:pP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18</w:t>
      </w:r>
      <w:r>
        <w:rPr>
          <w:rFonts w:ascii="Times New Roman" w:hAnsi="Times New Roman" w:cs="Times New Roman" w:eastAsia="Times New Roman" w:hint="default"/>
          <w:spacing w:val="-25"/>
        </w:rPr>
        <w:t> </w:t>
      </w:r>
      <w:r>
        <w:rPr/>
        <w:t>日，习近平总书记主持召开中央全面深化改革领导小组第四次会议，通过了</w:t>
      </w:r>
    </w:p>
    <w:p>
      <w:pPr>
        <w:pStyle w:val="BodyText"/>
        <w:spacing w:line="348" w:lineRule="auto" w:before="135"/>
        <w:ind w:right="150"/>
        <w:jc w:val="both"/>
      </w:pPr>
      <w:r>
        <w:rPr>
          <w:spacing w:val="-5"/>
        </w:rPr>
        <w:t>《关于推动传统媒体和新兴媒体融合发展的指导意见》，</w:t>
      </w:r>
      <w:r>
        <w:rPr>
          <w:rFonts w:ascii="Times New Roman" w:hAnsi="Times New Roman" w:cs="Times New Roman" w:eastAsia="Times New Roman" w:hint="default"/>
          <w:spacing w:val="-5"/>
        </w:rPr>
        <w:t>2015</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月，国家新闻出版广电总 </w:t>
      </w:r>
      <w:r>
        <w:rPr>
          <w:spacing w:val="-5"/>
        </w:rPr>
        <w:t>局、财政部联合印发《关于推动传统出版和新兴出版融合发展的指导意见》，强调，推动传统</w:t>
      </w:r>
      <w:r>
        <w:rPr/>
        <w:t> 媒体和新兴媒体融合发展。</w:t>
      </w:r>
    </w:p>
    <w:p>
      <w:pPr>
        <w:pStyle w:val="BodyText"/>
        <w:spacing w:line="338" w:lineRule="auto" w:before="84"/>
        <w:ind w:left="154" w:right="0" w:firstLine="480"/>
        <w:jc w:val="left"/>
      </w:pPr>
      <w:r>
        <w:rPr>
          <w:spacing w:val="-3"/>
        </w:rPr>
        <w:t>（</w:t>
      </w:r>
      <w:r>
        <w:rPr>
          <w:rFonts w:ascii="Times New Roman" w:hAnsi="Times New Roman" w:cs="Times New Roman" w:eastAsia="Times New Roman" w:hint="default"/>
          <w:spacing w:val="-3"/>
        </w:rPr>
        <w:t>2</w:t>
      </w:r>
      <w:r>
        <w:rPr>
          <w:spacing w:val="-3"/>
        </w:rPr>
        <w:t>）全民阅读两次写入政府工作报告，作为其重要组成部分的数字阅读，正一步步成为</w:t>
      </w:r>
      <w:r>
        <w:rPr/>
        <w:t> 推进全民阅读的重要抓手，把全民阅读不断引向深入</w:t>
      </w:r>
    </w:p>
    <w:p>
      <w:pPr>
        <w:pStyle w:val="BodyText"/>
        <w:spacing w:line="357" w:lineRule="auto" w:before="94"/>
        <w:ind w:left="154" w:right="0" w:firstLine="480"/>
        <w:jc w:val="left"/>
      </w:pPr>
      <w:r>
        <w:rPr/>
        <w:t>继去年两会李克强总理首次提出“全民阅读”口号，今年两会“倡导全民阅读，建立书 香社会”再次被写入政府工作报告。</w:t>
      </w:r>
    </w:p>
    <w:p>
      <w:pPr>
        <w:pStyle w:val="BodyText"/>
        <w:spacing w:line="240" w:lineRule="auto" w:before="76"/>
        <w:ind w:left="574" w:right="0"/>
        <w:jc w:val="left"/>
      </w:pPr>
      <w:r>
        <w:rPr/>
        <w:t>（</w:t>
      </w:r>
      <w:r>
        <w:rPr>
          <w:rFonts w:ascii="Times New Roman" w:hAnsi="Times New Roman" w:cs="Times New Roman" w:eastAsia="Times New Roman" w:hint="default"/>
        </w:rPr>
        <w:t>3</w:t>
      </w:r>
      <w:r>
        <w:rPr/>
        <w:t>）互联网、移动互联网庞大的用户基数，用户使用习惯、内容付费机制的形成将为数</w:t>
      </w:r>
    </w:p>
    <w:p>
      <w:pPr>
        <w:spacing w:after="0" w:line="240" w:lineRule="auto"/>
        <w:jc w:val="left"/>
        <w:sectPr>
          <w:headerReference w:type="default" r:id="rId19"/>
          <w:footerReference w:type="default" r:id="rId20"/>
          <w:pgSz w:w="11910" w:h="16840"/>
          <w:pgMar w:header="877" w:footer="979" w:top="1100" w:bottom="1160" w:left="980" w:right="980"/>
          <w:pgNumType w:start="26"/>
        </w:sectPr>
      </w:pPr>
    </w:p>
    <w:p>
      <w:pPr>
        <w:spacing w:line="240" w:lineRule="auto" w:before="9"/>
        <w:rPr>
          <w:rFonts w:ascii="宋体" w:hAnsi="宋体" w:cs="宋体" w:eastAsia="宋体" w:hint="default"/>
          <w:sz w:val="25"/>
          <w:szCs w:val="25"/>
        </w:rPr>
      </w:pPr>
    </w:p>
    <w:p>
      <w:pPr>
        <w:pStyle w:val="BodyText"/>
        <w:spacing w:line="386" w:lineRule="auto"/>
        <w:ind w:left="633" w:right="0" w:hanging="480"/>
        <w:jc w:val="left"/>
      </w:pPr>
      <w:r>
        <w:rPr/>
        <w:t>字出版产业的发展带来新的增长 随着网络用户规模增长，人们阅读习惯的改变，数字化阅读比率逐渐增长，新的消费理</w:t>
      </w:r>
    </w:p>
    <w:p>
      <w:pPr>
        <w:pStyle w:val="BodyText"/>
        <w:spacing w:line="360" w:lineRule="auto" w:before="7"/>
        <w:ind w:right="157"/>
        <w:jc w:val="both"/>
      </w:pPr>
      <w:r>
        <w:rPr/>
        <w:t>念、内容付费习惯不断形成，数字出版新技术、新产品、新业态不断涌现，消费需求的多样</w:t>
      </w:r>
      <w:r>
        <w:rPr>
          <w:spacing w:val="-117"/>
        </w:rPr>
        <w:t> </w:t>
      </w:r>
      <w:r>
        <w:rPr>
          <w:spacing w:val="-117"/>
        </w:rPr>
      </w:r>
      <w:r>
        <w:rPr/>
        <w:t>和多变将使数字出版的优势充分发挥。</w:t>
      </w:r>
    </w:p>
    <w:p>
      <w:pPr>
        <w:pStyle w:val="BodyText"/>
        <w:spacing w:line="364" w:lineRule="auto" w:before="74"/>
        <w:ind w:left="633" w:right="136"/>
        <w:jc w:val="left"/>
      </w:pPr>
      <w:r>
        <w:rPr/>
        <w:t>（</w:t>
      </w:r>
      <w:r>
        <w:rPr>
          <w:rFonts w:ascii="Times New Roman" w:hAnsi="Times New Roman" w:cs="Times New Roman" w:eastAsia="Times New Roman" w:hint="default"/>
        </w:rPr>
        <w:t>4</w:t>
      </w:r>
      <w:r>
        <w:rPr/>
        <w:t>）内容呈现趋于多屏融合与互动，构建起合作共赢的全媒体</w:t>
      </w:r>
      <w:r>
        <w:rPr>
          <w:spacing w:val="-60"/>
        </w:rPr>
        <w:t> </w:t>
      </w:r>
      <w:r>
        <w:rPr>
          <w:rFonts w:ascii="Times New Roman" w:hAnsi="Times New Roman" w:cs="Times New Roman" w:eastAsia="Times New Roman" w:hint="default"/>
        </w:rPr>
        <w:t>IP</w:t>
      </w:r>
      <w:r>
        <w:rPr>
          <w:rFonts w:ascii="Times New Roman" w:hAnsi="Times New Roman" w:cs="Times New Roman" w:eastAsia="Times New Roman" w:hint="default"/>
          <w:spacing w:val="-1"/>
        </w:rPr>
        <w:t> </w:t>
      </w:r>
      <w:r>
        <w:rPr/>
        <w:t>生态圈 网络文学成为大量优质</w:t>
      </w:r>
      <w:r>
        <w:rPr>
          <w:spacing w:val="-88"/>
        </w:rPr>
        <w:t> </w:t>
      </w:r>
      <w:r>
        <w:rPr>
          <w:rFonts w:ascii="Times New Roman" w:hAnsi="Times New Roman" w:cs="Times New Roman" w:eastAsia="Times New Roman" w:hint="default"/>
        </w:rPr>
        <w:t>IP</w:t>
      </w:r>
      <w:r>
        <w:rPr>
          <w:rFonts w:ascii="Times New Roman" w:hAnsi="Times New Roman" w:cs="Times New Roman" w:eastAsia="Times New Roman" w:hint="default"/>
          <w:spacing w:val="-28"/>
        </w:rPr>
        <w:t> </w:t>
      </w:r>
      <w:r>
        <w:rPr/>
        <w:t>的源发地，培养出大量用户、制造口碑，一部优秀的作品可以</w:t>
      </w:r>
    </w:p>
    <w:p>
      <w:pPr>
        <w:pStyle w:val="BodyText"/>
        <w:spacing w:line="357" w:lineRule="auto" w:before="0"/>
        <w:ind w:right="159"/>
        <w:jc w:val="both"/>
      </w:pPr>
      <w:r>
        <w:rPr/>
        <w:t>同时通过手机、互联网、手持终端、纸质书等媒体同步出版，通过影视剧改编、游戏改编、 实体书出版等一系列衍生产品，实现文学、游戏、影视、动漫、戏剧等产业的交叉融合，实 现内容资源版权价值最大化。</w:t>
      </w:r>
    </w:p>
    <w:p>
      <w:pPr>
        <w:spacing w:before="76"/>
        <w:ind w:left="636"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、公司总体发展战略</w:t>
      </w:r>
      <w:r>
        <w:rPr>
          <w:rFonts w:ascii="宋体" w:hAnsi="宋体" w:cs="宋体" w:eastAsia="宋体" w:hint="default"/>
          <w:sz w:val="24"/>
          <w:szCs w:val="24"/>
        </w:rPr>
      </w:r>
    </w:p>
    <w:p>
      <w:pPr>
        <w:spacing w:line="240" w:lineRule="auto" w:before="7"/>
        <w:rPr>
          <w:rFonts w:ascii="宋体" w:hAnsi="宋体" w:cs="宋体" w:eastAsia="宋体" w:hint="default"/>
          <w:b/>
          <w:bCs/>
          <w:sz w:val="17"/>
          <w:szCs w:val="17"/>
        </w:rPr>
      </w:pPr>
    </w:p>
    <w:p>
      <w:pPr>
        <w:pStyle w:val="BodyText"/>
        <w:spacing w:line="350" w:lineRule="auto" w:before="0"/>
        <w:ind w:right="149" w:firstLine="48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9"/>
        </w:rPr>
        <w:t> </w:t>
      </w:r>
      <w:r>
        <w:rPr/>
        <w:t>年将会是移动互联网与传统行业深度融合之年，移动互联网将根本改变中国，经济 结构转型正深刻进行，而这种融合、转型才将产生真正的万亿新市场。公司将在国家相关政</w:t>
      </w:r>
      <w:r>
        <w:rPr>
          <w:spacing w:val="-109"/>
        </w:rPr>
        <w:t> </w:t>
      </w:r>
      <w:r>
        <w:rPr>
          <w:spacing w:val="-109"/>
        </w:rPr>
      </w:r>
      <w:r>
        <w:rPr/>
        <w:t>策的指引下，把握互联网行业发展的空前机遇，在泛互联网领域加大投资和布局，坚持围绕</w:t>
      </w:r>
      <w:r>
        <w:rPr>
          <w:spacing w:val="-104"/>
        </w:rPr>
        <w:t> </w:t>
      </w:r>
      <w:r>
        <w:rPr>
          <w:spacing w:val="-104"/>
        </w:rPr>
      </w:r>
      <w:r>
        <w:rPr/>
        <w:t>数字出版为核心，以</w:t>
      </w:r>
      <w:r>
        <w:rPr>
          <w:spacing w:val="-86"/>
        </w:rPr>
        <w:t> </w:t>
      </w:r>
      <w:r>
        <w:rPr>
          <w:rFonts w:ascii="Times New Roman" w:hAnsi="Times New Roman" w:cs="Times New Roman" w:eastAsia="Times New Roman" w:hint="default"/>
        </w:rPr>
        <w:t>IP</w:t>
      </w:r>
      <w:r>
        <w:rPr>
          <w:rFonts w:ascii="Times New Roman" w:hAnsi="Times New Roman" w:cs="Times New Roman" w:eastAsia="Times New Roman" w:hint="default"/>
          <w:spacing w:val="-27"/>
        </w:rPr>
        <w:t> </w:t>
      </w:r>
      <w:r>
        <w:rPr/>
        <w:t>增值与数字教育为两大驱动引擎，以数字阅读产品、数字出版运营服 务、数字内容增值服务为三大业务模式，充分整合和发挥公司内外部资源，强化公司的内容 质量和数量，重点打造全内容、全流程、全媒体的数字出版运营服务平台，持续加大投入用</w:t>
      </w:r>
      <w:r>
        <w:rPr>
          <w:spacing w:val="-112"/>
        </w:rPr>
        <w:t> </w:t>
      </w:r>
      <w:r>
        <w:rPr>
          <w:spacing w:val="-112"/>
        </w:rPr>
      </w:r>
      <w:r>
        <w:rPr/>
        <w:t>以扩大用户规模及市场份额，持续贴近用户需求，提升用户体验，增强用户粘性，打造全媒 体出版的移动互联生态，引领中国数字出版的发展，力争在未来 </w:t>
      </w:r>
      <w:r>
        <w:rPr>
          <w:rFonts w:ascii="Times New Roman" w:hAnsi="Times New Roman" w:cs="Times New Roman" w:eastAsia="Times New Roman" w:hint="default"/>
        </w:rPr>
        <w:t>5</w:t>
      </w:r>
      <w:r>
        <w:rPr>
          <w:rFonts w:ascii="Times New Roman" w:hAnsi="Times New Roman" w:cs="Times New Roman" w:eastAsia="Times New Roman" w:hint="default"/>
          <w:spacing w:val="-22"/>
        </w:rPr>
        <w:t> </w:t>
      </w:r>
      <w:r>
        <w:rPr/>
        <w:t>年成为全球领先的泛互联 网中文数字内容传播平台。</w:t>
      </w:r>
    </w:p>
    <w:p>
      <w:pPr>
        <w:spacing w:line="367" w:lineRule="auto" w:before="137"/>
        <w:ind w:left="633" w:right="17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、未来三年的具体发展目标和发展措施</w:t>
      </w:r>
      <w:r>
        <w:rPr>
          <w:rFonts w:ascii="宋体" w:hAnsi="宋体" w:cs="宋体" w:eastAsia="宋体" w:hint="default"/>
          <w:b/>
          <w:bCs/>
          <w:w w:val="99"/>
          <w:sz w:val="24"/>
          <w:szCs w:val="24"/>
        </w:rPr>
        <w:t> </w:t>
      </w:r>
      <w:r>
        <w:rPr>
          <w:rFonts w:ascii="宋体" w:hAnsi="宋体" w:cs="宋体" w:eastAsia="宋体" w:hint="default"/>
          <w:sz w:val="24"/>
          <w:szCs w:val="24"/>
        </w:rPr>
        <w:t>数字版权是数字出版的核心，而相应的运营管理和渠道建设是数字出版行业发展的两个</w:t>
      </w:r>
    </w:p>
    <w:p>
      <w:pPr>
        <w:pStyle w:val="BodyText"/>
        <w:spacing w:line="240" w:lineRule="auto" w:before="28"/>
        <w:ind w:right="0"/>
        <w:jc w:val="both"/>
      </w:pPr>
      <w:r>
        <w:rPr/>
        <w:t>重要手段。在上述三个方面，公司制定了具体的业务发展规划和目标。</w:t>
      </w:r>
    </w:p>
    <w:p>
      <w:pPr>
        <w:pStyle w:val="BodyText"/>
        <w:spacing w:line="364" w:lineRule="auto" w:before="193"/>
        <w:ind w:left="634" w:right="172"/>
        <w:jc w:val="left"/>
      </w:pPr>
      <w:r>
        <w:rPr/>
        <w:t>（</w:t>
      </w:r>
      <w:r>
        <w:rPr>
          <w:rFonts w:ascii="Times New Roman" w:hAnsi="Times New Roman" w:cs="Times New Roman" w:eastAsia="Times New Roman" w:hint="default"/>
        </w:rPr>
        <w:t>1</w:t>
      </w:r>
      <w:r>
        <w:rPr/>
        <w:t>）数字内容资源发展目标及措施 随着公司业务的高速发展，不断更新和丰富公司的数字内容资源，提高数字内容资源的</w:t>
      </w:r>
    </w:p>
    <w:p>
      <w:pPr>
        <w:pStyle w:val="BodyText"/>
        <w:spacing w:line="350" w:lineRule="auto" w:before="29"/>
        <w:ind w:right="189"/>
        <w:jc w:val="both"/>
      </w:pPr>
      <w:r>
        <w:rPr/>
        <w:t>质量已成为未来公司发展的重要战略之一。为此，公司制定了相应的内容资源发展计划，一 方面丰富数字内容资源的品种，计划在未来</w:t>
      </w:r>
      <w:r>
        <w:rPr>
          <w:spacing w:val="-60"/>
        </w:rPr>
        <w:t> </w:t>
      </w:r>
      <w:r>
        <w:rPr>
          <w:rFonts w:ascii="Times New Roman" w:hAnsi="Times New Roman" w:cs="Times New Roman" w:eastAsia="Times New Roman" w:hint="default"/>
        </w:rPr>
        <w:t>3 </w:t>
      </w:r>
      <w:r>
        <w:rPr/>
        <w:t>年内，从目前的以图书为主，有声读物、漫画 和期刊为补充，逐步扩大多品类数字内容资源，优化数字内容资源构成比例；另一方面，大 幅增加数字内容资源的数量，计划在未来</w:t>
      </w:r>
      <w:r>
        <w:rPr>
          <w:spacing w:val="-60"/>
        </w:rPr>
        <w:t> </w:t>
      </w:r>
      <w:r>
        <w:rPr>
          <w:rFonts w:ascii="Times New Roman" w:hAnsi="Times New Roman" w:cs="Times New Roman" w:eastAsia="Times New Roman" w:hint="default"/>
        </w:rPr>
        <w:t>3 </w:t>
      </w:r>
      <w:r>
        <w:rPr/>
        <w:t>年内，新增</w:t>
      </w:r>
      <w:r>
        <w:rPr>
          <w:spacing w:val="-60"/>
        </w:rPr>
        <w:t> </w:t>
      </w:r>
      <w:r>
        <w:rPr>
          <w:rFonts w:ascii="Times New Roman" w:hAnsi="Times New Roman" w:cs="Times New Roman" w:eastAsia="Times New Roman" w:hint="default"/>
        </w:rPr>
        <w:t>10 </w:t>
      </w:r>
      <w:r>
        <w:rPr/>
        <w:t>万种以上数字内容资源。</w:t>
      </w:r>
    </w:p>
    <w:p>
      <w:pPr>
        <w:spacing w:after="0" w:line="350" w:lineRule="auto"/>
        <w:jc w:val="both"/>
        <w:sectPr>
          <w:pgSz w:w="11910" w:h="16840"/>
          <w:pgMar w:header="877" w:footer="979" w:top="1100" w:bottom="1160" w:left="980" w:right="980"/>
        </w:sectPr>
      </w:pPr>
    </w:p>
    <w:p>
      <w:pPr>
        <w:spacing w:line="240" w:lineRule="auto" w:before="7"/>
        <w:rPr>
          <w:rFonts w:ascii="宋体" w:hAnsi="宋体" w:cs="宋体" w:eastAsia="宋体" w:hint="default"/>
          <w:sz w:val="25"/>
          <w:szCs w:val="25"/>
        </w:rPr>
      </w:pPr>
    </w:p>
    <w:p>
      <w:pPr>
        <w:pStyle w:val="BodyText"/>
        <w:spacing w:line="357" w:lineRule="auto"/>
        <w:ind w:right="190" w:firstLine="480"/>
        <w:jc w:val="both"/>
      </w:pPr>
      <w:r>
        <w:rPr/>
        <w:t>为了实现上述目标，公司首先要加强数字版权采编团队建设，构建数字内容定制系统， 根据市场需求，定制相关数字内容。其次，公司将加强与版权机构、作者的合作，进一步整 合市场各类数字内容资源，提升数字内容保有量，增加买断数字内容资源的数量，提高优质 数字版权占比量。另外，公司在时机成熟的时候将利用行业并购等其他手段实现数字内容资 源种类和数量方面的跨越式发展。</w:t>
      </w:r>
    </w:p>
    <w:p>
      <w:pPr>
        <w:pStyle w:val="BodyText"/>
        <w:spacing w:line="367" w:lineRule="auto" w:before="76"/>
        <w:ind w:left="633" w:right="173"/>
        <w:jc w:val="left"/>
      </w:pPr>
      <w:r>
        <w:rPr/>
        <w:t>（</w:t>
      </w:r>
      <w:r>
        <w:rPr>
          <w:rFonts w:ascii="Times New Roman" w:hAnsi="Times New Roman" w:cs="Times New Roman" w:eastAsia="Times New Roman" w:hint="default"/>
        </w:rPr>
        <w:t>2</w:t>
      </w:r>
      <w:r>
        <w:rPr/>
        <w:t>）运营管理发展目标及措施 随着公司数字内容资源数量的增多，覆盖渠道的多样化，加强数字内容的运营管理至关</w:t>
      </w:r>
    </w:p>
    <w:p>
      <w:pPr>
        <w:pStyle w:val="BodyText"/>
        <w:spacing w:line="357" w:lineRule="auto"/>
        <w:ind w:right="413"/>
        <w:jc w:val="left"/>
      </w:pPr>
      <w:r>
        <w:rPr/>
        <w:t>重要。公司的数字资产管理平台就是链接版权内容和渠道，具备强大的业务数据与信息采 集、整合与统计分析能力，并实现一体化数字内容运营管理的核心平台。</w:t>
      </w:r>
    </w:p>
    <w:p>
      <w:pPr>
        <w:pStyle w:val="BodyText"/>
        <w:spacing w:line="352" w:lineRule="auto" w:before="74"/>
        <w:ind w:right="191" w:firstLine="480"/>
        <w:jc w:val="both"/>
      </w:pPr>
      <w:r>
        <w:rPr/>
        <w:t>为从根本上保证公司业务的可持续发展，公司将进一步完善数字资产管理平台的建设， 其中包括基础平台、版权管理平台、数字资源管理平台、版权保护平台、业务支撑平台、版 税结算平台等</w:t>
      </w:r>
      <w:r>
        <w:rPr>
          <w:spacing w:val="-60"/>
        </w:rPr>
        <w:t> </w:t>
      </w:r>
      <w:r>
        <w:rPr>
          <w:rFonts w:ascii="Times New Roman" w:hAnsi="Times New Roman" w:cs="Times New Roman" w:eastAsia="Times New Roman" w:hint="default"/>
        </w:rPr>
        <w:t>6 </w:t>
      </w:r>
      <w:r>
        <w:rPr/>
        <w:t>大功能模块的建设和升级改造，使数字资产管理平台支持包括多媒体资源在 内的全部内容资源，并提升可支持的内容资源总量，提高公司管理和经营的自动化、智能化 水平，为公司业务的长期可持续发展提供强有力的平台支撑。</w:t>
      </w:r>
    </w:p>
    <w:p>
      <w:pPr>
        <w:pStyle w:val="BodyText"/>
        <w:spacing w:line="367" w:lineRule="auto" w:before="81"/>
        <w:ind w:left="634" w:right="172"/>
        <w:jc w:val="left"/>
      </w:pPr>
      <w:r>
        <w:rPr/>
        <w:t>（</w:t>
      </w:r>
      <w:r>
        <w:rPr>
          <w:rFonts w:ascii="Times New Roman" w:hAnsi="Times New Roman" w:cs="Times New Roman" w:eastAsia="Times New Roman" w:hint="default"/>
        </w:rPr>
        <w:t>3</w:t>
      </w:r>
      <w:r>
        <w:rPr/>
        <w:t>）全媒体出版渠道发展目标及措施 公司已经拥有包括手机、手持阅读器、互联网、教育机构在内的全媒体数字出版渠道，</w:t>
      </w:r>
    </w:p>
    <w:p>
      <w:pPr>
        <w:pStyle w:val="BodyText"/>
        <w:spacing w:line="357" w:lineRule="auto"/>
        <w:ind w:left="154" w:right="172"/>
        <w:jc w:val="left"/>
      </w:pPr>
      <w:r>
        <w:rPr/>
        <w:t>基本覆盖了大众阅读市场渠道。随着市场的发展和移动互联网的普及，公司将在积极巩固己 有渠道的同时，开拓更多新兴的大众阅读渠道。同时，面对具有巨大发展空间的专业数字出 版市场，尤其是数字教育市场，公司将利用在传统数字内容资源方面的优势，通过书香中 国、数字教材教辅平台等项目的参与和实施，进一步拓展数字出版在专业市场的应用和渠 道。</w:t>
      </w:r>
    </w:p>
    <w:p>
      <w:pPr>
        <w:pStyle w:val="BodyText"/>
        <w:spacing w:line="364" w:lineRule="auto" w:before="76"/>
        <w:ind w:left="633" w:right="173"/>
        <w:jc w:val="left"/>
      </w:pPr>
      <w:r>
        <w:rPr/>
        <w:t>（</w:t>
      </w:r>
      <w:r>
        <w:rPr>
          <w:rFonts w:ascii="Times New Roman" w:hAnsi="Times New Roman" w:cs="Times New Roman" w:eastAsia="Times New Roman" w:hint="default"/>
        </w:rPr>
        <w:t>4</w:t>
      </w:r>
      <w:r>
        <w:rPr/>
        <w:t>）组织和人才发展计划 人才是本公司保持核心竞争力及长期竞争优势的核心资源。未来三年，为构架和支持战</w:t>
      </w:r>
    </w:p>
    <w:p>
      <w:pPr>
        <w:pStyle w:val="BodyText"/>
        <w:spacing w:line="357" w:lineRule="auto" w:before="29"/>
        <w:ind w:right="173"/>
        <w:jc w:val="left"/>
      </w:pPr>
      <w:r>
        <w:rPr/>
        <w:t>略所需的组织架构和人才体系，公司将加强人才培养和引进，建立员工职业发展路径并形成 人才梯队，为公司的持续发展奠定坚实的基础。</w:t>
      </w:r>
    </w:p>
    <w:p>
      <w:pPr>
        <w:pStyle w:val="BodyText"/>
        <w:spacing w:line="357" w:lineRule="auto" w:before="76"/>
        <w:ind w:right="173" w:firstLine="480"/>
        <w:jc w:val="left"/>
      </w:pPr>
      <w:r>
        <w:rPr/>
        <w:t>公司的组织和人才发展计划与公司战略相匹配，促进公司战略的有效实施。组织的变 化，将依据公司对未来战略的发展需要，以及通过对战略关键任务的完成情况来做组织配置 合理性的评价。坚持内部培养与外部引进相结合的人才选拔培养原则，同时结合“管理序 列”与“专业序列”并行选拔成长的机制，以梯队方式重点建设一级部门和二级部门领导团</w:t>
      </w:r>
    </w:p>
    <w:p>
      <w:pPr>
        <w:spacing w:after="0" w:line="357" w:lineRule="auto"/>
        <w:jc w:val="left"/>
        <w:sectPr>
          <w:pgSz w:w="11910" w:h="16840"/>
          <w:pgMar w:header="877" w:footer="979" w:top="1100" w:bottom="1160" w:left="980" w:right="980"/>
        </w:sectPr>
      </w:pPr>
    </w:p>
    <w:p>
      <w:pPr>
        <w:spacing w:line="240" w:lineRule="auto" w:before="9"/>
        <w:rPr>
          <w:rFonts w:ascii="宋体" w:hAnsi="宋体" w:cs="宋体" w:eastAsia="宋体" w:hint="default"/>
          <w:sz w:val="25"/>
          <w:szCs w:val="25"/>
        </w:rPr>
      </w:pPr>
    </w:p>
    <w:p>
      <w:pPr>
        <w:pStyle w:val="BodyText"/>
        <w:spacing w:line="240" w:lineRule="auto"/>
        <w:ind w:right="0"/>
        <w:jc w:val="left"/>
      </w:pPr>
      <w:r>
        <w:rPr/>
        <w:t>队。以“绩效”和“能力”作为选拔的根本依据，并深度认同公司价值观和企业文化。</w:t>
      </w:r>
    </w:p>
    <w:p>
      <w:pPr>
        <w:spacing w:before="193"/>
        <w:ind w:left="636"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、未来可能面临的风险</w:t>
      </w:r>
      <w:r>
        <w:rPr>
          <w:rFonts w:ascii="宋体" w:hAnsi="宋体" w:cs="宋体" w:eastAsia="宋体" w:hint="default"/>
          <w:sz w:val="24"/>
          <w:szCs w:val="24"/>
        </w:rPr>
      </w:r>
    </w:p>
    <w:p>
      <w:pPr>
        <w:pStyle w:val="BodyText"/>
        <w:spacing w:line="367" w:lineRule="auto" w:before="176"/>
        <w:ind w:left="633" w:right="173"/>
        <w:jc w:val="left"/>
      </w:pPr>
      <w:r>
        <w:rPr/>
        <w:t>（</w:t>
      </w:r>
      <w:r>
        <w:rPr>
          <w:rFonts w:ascii="Times New Roman" w:hAnsi="Times New Roman" w:cs="Times New Roman" w:eastAsia="Times New Roman" w:hint="default"/>
        </w:rPr>
        <w:t>1</w:t>
      </w:r>
      <w:r>
        <w:rPr/>
        <w:t>）对中国移动依赖的风险 报告期内，中国移动子公司中国移动浙江有限公司是公司的重要客户。根据公司与中国</w:t>
      </w:r>
    </w:p>
    <w:p>
      <w:pPr>
        <w:pStyle w:val="BodyText"/>
        <w:spacing w:line="357" w:lineRule="auto"/>
        <w:ind w:right="173"/>
        <w:jc w:val="left"/>
      </w:pPr>
      <w:r>
        <w:rPr/>
        <w:t>移动浙江有限公司签订的主要协议，公司为中国移动浙江有限公司提供数字阅读产品和运营 服务。中国移动手机阅读基地作为国内手机阅读业务的主要运营平台和公司的主要客户，对 公司的经营业绩有重要影响。如果中国移动手机阅读业务经营状况不佳或者中国移动浙江有 限公司在未来的合作过程中提出解除或者不再与公司续签新的合作合同，或在合作过程中改 变合作模式、降低与公司的结算价格等，都将对公司未来的盈利能力和成长性产生不利影 响。</w:t>
      </w:r>
    </w:p>
    <w:p>
      <w:pPr>
        <w:pStyle w:val="BodyText"/>
        <w:spacing w:line="367" w:lineRule="auto" w:before="76"/>
        <w:ind w:left="633" w:right="173"/>
        <w:jc w:val="left"/>
      </w:pPr>
      <w:r>
        <w:rPr/>
        <w:t>（</w:t>
      </w:r>
      <w:r>
        <w:rPr>
          <w:rFonts w:ascii="Times New Roman" w:hAnsi="Times New Roman" w:cs="Times New Roman" w:eastAsia="Times New Roman" w:hint="default"/>
        </w:rPr>
        <w:t>2</w:t>
      </w:r>
      <w:r>
        <w:rPr/>
        <w:t>）毛利率和业绩下滑的风险 随着数字出版行业的逐步成熟，市场竞争逐渐激烈，公司一方面投入更高的价格购买版</w:t>
      </w:r>
    </w:p>
    <w:p>
      <w:pPr>
        <w:pStyle w:val="BodyText"/>
        <w:spacing w:line="345" w:lineRule="auto"/>
        <w:ind w:right="173"/>
        <w:jc w:val="left"/>
      </w:pPr>
      <w:r>
        <w:rPr/>
        <w:t>权或支付更高的版权分成比例，另一方面增加推广费加大推广力度。公司营业收入比重超过 </w:t>
      </w:r>
      <w:r>
        <w:rPr>
          <w:rFonts w:ascii="Times New Roman" w:hAnsi="Times New Roman" w:cs="Times New Roman" w:eastAsia="Times New Roman" w:hint="default"/>
        </w:rPr>
        <w:t>50%</w:t>
      </w:r>
      <w:r>
        <w:rPr/>
        <w:t>的数字阅读产品毛利率不断下滑从而使公司的综合毛利率出现下滑。最近三年，公司综 合毛利率分别为</w:t>
      </w:r>
      <w:r>
        <w:rPr>
          <w:spacing w:val="-61"/>
        </w:rPr>
        <w:t> </w:t>
      </w:r>
      <w:r>
        <w:rPr>
          <w:rFonts w:ascii="Times New Roman" w:hAnsi="Times New Roman" w:cs="Times New Roman" w:eastAsia="Times New Roman" w:hint="default"/>
        </w:rPr>
        <w:t>54.81%</w:t>
      </w:r>
      <w:r>
        <w:rPr/>
        <w:t>、</w:t>
      </w:r>
      <w:r>
        <w:rPr>
          <w:rFonts w:ascii="Times New Roman" w:hAnsi="Times New Roman" w:cs="Times New Roman" w:eastAsia="Times New Roman" w:hint="default"/>
        </w:rPr>
        <w:t>49.77%</w:t>
      </w:r>
      <w:r>
        <w:rPr/>
        <w:t>、</w:t>
      </w:r>
      <w:r>
        <w:rPr>
          <w:rFonts w:ascii="Times New Roman" w:hAnsi="Times New Roman" w:cs="Times New Roman" w:eastAsia="Times New Roman" w:hint="default"/>
        </w:rPr>
        <w:t>46.34%</w:t>
      </w:r>
      <w:r>
        <w:rPr/>
        <w:t>，虽然综合毛利率水平仍保持较高的水平，但未 来不排除存在毛利率进一步下降的可能。</w:t>
      </w:r>
    </w:p>
    <w:p>
      <w:pPr>
        <w:pStyle w:val="BodyText"/>
        <w:spacing w:line="338" w:lineRule="auto" w:before="86"/>
        <w:ind w:left="154" w:right="151" w:firstLine="48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22"/>
        </w:rPr>
        <w:t> </w:t>
      </w:r>
      <w:r>
        <w:rPr/>
        <w:t>年，公司决定继续增加对移动互联网和教育阅读产品的研发投入，若公司上述投入 未能巩固公司的市场地位和形成公司未来新的增长点，将可能导致公司业绩下滑。</w:t>
      </w:r>
    </w:p>
    <w:p>
      <w:pPr>
        <w:pStyle w:val="BodyText"/>
        <w:spacing w:line="367" w:lineRule="auto" w:before="95"/>
        <w:ind w:left="633" w:right="212"/>
        <w:jc w:val="left"/>
      </w:pPr>
      <w:r>
        <w:rPr/>
        <w:t>（</w:t>
      </w:r>
      <w:r>
        <w:rPr>
          <w:rFonts w:ascii="Times New Roman" w:hAnsi="Times New Roman" w:cs="Times New Roman" w:eastAsia="Times New Roman" w:hint="default"/>
        </w:rPr>
        <w:t>3</w:t>
      </w:r>
      <w:r>
        <w:rPr/>
        <w:t>）业绩季节性波动风险 由于公司第一大客户中国移动浙江有限公司出具的结算单一般会滞后</w:t>
      </w:r>
      <w:r>
        <w:rPr>
          <w:spacing w:val="-59"/>
        </w:rPr>
        <w:t> </w:t>
      </w:r>
      <w:r>
        <w:rPr>
          <w:rFonts w:ascii="Times New Roman" w:hAnsi="Times New Roman" w:cs="Times New Roman" w:eastAsia="Times New Roman" w:hint="default"/>
        </w:rPr>
        <w:t>3-5 </w:t>
      </w:r>
      <w:r>
        <w:rPr/>
        <w:t>个月左右，公</w:t>
      </w:r>
    </w:p>
    <w:p>
      <w:pPr>
        <w:pStyle w:val="BodyText"/>
        <w:spacing w:line="350" w:lineRule="auto" w:before="0"/>
        <w:ind w:left="154" w:right="189"/>
        <w:jc w:val="both"/>
      </w:pPr>
      <w:r>
        <w:rPr/>
        <w:t>司手机阅读基地业务数字阅读产品上半年</w:t>
      </w:r>
      <w:r>
        <w:rPr>
          <w:spacing w:val="-60"/>
        </w:rPr>
        <w:t> </w:t>
      </w:r>
      <w:r>
        <w:rPr>
          <w:rFonts w:ascii="Times New Roman" w:hAnsi="Times New Roman" w:cs="Times New Roman" w:eastAsia="Times New Roman" w:hint="default"/>
        </w:rPr>
        <w:t>3 </w:t>
      </w:r>
      <w:r>
        <w:rPr/>
        <w:t>个月左右的包月收入因结算单滞后，未能确认收 入导致该业务上半年所贡献的收入偏少。教育阅读产品方面，客户通常在每年上半年编制预 算、制定采购计划，经过方案审查、立项批复、采购申请、招投标、合同签订等程序后，项 目实施主要集中在下半年，相应地公司该业务收入主要集中在下半年。</w:t>
      </w:r>
    </w:p>
    <w:p>
      <w:pPr>
        <w:pStyle w:val="BodyText"/>
        <w:spacing w:line="357" w:lineRule="auto" w:before="82"/>
        <w:ind w:right="190" w:firstLine="480"/>
        <w:jc w:val="both"/>
      </w:pPr>
      <w:r>
        <w:rPr/>
        <w:t>受上述等因素的影响，公司上半年的营业收入占全年比重偏低。而营业成本及管理费用 主要构成部分人员工资及差旅费等上下半年基本持平，使得公司上半年的营业利润和净利润 较全年相比偏低。</w:t>
      </w:r>
    </w:p>
    <w:p>
      <w:pPr>
        <w:pStyle w:val="BodyText"/>
        <w:spacing w:line="357" w:lineRule="auto" w:before="74"/>
        <w:ind w:right="190" w:firstLine="480"/>
        <w:jc w:val="both"/>
      </w:pPr>
      <w:r>
        <w:rPr/>
        <w:t>公司业绩季节性波动会给公司经营活动带来较大影响，如资金使用安排、融资活动安排 等，同时也会造成公司各类财务指标出现较大的波动，从而对投资者的判断带来不利影响。</w:t>
      </w:r>
    </w:p>
    <w:p>
      <w:pPr>
        <w:spacing w:after="0" w:line="357" w:lineRule="auto"/>
        <w:jc w:val="both"/>
        <w:sectPr>
          <w:footerReference w:type="default" r:id="rId21"/>
          <w:pgSz w:w="11910" w:h="16840"/>
          <w:pgMar w:footer="979" w:header="877" w:top="1100" w:bottom="1160" w:left="980" w:right="980"/>
          <w:pgNumType w:start="29"/>
        </w:sectPr>
      </w:pPr>
    </w:p>
    <w:p>
      <w:pPr>
        <w:spacing w:line="240" w:lineRule="auto" w:before="9"/>
        <w:rPr>
          <w:rFonts w:ascii="宋体" w:hAnsi="宋体" w:cs="宋体" w:eastAsia="宋体" w:hint="default"/>
          <w:sz w:val="25"/>
          <w:szCs w:val="25"/>
        </w:rPr>
      </w:pPr>
    </w:p>
    <w:p>
      <w:pPr>
        <w:pStyle w:val="BodyText"/>
        <w:spacing w:line="364" w:lineRule="auto"/>
        <w:ind w:left="633" w:right="173"/>
        <w:jc w:val="left"/>
      </w:pPr>
      <w:r>
        <w:rPr/>
        <w:t>（</w:t>
      </w:r>
      <w:r>
        <w:rPr>
          <w:rFonts w:ascii="Times New Roman" w:hAnsi="Times New Roman" w:cs="Times New Roman" w:eastAsia="Times New Roman" w:hint="default"/>
        </w:rPr>
        <w:t>4</w:t>
      </w:r>
      <w:r>
        <w:rPr/>
        <w:t>）版权采集价格上涨的风险 优质数字内容是吸引客户付费阅读的重要因素，其版权所有者要求的买断价格和版税分</w:t>
      </w:r>
    </w:p>
    <w:p>
      <w:pPr>
        <w:pStyle w:val="BodyText"/>
        <w:spacing w:line="357" w:lineRule="auto" w:before="29"/>
        <w:ind w:right="190"/>
        <w:jc w:val="both"/>
      </w:pPr>
      <w:r>
        <w:rPr/>
        <w:t>成比例也逐年上升。同时，随着数字出版行业盈利模式的逐渐成熟，不断有新的市场主体加 入到数字出版行业，优质数字版权竞争加剧。上述原因导致公司的版权采购价格和分成比例 不断提高。</w:t>
      </w:r>
    </w:p>
    <w:p>
      <w:pPr>
        <w:pStyle w:val="BodyText"/>
        <w:spacing w:line="357" w:lineRule="auto" w:before="76"/>
        <w:ind w:right="413" w:firstLine="480"/>
        <w:jc w:val="left"/>
      </w:pPr>
      <w:r>
        <w:rPr/>
        <w:t>如果优质数字版权竞争持续加剧，版权采集价格持续上涨，而未能带来预期收入的增 加，将对公司的持续盈利能力和成长性产生不利影响。</w:t>
      </w:r>
    </w:p>
    <w:p>
      <w:pPr>
        <w:pStyle w:val="BodyText"/>
        <w:spacing w:line="364" w:lineRule="auto" w:before="76"/>
        <w:ind w:left="633" w:right="173"/>
        <w:jc w:val="left"/>
      </w:pPr>
      <w:r>
        <w:rPr/>
        <w:t>（</w:t>
      </w:r>
      <w:r>
        <w:rPr>
          <w:rFonts w:ascii="Times New Roman" w:hAnsi="Times New Roman" w:cs="Times New Roman" w:eastAsia="Times New Roman" w:hint="default"/>
        </w:rPr>
        <w:t>5</w:t>
      </w:r>
      <w:r>
        <w:rPr/>
        <w:t>）数字阅读市场变化的风险 近年来，微信、微博、手机游戏等社交和娱乐应用发展迅速，成为人们获取信息资讯、</w:t>
      </w:r>
    </w:p>
    <w:p>
      <w:pPr>
        <w:pStyle w:val="BodyText"/>
        <w:spacing w:line="352" w:lineRule="auto" w:before="29"/>
        <w:ind w:right="151"/>
        <w:jc w:val="both"/>
      </w:pPr>
      <w:r>
        <w:rPr/>
        <w:t>日常沟通和休闲娱乐的重要渠道，占用了人们大量碎片化的休闲娱乐时间。虽然随着人们阅 读意识的提高，人均手机阅读时长逐年增长，但其他社交娱乐应用的快速且多元化发展，可 能影响数字阅读的市场发展速度。另一方面，</w:t>
      </w:r>
      <w:r>
        <w:rPr>
          <w:rFonts w:ascii="Times New Roman" w:hAnsi="Times New Roman" w:cs="Times New Roman" w:eastAsia="Times New Roman" w:hint="default"/>
        </w:rPr>
        <w:t>2014</w:t>
      </w:r>
      <w:r>
        <w:rPr>
          <w:rFonts w:ascii="Times New Roman" w:hAnsi="Times New Roman" w:cs="Times New Roman" w:eastAsia="Times New Roman" w:hint="default"/>
          <w:spacing w:val="-22"/>
        </w:rPr>
        <w:t> </w:t>
      </w:r>
      <w:r>
        <w:rPr/>
        <w:t>年，腾讯和百度等互联网巨头发力数字阅 读领域，与公司的重要客户中国移动手机阅读基地形成一定的竞争关系。公司也积极开展与 腾讯文学和百度文学的合作，为其提供互联网数字阅读产品。若公司不能采取合适的方式应 对上述市场变化，将可能导致公司在收入、成本和费用等方面产生不利变化。</w:t>
      </w:r>
    </w:p>
    <w:p>
      <w:pPr>
        <w:pStyle w:val="BodyText"/>
        <w:spacing w:line="364" w:lineRule="auto" w:before="82"/>
        <w:ind w:left="634" w:right="172"/>
        <w:jc w:val="left"/>
      </w:pPr>
      <w:r>
        <w:rPr/>
        <w:t>（</w:t>
      </w:r>
      <w:r>
        <w:rPr>
          <w:rFonts w:ascii="Times New Roman" w:hAnsi="Times New Roman" w:cs="Times New Roman" w:eastAsia="Times New Roman" w:hint="default"/>
        </w:rPr>
        <w:t>6</w:t>
      </w:r>
      <w:r>
        <w:rPr/>
        <w:t>）资质风险 根据我国相关法律法规，企业从事互联网出版业务需要取得《互联网出版许可证》；通</w:t>
      </w:r>
    </w:p>
    <w:p>
      <w:pPr>
        <w:pStyle w:val="BodyText"/>
        <w:spacing w:line="357" w:lineRule="auto" w:before="29"/>
        <w:ind w:left="154" w:right="189"/>
        <w:jc w:val="both"/>
      </w:pPr>
      <w:r>
        <w:rPr/>
        <w:t>过互联网等信息网络从事出版物发行业务需要取得《出版物经营许可证》；提供经营性互联 网文化产品及其服务的活动需要取得《网络文化经营许可证》；从事增值电信业务需要取得</w:t>
      </w:r>
    </w:p>
    <w:p>
      <w:pPr>
        <w:pStyle w:val="BodyText"/>
        <w:spacing w:line="357" w:lineRule="auto" w:before="36"/>
        <w:ind w:left="154" w:right="190"/>
        <w:jc w:val="both"/>
      </w:pPr>
      <w:r>
        <w:rPr/>
        <w:t>《增值电信业务经营许可证》或《跨地区增值电信业务经营许可证》；从事经营性互联网信 息服务需要取得《电信与信息服务业务经营许可证》；公司与电信运营商的业务合作亦需满 足电信运营商对业务合作伙伴的资质要求。虽然目前公司取得了开展数字出版业务所必要的 资质，但若公司不能持续拥有现有业务资质，或新业务开展中不能取得必要的业务资质，将 影响公司未来业务的开展，对公司的持续发展产生不利影响。</w:t>
      </w:r>
    </w:p>
    <w:p>
      <w:pPr>
        <w:pStyle w:val="BodyText"/>
        <w:spacing w:line="367" w:lineRule="auto" w:before="76"/>
        <w:ind w:left="634" w:right="412"/>
        <w:jc w:val="left"/>
      </w:pPr>
      <w:r>
        <w:rPr/>
        <w:t>（</w:t>
      </w:r>
      <w:r>
        <w:rPr>
          <w:rFonts w:ascii="Times New Roman" w:hAnsi="Times New Roman" w:cs="Times New Roman" w:eastAsia="Times New Roman" w:hint="default"/>
        </w:rPr>
        <w:t>7</w:t>
      </w:r>
      <w:r>
        <w:rPr/>
        <w:t>）行业监管风险 数字出版行业处于完备的行业监管体系之下，受到国家新闻出版广电总局、国家版权</w:t>
      </w:r>
    </w:p>
    <w:p>
      <w:pPr>
        <w:pStyle w:val="BodyText"/>
        <w:spacing w:line="357" w:lineRule="auto" w:before="27"/>
        <w:ind w:left="154" w:right="172"/>
        <w:jc w:val="left"/>
      </w:pPr>
      <w:r>
        <w:rPr/>
        <w:t>局、工信部、行业协会等相关政府部门和组织的共同监管。公司作为数字出版企业，提供手 机阅读、互联网阅读、教育阅读等多种数字阅读产品。如果公司的数字阅读产品内容在制 作、出版过程中违反了相关监管规定，将受到行业监管部门通报批评、限期整顿、没收所</w:t>
      </w:r>
    </w:p>
    <w:p>
      <w:pPr>
        <w:spacing w:after="0" w:line="357" w:lineRule="auto"/>
        <w:jc w:val="left"/>
        <w:sectPr>
          <w:footerReference w:type="default" r:id="rId22"/>
          <w:pgSz w:w="11910" w:h="16840"/>
          <w:pgMar w:footer="979" w:header="877" w:top="1100" w:bottom="1160" w:left="980" w:right="980"/>
          <w:pgNumType w:start="30"/>
        </w:sectPr>
      </w:pPr>
    </w:p>
    <w:p>
      <w:pPr>
        <w:spacing w:line="240" w:lineRule="auto" w:before="7"/>
        <w:rPr>
          <w:rFonts w:ascii="宋体" w:hAnsi="宋体" w:cs="宋体" w:eastAsia="宋体" w:hint="default"/>
          <w:sz w:val="25"/>
          <w:szCs w:val="25"/>
        </w:rPr>
      </w:pPr>
    </w:p>
    <w:p>
      <w:pPr>
        <w:pStyle w:val="BodyText"/>
        <w:spacing w:line="357" w:lineRule="auto"/>
        <w:ind w:right="190"/>
        <w:jc w:val="both"/>
      </w:pPr>
      <w:r>
        <w:rPr/>
        <w:t>得、罚款等处罚，情节严重的还将被吊销相关许可证及市场禁入，对公司的持续发展产生不 利影响。</w:t>
      </w:r>
    </w:p>
    <w:p>
      <w:pPr>
        <w:pStyle w:val="BodyText"/>
        <w:spacing w:line="367" w:lineRule="auto" w:before="76"/>
        <w:ind w:left="634" w:right="172"/>
        <w:jc w:val="left"/>
      </w:pPr>
      <w:r>
        <w:rPr>
          <w:rFonts w:ascii="Times New Roman" w:hAnsi="Times New Roman" w:cs="Times New Roman" w:eastAsia="Times New Roman" w:hint="default"/>
        </w:rPr>
        <w:t>(8</w:t>
      </w:r>
      <w:r>
        <w:rPr/>
        <w:t>）版权诉讼风险</w:t>
      </w:r>
      <w:r>
        <w:rPr>
          <w:w w:val="99"/>
        </w:rPr>
        <w:t> </w:t>
      </w:r>
      <w:r>
        <w:rPr/>
        <w:t>合法版权是数字出版企业持续运营的基石，是吸引和维护用户群体、提高用户黏性的必</w:t>
      </w:r>
    </w:p>
    <w:p>
      <w:pPr>
        <w:pStyle w:val="BodyText"/>
        <w:spacing w:line="357" w:lineRule="auto"/>
        <w:ind w:left="154" w:right="190"/>
        <w:jc w:val="both"/>
      </w:pPr>
      <w:r>
        <w:rPr/>
        <w:t>要手段。报告期内，公司作为被告的案件中，涉及金额较小，未对公司的经营成果造成重大 的不利影响。尽管公司制定了严格的版权采购流程和质量控制体系，但仍存在潜在的被诉讼 的风险。</w:t>
      </w:r>
    </w:p>
    <w:p>
      <w:pPr>
        <w:pStyle w:val="BodyText"/>
        <w:spacing w:line="364" w:lineRule="auto" w:before="76"/>
        <w:ind w:left="633" w:right="173"/>
        <w:jc w:val="left"/>
      </w:pPr>
      <w:r>
        <w:rPr>
          <w:rFonts w:ascii="Times New Roman" w:hAnsi="Times New Roman" w:cs="Times New Roman" w:eastAsia="Times New Roman" w:hint="default"/>
        </w:rPr>
        <w:t>(9)</w:t>
      </w:r>
      <w:r>
        <w:rPr/>
        <w:t>盗版侵权风险</w:t>
      </w:r>
      <w:r>
        <w:rPr>
          <w:w w:val="99"/>
        </w:rPr>
        <w:t> </w:t>
      </w:r>
      <w:r>
        <w:rPr/>
        <w:t>保护知识产权是数字出版行业生存和发展的关键。现阶段，数字出版的版权保护机制尚</w:t>
      </w:r>
    </w:p>
    <w:p>
      <w:pPr>
        <w:pStyle w:val="BodyText"/>
        <w:spacing w:line="357" w:lineRule="auto" w:before="29"/>
        <w:ind w:right="173"/>
        <w:jc w:val="left"/>
      </w:pPr>
      <w:r>
        <w:rPr/>
        <w:t>不完善，信息技术的快速发展让数字出版侵权案件面临取证难、认定难、维权成本高等问 题。盗版侵权将通过公司计划外途径，加快公司数字阅读产品传播速度，导致公司数字阅读 产品销售收入下滑，给公司带来损失。此外，盗版侵权行为亦将影响作者的创作积极性，危 害优质数字版权的创作，给整个数字出版行业产生不利影响。</w:t>
      </w:r>
    </w:p>
    <w:p>
      <w:pPr>
        <w:pStyle w:val="BodyText"/>
        <w:spacing w:line="357" w:lineRule="auto" w:before="76"/>
        <w:ind w:right="190" w:firstLine="480"/>
        <w:jc w:val="both"/>
      </w:pPr>
      <w:r>
        <w:rPr/>
        <w:t>政府有关部门近年来通过逐步完善知识产权保护体系、加强打击盗版侵权行为力度，在 知识产权保护方面取得了一定的成效。但是打击盗版侵权行为、规范市场秩序是一个长期的 过程，公司在一定时期内仍将面临盗版侵权的风险。</w:t>
      </w:r>
    </w:p>
    <w:p>
      <w:pPr>
        <w:pStyle w:val="BodyText"/>
        <w:spacing w:line="364" w:lineRule="auto" w:before="76"/>
        <w:ind w:left="633" w:right="173"/>
        <w:jc w:val="left"/>
      </w:pPr>
      <w:r>
        <w:rPr>
          <w:rFonts w:ascii="Times New Roman" w:hAnsi="Times New Roman" w:cs="Times New Roman" w:eastAsia="Times New Roman" w:hint="default"/>
        </w:rPr>
        <w:t>(10)</w:t>
      </w:r>
      <w:r>
        <w:rPr/>
        <w:t>房产租赁风险</w:t>
      </w:r>
      <w:r>
        <w:rPr>
          <w:w w:val="99"/>
        </w:rPr>
        <w:t> </w:t>
      </w:r>
      <w:r>
        <w:rPr/>
        <w:t>公司的主营业务为提供数字阅读产品、数字出版运营服务和数字内容增值服务，业务发</w:t>
      </w:r>
    </w:p>
    <w:p>
      <w:pPr>
        <w:pStyle w:val="BodyText"/>
        <w:spacing w:line="357" w:lineRule="auto" w:before="29"/>
        <w:ind w:right="189"/>
        <w:jc w:val="both"/>
      </w:pPr>
      <w:r>
        <w:rPr/>
        <w:t>展主要依靠公司积累丰富的内容资源及优秀的专业技术人员，租赁房产从事经营活动也为该 类非生产型公司普遍采取的经营方式。目前，公司办公场所全部为租赁所得，虽然不影响公 司的资产完整性，但如果未来公司经营场所搬迁，仍将对公司短期的经营产生不利影响。</w:t>
      </w:r>
    </w:p>
    <w:p>
      <w:pPr>
        <w:pStyle w:val="BodyText"/>
        <w:spacing w:line="240" w:lineRule="auto" w:before="77"/>
        <w:ind w:left="633" w:right="0"/>
        <w:jc w:val="left"/>
      </w:pPr>
      <w:r>
        <w:rPr>
          <w:rFonts w:ascii="Times New Roman" w:hAnsi="Times New Roman" w:cs="Times New Roman" w:eastAsia="Times New Roman" w:hint="default"/>
        </w:rPr>
        <w:t>(11)</w:t>
      </w:r>
      <w:r>
        <w:rPr/>
        <w:t>应收账款较高的风险</w:t>
      </w:r>
    </w:p>
    <w:p>
      <w:pPr>
        <w:pStyle w:val="BodyText"/>
        <w:spacing w:line="348" w:lineRule="auto" w:before="174"/>
        <w:ind w:right="150" w:firstLine="480"/>
        <w:jc w:val="both"/>
      </w:pPr>
      <w:r>
        <w:rPr/>
        <w:t>最近三年各期末，公司应收账款账面价值分别为</w:t>
      </w:r>
      <w:r>
        <w:rPr>
          <w:spacing w:val="-81"/>
        </w:rPr>
        <w:t> </w:t>
      </w:r>
      <w:r>
        <w:rPr>
          <w:rFonts w:ascii="Times New Roman" w:hAnsi="Times New Roman" w:cs="Times New Roman" w:eastAsia="Times New Roman" w:hint="default"/>
        </w:rPr>
        <w:t>5,791.41</w:t>
      </w:r>
      <w:r>
        <w:rPr>
          <w:rFonts w:ascii="Times New Roman" w:hAnsi="Times New Roman" w:cs="Times New Roman" w:eastAsia="Times New Roman" w:hint="default"/>
          <w:spacing w:val="-21"/>
        </w:rPr>
        <w:t> </w:t>
      </w:r>
      <w:r>
        <w:rPr/>
        <w:t>万元、</w:t>
      </w:r>
      <w:r>
        <w:rPr>
          <w:rFonts w:ascii="Times New Roman" w:hAnsi="Times New Roman" w:cs="Times New Roman" w:eastAsia="Times New Roman" w:hint="default"/>
        </w:rPr>
        <w:t>6,657.05</w:t>
      </w:r>
      <w:r>
        <w:rPr>
          <w:rFonts w:ascii="Times New Roman" w:hAnsi="Times New Roman" w:cs="Times New Roman" w:eastAsia="Times New Roman" w:hint="default"/>
          <w:spacing w:val="-21"/>
        </w:rPr>
        <w:t> </w:t>
      </w:r>
      <w:r>
        <w:rPr/>
        <w:t>万元和</w:t>
      </w:r>
      <w:r>
        <w:rPr>
          <w:spacing w:val="-81"/>
        </w:rPr>
        <w:t> </w:t>
      </w:r>
      <w:r>
        <w:rPr>
          <w:rFonts w:ascii="Times New Roman" w:hAnsi="Times New Roman" w:cs="Times New Roman" w:eastAsia="Times New Roman" w:hint="default"/>
        </w:rPr>
        <w:t>9,753.72 </w:t>
      </w:r>
      <w:r>
        <w:rPr/>
        <w:t>万元，呈逐年上升趋势，主要是因为公司中国移动手机阅读基地相关业务结算周期较长。公 司一般在提供数字阅读产品后的</w:t>
      </w:r>
      <w:r>
        <w:rPr>
          <w:spacing w:val="-60"/>
        </w:rPr>
        <w:t> </w:t>
      </w:r>
      <w:r>
        <w:rPr>
          <w:rFonts w:ascii="Times New Roman" w:hAnsi="Times New Roman" w:cs="Times New Roman" w:eastAsia="Times New Roman" w:hint="default"/>
        </w:rPr>
        <w:t>4-5 </w:t>
      </w:r>
      <w:r>
        <w:rPr/>
        <w:t>个月后收到相关结算款项，在第四季度收到当年前三季 度以及上年度第四季度的运营费用，导致各期末应收账款余额较大。如果未来公司客户信用 情况发生恶化，应收账款无法足额收回，可能给公司带来相应损失。</w:t>
      </w:r>
    </w:p>
    <w:p>
      <w:pPr>
        <w:pStyle w:val="BodyText"/>
        <w:spacing w:line="367" w:lineRule="auto" w:before="85"/>
        <w:ind w:left="634" w:right="172"/>
        <w:jc w:val="left"/>
      </w:pPr>
      <w:r>
        <w:rPr>
          <w:rFonts w:ascii="Times New Roman" w:hAnsi="Times New Roman" w:cs="Times New Roman" w:eastAsia="Times New Roman" w:hint="default"/>
        </w:rPr>
        <w:t>(12)</w:t>
      </w:r>
      <w:r>
        <w:rPr/>
        <w:t>规模迅速扩大导致的管理风险</w:t>
      </w:r>
      <w:r>
        <w:rPr>
          <w:w w:val="99"/>
        </w:rPr>
        <w:t> </w:t>
      </w:r>
      <w:r>
        <w:rPr/>
        <w:t>为了适应公司的快速发展，公司建立了完整的职级和薪酬体系，并在内部建立了人才培</w:t>
      </w:r>
    </w:p>
    <w:p>
      <w:pPr>
        <w:spacing w:after="0" w:line="367" w:lineRule="auto"/>
        <w:jc w:val="left"/>
        <w:sectPr>
          <w:pgSz w:w="11910" w:h="16840"/>
          <w:pgMar w:header="877" w:footer="979" w:top="1100" w:bottom="1160" w:left="980" w:right="980"/>
        </w:sectPr>
      </w:pPr>
    </w:p>
    <w:p>
      <w:pPr>
        <w:spacing w:line="240" w:lineRule="auto" w:before="7"/>
        <w:rPr>
          <w:rFonts w:ascii="宋体" w:hAnsi="宋体" w:cs="宋体" w:eastAsia="宋体" w:hint="default"/>
          <w:sz w:val="25"/>
          <w:szCs w:val="25"/>
        </w:rPr>
      </w:pPr>
    </w:p>
    <w:p>
      <w:pPr>
        <w:pStyle w:val="BodyText"/>
        <w:spacing w:line="357" w:lineRule="auto"/>
        <w:ind w:right="190"/>
        <w:jc w:val="both"/>
      </w:pPr>
      <w:r>
        <w:rPr/>
        <w:t>养和学习机制。虽然公司已经积极提升内部管理效率和管理能力，但是随着募集资金投资项 目的实施，公司的资产及业务规模将进一步扩大，公司在人力资源、法律、财务等方面的管 理能力需要不断提高。如果管理层不能随着公司业务规模的扩张而持续提高管理效率、进一 步完善管理体系以应对高速成长带来的风险，将制约公司长远的发展。</w:t>
      </w:r>
    </w:p>
    <w:p>
      <w:pPr>
        <w:pStyle w:val="BodyText"/>
        <w:spacing w:line="367" w:lineRule="auto" w:before="76"/>
        <w:ind w:left="634" w:right="172"/>
        <w:jc w:val="left"/>
      </w:pPr>
      <w:r>
        <w:rPr/>
        <w:t>（</w:t>
      </w:r>
      <w:r>
        <w:rPr>
          <w:rFonts w:ascii="Times New Roman" w:hAnsi="Times New Roman" w:cs="Times New Roman" w:eastAsia="Times New Roman" w:hint="default"/>
        </w:rPr>
        <w:t>13</w:t>
      </w:r>
      <w:r>
        <w:rPr/>
        <w:t>）募集资金投向实施及收益风险 公司本次募集资金投资项目为数字内容资源平台升级改造项目，募集资金投资项目是在</w:t>
      </w:r>
    </w:p>
    <w:p>
      <w:pPr>
        <w:pStyle w:val="BodyText"/>
        <w:spacing w:line="357" w:lineRule="auto"/>
        <w:ind w:left="154" w:right="190"/>
        <w:jc w:val="both"/>
      </w:pPr>
      <w:r>
        <w:rPr/>
        <w:t>公司现有业务发展态势和经过充分市场调研的基础上提出的，若能顺利实施，公司内容资源 的数量和品种得到丰富，公司核心竞争力进一步增强，有利于巩固和强化公司在数字出版领 域的竞争优势和行业地位，有利于公司的可持续发展。</w:t>
      </w:r>
    </w:p>
    <w:p>
      <w:pPr>
        <w:pStyle w:val="BodyText"/>
        <w:spacing w:line="357" w:lineRule="auto" w:before="74"/>
        <w:ind w:right="190" w:firstLine="480"/>
        <w:jc w:val="both"/>
      </w:pPr>
      <w:r>
        <w:rPr/>
        <w:t>公司对募集资金投资项目的技术可行性、人员安排、竞争对手情况以及市场需求等相关 要素进行了充分的调研论证，并对项目的预期收益进行了审慎估计。但在上述项目的实施过 程中，不排除因经济环境发生重大变化或者市场开拓带来的风险，从而对项目的顺利实施和 公司的预期收益造成不利影响。</w:t>
      </w:r>
    </w:p>
    <w:p>
      <w:pPr>
        <w:pStyle w:val="BodyText"/>
        <w:spacing w:line="367" w:lineRule="auto" w:before="76"/>
        <w:ind w:left="633" w:right="173"/>
        <w:jc w:val="left"/>
      </w:pPr>
      <w:r>
        <w:rPr/>
        <w:t>（</w:t>
      </w:r>
      <w:r>
        <w:rPr>
          <w:rFonts w:ascii="Times New Roman" w:hAnsi="Times New Roman" w:cs="Times New Roman" w:eastAsia="Times New Roman" w:hint="default"/>
        </w:rPr>
        <w:t>14</w:t>
      </w:r>
      <w:r>
        <w:rPr/>
        <w:t>）新增固定资产折旧和无形资产摊销对公司业绩产生不利影响的风险 本次募集资金到位后，随着募集资金投资项目的实施，公司无形资产和固定资产规模将</w:t>
      </w:r>
    </w:p>
    <w:p>
      <w:pPr>
        <w:pStyle w:val="BodyText"/>
        <w:spacing w:line="357" w:lineRule="auto"/>
        <w:ind w:right="190"/>
        <w:jc w:val="both"/>
      </w:pPr>
      <w:r>
        <w:rPr/>
        <w:t>逐渐增加，固定资产折旧和无形资产摊销亦将相应增加。本次募集资金投资项目有良好的预 期效益，募集资金投资项目投产后，公司的营业收入将有明显提高。若公司本次募集资金投 资项目未能达到预期收益，其新增的固定资产折旧和无形资产摊销将对公司未来经营业绩将 产生一定的不利影响。</w:t>
      </w:r>
    </w:p>
    <w:p>
      <w:pPr>
        <w:spacing w:line="240" w:lineRule="auto" w:before="9"/>
        <w:rPr>
          <w:rFonts w:ascii="宋体" w:hAnsi="宋体" w:cs="宋体" w:eastAsia="宋体" w:hint="default"/>
          <w:sz w:val="19"/>
          <w:szCs w:val="19"/>
        </w:rPr>
      </w:pPr>
    </w:p>
    <w:p>
      <w:pPr>
        <w:spacing w:before="0"/>
        <w:ind w:left="153" w:right="0" w:firstLine="0"/>
        <w:jc w:val="both"/>
        <w:rPr>
          <w:rFonts w:ascii="宋体" w:hAnsi="宋体" w:cs="宋体" w:eastAsia="宋体" w:hint="default"/>
          <w:sz w:val="24"/>
          <w:szCs w:val="24"/>
        </w:rPr>
      </w:pPr>
      <w:bookmarkStart w:name="三、董事会、监事会对会计师事务所本报告期“非标准审计报告”的说明" w:id="28"/>
      <w:bookmarkEnd w:id="28"/>
      <w:r>
        <w:rPr/>
      </w:r>
      <w:r>
        <w:rPr>
          <w:rFonts w:ascii="宋体" w:hAnsi="宋体" w:cs="宋体" w:eastAsia="宋体" w:hint="default"/>
          <w:b/>
          <w:bCs/>
          <w:sz w:val="24"/>
          <w:szCs w:val="24"/>
        </w:rPr>
        <w:t>三、董事会、监事会对会计师事务所本报告期</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非标准审计报告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的说明</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spacing w:line="496" w:lineRule="auto" w:before="0"/>
        <w:ind w:left="154" w:right="113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60"/>
          <w:sz w:val="24"/>
          <w:szCs w:val="24"/>
        </w:rPr>
        <w:t> </w:t>
      </w:r>
      <w:r>
        <w:rPr>
          <w:rFonts w:ascii="宋体" w:hAnsi="宋体" w:cs="宋体" w:eastAsia="宋体" w:hint="default"/>
          <w:sz w:val="24"/>
          <w:szCs w:val="24"/>
        </w:rPr>
        <w:t>不适用 </w:t>
      </w:r>
      <w:bookmarkStart w:name="四、董事会关于报告期会计政策、会计估计变更或重要前期差错更正的说明" w:id="29"/>
      <w:bookmarkEnd w:id="29"/>
      <w:r>
        <w:rPr>
          <w:rFonts w:ascii="宋体" w:hAnsi="宋体" w:cs="宋体" w:eastAsia="宋体" w:hint="default"/>
          <w:sz w:val="24"/>
          <w:szCs w:val="24"/>
        </w:rPr>
      </w:r>
      <w:r>
        <w:rPr>
          <w:rFonts w:ascii="宋体" w:hAnsi="宋体" w:cs="宋体" w:eastAsia="宋体" w:hint="default"/>
          <w:b/>
          <w:bCs/>
          <w:w w:val="95"/>
          <w:sz w:val="24"/>
          <w:szCs w:val="24"/>
        </w:rPr>
        <w:t>四、董事会关于报告期会计政策、会计估计变更或重要前期差错更正的说明</w:t>
      </w:r>
      <w:r>
        <w:rPr>
          <w:rFonts w:ascii="宋体" w:hAnsi="宋体" w:cs="宋体" w:eastAsia="宋体" w:hint="default"/>
          <w:sz w:val="24"/>
          <w:szCs w:val="24"/>
        </w:rPr>
      </w:r>
    </w:p>
    <w:p>
      <w:pPr>
        <w:pStyle w:val="BodyText"/>
        <w:spacing w:line="240" w:lineRule="auto" w:before="121"/>
        <w:ind w:left="6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360" w:lineRule="auto" w:before="174"/>
        <w:ind w:left="154" w:right="232" w:firstLine="480"/>
        <w:jc w:val="left"/>
      </w:pPr>
      <w:r>
        <w:rPr>
          <w:rFonts w:ascii="宋体" w:hAnsi="宋体" w:cs="宋体" w:eastAsia="宋体" w:hint="default"/>
        </w:rPr>
        <w:t>2014</w:t>
      </w:r>
      <w:r>
        <w:rPr>
          <w:rFonts w:ascii="宋体" w:hAnsi="宋体" w:cs="宋体" w:eastAsia="宋体" w:hint="default"/>
          <w:spacing w:val="-60"/>
        </w:rPr>
        <w:t> </w:t>
      </w:r>
      <w:r>
        <w:rPr/>
        <w:t>年度，财政部颁布、修订了《企业会计准则</w:t>
      </w:r>
      <w:r>
        <w:rPr>
          <w:spacing w:val="-120"/>
        </w:rPr>
        <w:t>》</w:t>
      </w:r>
      <w:r>
        <w:rPr/>
        <w:t>，公司经董事会审议批准执行修订后</w:t>
      </w:r>
      <w:r>
        <w:rPr/>
        <w:t> 的准则内容</w:t>
      </w:r>
      <w:r>
        <w:rPr>
          <w:spacing w:val="-120"/>
        </w:rPr>
        <w:t>，</w:t>
      </w:r>
      <w:r>
        <w:rPr/>
        <w:t>《企业会计准则》修订的具体内容如下：</w:t>
      </w:r>
    </w:p>
    <w:p>
      <w:pPr>
        <w:pStyle w:val="BodyText"/>
        <w:spacing w:line="240" w:lineRule="auto" w:before="73"/>
        <w:ind w:left="633" w:right="0"/>
        <w:jc w:val="left"/>
      </w:pPr>
      <w:r>
        <w:rPr/>
        <w:t>《企业会计准则第</w:t>
      </w:r>
      <w:r>
        <w:rPr>
          <w:spacing w:val="-60"/>
        </w:rPr>
        <w:t> </w:t>
      </w:r>
      <w:r>
        <w:rPr>
          <w:rFonts w:ascii="宋体" w:hAnsi="宋体" w:cs="宋体" w:eastAsia="宋体" w:hint="default"/>
        </w:rPr>
        <w:t>2</w:t>
      </w:r>
      <w:r>
        <w:rPr>
          <w:rFonts w:ascii="宋体" w:hAnsi="宋体" w:cs="宋体" w:eastAsia="宋体" w:hint="default"/>
          <w:spacing w:val="-60"/>
        </w:rPr>
        <w:t> </w:t>
      </w:r>
      <w:r>
        <w:rPr/>
        <w:t>号—长期股权投资（</w:t>
      </w:r>
      <w:r>
        <w:rPr>
          <w:rFonts w:ascii="宋体" w:hAnsi="宋体" w:cs="宋体" w:eastAsia="宋体" w:hint="default"/>
        </w:rPr>
        <w:t>2014</w:t>
      </w:r>
      <w:r>
        <w:rPr>
          <w:rFonts w:ascii="宋体" w:hAnsi="宋体" w:cs="宋体" w:eastAsia="宋体" w:hint="default"/>
          <w:spacing w:val="-60"/>
        </w:rPr>
        <w:t> </w:t>
      </w:r>
      <w:r>
        <w:rPr/>
        <w:t>年修订</w:t>
      </w:r>
      <w:r>
        <w:rPr>
          <w:spacing w:val="-120"/>
        </w:rPr>
        <w:t>）</w:t>
      </w:r>
      <w:r>
        <w:rPr/>
        <w:t>》</w:t>
      </w:r>
    </w:p>
    <w:p>
      <w:pPr>
        <w:pStyle w:val="BodyText"/>
        <w:spacing w:line="240" w:lineRule="auto" w:before="194"/>
        <w:ind w:left="633" w:right="0"/>
        <w:jc w:val="left"/>
      </w:pPr>
      <w:r>
        <w:rPr/>
        <w:t>《企业会计准则第</w:t>
      </w:r>
      <w:r>
        <w:rPr>
          <w:spacing w:val="-60"/>
        </w:rPr>
        <w:t> </w:t>
      </w:r>
      <w:r>
        <w:rPr>
          <w:rFonts w:ascii="宋体" w:hAnsi="宋体" w:cs="宋体" w:eastAsia="宋体" w:hint="default"/>
        </w:rPr>
        <w:t>9</w:t>
      </w:r>
      <w:r>
        <w:rPr>
          <w:rFonts w:ascii="宋体" w:hAnsi="宋体" w:cs="宋体" w:eastAsia="宋体" w:hint="default"/>
          <w:spacing w:val="-60"/>
        </w:rPr>
        <w:t> </w:t>
      </w:r>
      <w:r>
        <w:rPr/>
        <w:t>号—职工薪酬（</w:t>
      </w:r>
      <w:r>
        <w:rPr>
          <w:rFonts w:ascii="宋体" w:hAnsi="宋体" w:cs="宋体" w:eastAsia="宋体" w:hint="default"/>
        </w:rPr>
        <w:t>2014</w:t>
      </w:r>
      <w:r>
        <w:rPr>
          <w:rFonts w:ascii="宋体" w:hAnsi="宋体" w:cs="宋体" w:eastAsia="宋体" w:hint="default"/>
          <w:spacing w:val="-60"/>
        </w:rPr>
        <w:t> </w:t>
      </w:r>
      <w:r>
        <w:rPr/>
        <w:t>年修订</w:t>
      </w:r>
      <w:r>
        <w:rPr>
          <w:spacing w:val="-120"/>
        </w:rPr>
        <w:t>）</w:t>
      </w:r>
      <w:r>
        <w:rPr/>
        <w:t>》</w:t>
      </w:r>
    </w:p>
    <w:p>
      <w:pPr>
        <w:spacing w:after="0" w:line="240" w:lineRule="auto"/>
        <w:jc w:val="left"/>
        <w:sectPr>
          <w:footerReference w:type="default" r:id="rId23"/>
          <w:pgSz w:w="11910" w:h="16840"/>
          <w:pgMar w:footer="979" w:header="877" w:top="1100" w:bottom="1160" w:left="980" w:right="980"/>
          <w:pgNumType w:start="32"/>
        </w:sectPr>
      </w:pPr>
    </w:p>
    <w:p>
      <w:pPr>
        <w:spacing w:line="240" w:lineRule="auto" w:before="7"/>
        <w:rPr>
          <w:rFonts w:ascii="宋体" w:hAnsi="宋体" w:cs="宋体" w:eastAsia="宋体" w:hint="default"/>
          <w:sz w:val="25"/>
          <w:szCs w:val="25"/>
        </w:rPr>
      </w:pPr>
    </w:p>
    <w:p>
      <w:pPr>
        <w:pStyle w:val="BodyText"/>
        <w:spacing w:line="357" w:lineRule="auto"/>
        <w:ind w:left="213" w:right="316" w:firstLine="480"/>
        <w:jc w:val="left"/>
      </w:pPr>
      <w:r>
        <w:rPr/>
        <w:t>《企业会计准则第</w:t>
      </w:r>
      <w:r>
        <w:rPr>
          <w:spacing w:val="-57"/>
        </w:rPr>
        <w:t> </w:t>
      </w:r>
      <w:r>
        <w:rPr>
          <w:rFonts w:ascii="宋体" w:hAnsi="宋体" w:cs="宋体" w:eastAsia="宋体" w:hint="default"/>
        </w:rPr>
        <w:t>30</w:t>
      </w:r>
      <w:r>
        <w:rPr>
          <w:rFonts w:ascii="宋体" w:hAnsi="宋体" w:cs="宋体" w:eastAsia="宋体" w:hint="default"/>
          <w:spacing w:val="-57"/>
        </w:rPr>
        <w:t> </w:t>
      </w:r>
      <w:r>
        <w:rPr/>
        <w:t>号—财务报表列报（</w:t>
      </w:r>
      <w:r>
        <w:rPr>
          <w:rFonts w:ascii="宋体" w:hAnsi="宋体" w:cs="宋体" w:eastAsia="宋体" w:hint="default"/>
        </w:rPr>
        <w:t>2014</w:t>
      </w:r>
      <w:r>
        <w:rPr>
          <w:rFonts w:ascii="宋体" w:hAnsi="宋体" w:cs="宋体" w:eastAsia="宋体" w:hint="default"/>
          <w:spacing w:val="-57"/>
        </w:rPr>
        <w:t> </w:t>
      </w:r>
      <w:r>
        <w:rPr>
          <w:spacing w:val="-14"/>
        </w:rPr>
        <w:t>年修订）》，影响财务报表项目列报、不</w:t>
      </w:r>
      <w:r>
        <w:rPr/>
        <w:t> 影响损益，受影响的报表项目见下表：</w:t>
      </w:r>
    </w:p>
    <w:p>
      <w:pPr>
        <w:spacing w:line="240" w:lineRule="auto" w:before="9"/>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07"/>
        <w:gridCol w:w="2507"/>
        <w:gridCol w:w="2332"/>
        <w:gridCol w:w="2509"/>
      </w:tblGrid>
      <w:tr>
        <w:trPr>
          <w:trHeight w:val="518" w:hRule="exact"/>
        </w:trPr>
        <w:tc>
          <w:tcPr>
            <w:tcW w:w="2507"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left="827" w:right="0"/>
              <w:jc w:val="left"/>
              <w:rPr>
                <w:rFonts w:ascii="宋体" w:hAnsi="宋体" w:cs="宋体" w:eastAsia="宋体" w:hint="default"/>
                <w:sz w:val="21"/>
                <w:szCs w:val="21"/>
              </w:rPr>
            </w:pPr>
            <w:r>
              <w:rPr>
                <w:rFonts w:ascii="宋体" w:hAnsi="宋体" w:cs="宋体" w:eastAsia="宋体" w:hint="default"/>
                <w:b/>
                <w:bCs/>
                <w:sz w:val="21"/>
                <w:szCs w:val="21"/>
              </w:rPr>
              <w:t>受影响的项目</w:t>
            </w:r>
            <w:r>
              <w:rPr>
                <w:rFonts w:ascii="宋体" w:hAnsi="宋体" w:cs="宋体" w:eastAsia="宋体" w:hint="default"/>
                <w:sz w:val="21"/>
                <w:szCs w:val="21"/>
              </w:rPr>
            </w:r>
          </w:p>
        </w:tc>
        <w:tc>
          <w:tcPr>
            <w:tcW w:w="7348"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4"/>
              <w:ind w:left="422" w:right="0"/>
              <w:jc w:val="center"/>
              <w:rPr>
                <w:rFonts w:ascii="宋体" w:hAnsi="宋体" w:cs="宋体" w:eastAsia="宋体" w:hint="default"/>
                <w:sz w:val="21"/>
                <w:szCs w:val="21"/>
              </w:rPr>
            </w:pPr>
            <w:r>
              <w:rPr>
                <w:rFonts w:ascii="宋体" w:hAnsi="宋体" w:cs="宋体" w:eastAsia="宋体" w:hint="default"/>
                <w:b/>
                <w:bCs/>
                <w:sz w:val="21"/>
                <w:szCs w:val="21"/>
              </w:rPr>
              <w:t>2013</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宋体" w:hAnsi="宋体" w:cs="宋体" w:eastAsia="宋体" w:hint="default"/>
                <w:b/>
                <w:bCs/>
                <w:sz w:val="21"/>
                <w:szCs w:val="21"/>
              </w:rPr>
              <w:t>31</w:t>
            </w:r>
            <w:r>
              <w:rPr>
                <w:rFonts w:ascii="宋体" w:hAnsi="宋体" w:cs="宋体" w:eastAsia="宋体" w:hint="default"/>
                <w:b/>
                <w:bCs/>
                <w:spacing w:val="-54"/>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558" w:hRule="exact"/>
        </w:trPr>
        <w:tc>
          <w:tcPr>
            <w:tcW w:w="2507" w:type="dxa"/>
            <w:vMerge/>
            <w:tcBorders>
              <w:left w:val="single" w:sz="4" w:space="0" w:color="000000"/>
              <w:bottom w:val="single" w:sz="4" w:space="0" w:color="000000"/>
              <w:right w:val="single" w:sz="4" w:space="0" w:color="000000"/>
            </w:tcBorders>
            <w:shd w:val="clear" w:color="auto" w:fill="BEBEBE"/>
          </w:tcPr>
          <w:p>
            <w:pPr/>
          </w:p>
        </w:tc>
        <w:tc>
          <w:tcPr>
            <w:tcW w:w="250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4"/>
              <w:ind w:left="1143" w:right="0"/>
              <w:jc w:val="left"/>
              <w:rPr>
                <w:rFonts w:ascii="宋体" w:hAnsi="宋体" w:cs="宋体" w:eastAsia="宋体" w:hint="default"/>
                <w:sz w:val="21"/>
                <w:szCs w:val="21"/>
              </w:rPr>
            </w:pPr>
            <w:r>
              <w:rPr>
                <w:rFonts w:ascii="宋体" w:hAnsi="宋体" w:cs="宋体" w:eastAsia="宋体" w:hint="default"/>
                <w:b/>
                <w:bCs/>
                <w:sz w:val="21"/>
                <w:szCs w:val="21"/>
              </w:rPr>
              <w:t>调整前</w:t>
            </w:r>
            <w:r>
              <w:rPr>
                <w:rFonts w:ascii="宋体" w:hAnsi="宋体" w:cs="宋体" w:eastAsia="宋体" w:hint="default"/>
                <w:sz w:val="21"/>
                <w:szCs w:val="21"/>
              </w:rPr>
            </w:r>
          </w:p>
        </w:tc>
        <w:tc>
          <w:tcPr>
            <w:tcW w:w="23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4"/>
              <w:ind w:left="950" w:right="0"/>
              <w:jc w:val="left"/>
              <w:rPr>
                <w:rFonts w:ascii="宋体" w:hAnsi="宋体" w:cs="宋体" w:eastAsia="宋体" w:hint="default"/>
                <w:sz w:val="21"/>
                <w:szCs w:val="21"/>
              </w:rPr>
            </w:pPr>
            <w:r>
              <w:rPr>
                <w:rFonts w:ascii="宋体" w:hAnsi="宋体" w:cs="宋体" w:eastAsia="宋体" w:hint="default"/>
                <w:b/>
                <w:bCs/>
                <w:sz w:val="21"/>
                <w:szCs w:val="21"/>
              </w:rPr>
              <w:t>调整金额</w:t>
            </w:r>
            <w:r>
              <w:rPr>
                <w:rFonts w:ascii="宋体" w:hAnsi="宋体" w:cs="宋体" w:eastAsia="宋体" w:hint="default"/>
                <w:sz w:val="21"/>
                <w:szCs w:val="21"/>
              </w:rPr>
            </w:r>
          </w:p>
        </w:tc>
        <w:tc>
          <w:tcPr>
            <w:tcW w:w="250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4"/>
              <w:ind w:left="1144" w:right="0"/>
              <w:jc w:val="left"/>
              <w:rPr>
                <w:rFonts w:ascii="宋体" w:hAnsi="宋体" w:cs="宋体" w:eastAsia="宋体" w:hint="default"/>
                <w:sz w:val="21"/>
                <w:szCs w:val="21"/>
              </w:rPr>
            </w:pPr>
            <w:r>
              <w:rPr>
                <w:rFonts w:ascii="宋体" w:hAnsi="宋体" w:cs="宋体" w:eastAsia="宋体" w:hint="default"/>
                <w:b/>
                <w:bCs/>
                <w:sz w:val="21"/>
                <w:szCs w:val="21"/>
              </w:rPr>
              <w:t>调整后</w:t>
            </w:r>
            <w:r>
              <w:rPr>
                <w:rFonts w:ascii="宋体" w:hAnsi="宋体" w:cs="宋体" w:eastAsia="宋体" w:hint="default"/>
                <w:sz w:val="21"/>
                <w:szCs w:val="21"/>
              </w:rPr>
            </w:r>
          </w:p>
        </w:tc>
      </w:tr>
      <w:tr>
        <w:trPr>
          <w:trHeight w:val="518" w:hRule="exact"/>
        </w:trPr>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3" w:right="0"/>
              <w:jc w:val="left"/>
              <w:rPr>
                <w:rFonts w:ascii="宋体" w:hAnsi="宋体" w:cs="宋体" w:eastAsia="宋体" w:hint="default"/>
                <w:sz w:val="21"/>
                <w:szCs w:val="21"/>
              </w:rPr>
            </w:pPr>
            <w:r>
              <w:rPr>
                <w:rFonts w:ascii="宋体"/>
                <w:sz w:val="21"/>
              </w:rPr>
              <w:t>320,749,028.41</w:t>
            </w:r>
          </w:p>
        </w:tc>
        <w:tc>
          <w:tcPr>
            <w:tcW w:w="2332" w:type="dxa"/>
            <w:tcBorders>
              <w:top w:val="single" w:sz="4" w:space="0" w:color="000000"/>
              <w:left w:val="single" w:sz="4" w:space="0" w:color="000000"/>
              <w:bottom w:val="single" w:sz="4" w:space="0" w:color="000000"/>
              <w:right w:val="single" w:sz="4" w:space="0" w:color="000000"/>
            </w:tcBorders>
          </w:tcPr>
          <w:p>
            <w:pP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3" w:right="0"/>
              <w:jc w:val="left"/>
              <w:rPr>
                <w:rFonts w:ascii="宋体" w:hAnsi="宋体" w:cs="宋体" w:eastAsia="宋体" w:hint="default"/>
                <w:sz w:val="21"/>
                <w:szCs w:val="21"/>
              </w:rPr>
            </w:pPr>
            <w:r>
              <w:rPr>
                <w:rFonts w:ascii="宋体"/>
                <w:sz w:val="21"/>
              </w:rPr>
              <w:t>320,749,028.41</w:t>
            </w:r>
          </w:p>
        </w:tc>
      </w:tr>
      <w:tr>
        <w:trPr>
          <w:trHeight w:val="517" w:hRule="exact"/>
        </w:trPr>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3" w:right="0"/>
              <w:jc w:val="left"/>
              <w:rPr>
                <w:rFonts w:ascii="宋体" w:hAnsi="宋体" w:cs="宋体" w:eastAsia="宋体" w:hint="default"/>
                <w:sz w:val="21"/>
                <w:szCs w:val="21"/>
              </w:rPr>
            </w:pPr>
            <w:r>
              <w:rPr>
                <w:rFonts w:ascii="宋体"/>
                <w:sz w:val="21"/>
              </w:rPr>
              <w:t>56,637,412.66</w:t>
            </w:r>
          </w:p>
        </w:tc>
        <w:tc>
          <w:tcPr>
            <w:tcW w:w="2332" w:type="dxa"/>
            <w:tcBorders>
              <w:top w:val="single" w:sz="4" w:space="0" w:color="000000"/>
              <w:left w:val="single" w:sz="4" w:space="0" w:color="000000"/>
              <w:bottom w:val="single" w:sz="4" w:space="0" w:color="000000"/>
              <w:right w:val="single" w:sz="4" w:space="0" w:color="000000"/>
            </w:tcBorders>
          </w:tcPr>
          <w:p>
            <w:pP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3" w:right="0"/>
              <w:jc w:val="left"/>
              <w:rPr>
                <w:rFonts w:ascii="宋体" w:hAnsi="宋体" w:cs="宋体" w:eastAsia="宋体" w:hint="default"/>
                <w:sz w:val="21"/>
                <w:szCs w:val="21"/>
              </w:rPr>
            </w:pPr>
            <w:r>
              <w:rPr>
                <w:rFonts w:ascii="宋体"/>
                <w:sz w:val="21"/>
              </w:rPr>
              <w:t>56,637,412.66</w:t>
            </w:r>
          </w:p>
        </w:tc>
      </w:tr>
      <w:tr>
        <w:trPr>
          <w:trHeight w:val="518" w:hRule="exact"/>
        </w:trPr>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3" w:right="0"/>
              <w:jc w:val="left"/>
              <w:rPr>
                <w:rFonts w:ascii="宋体" w:hAnsi="宋体" w:cs="宋体" w:eastAsia="宋体" w:hint="default"/>
                <w:sz w:val="21"/>
                <w:szCs w:val="21"/>
              </w:rPr>
            </w:pPr>
            <w:r>
              <w:rPr>
                <w:rFonts w:ascii="宋体" w:hAnsi="宋体" w:cs="宋体" w:eastAsia="宋体" w:hint="default"/>
                <w:sz w:val="21"/>
                <w:szCs w:val="21"/>
              </w:rPr>
              <w:t>其中：递延收益</w:t>
            </w:r>
          </w:p>
        </w:tc>
        <w:tc>
          <w:tcPr>
            <w:tcW w:w="2507" w:type="dxa"/>
            <w:tcBorders>
              <w:top w:val="single" w:sz="4" w:space="0" w:color="000000"/>
              <w:left w:val="single" w:sz="4" w:space="0" w:color="000000"/>
              <w:bottom w:val="single" w:sz="4" w:space="0" w:color="000000"/>
              <w:right w:val="single" w:sz="4" w:space="0" w:color="000000"/>
            </w:tcBorders>
          </w:tcPr>
          <w:p>
            <w:pPr/>
          </w:p>
        </w:tc>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3" w:right="0"/>
              <w:jc w:val="left"/>
              <w:rPr>
                <w:rFonts w:ascii="宋体" w:hAnsi="宋体" w:cs="宋体" w:eastAsia="宋体" w:hint="default"/>
                <w:sz w:val="21"/>
                <w:szCs w:val="21"/>
              </w:rPr>
            </w:pPr>
            <w:r>
              <w:rPr>
                <w:rFonts w:ascii="宋体"/>
                <w:sz w:val="21"/>
              </w:rPr>
              <w:t>5,122,920.93</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3" w:right="0"/>
              <w:jc w:val="left"/>
              <w:rPr>
                <w:rFonts w:ascii="宋体" w:hAnsi="宋体" w:cs="宋体" w:eastAsia="宋体" w:hint="default"/>
                <w:sz w:val="21"/>
                <w:szCs w:val="21"/>
              </w:rPr>
            </w:pPr>
            <w:r>
              <w:rPr>
                <w:rFonts w:ascii="宋体"/>
                <w:sz w:val="21"/>
              </w:rPr>
              <w:t>5,122,920.93</w:t>
            </w:r>
          </w:p>
        </w:tc>
      </w:tr>
      <w:tr>
        <w:trPr>
          <w:trHeight w:val="518" w:hRule="exact"/>
        </w:trPr>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3" w:right="0"/>
              <w:jc w:val="left"/>
              <w:rPr>
                <w:rFonts w:ascii="宋体" w:hAnsi="宋体" w:cs="宋体" w:eastAsia="宋体" w:hint="default"/>
                <w:sz w:val="21"/>
                <w:szCs w:val="21"/>
              </w:rPr>
            </w:pPr>
            <w:r>
              <w:rPr>
                <w:rFonts w:ascii="宋体"/>
                <w:sz w:val="21"/>
              </w:rPr>
              <w:t>5,122,920.93</w:t>
            </w:r>
          </w:p>
        </w:tc>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3" w:right="0"/>
              <w:jc w:val="left"/>
              <w:rPr>
                <w:rFonts w:ascii="宋体" w:hAnsi="宋体" w:cs="宋体" w:eastAsia="宋体" w:hint="default"/>
                <w:sz w:val="21"/>
                <w:szCs w:val="21"/>
              </w:rPr>
            </w:pPr>
            <w:r>
              <w:rPr>
                <w:rFonts w:ascii="宋体"/>
                <w:sz w:val="21"/>
              </w:rPr>
              <w:t>-5,122,920.93</w:t>
            </w:r>
          </w:p>
        </w:tc>
        <w:tc>
          <w:tcPr>
            <w:tcW w:w="2509" w:type="dxa"/>
            <w:tcBorders>
              <w:top w:val="single" w:sz="4" w:space="0" w:color="000000"/>
              <w:left w:val="single" w:sz="4" w:space="0" w:color="000000"/>
              <w:bottom w:val="single" w:sz="4" w:space="0" w:color="000000"/>
              <w:right w:val="single" w:sz="4" w:space="0" w:color="000000"/>
            </w:tcBorders>
          </w:tcPr>
          <w:p>
            <w:pPr/>
          </w:p>
        </w:tc>
      </w:tr>
      <w:tr>
        <w:trPr>
          <w:trHeight w:val="518" w:hRule="exact"/>
        </w:trPr>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3"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3" w:right="0"/>
              <w:jc w:val="left"/>
              <w:rPr>
                <w:rFonts w:ascii="宋体" w:hAnsi="宋体" w:cs="宋体" w:eastAsia="宋体" w:hint="default"/>
                <w:sz w:val="21"/>
                <w:szCs w:val="21"/>
              </w:rPr>
            </w:pPr>
            <w:r>
              <w:rPr>
                <w:rFonts w:ascii="宋体"/>
                <w:sz w:val="21"/>
              </w:rPr>
              <w:t>264,111,615.75</w:t>
            </w:r>
          </w:p>
        </w:tc>
        <w:tc>
          <w:tcPr>
            <w:tcW w:w="2332" w:type="dxa"/>
            <w:tcBorders>
              <w:top w:val="single" w:sz="4" w:space="0" w:color="000000"/>
              <w:left w:val="single" w:sz="4" w:space="0" w:color="000000"/>
              <w:bottom w:val="single" w:sz="4" w:space="0" w:color="000000"/>
              <w:right w:val="single" w:sz="4" w:space="0" w:color="000000"/>
            </w:tcBorders>
          </w:tcPr>
          <w:p>
            <w:pP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3" w:right="0"/>
              <w:jc w:val="left"/>
              <w:rPr>
                <w:rFonts w:ascii="宋体" w:hAnsi="宋体" w:cs="宋体" w:eastAsia="宋体" w:hint="default"/>
                <w:sz w:val="21"/>
                <w:szCs w:val="21"/>
              </w:rPr>
            </w:pPr>
            <w:r>
              <w:rPr>
                <w:rFonts w:ascii="宋体"/>
                <w:sz w:val="21"/>
              </w:rPr>
              <w:t>264,111,615.75</w:t>
            </w:r>
          </w:p>
        </w:tc>
      </w:tr>
    </w:tbl>
    <w:p>
      <w:pPr>
        <w:pStyle w:val="BodyText"/>
        <w:spacing w:line="240" w:lineRule="auto" w:before="81"/>
        <w:ind w:left="694" w:right="316"/>
        <w:jc w:val="left"/>
      </w:pPr>
      <w:r>
        <w:rPr/>
        <w:t>《企业会计准则第</w:t>
      </w:r>
      <w:r>
        <w:rPr>
          <w:spacing w:val="-60"/>
        </w:rPr>
        <w:t> </w:t>
      </w:r>
      <w:r>
        <w:rPr>
          <w:rFonts w:ascii="宋体" w:hAnsi="宋体" w:cs="宋体" w:eastAsia="宋体" w:hint="default"/>
        </w:rPr>
        <w:t>33</w:t>
      </w:r>
      <w:r>
        <w:rPr>
          <w:rFonts w:ascii="宋体" w:hAnsi="宋体" w:cs="宋体" w:eastAsia="宋体" w:hint="default"/>
          <w:spacing w:val="-60"/>
        </w:rPr>
        <w:t> </w:t>
      </w:r>
      <w:r>
        <w:rPr/>
        <w:t>号—合并财务报表（</w:t>
      </w:r>
      <w:r>
        <w:rPr>
          <w:rFonts w:ascii="宋体" w:hAnsi="宋体" w:cs="宋体" w:eastAsia="宋体" w:hint="default"/>
        </w:rPr>
        <w:t>2014</w:t>
      </w:r>
      <w:r>
        <w:rPr>
          <w:rFonts w:ascii="宋体" w:hAnsi="宋体" w:cs="宋体" w:eastAsia="宋体" w:hint="default"/>
          <w:spacing w:val="-60"/>
        </w:rPr>
        <w:t> </w:t>
      </w:r>
      <w:r>
        <w:rPr/>
        <w:t>年修订</w:t>
      </w:r>
      <w:r>
        <w:rPr>
          <w:spacing w:val="-120"/>
        </w:rPr>
        <w:t>）</w:t>
      </w:r>
      <w:r>
        <w:rPr/>
        <w:t>》</w:t>
      </w:r>
    </w:p>
    <w:p>
      <w:pPr>
        <w:pStyle w:val="BodyText"/>
        <w:spacing w:line="240" w:lineRule="auto" w:before="193"/>
        <w:ind w:left="693" w:right="316"/>
        <w:jc w:val="left"/>
      </w:pPr>
      <w:r>
        <w:rPr/>
        <w:t>《企业会计准则第</w:t>
      </w:r>
      <w:r>
        <w:rPr>
          <w:spacing w:val="-60"/>
        </w:rPr>
        <w:t> </w:t>
      </w:r>
      <w:r>
        <w:rPr>
          <w:rFonts w:ascii="宋体" w:hAnsi="宋体" w:cs="宋体" w:eastAsia="宋体" w:hint="default"/>
        </w:rPr>
        <w:t>37</w:t>
      </w:r>
      <w:r>
        <w:rPr>
          <w:rFonts w:ascii="宋体" w:hAnsi="宋体" w:cs="宋体" w:eastAsia="宋体" w:hint="default"/>
          <w:spacing w:val="-60"/>
        </w:rPr>
        <w:t> </w:t>
      </w:r>
      <w:r>
        <w:rPr/>
        <w:t>号—金融工具列报（</w:t>
      </w:r>
      <w:r>
        <w:rPr>
          <w:rFonts w:ascii="宋体" w:hAnsi="宋体" w:cs="宋体" w:eastAsia="宋体" w:hint="default"/>
        </w:rPr>
        <w:t>2014</w:t>
      </w:r>
      <w:r>
        <w:rPr>
          <w:rFonts w:ascii="宋体" w:hAnsi="宋体" w:cs="宋体" w:eastAsia="宋体" w:hint="default"/>
          <w:spacing w:val="-60"/>
        </w:rPr>
        <w:t> </w:t>
      </w:r>
      <w:r>
        <w:rPr/>
        <w:t>年修订</w:t>
      </w:r>
      <w:r>
        <w:rPr>
          <w:spacing w:val="-120"/>
        </w:rPr>
        <w:t>）</w:t>
      </w:r>
      <w:r>
        <w:rPr/>
        <w:t>》</w:t>
      </w:r>
    </w:p>
    <w:p>
      <w:pPr>
        <w:pStyle w:val="BodyText"/>
        <w:spacing w:line="240" w:lineRule="auto" w:before="194"/>
        <w:ind w:left="693" w:right="316"/>
        <w:jc w:val="left"/>
      </w:pPr>
      <w:r>
        <w:rPr/>
        <w:t>《企业会计准则第</w:t>
      </w:r>
      <w:r>
        <w:rPr>
          <w:spacing w:val="-60"/>
        </w:rPr>
        <w:t> </w:t>
      </w:r>
      <w:r>
        <w:rPr>
          <w:rFonts w:ascii="宋体" w:hAnsi="宋体" w:cs="宋体" w:eastAsia="宋体" w:hint="default"/>
        </w:rPr>
        <w:t>39</w:t>
      </w:r>
      <w:r>
        <w:rPr>
          <w:rFonts w:ascii="宋体" w:hAnsi="宋体" w:cs="宋体" w:eastAsia="宋体" w:hint="default"/>
          <w:spacing w:val="-60"/>
        </w:rPr>
        <w:t> </w:t>
      </w:r>
      <w:r>
        <w:rPr/>
        <w:t>号——公允价值计量</w:t>
      </w:r>
      <w:r>
        <w:rPr>
          <w:spacing w:val="-120"/>
        </w:rPr>
        <w:t>》</w:t>
      </w:r>
      <w:r>
        <w:rPr/>
        <w:t>（</w:t>
      </w:r>
      <w:r>
        <w:rPr>
          <w:rFonts w:ascii="宋体" w:hAnsi="宋体" w:cs="宋体" w:eastAsia="宋体" w:hint="default"/>
        </w:rPr>
        <w:t>2014</w:t>
      </w:r>
      <w:r>
        <w:rPr>
          <w:rFonts w:ascii="宋体" w:hAnsi="宋体" w:cs="宋体" w:eastAsia="宋体" w:hint="default"/>
          <w:spacing w:val="-60"/>
        </w:rPr>
        <w:t> </w:t>
      </w:r>
      <w:r>
        <w:rPr/>
        <w:t>年颁布）</w:t>
      </w:r>
    </w:p>
    <w:p>
      <w:pPr>
        <w:pStyle w:val="BodyText"/>
        <w:spacing w:line="240" w:lineRule="auto" w:before="193"/>
        <w:ind w:left="693" w:right="316"/>
        <w:jc w:val="left"/>
      </w:pPr>
      <w:r>
        <w:rPr/>
        <w:t>《企业会计准则第</w:t>
      </w:r>
      <w:r>
        <w:rPr>
          <w:spacing w:val="-60"/>
        </w:rPr>
        <w:t> </w:t>
      </w:r>
      <w:r>
        <w:rPr>
          <w:rFonts w:ascii="宋体" w:hAnsi="宋体" w:cs="宋体" w:eastAsia="宋体" w:hint="default"/>
        </w:rPr>
        <w:t>40</w:t>
      </w:r>
      <w:r>
        <w:rPr>
          <w:rFonts w:ascii="宋体" w:hAnsi="宋体" w:cs="宋体" w:eastAsia="宋体" w:hint="default"/>
          <w:spacing w:val="-60"/>
        </w:rPr>
        <w:t> </w:t>
      </w:r>
      <w:r>
        <w:rPr/>
        <w:t>号—合营安排</w:t>
      </w:r>
      <w:r>
        <w:rPr>
          <w:spacing w:val="-120"/>
        </w:rPr>
        <w:t>》</w:t>
      </w:r>
      <w:r>
        <w:rPr/>
        <w:t>（</w:t>
      </w:r>
      <w:r>
        <w:rPr>
          <w:rFonts w:ascii="宋体" w:hAnsi="宋体" w:cs="宋体" w:eastAsia="宋体" w:hint="default"/>
        </w:rPr>
        <w:t>2014</w:t>
      </w:r>
      <w:r>
        <w:rPr>
          <w:rFonts w:ascii="宋体" w:hAnsi="宋体" w:cs="宋体" w:eastAsia="宋体" w:hint="default"/>
          <w:spacing w:val="-60"/>
        </w:rPr>
        <w:t> </w:t>
      </w:r>
      <w:r>
        <w:rPr/>
        <w:t>年颁布）</w:t>
      </w:r>
    </w:p>
    <w:p>
      <w:pPr>
        <w:pStyle w:val="BodyText"/>
        <w:spacing w:line="388" w:lineRule="auto" w:before="194"/>
        <w:ind w:left="693" w:right="253"/>
        <w:jc w:val="left"/>
      </w:pPr>
      <w:r>
        <w:rPr/>
        <w:t>《企业会计准则第</w:t>
      </w:r>
      <w:r>
        <w:rPr>
          <w:spacing w:val="-60"/>
        </w:rPr>
        <w:t> </w:t>
      </w:r>
      <w:r>
        <w:rPr>
          <w:rFonts w:ascii="宋体" w:hAnsi="宋体" w:cs="宋体" w:eastAsia="宋体" w:hint="default"/>
        </w:rPr>
        <w:t>41</w:t>
      </w:r>
      <w:r>
        <w:rPr>
          <w:rFonts w:ascii="宋体" w:hAnsi="宋体" w:cs="宋体" w:eastAsia="宋体" w:hint="default"/>
          <w:spacing w:val="-60"/>
        </w:rPr>
        <w:t> </w:t>
      </w:r>
      <w:r>
        <w:rPr>
          <w:spacing w:val="-7"/>
        </w:rPr>
        <w:t>号—在其他主体中权益的披露》（</w:t>
      </w:r>
      <w:r>
        <w:rPr>
          <w:rFonts w:ascii="宋体" w:hAnsi="宋体" w:cs="宋体" w:eastAsia="宋体" w:hint="default"/>
          <w:spacing w:val="-7"/>
        </w:rPr>
        <w:t>2014</w:t>
      </w:r>
      <w:r>
        <w:rPr>
          <w:rFonts w:ascii="宋体" w:hAnsi="宋体" w:cs="宋体" w:eastAsia="宋体" w:hint="default"/>
          <w:spacing w:val="-60"/>
        </w:rPr>
        <w:t> </w:t>
      </w:r>
      <w:r>
        <w:rPr/>
        <w:t>年颁布）</w:t>
      </w:r>
      <w:r>
        <w:rPr>
          <w:spacing w:val="-109"/>
        </w:rPr>
        <w:t> </w:t>
      </w:r>
      <w:r>
        <w:rPr/>
        <w:t>本次会计政策变更，仅对上述财务报表项目产生影响，对公司报告期末资产总额、负债</w:t>
      </w:r>
    </w:p>
    <w:p>
      <w:pPr>
        <w:spacing w:line="525" w:lineRule="auto" w:before="6"/>
        <w:ind w:left="213" w:right="6013" w:firstLine="0"/>
        <w:jc w:val="left"/>
        <w:rPr>
          <w:rFonts w:ascii="宋体" w:hAnsi="宋体" w:cs="宋体" w:eastAsia="宋体" w:hint="default"/>
          <w:sz w:val="24"/>
          <w:szCs w:val="24"/>
        </w:rPr>
      </w:pPr>
      <w:r>
        <w:rPr>
          <w:rFonts w:ascii="宋体" w:hAnsi="宋体" w:cs="宋体" w:eastAsia="宋体" w:hint="default"/>
          <w:sz w:val="24"/>
          <w:szCs w:val="24"/>
        </w:rPr>
        <w:t>总额、净资产及净利润未产生影响。 </w:t>
      </w:r>
      <w:bookmarkStart w:name="五、公司利润分配及分红派息情况" w:id="30"/>
      <w:bookmarkEnd w:id="30"/>
      <w:r>
        <w:rPr>
          <w:rFonts w:ascii="宋体" w:hAnsi="宋体" w:cs="宋体" w:eastAsia="宋体" w:hint="default"/>
          <w:sz w:val="24"/>
          <w:szCs w:val="24"/>
        </w:rPr>
      </w:r>
      <w:r>
        <w:rPr>
          <w:rFonts w:ascii="宋体" w:hAnsi="宋体" w:cs="宋体" w:eastAsia="宋体" w:hint="default"/>
          <w:b/>
          <w:bCs/>
          <w:sz w:val="24"/>
          <w:szCs w:val="24"/>
        </w:rPr>
        <w:t>五、公司利润分配及分红派息情况</w:t>
      </w:r>
      <w:r>
        <w:rPr>
          <w:rFonts w:ascii="宋体" w:hAnsi="宋体" w:cs="宋体" w:eastAsia="宋体" w:hint="default"/>
          <w:sz w:val="24"/>
          <w:szCs w:val="24"/>
        </w:rPr>
      </w:r>
    </w:p>
    <w:p>
      <w:pPr>
        <w:pStyle w:val="BodyText"/>
        <w:spacing w:line="240" w:lineRule="auto" w:before="92"/>
        <w:ind w:left="693" w:right="316"/>
        <w:jc w:val="left"/>
      </w:pPr>
      <w:r>
        <w:rPr/>
        <w:t>报告期内利润分配政策特别是现金分红政策的制定、执行或调整情况</w:t>
      </w:r>
    </w:p>
    <w:p>
      <w:pPr>
        <w:pStyle w:val="BodyText"/>
        <w:spacing w:line="240" w:lineRule="auto" w:before="193"/>
        <w:ind w:left="693" w:right="3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345" w:lineRule="auto" w:before="174"/>
        <w:ind w:left="213" w:right="231" w:firstLine="480"/>
        <w:jc w:val="both"/>
      </w:pP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25 </w:t>
      </w:r>
      <w:r>
        <w:rPr/>
        <w:t>日，公司召开</w:t>
      </w:r>
      <w:r>
        <w:rPr>
          <w:spacing w:val="-60"/>
        </w:rPr>
        <w:t> </w:t>
      </w:r>
      <w:r>
        <w:rPr>
          <w:rFonts w:ascii="Times New Roman" w:hAnsi="Times New Roman" w:cs="Times New Roman" w:eastAsia="Times New Roman" w:hint="default"/>
        </w:rPr>
        <w:t>2014 </w:t>
      </w:r>
      <w:r>
        <w:rPr/>
        <w:t>年第四次临时股东大会，审议通过了《关于修改</w:t>
      </w:r>
      <w:r>
        <w:rPr>
          <w:rFonts w:ascii="Times New Roman" w:hAnsi="Times New Roman" w:cs="Times New Roman" w:eastAsia="Times New Roman" w:hint="default"/>
        </w:rPr>
        <w:t>&lt;</w:t>
      </w:r>
      <w:r>
        <w:rPr/>
        <w:t>北 </w:t>
      </w:r>
      <w:r>
        <w:rPr>
          <w:spacing w:val="-3"/>
        </w:rPr>
        <w:t>京中文在线数字出版股份有限公司章程（草案）</w:t>
      </w:r>
      <w:r>
        <w:rPr>
          <w:rFonts w:ascii="Times New Roman" w:hAnsi="Times New Roman" w:cs="Times New Roman" w:eastAsia="Times New Roman" w:hint="default"/>
          <w:spacing w:val="-3"/>
        </w:rPr>
        <w:t>&gt;</w:t>
      </w:r>
      <w:r>
        <w:rPr>
          <w:spacing w:val="-3"/>
        </w:rPr>
        <w:t>的议案》，对公司首次公开发行并在创业板</w:t>
      </w:r>
      <w:r>
        <w:rPr>
          <w:spacing w:val="-95"/>
        </w:rPr>
        <w:t> </w:t>
      </w:r>
      <w:r>
        <w:rPr>
          <w:spacing w:val="-95"/>
        </w:rPr>
      </w:r>
      <w:r>
        <w:rPr>
          <w:spacing w:val="-5"/>
        </w:rPr>
        <w:t>上市后实施的《公司章程（草案）》中的利润分配政策进行了修订，修订后的利润分配政策如</w:t>
      </w:r>
      <w:r>
        <w:rPr/>
        <w:t> 下：</w:t>
      </w:r>
    </w:p>
    <w:p>
      <w:pPr>
        <w:pStyle w:val="BodyText"/>
        <w:spacing w:line="367" w:lineRule="auto" w:before="89"/>
        <w:ind w:left="694" w:right="252"/>
        <w:jc w:val="left"/>
      </w:pPr>
      <w:r>
        <w:rPr>
          <w:rFonts w:ascii="Times New Roman" w:hAnsi="Times New Roman" w:cs="Times New Roman" w:eastAsia="Times New Roman" w:hint="default"/>
        </w:rPr>
        <w:t>1</w:t>
      </w:r>
      <w:r>
        <w:rPr/>
        <w:t>、利润分配政策的研究论证程序 公司在制定现金分红具体方案时，董事会应当认真研究和论证公司现金分红的时机、条</w:t>
      </w:r>
    </w:p>
    <w:p>
      <w:pPr>
        <w:pStyle w:val="BodyText"/>
        <w:spacing w:line="357" w:lineRule="auto"/>
        <w:ind w:left="214" w:right="252"/>
        <w:jc w:val="left"/>
      </w:pPr>
      <w:r>
        <w:rPr/>
        <w:t>件和最低比例、调整的条件极其决策程序要求等事宜，独立董事应当发表明确意见。独立董 事可以征集中小股东的意见，提出分红提案，并直接提交董事会审议。</w:t>
      </w:r>
    </w:p>
    <w:p>
      <w:pPr>
        <w:spacing w:after="0" w:line="357" w:lineRule="auto"/>
        <w:jc w:val="left"/>
        <w:sectPr>
          <w:pgSz w:w="11910" w:h="16840"/>
          <w:pgMar w:header="877" w:footer="979" w:top="1100" w:bottom="1160" w:left="920" w:right="900"/>
        </w:sectPr>
      </w:pPr>
    </w:p>
    <w:p>
      <w:pPr>
        <w:spacing w:line="240" w:lineRule="auto" w:before="7"/>
        <w:rPr>
          <w:rFonts w:ascii="宋体" w:hAnsi="宋体" w:cs="宋体" w:eastAsia="宋体" w:hint="default"/>
          <w:sz w:val="25"/>
          <w:szCs w:val="25"/>
        </w:rPr>
      </w:pPr>
    </w:p>
    <w:p>
      <w:pPr>
        <w:pStyle w:val="BodyText"/>
        <w:spacing w:line="357" w:lineRule="auto"/>
        <w:ind w:right="189" w:firstLine="480"/>
        <w:jc w:val="both"/>
      </w:pPr>
      <w:r>
        <w:rPr/>
        <w:t>公司董事会在有关利润分配方案的决策和论证过程中，可以通过电话、传真、信函、电 子邮件、公司网站上的投资者关系互动平台等方式，与中小股东进行沟通和交流，充分听取 其意见和诉求，及时答复其关心的问题。</w:t>
      </w:r>
    </w:p>
    <w:p>
      <w:pPr>
        <w:pStyle w:val="BodyText"/>
        <w:spacing w:line="367" w:lineRule="auto" w:before="76"/>
        <w:ind w:left="633" w:right="173"/>
        <w:jc w:val="left"/>
      </w:pPr>
      <w:r>
        <w:rPr>
          <w:rFonts w:ascii="Times New Roman" w:hAnsi="Times New Roman" w:cs="Times New Roman" w:eastAsia="Times New Roman" w:hint="default"/>
        </w:rPr>
        <w:t>2</w:t>
      </w:r>
      <w:r>
        <w:rPr/>
        <w:t>、利润分配政策决策机制 公司制定利润分配方案时，具体利润分配方案由董事会提出，提交股东大会审议。董事</w:t>
      </w:r>
    </w:p>
    <w:p>
      <w:pPr>
        <w:pStyle w:val="BodyText"/>
        <w:spacing w:line="364" w:lineRule="auto" w:before="28"/>
        <w:ind w:left="633" w:right="173" w:hanging="480"/>
        <w:jc w:val="left"/>
      </w:pPr>
      <w:r>
        <w:rPr/>
        <w:t>会提出的利润分配方案需经</w:t>
      </w:r>
      <w:r>
        <w:rPr>
          <w:spacing w:val="-60"/>
        </w:rPr>
        <w:t> </w:t>
      </w:r>
      <w:r>
        <w:rPr>
          <w:rFonts w:ascii="Times New Roman" w:hAnsi="Times New Roman" w:cs="Times New Roman" w:eastAsia="Times New Roman" w:hint="default"/>
        </w:rPr>
        <w:t>2/3 </w:t>
      </w:r>
      <w:r>
        <w:rPr/>
        <w:t>以上独立董事表决通过，并经半数以上监事表决通过。 公司调整利润分配方案时，有关调整利润分配政策的议案应提交公司董事会、监事会审</w:t>
      </w:r>
    </w:p>
    <w:p>
      <w:pPr>
        <w:pStyle w:val="BodyText"/>
        <w:spacing w:line="350" w:lineRule="auto" w:before="29"/>
        <w:ind w:left="154" w:right="172"/>
        <w:jc w:val="left"/>
      </w:pPr>
      <w:r>
        <w:rPr/>
        <w:t>议；提交公司董事会审议的相关议案需经半数以上董事、并经</w:t>
      </w:r>
      <w:r>
        <w:rPr>
          <w:spacing w:val="-60"/>
        </w:rPr>
        <w:t> </w:t>
      </w:r>
      <w:r>
        <w:rPr>
          <w:rFonts w:ascii="Times New Roman" w:hAnsi="Times New Roman" w:cs="Times New Roman" w:eastAsia="Times New Roman" w:hint="default"/>
        </w:rPr>
        <w:t>2/3 </w:t>
      </w:r>
      <w:r>
        <w:rPr/>
        <w:t>以上独立董事表决通过； 提交公司监事会的相关议案需经半数以上监事表决通过；董事会、监事会在有关决策和论证 过程中应当充分考虑公众投资者、独立董事、外部监事的意见；相关议案经公司董事会、监 事会审议通过后，需提交公司股东大会审议。股东大会审议调整利润分配政策相关议案的， 应经出席股东大会的股东所持表决权的</w:t>
      </w:r>
      <w:r>
        <w:rPr>
          <w:spacing w:val="-60"/>
        </w:rPr>
        <w:t> </w:t>
      </w:r>
      <w:r>
        <w:rPr>
          <w:rFonts w:ascii="Times New Roman" w:hAnsi="Times New Roman" w:cs="Times New Roman" w:eastAsia="Times New Roman" w:hint="default"/>
        </w:rPr>
        <w:t>2/3 </w:t>
      </w:r>
      <w:r>
        <w:rPr/>
        <w:t>以上通过，并为中小股东参加股东大会提供便 利。</w:t>
      </w:r>
    </w:p>
    <w:p>
      <w:pPr>
        <w:pStyle w:val="BodyText"/>
        <w:spacing w:line="357" w:lineRule="auto" w:before="82"/>
        <w:ind w:left="154" w:right="190" w:firstLine="480"/>
        <w:jc w:val="both"/>
      </w:pPr>
      <w:r>
        <w:rPr/>
        <w:t>公司应严格按照有关规定在定期报告中披露利润分配预案和现金分红政策的制定及执行 情况。公司年度盈利但未提出现金利润分配预案的，董事会应在定期报告中详细说明未分红 的原因、未用于分红的资金留存公司的用途，独立董事应对此发表明确意见。在召开股东大 会时除现场会议外，还应为中小股东参加股东大会提供便利。</w:t>
      </w:r>
    </w:p>
    <w:p>
      <w:pPr>
        <w:pStyle w:val="BodyText"/>
        <w:spacing w:line="352" w:lineRule="auto" w:before="76"/>
        <w:ind w:left="154" w:right="172" w:firstLine="480"/>
        <w:jc w:val="left"/>
      </w:pPr>
      <w:r>
        <w:rPr>
          <w:rFonts w:ascii="Times New Roman" w:hAnsi="Times New Roman" w:cs="Times New Roman" w:eastAsia="Times New Roman" w:hint="default"/>
        </w:rPr>
        <w:t>3</w:t>
      </w:r>
      <w:r>
        <w:rPr/>
        <w:t>、公司的利润分配原则：公司的利润分配应重视对投资者的合理投资回报，利润分配 政策应保持连续性和稳定性并兼顾公司的可持续发展，且不得违反中国证券监督管理委员会 和交易所的有关规定。公司利润分配不得超过累计可分配利润的范围，不得损害公司的可持 续发展能力。具备现金分红条件的，应当采用现金分红进行利润分配；采用股票股利进行利 润分配的，应当具有公司成长性、每股净资产的摊薄等真实合理因素。</w:t>
      </w:r>
    </w:p>
    <w:p>
      <w:pPr>
        <w:pStyle w:val="BodyText"/>
        <w:spacing w:line="357" w:lineRule="auto" w:before="79"/>
        <w:ind w:right="190" w:firstLine="480"/>
        <w:jc w:val="both"/>
      </w:pPr>
      <w:r>
        <w:rPr/>
        <w:t>公司的利润分配形式：公司可以采取现金或股票等方式分配利润，其中优先以现金分红 方式分配股利。</w:t>
      </w:r>
    </w:p>
    <w:p>
      <w:pPr>
        <w:pStyle w:val="BodyText"/>
        <w:spacing w:line="357" w:lineRule="auto" w:before="74"/>
        <w:ind w:right="189" w:firstLine="480"/>
        <w:jc w:val="both"/>
      </w:pPr>
      <w:r>
        <w:rPr/>
        <w:t>公司现金分红的具体条件和比例：在公司当年盈利且累计未分配利润为正数，并且在满 足正常生产经营的资金需求情况下，如无重大投资计划或重大现金支出等事项发生，公司应 当优先采取现金方式分配股利，且每年以现金方式分配的利润应当不少于当年实现的可供分 配利润的</w:t>
      </w:r>
      <w:r>
        <w:rPr>
          <w:spacing w:val="-60"/>
        </w:rPr>
        <w:t> </w:t>
      </w:r>
      <w:r>
        <w:rPr>
          <w:rFonts w:ascii="Times New Roman" w:hAnsi="Times New Roman" w:cs="Times New Roman" w:eastAsia="Times New Roman" w:hint="default"/>
        </w:rPr>
        <w:t>20%</w:t>
      </w:r>
      <w:r>
        <w:rPr/>
        <w:t>。</w:t>
      </w:r>
    </w:p>
    <w:p>
      <w:pPr>
        <w:pStyle w:val="BodyText"/>
        <w:spacing w:line="240" w:lineRule="auto" w:before="45"/>
        <w:ind w:left="634" w:right="0"/>
        <w:jc w:val="left"/>
      </w:pPr>
      <w:r>
        <w:rPr/>
        <w:t>公司董事会应当综合考虑所处行业特点、发展阶段、自身经营模式、盈利水平以及是否</w:t>
      </w:r>
    </w:p>
    <w:p>
      <w:pPr>
        <w:spacing w:after="0" w:line="240" w:lineRule="auto"/>
        <w:jc w:val="left"/>
        <w:sectPr>
          <w:pgSz w:w="11910" w:h="16840"/>
          <w:pgMar w:header="877" w:footer="979" w:top="1100" w:bottom="1160" w:left="980" w:right="980"/>
        </w:sectPr>
      </w:pPr>
    </w:p>
    <w:p>
      <w:pPr>
        <w:spacing w:line="240" w:lineRule="auto" w:before="7"/>
        <w:rPr>
          <w:rFonts w:ascii="宋体" w:hAnsi="宋体" w:cs="宋体" w:eastAsia="宋体" w:hint="default"/>
          <w:sz w:val="25"/>
          <w:szCs w:val="25"/>
        </w:rPr>
      </w:pPr>
    </w:p>
    <w:p>
      <w:pPr>
        <w:pStyle w:val="BodyText"/>
        <w:spacing w:line="357" w:lineRule="auto"/>
        <w:ind w:right="173"/>
        <w:jc w:val="left"/>
      </w:pPr>
      <w:r>
        <w:rPr/>
        <w:t>有重大资金支出安排等因素，区分下列情形，并按照本章程规定的程序，提出差异化的现金 分红政策：</w:t>
      </w:r>
    </w:p>
    <w:p>
      <w:pPr>
        <w:pStyle w:val="BodyText"/>
        <w:spacing w:line="360" w:lineRule="auto" w:before="74"/>
        <w:ind w:right="173" w:firstLine="480"/>
        <w:jc w:val="left"/>
      </w:pPr>
      <w:r>
        <w:rPr/>
        <w:t>公司发展阶段属成熟期且无重大资金支出安排的，进行利润分配时，现金分红在本次利 润分配中所占比例最低应达到</w:t>
      </w:r>
      <w:r>
        <w:rPr>
          <w:spacing w:val="-60"/>
        </w:rPr>
        <w:t> </w:t>
      </w:r>
      <w:r>
        <w:rPr>
          <w:rFonts w:ascii="Times New Roman" w:hAnsi="Times New Roman" w:cs="Times New Roman" w:eastAsia="Times New Roman" w:hint="default"/>
        </w:rPr>
        <w:t>80%</w:t>
      </w:r>
      <w:r>
        <w:rPr/>
        <w:t>；</w:t>
      </w:r>
    </w:p>
    <w:p>
      <w:pPr>
        <w:pStyle w:val="BodyText"/>
        <w:spacing w:line="357" w:lineRule="auto" w:before="42"/>
        <w:ind w:left="154" w:right="172" w:firstLine="480"/>
        <w:jc w:val="left"/>
      </w:pPr>
      <w:r>
        <w:rPr/>
        <w:t>公司发展阶段属成熟期且有重大资金支出安排的，进行利润分配时，现金分红在本次利 润分配中所占比例最低应达到</w:t>
      </w:r>
      <w:r>
        <w:rPr>
          <w:spacing w:val="-60"/>
        </w:rPr>
        <w:t> </w:t>
      </w:r>
      <w:r>
        <w:rPr>
          <w:rFonts w:ascii="Times New Roman" w:hAnsi="Times New Roman" w:cs="Times New Roman" w:eastAsia="Times New Roman" w:hint="default"/>
        </w:rPr>
        <w:t>40%</w:t>
      </w:r>
      <w:r>
        <w:rPr/>
        <w:t>；</w:t>
      </w:r>
    </w:p>
    <w:p>
      <w:pPr>
        <w:pStyle w:val="BodyText"/>
        <w:spacing w:line="357" w:lineRule="auto" w:before="44"/>
        <w:ind w:left="154" w:right="172" w:firstLine="480"/>
        <w:jc w:val="left"/>
      </w:pPr>
      <w:r>
        <w:rPr/>
        <w:t>公司发展阶段属成长期且有重大资金支出安排的，进行利润分配时，现金分红在本次利 润分配中所占比例最低应达到</w:t>
      </w:r>
      <w:r>
        <w:rPr>
          <w:spacing w:val="-60"/>
        </w:rPr>
        <w:t> </w:t>
      </w:r>
      <w:r>
        <w:rPr>
          <w:rFonts w:ascii="Times New Roman" w:hAnsi="Times New Roman" w:cs="Times New Roman" w:eastAsia="Times New Roman" w:hint="default"/>
        </w:rPr>
        <w:t>20%</w:t>
      </w:r>
      <w:r>
        <w:rPr/>
        <w:t>。</w:t>
      </w:r>
    </w:p>
    <w:p>
      <w:pPr>
        <w:pStyle w:val="BodyText"/>
        <w:spacing w:line="388" w:lineRule="auto" w:before="45"/>
        <w:ind w:left="634" w:right="1372"/>
        <w:jc w:val="left"/>
      </w:pPr>
      <w:r>
        <w:rPr/>
        <w:t>公司发展阶段不易区分但有重大资金支出安排的，可以按照前项规定处理。 上述重大投资计划或重大现金支出是指以下情形之一：</w:t>
      </w:r>
    </w:p>
    <w:p>
      <w:pPr>
        <w:pStyle w:val="BodyText"/>
        <w:spacing w:line="338" w:lineRule="auto" w:before="43"/>
        <w:ind w:left="154" w:right="292" w:firstLine="480"/>
        <w:jc w:val="left"/>
      </w:pPr>
      <w:r>
        <w:rPr/>
        <w:t>公司未来</w:t>
      </w:r>
      <w:r>
        <w:rPr>
          <w:spacing w:val="-60"/>
        </w:rPr>
        <w:t> </w:t>
      </w:r>
      <w:r>
        <w:rPr>
          <w:rFonts w:ascii="Times New Roman" w:hAnsi="Times New Roman" w:cs="Times New Roman" w:eastAsia="Times New Roman" w:hint="default"/>
        </w:rPr>
        <w:t>12 </w:t>
      </w:r>
      <w:r>
        <w:rPr/>
        <w:t>个月内拟对外投资、收购资产等交易累计支出达到或超过公司最近一期经 审计净资产的</w:t>
      </w:r>
      <w:r>
        <w:rPr>
          <w:spacing w:val="-60"/>
        </w:rPr>
        <w:t> </w:t>
      </w:r>
      <w:r>
        <w:rPr>
          <w:rFonts w:ascii="Times New Roman" w:hAnsi="Times New Roman" w:cs="Times New Roman" w:eastAsia="Times New Roman" w:hint="default"/>
        </w:rPr>
        <w:t>50%</w:t>
      </w:r>
      <w:r>
        <w:rPr/>
        <w:t>，且超过</w:t>
      </w:r>
      <w:r>
        <w:rPr>
          <w:spacing w:val="-60"/>
        </w:rPr>
        <w:t> </w:t>
      </w:r>
      <w:r>
        <w:rPr>
          <w:rFonts w:ascii="Times New Roman" w:hAnsi="Times New Roman" w:cs="Times New Roman" w:eastAsia="Times New Roman" w:hint="default"/>
        </w:rPr>
        <w:t>5,000 </w:t>
      </w:r>
      <w:r>
        <w:rPr/>
        <w:t>万元；</w:t>
      </w:r>
    </w:p>
    <w:p>
      <w:pPr>
        <w:pStyle w:val="BodyText"/>
        <w:spacing w:line="338" w:lineRule="auto" w:before="65"/>
        <w:ind w:left="154" w:right="292" w:firstLine="480"/>
        <w:jc w:val="left"/>
      </w:pPr>
      <w:r>
        <w:rPr/>
        <w:t>公司未来</w:t>
      </w:r>
      <w:r>
        <w:rPr>
          <w:spacing w:val="-60"/>
        </w:rPr>
        <w:t> </w:t>
      </w:r>
      <w:r>
        <w:rPr>
          <w:rFonts w:ascii="Times New Roman" w:hAnsi="Times New Roman" w:cs="Times New Roman" w:eastAsia="Times New Roman" w:hint="default"/>
        </w:rPr>
        <w:t>12 </w:t>
      </w:r>
      <w:r>
        <w:rPr/>
        <w:t>个月内拟对外投资、收购资产等交易累计支出达到或超过公司最近一期经 审计总资产的</w:t>
      </w:r>
      <w:r>
        <w:rPr>
          <w:spacing w:val="-60"/>
        </w:rPr>
        <w:t> </w:t>
      </w:r>
      <w:r>
        <w:rPr>
          <w:rFonts w:ascii="Times New Roman" w:hAnsi="Times New Roman" w:cs="Times New Roman" w:eastAsia="Times New Roman" w:hint="default"/>
        </w:rPr>
        <w:t>30%</w:t>
      </w:r>
      <w:r>
        <w:rPr/>
        <w:t>。</w:t>
      </w:r>
    </w:p>
    <w:p>
      <w:pPr>
        <w:pStyle w:val="BodyText"/>
        <w:spacing w:line="357" w:lineRule="auto" w:before="67"/>
        <w:ind w:left="154" w:right="172" w:firstLine="480"/>
        <w:jc w:val="left"/>
      </w:pPr>
      <w:r>
        <w:rPr/>
        <w:t>上述重大投资计划或重大现金支出，应当由董事会批准，报股东大会审议通过后方可实 施。</w:t>
      </w:r>
    </w:p>
    <w:p>
      <w:pPr>
        <w:pStyle w:val="BodyText"/>
        <w:spacing w:line="357" w:lineRule="auto" w:before="74"/>
        <w:ind w:left="154" w:right="190" w:firstLine="480"/>
        <w:jc w:val="both"/>
      </w:pPr>
      <w:r>
        <w:rPr/>
        <w:t>发放股票股利的具体条件：公司在经营状况良好，且董事会认为公司股票价格与公司股 本规模不匹配、发放股票股利有利于公司全体股东整体利益时，可以在确保足额现金股利分 配的前提下，另行增加股票方式分配利润。</w:t>
      </w:r>
    </w:p>
    <w:p>
      <w:pPr>
        <w:pStyle w:val="BodyText"/>
        <w:spacing w:line="357" w:lineRule="auto" w:before="74"/>
        <w:ind w:left="154" w:right="172" w:firstLine="480"/>
        <w:jc w:val="left"/>
      </w:pPr>
      <w:r>
        <w:rPr/>
        <w:t>利润分配的期间间隔：公司每年度进行一次利润分配，在有条件的情况下，公司可以进 行中期现金分红。</w:t>
      </w:r>
    </w:p>
    <w:p>
      <w:pPr>
        <w:pStyle w:val="BodyText"/>
        <w:spacing w:line="348" w:lineRule="auto" w:before="76"/>
        <w:ind w:left="154" w:right="225" w:firstLine="480"/>
        <w:jc w:val="left"/>
      </w:pPr>
      <w:r>
        <w:rPr/>
        <w:t>利润分配应履行的审议程序：公司具体利润分配方案由董事会提出，提交股东大会审 议。董事会提出的利润分配方案需经</w:t>
      </w:r>
      <w:r>
        <w:rPr>
          <w:spacing w:val="-60"/>
        </w:rPr>
        <w:t> </w:t>
      </w:r>
      <w:r>
        <w:rPr>
          <w:rFonts w:ascii="Times New Roman" w:hAnsi="Times New Roman" w:cs="Times New Roman" w:eastAsia="Times New Roman" w:hint="default"/>
        </w:rPr>
        <w:t>2/3 </w:t>
      </w:r>
      <w:r>
        <w:rPr/>
        <w:t>以上独立董事表决通过，并经半数以上监事表决通 过。</w:t>
      </w:r>
    </w:p>
    <w:p>
      <w:pPr>
        <w:pStyle w:val="BodyText"/>
        <w:spacing w:line="357" w:lineRule="auto" w:before="84"/>
        <w:ind w:left="154" w:right="190" w:firstLine="480"/>
        <w:jc w:val="both"/>
      </w:pPr>
      <w:r>
        <w:rPr/>
        <w:t>利润分配政策的调整：公司根据生产经营情况、投资规划和长期发展的需要确需调整利 润分配政策尤其是现金分红政策的，调整后的利润分配政策不得违反中国证券监督管理委员 会和交易所的有关规定。</w:t>
      </w:r>
    </w:p>
    <w:p>
      <w:pPr>
        <w:pStyle w:val="BodyText"/>
        <w:spacing w:line="240" w:lineRule="auto" w:before="76"/>
        <w:ind w:left="634" w:right="0"/>
        <w:jc w:val="left"/>
      </w:pPr>
      <w:r>
        <w:rPr>
          <w:rFonts w:ascii="Times New Roman" w:hAnsi="Times New Roman" w:cs="Times New Roman" w:eastAsia="Times New Roman" w:hint="default"/>
        </w:rPr>
        <w:t>4</w:t>
      </w:r>
      <w:r>
        <w:rPr/>
        <w:t>、利润分配的具体规划和计划安排</w:t>
      </w:r>
    </w:p>
    <w:p>
      <w:pPr>
        <w:spacing w:after="0" w:line="240" w:lineRule="auto"/>
        <w:jc w:val="left"/>
        <w:sectPr>
          <w:pgSz w:w="11910" w:h="16840"/>
          <w:pgMar w:header="877" w:footer="979" w:top="1100" w:bottom="1160" w:left="980" w:right="980"/>
        </w:sectPr>
      </w:pPr>
    </w:p>
    <w:p>
      <w:pPr>
        <w:spacing w:line="240" w:lineRule="auto" w:before="7"/>
        <w:rPr>
          <w:rFonts w:ascii="宋体" w:hAnsi="宋体" w:cs="宋体" w:eastAsia="宋体" w:hint="default"/>
          <w:sz w:val="25"/>
          <w:szCs w:val="25"/>
        </w:rPr>
      </w:pPr>
    </w:p>
    <w:p>
      <w:pPr>
        <w:pStyle w:val="BodyText"/>
        <w:spacing w:line="357" w:lineRule="auto"/>
        <w:ind w:right="190" w:firstLine="480"/>
        <w:jc w:val="both"/>
      </w:pPr>
      <w:r>
        <w:rPr/>
        <w:t>公司应当制定分红回报规划和最近三年的分红计划。公司可以根据股东（特别是公众投 资者）、独立董事和外部监事的意见对分红规划和计划进行适当且必要的调整。调整分红规 划和计划应以股东权益保护为出发点，不得与本章程的相关规定相抵触。</w:t>
      </w:r>
    </w:p>
    <w:p>
      <w:pPr>
        <w:spacing w:line="240" w:lineRule="auto" w:before="9"/>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7775"/>
        <w:gridCol w:w="1782"/>
      </w:tblGrid>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3"/>
              <w:jc w:val="center"/>
              <w:rPr>
                <w:rFonts w:ascii="宋体" w:hAnsi="宋体" w:cs="宋体" w:eastAsia="宋体" w:hint="default"/>
                <w:sz w:val="21"/>
                <w:szCs w:val="21"/>
              </w:rPr>
            </w:pPr>
            <w:r>
              <w:rPr>
                <w:rFonts w:ascii="宋体" w:hAnsi="宋体" w:cs="宋体" w:eastAsia="宋体" w:hint="default"/>
                <w:b/>
                <w:bCs/>
                <w:sz w:val="21"/>
                <w:szCs w:val="21"/>
              </w:rPr>
              <w:t>现金分红政策的专项说明</w:t>
            </w:r>
            <w:r>
              <w:rPr>
                <w:rFonts w:ascii="宋体" w:hAnsi="宋体" w:cs="宋体" w:eastAsia="宋体" w:hint="default"/>
                <w:sz w:val="21"/>
                <w:szCs w:val="21"/>
              </w:rPr>
            </w:r>
          </w:p>
        </w:tc>
      </w:tr>
      <w:tr>
        <w:trPr>
          <w:trHeight w:val="402" w:hRule="exact"/>
        </w:trPr>
        <w:tc>
          <w:tcPr>
            <w:tcW w:w="7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17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77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17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77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17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77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17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77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中小股东是否有充分表达意见和诉求的机会，其合法权益是否得到了充分保护：</w:t>
            </w:r>
          </w:p>
        </w:tc>
        <w:tc>
          <w:tcPr>
            <w:tcW w:w="17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77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现金分红政策进行调整或变更的，条件及程序是否合规、透明：</w:t>
            </w:r>
          </w:p>
        </w:tc>
        <w:tc>
          <w:tcPr>
            <w:tcW w:w="17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775"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pStyle w:val="BodyText"/>
        <w:spacing w:line="357" w:lineRule="auto" w:before="81"/>
        <w:ind w:left="154" w:right="172" w:firstLine="480"/>
        <w:jc w:val="left"/>
      </w:pPr>
      <w:r>
        <w:rPr/>
        <w:t>公司报告期利润分配预案及资本公积金转增股本预案与公司章程和分红管理办法等的相 关规定一致</w:t>
      </w:r>
    </w:p>
    <w:p>
      <w:pPr>
        <w:pStyle w:val="BodyText"/>
        <w:spacing w:line="376" w:lineRule="auto" w:before="76"/>
        <w:ind w:left="633" w:right="6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本年度利润分配及资本公积金转增股本预案</w:t>
      </w:r>
    </w:p>
    <w:tbl>
      <w:tblPr>
        <w:tblW w:w="0" w:type="auto"/>
        <w:jc w:val="left"/>
        <w:tblInd w:w="149" w:type="dxa"/>
        <w:tblLayout w:type="fixed"/>
        <w:tblCellMar>
          <w:top w:w="0" w:type="dxa"/>
          <w:left w:w="0" w:type="dxa"/>
          <w:bottom w:w="0" w:type="dxa"/>
          <w:right w:w="0" w:type="dxa"/>
        </w:tblCellMar>
        <w:tblLook w:val="01E0"/>
      </w:tblPr>
      <w:tblGrid>
        <w:gridCol w:w="4951"/>
        <w:gridCol w:w="4617"/>
      </w:tblGrid>
      <w:tr>
        <w:trPr>
          <w:trHeight w:val="403" w:hRule="exact"/>
        </w:trPr>
        <w:tc>
          <w:tcPr>
            <w:tcW w:w="4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股送红股数（股）</w:t>
            </w:r>
          </w:p>
        </w:tc>
        <w:tc>
          <w:tcPr>
            <w:tcW w:w="46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4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w:t>
            </w:r>
            <w:r>
              <w:rPr>
                <w:rFonts w:ascii="宋体" w:hAnsi="宋体" w:cs="宋体" w:eastAsia="宋体" w:hint="default"/>
                <w:spacing w:val="-2"/>
                <w:sz w:val="21"/>
                <w:szCs w:val="21"/>
              </w:rPr>
              <w:t>息</w:t>
            </w:r>
            <w:r>
              <w:rPr>
                <w:rFonts w:ascii="宋体" w:hAnsi="宋体" w:cs="宋体" w:eastAsia="宋体" w:hint="default"/>
                <w:sz w:val="21"/>
                <w:szCs w:val="21"/>
              </w:rPr>
              <w:t>数（元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p>
        </w:tc>
        <w:tc>
          <w:tcPr>
            <w:tcW w:w="46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0.80</w:t>
            </w:r>
          </w:p>
        </w:tc>
      </w:tr>
      <w:tr>
        <w:trPr>
          <w:trHeight w:val="402" w:hRule="exact"/>
        </w:trPr>
        <w:tc>
          <w:tcPr>
            <w:tcW w:w="4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股转增数（股）</w:t>
            </w:r>
          </w:p>
        </w:tc>
        <w:tc>
          <w:tcPr>
            <w:tcW w:w="46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4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46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120,000,000</w:t>
            </w:r>
          </w:p>
        </w:tc>
      </w:tr>
      <w:tr>
        <w:trPr>
          <w:trHeight w:val="402" w:hRule="exact"/>
        </w:trPr>
        <w:tc>
          <w:tcPr>
            <w:tcW w:w="4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现金分红总额（元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p>
        </w:tc>
        <w:tc>
          <w:tcPr>
            <w:tcW w:w="46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9,600,000.00</w:t>
            </w:r>
          </w:p>
        </w:tc>
      </w:tr>
      <w:tr>
        <w:trPr>
          <w:trHeight w:val="402" w:hRule="exact"/>
        </w:trPr>
        <w:tc>
          <w:tcPr>
            <w:tcW w:w="4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46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39,765,592.35</w:t>
            </w:r>
          </w:p>
        </w:tc>
      </w:tr>
      <w:tr>
        <w:trPr>
          <w:trHeight w:val="407" w:hRule="exact"/>
        </w:trPr>
        <w:tc>
          <w:tcPr>
            <w:tcW w:w="4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现金分红占利润分配总额的比例</w:t>
            </w:r>
          </w:p>
        </w:tc>
        <w:tc>
          <w:tcPr>
            <w:tcW w:w="46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100.00%</w:t>
            </w:r>
          </w:p>
        </w:tc>
      </w:tr>
      <w:tr>
        <w:trPr>
          <w:trHeight w:val="396"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b/>
                <w:bCs/>
                <w:sz w:val="21"/>
                <w:szCs w:val="21"/>
              </w:rPr>
              <w:t>本次现金分红情况</w:t>
            </w:r>
            <w:r>
              <w:rPr>
                <w:rFonts w:ascii="宋体" w:hAnsi="宋体" w:cs="宋体" w:eastAsia="宋体" w:hint="default"/>
                <w:sz w:val="21"/>
                <w:szCs w:val="21"/>
              </w:rPr>
            </w:r>
          </w:p>
        </w:tc>
      </w:tr>
      <w:tr>
        <w:trPr>
          <w:trHeight w:val="715"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84"/>
              <w:jc w:val="left"/>
              <w:rPr>
                <w:rFonts w:ascii="宋体" w:hAnsi="宋体" w:cs="宋体" w:eastAsia="宋体" w:hint="default"/>
                <w:sz w:val="21"/>
                <w:szCs w:val="21"/>
              </w:rPr>
            </w:pPr>
            <w:r>
              <w:rPr>
                <w:rFonts w:ascii="宋体" w:hAnsi="宋体" w:cs="宋体" w:eastAsia="宋体" w:hint="default"/>
                <w:sz w:val="21"/>
                <w:szCs w:val="21"/>
              </w:rPr>
              <w:t>公司发展阶段属成长期且有重大资金支出安排的，进行利润分配时，现金分红在本次利润分配中所占比 例最低应达到</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566" w:right="0"/>
              <w:jc w:val="left"/>
              <w:rPr>
                <w:rFonts w:ascii="宋体" w:hAnsi="宋体" w:cs="宋体" w:eastAsia="宋体" w:hint="default"/>
                <w:sz w:val="21"/>
                <w:szCs w:val="21"/>
              </w:rPr>
            </w:pPr>
            <w:r>
              <w:rPr>
                <w:rFonts w:ascii="宋体" w:hAnsi="宋体" w:cs="宋体" w:eastAsia="宋体" w:hint="default"/>
                <w:b/>
                <w:bCs/>
                <w:sz w:val="21"/>
                <w:szCs w:val="21"/>
              </w:rPr>
              <w:t>利润分配或资本公积金转增预案的详细情况说明</w:t>
            </w:r>
            <w:r>
              <w:rPr>
                <w:rFonts w:ascii="宋体" w:hAnsi="宋体" w:cs="宋体" w:eastAsia="宋体" w:hint="default"/>
                <w:sz w:val="21"/>
                <w:szCs w:val="21"/>
              </w:rPr>
            </w:r>
          </w:p>
        </w:tc>
      </w:tr>
      <w:tr>
        <w:trPr>
          <w:trHeight w:val="2276"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经信永中和会计师事务所（特殊普通合伙）审计，公司</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年度实现归属于上市公司股东的净利润</w:t>
            </w:r>
          </w:p>
          <w:p>
            <w:pPr>
              <w:pStyle w:val="TableParagraph"/>
              <w:spacing w:line="240" w:lineRule="auto" w:before="20"/>
              <w:ind w:left="22" w:right="0"/>
              <w:jc w:val="both"/>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46,169,543.67 </w:t>
            </w:r>
            <w:r>
              <w:rPr>
                <w:rFonts w:ascii="宋体" w:hAnsi="宋体" w:cs="宋体" w:eastAsia="宋体" w:hint="default"/>
                <w:sz w:val="21"/>
                <w:szCs w:val="21"/>
              </w:rPr>
              <w:t>元，归属于母公司股东净利润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64,039,513.15 </w:t>
            </w:r>
            <w:r>
              <w:rPr>
                <w:rFonts w:ascii="宋体" w:hAnsi="宋体" w:cs="宋体" w:eastAsia="宋体" w:hint="default"/>
                <w:spacing w:val="-4"/>
                <w:sz w:val="21"/>
                <w:szCs w:val="21"/>
              </w:rPr>
              <w:t>元，根据《公司章程》的规定，提取</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法</w:t>
            </w:r>
          </w:p>
          <w:p>
            <w:pPr>
              <w:pStyle w:val="TableParagraph"/>
              <w:spacing w:line="266" w:lineRule="auto" w:before="21"/>
              <w:ind w:left="22" w:right="22"/>
              <w:jc w:val="both"/>
              <w:rPr>
                <w:rFonts w:ascii="宋体" w:hAnsi="宋体" w:cs="宋体" w:eastAsia="宋体" w:hint="default"/>
                <w:sz w:val="21"/>
                <w:szCs w:val="21"/>
              </w:rPr>
            </w:pPr>
            <w:r>
              <w:rPr>
                <w:rFonts w:ascii="宋体" w:hAnsi="宋体" w:cs="宋体" w:eastAsia="宋体" w:hint="default"/>
                <w:sz w:val="21"/>
                <w:szCs w:val="21"/>
              </w:rPr>
              <w:t>定盈余公积金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6,403,951.32 </w:t>
            </w:r>
            <w:r>
              <w:rPr>
                <w:rFonts w:ascii="宋体" w:hAnsi="宋体" w:cs="宋体" w:eastAsia="宋体" w:hint="default"/>
                <w:sz w:val="21"/>
                <w:szCs w:val="21"/>
              </w:rPr>
              <w:t>元，</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年度累计可用于股东分配的利润为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39,765,592.35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元（以合并报表、 </w:t>
            </w:r>
            <w:r>
              <w:rPr>
                <w:rFonts w:ascii="宋体" w:hAnsi="宋体" w:cs="宋体" w:eastAsia="宋体" w:hint="default"/>
                <w:spacing w:val="-4"/>
                <w:sz w:val="21"/>
                <w:szCs w:val="21"/>
              </w:rPr>
              <w:t>母公司报表中可供分配利润孰低为原则）。鉴于目前公司经营盈利情况稳定，处于发展阶段，但属于成长</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期，未来对资金需求较大的具体情况，公司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年度利润分配预案拟定为：向现有全体股东每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w:t>
            </w:r>
          </w:p>
          <w:p>
            <w:pPr>
              <w:pStyle w:val="TableParagraph"/>
              <w:spacing w:line="259" w:lineRule="auto"/>
              <w:ind w:left="22" w:right="20"/>
              <w:jc w:val="both"/>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pacing w:val="-49"/>
                <w:sz w:val="21"/>
                <w:szCs w:val="21"/>
              </w:rPr>
              <w:t> </w:t>
            </w:r>
            <w:r>
              <w:rPr>
                <w:rFonts w:ascii="Times New Roman" w:hAnsi="Times New Roman" w:cs="Times New Roman" w:eastAsia="Times New Roman" w:hint="default"/>
                <w:spacing w:val="-1"/>
                <w:sz w:val="21"/>
                <w:szCs w:val="21"/>
              </w:rPr>
              <w:t>0.80</w:t>
            </w:r>
            <w:r>
              <w:rPr>
                <w:rFonts w:ascii="Times New Roman" w:hAnsi="Times New Roman" w:cs="Times New Roman" w:eastAsia="Times New Roman" w:hint="default"/>
                <w:spacing w:val="5"/>
                <w:sz w:val="21"/>
                <w:szCs w:val="21"/>
              </w:rPr>
              <w:t> </w:t>
            </w:r>
            <w:r>
              <w:rPr>
                <w:rFonts w:ascii="宋体" w:hAnsi="宋体" w:cs="宋体" w:eastAsia="宋体" w:hint="default"/>
                <w:spacing w:val="-10"/>
                <w:sz w:val="21"/>
                <w:szCs w:val="21"/>
              </w:rPr>
              <w:t>元人民币（含税），共计派发现金红利</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960</w:t>
            </w:r>
            <w:r>
              <w:rPr>
                <w:rFonts w:ascii="Times New Roman" w:hAnsi="Times New Roman" w:cs="Times New Roman" w:eastAsia="Times New Roman" w:hint="default"/>
                <w:spacing w:val="4"/>
                <w:sz w:val="21"/>
                <w:szCs w:val="21"/>
              </w:rPr>
              <w:t> </w:t>
            </w:r>
            <w:r>
              <w:rPr>
                <w:rFonts w:ascii="宋体" w:hAnsi="宋体" w:cs="宋体" w:eastAsia="宋体" w:hint="default"/>
                <w:spacing w:val="-9"/>
                <w:sz w:val="21"/>
                <w:szCs w:val="21"/>
              </w:rPr>
              <w:t>万元（含税）。该利润分配预案尚需提交</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年年度股</w:t>
            </w:r>
            <w:r>
              <w:rPr>
                <w:rFonts w:ascii="宋体" w:hAnsi="宋体" w:cs="宋体" w:eastAsia="宋体" w:hint="default"/>
                <w:sz w:val="21"/>
                <w:szCs w:val="21"/>
              </w:rPr>
              <w:t> 东大会审议。</w:t>
            </w:r>
          </w:p>
        </w:tc>
      </w:tr>
    </w:tbl>
    <w:p>
      <w:pPr>
        <w:spacing w:line="240" w:lineRule="auto" w:before="5"/>
        <w:rPr>
          <w:rFonts w:ascii="宋体" w:hAnsi="宋体" w:cs="宋体" w:eastAsia="宋体" w:hint="default"/>
          <w:sz w:val="5"/>
          <w:szCs w:val="5"/>
        </w:rPr>
      </w:pPr>
    </w:p>
    <w:p>
      <w:pPr>
        <w:pStyle w:val="BodyText"/>
        <w:spacing w:line="240" w:lineRule="auto"/>
        <w:ind w:left="634" w:right="0"/>
        <w:jc w:val="left"/>
      </w:pPr>
      <w:r>
        <w:rPr/>
        <w:t>公司近</w:t>
      </w:r>
      <w:r>
        <w:rPr>
          <w:spacing w:val="-60"/>
        </w:rPr>
        <w:t> </w:t>
      </w:r>
      <w:r>
        <w:rPr>
          <w:rFonts w:ascii="Times New Roman" w:hAnsi="Times New Roman" w:cs="Times New Roman" w:eastAsia="Times New Roman" w:hint="default"/>
        </w:rPr>
        <w:t>3 </w:t>
      </w:r>
      <w:r>
        <w:rPr/>
        <w:t>年（含报告期）的利润分配方案及资本公积金转增股本方案情况</w:t>
      </w:r>
    </w:p>
    <w:p>
      <w:pPr>
        <w:spacing w:after="0" w:line="240" w:lineRule="auto"/>
        <w:jc w:val="left"/>
        <w:sectPr>
          <w:pgSz w:w="11910" w:h="16840"/>
          <w:pgMar w:header="877" w:footer="979" w:top="1100" w:bottom="1160" w:left="980" w:right="980"/>
        </w:sectPr>
      </w:pPr>
    </w:p>
    <w:p>
      <w:pPr>
        <w:spacing w:line="240" w:lineRule="auto" w:before="7"/>
        <w:rPr>
          <w:rFonts w:ascii="宋体" w:hAnsi="宋体" w:cs="宋体" w:eastAsia="宋体" w:hint="default"/>
          <w:sz w:val="25"/>
          <w:szCs w:val="25"/>
        </w:rPr>
      </w:pPr>
    </w:p>
    <w:p>
      <w:pPr>
        <w:pStyle w:val="BodyText"/>
        <w:spacing w:line="240" w:lineRule="auto"/>
        <w:ind w:left="633" w:right="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日，公司召开了</w:t>
      </w:r>
      <w:r>
        <w:rPr>
          <w:spacing w:val="-6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年年度股东大会，审议通过了《北京中文在线数字</w:t>
      </w:r>
    </w:p>
    <w:p>
      <w:pPr>
        <w:pStyle w:val="BodyText"/>
        <w:spacing w:line="240" w:lineRule="auto" w:before="135"/>
        <w:ind w:right="0"/>
        <w:jc w:val="left"/>
      </w:pPr>
      <w:r>
        <w:rPr/>
        <w:t>出版股份有限公司</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spacing w:val="-3"/>
        </w:rPr>
        <w:t>年度利润分配方案》的议案，具体利润分配方案为：向全体股东现金</w:t>
      </w:r>
    </w:p>
    <w:p>
      <w:pPr>
        <w:pStyle w:val="BodyText"/>
        <w:spacing w:line="240" w:lineRule="auto" w:before="135"/>
        <w:ind w:right="0"/>
        <w:jc w:val="left"/>
      </w:pPr>
      <w:r>
        <w:rPr/>
        <w:t>支付</w:t>
      </w:r>
      <w:r>
        <w:rPr>
          <w:spacing w:val="-60"/>
        </w:rPr>
        <w:t> </w:t>
      </w:r>
      <w:r>
        <w:rPr>
          <w:rFonts w:ascii="Times New Roman" w:hAnsi="Times New Roman" w:cs="Times New Roman" w:eastAsia="Times New Roman" w:hint="default"/>
        </w:rPr>
        <w:t>2012 </w:t>
      </w:r>
      <w:r>
        <w:rPr/>
        <w:t>年当期母公司可供分配利润的</w:t>
      </w:r>
      <w:r>
        <w:rPr>
          <w:spacing w:val="-60"/>
        </w:rPr>
        <w:t> </w:t>
      </w:r>
      <w:r>
        <w:rPr>
          <w:rFonts w:ascii="Times New Roman" w:hAnsi="Times New Roman" w:cs="Times New Roman" w:eastAsia="Times New Roman" w:hint="default"/>
        </w:rPr>
        <w:t>20%</w:t>
      </w:r>
      <w:r>
        <w:rPr/>
        <w:t>，即以公司</w:t>
      </w:r>
      <w:r>
        <w:rPr>
          <w:spacing w:val="-60"/>
        </w:rPr>
        <w:t> </w:t>
      </w:r>
      <w:r>
        <w:rPr>
          <w:rFonts w:ascii="Times New Roman" w:hAnsi="Times New Roman" w:cs="Times New Roman" w:eastAsia="Times New Roman" w:hint="default"/>
        </w:rPr>
        <w:t>2012 </w:t>
      </w:r>
      <w:r>
        <w:rPr/>
        <w:t>年末的总股本</w:t>
      </w:r>
      <w:r>
        <w:rPr>
          <w:spacing w:val="-60"/>
        </w:rPr>
        <w:t> </w:t>
      </w:r>
      <w:r>
        <w:rPr>
          <w:rFonts w:ascii="Times New Roman" w:hAnsi="Times New Roman" w:cs="Times New Roman" w:eastAsia="Times New Roman" w:hint="default"/>
        </w:rPr>
        <w:t>90,000,000 </w:t>
      </w:r>
      <w:r>
        <w:rPr/>
        <w:t>股为</w:t>
      </w:r>
    </w:p>
    <w:p>
      <w:pPr>
        <w:pStyle w:val="BodyText"/>
        <w:spacing w:line="240" w:lineRule="auto" w:before="136"/>
        <w:ind w:right="0"/>
        <w:jc w:val="left"/>
        <w:rPr>
          <w:rFonts w:ascii="Times New Roman" w:hAnsi="Times New Roman" w:cs="Times New Roman" w:eastAsia="Times New Roman" w:hint="default"/>
        </w:rPr>
      </w:pPr>
      <w:r>
        <w:rPr/>
        <w:t>基数，向全体股东每</w:t>
      </w:r>
      <w:r>
        <w:rPr>
          <w:spacing w:val="-6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股派发现金红利</w:t>
      </w:r>
      <w:r>
        <w:rPr>
          <w:spacing w:val="-65"/>
        </w:rPr>
        <w:t> </w:t>
      </w:r>
      <w:r>
        <w:rPr>
          <w:rFonts w:ascii="Times New Roman" w:hAnsi="Times New Roman" w:cs="Times New Roman" w:eastAsia="Times New Roman" w:hint="default"/>
        </w:rPr>
        <w:t>1.28577</w:t>
      </w:r>
      <w:r>
        <w:rPr>
          <w:rFonts w:ascii="Times New Roman" w:hAnsi="Times New Roman" w:cs="Times New Roman" w:eastAsia="Times New Roman" w:hint="default"/>
          <w:spacing w:val="-5"/>
        </w:rPr>
        <w:t> </w:t>
      </w:r>
      <w:r>
        <w:rPr/>
        <w:t>元（含税），预计共支付红利</w:t>
      </w:r>
      <w:r>
        <w:rPr>
          <w:spacing w:val="-65"/>
        </w:rPr>
        <w:t> </w:t>
      </w:r>
      <w:r>
        <w:rPr>
          <w:rFonts w:ascii="Times New Roman" w:hAnsi="Times New Roman" w:cs="Times New Roman" w:eastAsia="Times New Roman" w:hint="default"/>
        </w:rPr>
        <w:t>11,571,908.15</w:t>
      </w:r>
    </w:p>
    <w:p>
      <w:pPr>
        <w:pStyle w:val="BodyText"/>
        <w:spacing w:line="240" w:lineRule="auto" w:before="137"/>
        <w:ind w:left="154" w:right="0"/>
        <w:jc w:val="left"/>
      </w:pPr>
      <w:r>
        <w:rPr/>
        <w:t>元人民币（含税）。上述利润分配方案已于</w:t>
      </w:r>
      <w:r>
        <w:rPr>
          <w:spacing w:val="-60"/>
        </w:rPr>
        <w:t> </w:t>
      </w:r>
      <w:r>
        <w:rPr>
          <w:rFonts w:ascii="Times New Roman" w:hAnsi="Times New Roman" w:cs="Times New Roman" w:eastAsia="Times New Roman" w:hint="default"/>
        </w:rPr>
        <w:t>2013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31 </w:t>
      </w:r>
      <w:r>
        <w:rPr/>
        <w:t>日实施完毕。</w:t>
      </w:r>
    </w:p>
    <w:p>
      <w:pPr>
        <w:pStyle w:val="BodyText"/>
        <w:spacing w:line="240" w:lineRule="auto" w:before="174"/>
        <w:ind w:left="633"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日，公司召开了</w:t>
      </w:r>
      <w:r>
        <w:rPr>
          <w:spacing w:val="-6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年年度股东大会，审议通过了《北京中文在线数字</w:t>
      </w:r>
    </w:p>
    <w:p>
      <w:pPr>
        <w:pStyle w:val="BodyText"/>
        <w:spacing w:line="240" w:lineRule="auto" w:before="135"/>
        <w:ind w:right="0"/>
        <w:jc w:val="left"/>
      </w:pPr>
      <w:r>
        <w:rPr/>
        <w:t>出版股份有限公司</w:t>
      </w:r>
      <w:r>
        <w:rPr>
          <w:spacing w:val="-5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spacing w:val="-3"/>
        </w:rPr>
        <w:t>年度利润分配方案》的议案，具体利润分配方案为：向全体股东现金</w:t>
      </w:r>
    </w:p>
    <w:p>
      <w:pPr>
        <w:pStyle w:val="BodyText"/>
        <w:spacing w:line="240" w:lineRule="auto" w:before="135"/>
        <w:ind w:right="0"/>
        <w:jc w:val="left"/>
      </w:pPr>
      <w:r>
        <w:rPr/>
        <w:t>支付</w:t>
      </w:r>
      <w:r>
        <w:rPr>
          <w:spacing w:val="-60"/>
        </w:rPr>
        <w:t> </w:t>
      </w:r>
      <w:r>
        <w:rPr>
          <w:rFonts w:ascii="Times New Roman" w:hAnsi="Times New Roman" w:cs="Times New Roman" w:eastAsia="Times New Roman" w:hint="default"/>
        </w:rPr>
        <w:t>2013 </w:t>
      </w:r>
      <w:r>
        <w:rPr/>
        <w:t>年当期母公司可供分配利润的</w:t>
      </w:r>
      <w:r>
        <w:rPr>
          <w:spacing w:val="-60"/>
        </w:rPr>
        <w:t> </w:t>
      </w:r>
      <w:r>
        <w:rPr>
          <w:rFonts w:ascii="Times New Roman" w:hAnsi="Times New Roman" w:cs="Times New Roman" w:eastAsia="Times New Roman" w:hint="default"/>
        </w:rPr>
        <w:t>20%</w:t>
      </w:r>
      <w:r>
        <w:rPr/>
        <w:t>，即以公司</w:t>
      </w:r>
      <w:r>
        <w:rPr>
          <w:spacing w:val="-60"/>
        </w:rPr>
        <w:t> </w:t>
      </w:r>
      <w:r>
        <w:rPr>
          <w:rFonts w:ascii="Times New Roman" w:hAnsi="Times New Roman" w:cs="Times New Roman" w:eastAsia="Times New Roman" w:hint="default"/>
        </w:rPr>
        <w:t>2013 </w:t>
      </w:r>
      <w:r>
        <w:rPr/>
        <w:t>年末的总股本</w:t>
      </w:r>
      <w:r>
        <w:rPr>
          <w:spacing w:val="-60"/>
        </w:rPr>
        <w:t> </w:t>
      </w:r>
      <w:r>
        <w:rPr>
          <w:rFonts w:ascii="Times New Roman" w:hAnsi="Times New Roman" w:cs="Times New Roman" w:eastAsia="Times New Roman" w:hint="default"/>
        </w:rPr>
        <w:t>90,000,000 </w:t>
      </w:r>
      <w:r>
        <w:rPr/>
        <w:t>股为</w:t>
      </w:r>
    </w:p>
    <w:p>
      <w:pPr>
        <w:pStyle w:val="BodyText"/>
        <w:spacing w:line="240" w:lineRule="auto" w:before="135"/>
        <w:ind w:right="0"/>
        <w:jc w:val="left"/>
      </w:pPr>
      <w:r>
        <w:rPr/>
        <w:t>基数，向全体股东每</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股派发现金红利</w:t>
      </w:r>
      <w:r>
        <w:rPr>
          <w:spacing w:val="-59"/>
        </w:rPr>
        <w:t> </w:t>
      </w:r>
      <w:r>
        <w:rPr>
          <w:rFonts w:ascii="Times New Roman" w:hAnsi="Times New Roman" w:cs="Times New Roman" w:eastAsia="Times New Roman" w:hint="default"/>
        </w:rPr>
        <w:t>0.9222</w:t>
      </w:r>
      <w:r>
        <w:rPr>
          <w:rFonts w:ascii="Times New Roman" w:hAnsi="Times New Roman" w:cs="Times New Roman" w:eastAsia="Times New Roman" w:hint="default"/>
          <w:spacing w:val="1"/>
        </w:rPr>
        <w:t> </w:t>
      </w:r>
      <w:r>
        <w:rPr>
          <w:spacing w:val="-7"/>
        </w:rPr>
        <w:t>元（含税），预计共支付红利</w:t>
      </w:r>
      <w:r>
        <w:rPr>
          <w:spacing w:val="-59"/>
        </w:rPr>
        <w:t> </w:t>
      </w:r>
      <w:r>
        <w:rPr>
          <w:rFonts w:ascii="Times New Roman" w:hAnsi="Times New Roman" w:cs="Times New Roman" w:eastAsia="Times New Roman" w:hint="default"/>
        </w:rPr>
        <w:t>8,299,800.31</w:t>
      </w:r>
      <w:r>
        <w:rPr>
          <w:rFonts w:ascii="Times New Roman" w:hAnsi="Times New Roman" w:cs="Times New Roman" w:eastAsia="Times New Roman" w:hint="default"/>
          <w:spacing w:val="1"/>
        </w:rPr>
        <w:t> </w:t>
      </w:r>
      <w:r>
        <w:rPr/>
        <w:t>元</w:t>
      </w:r>
    </w:p>
    <w:p>
      <w:pPr>
        <w:pStyle w:val="BodyText"/>
        <w:spacing w:line="240" w:lineRule="auto" w:before="137"/>
        <w:ind w:left="154" w:right="0"/>
        <w:jc w:val="left"/>
      </w:pPr>
      <w:r>
        <w:rPr/>
        <w:t>人民币（含税）。上述利润分配方案已于</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17 </w:t>
      </w:r>
      <w:r>
        <w:rPr/>
        <w:t>日实施完毕。</w:t>
      </w:r>
    </w:p>
    <w:p>
      <w:pPr>
        <w:pStyle w:val="BodyText"/>
        <w:spacing w:line="240" w:lineRule="auto" w:before="175"/>
        <w:ind w:left="633" w:right="0"/>
        <w:jc w:val="left"/>
      </w:pPr>
      <w:r>
        <w:rPr/>
        <w:t>公司于</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22 </w:t>
      </w:r>
      <w:r>
        <w:rPr/>
        <w:t>日召开第二届董事会第十一次会议，会议将审议《北京中文在线</w:t>
      </w:r>
    </w:p>
    <w:p>
      <w:pPr>
        <w:pStyle w:val="BodyText"/>
        <w:spacing w:line="240" w:lineRule="auto" w:before="135"/>
        <w:ind w:right="0"/>
        <w:jc w:val="left"/>
      </w:pPr>
      <w:r>
        <w:rPr/>
        <w:t>数字出版股份有限公司</w:t>
      </w:r>
      <w:r>
        <w:rPr>
          <w:spacing w:val="-5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spacing w:val="-3"/>
        </w:rPr>
        <w:t>年度利润分配预案》的议案，具体利润分配方案为：向现有全体</w:t>
      </w:r>
    </w:p>
    <w:p>
      <w:pPr>
        <w:pStyle w:val="BodyText"/>
        <w:spacing w:line="240" w:lineRule="auto" w:before="137"/>
        <w:ind w:right="0"/>
        <w:jc w:val="left"/>
      </w:pPr>
      <w:r>
        <w:rPr/>
        <w:t>股东每</w:t>
      </w:r>
      <w:r>
        <w:rPr>
          <w:spacing w:val="-60"/>
        </w:rPr>
        <w:t> </w:t>
      </w:r>
      <w:r>
        <w:rPr>
          <w:rFonts w:ascii="Times New Roman" w:hAnsi="Times New Roman" w:cs="Times New Roman" w:eastAsia="Times New Roman" w:hint="default"/>
        </w:rPr>
        <w:t>10 </w:t>
      </w:r>
      <w:r>
        <w:rPr/>
        <w:t>股派发</w:t>
      </w:r>
      <w:r>
        <w:rPr>
          <w:spacing w:val="-60"/>
        </w:rPr>
        <w:t> </w:t>
      </w:r>
      <w:r>
        <w:rPr>
          <w:rFonts w:ascii="Times New Roman" w:hAnsi="Times New Roman" w:cs="Times New Roman" w:eastAsia="Times New Roman" w:hint="default"/>
        </w:rPr>
        <w:t>0.80 </w:t>
      </w:r>
      <w:r>
        <w:rPr/>
        <w:t>元人民币（含税），共计派发现金红利</w:t>
      </w:r>
      <w:r>
        <w:rPr>
          <w:spacing w:val="-60"/>
        </w:rPr>
        <w:t> </w:t>
      </w:r>
      <w:r>
        <w:rPr>
          <w:rFonts w:ascii="Times New Roman" w:hAnsi="Times New Roman" w:cs="Times New Roman" w:eastAsia="Times New Roman" w:hint="default"/>
        </w:rPr>
        <w:t>9,600,000.00 </w:t>
      </w:r>
      <w:r>
        <w:rPr/>
        <w:t>元（含税）。</w:t>
      </w:r>
    </w:p>
    <w:p>
      <w:pPr>
        <w:spacing w:line="240" w:lineRule="auto" w:before="5"/>
        <w:rPr>
          <w:rFonts w:ascii="宋体" w:hAnsi="宋体" w:cs="宋体" w:eastAsia="宋体" w:hint="default"/>
          <w:sz w:val="11"/>
          <w:szCs w:val="11"/>
        </w:rPr>
      </w:pPr>
    </w:p>
    <w:p>
      <w:pPr>
        <w:pStyle w:val="BodyText"/>
        <w:spacing w:line="240" w:lineRule="auto"/>
        <w:ind w:left="633" w:right="0"/>
        <w:jc w:val="left"/>
      </w:pPr>
      <w:r>
        <w:rPr/>
        <w:t>公司近三年现金分红情况表：</w:t>
      </w:r>
    </w:p>
    <w:p>
      <w:pPr>
        <w:pStyle w:val="BodyText"/>
        <w:spacing w:line="240" w:lineRule="auto" w:before="114"/>
        <w:ind w:left="0" w:right="150"/>
        <w:jc w:val="right"/>
      </w:pPr>
      <w:r>
        <w:rPr/>
        <w:t>单位：元</w:t>
      </w:r>
    </w:p>
    <w:p>
      <w:pPr>
        <w:spacing w:line="240" w:lineRule="auto" w:before="1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317"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31" w:right="32"/>
              <w:jc w:val="center"/>
              <w:rPr>
                <w:rFonts w:ascii="宋体" w:hAnsi="宋体" w:cs="宋体" w:eastAsia="宋体" w:hint="default"/>
                <w:sz w:val="21"/>
                <w:szCs w:val="21"/>
              </w:rPr>
            </w:pPr>
            <w:r>
              <w:rPr>
                <w:rFonts w:ascii="宋体" w:hAnsi="宋体" w:cs="宋体" w:eastAsia="宋体" w:hint="default"/>
                <w:b/>
                <w:bCs/>
                <w:sz w:val="21"/>
                <w:szCs w:val="21"/>
              </w:rPr>
              <w:t>分红年度合并报表中归属</w:t>
            </w:r>
            <w:r>
              <w:rPr>
                <w:rFonts w:ascii="宋体" w:hAnsi="宋体" w:cs="宋体" w:eastAsia="宋体" w:hint="default"/>
                <w:b/>
                <w:bCs/>
                <w:w w:val="99"/>
                <w:sz w:val="21"/>
                <w:szCs w:val="21"/>
              </w:rPr>
              <w:t> </w:t>
            </w:r>
            <w:r>
              <w:rPr>
                <w:rFonts w:ascii="宋体" w:hAnsi="宋体" w:cs="宋体" w:eastAsia="宋体" w:hint="default"/>
                <w:b/>
                <w:bCs/>
                <w:sz w:val="21"/>
                <w:szCs w:val="21"/>
              </w:rPr>
              <w:t>于上市公司普通股股东的</w:t>
            </w:r>
            <w:r>
              <w:rPr>
                <w:rFonts w:ascii="宋体" w:hAnsi="宋体" w:cs="宋体" w:eastAsia="宋体" w:hint="default"/>
                <w:b/>
                <w:bCs/>
                <w:w w:val="99"/>
                <w:sz w:val="21"/>
                <w:szCs w:val="21"/>
              </w:rPr>
              <w:t> </w:t>
            </w:r>
            <w:r>
              <w:rPr>
                <w:rFonts w:ascii="宋体" w:hAnsi="宋体" w:cs="宋体" w:eastAsia="宋体" w:hint="default"/>
                <w:b/>
                <w:bCs/>
                <w:sz w:val="21"/>
                <w:szCs w:val="21"/>
              </w:rPr>
              <w:t>净利润</w:t>
            </w:r>
            <w:r>
              <w:rPr>
                <w:rFonts w:ascii="宋体" w:hAnsi="宋体" w:cs="宋体" w:eastAsia="宋体" w:hint="default"/>
                <w:sz w:val="21"/>
                <w:szCs w:val="21"/>
              </w:rPr>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31" w:right="32"/>
              <w:jc w:val="center"/>
              <w:rPr>
                <w:rFonts w:ascii="宋体" w:hAnsi="宋体" w:cs="宋体" w:eastAsia="宋体" w:hint="default"/>
                <w:sz w:val="21"/>
                <w:szCs w:val="21"/>
              </w:rPr>
            </w:pPr>
            <w:r>
              <w:rPr>
                <w:rFonts w:ascii="宋体" w:hAnsi="宋体" w:cs="宋体" w:eastAsia="宋体" w:hint="default"/>
                <w:b/>
                <w:bCs/>
                <w:sz w:val="21"/>
                <w:szCs w:val="21"/>
              </w:rPr>
              <w:t>占合并报表中归属于上市</w:t>
            </w:r>
            <w:r>
              <w:rPr>
                <w:rFonts w:ascii="宋体" w:hAnsi="宋体" w:cs="宋体" w:eastAsia="宋体" w:hint="default"/>
                <w:b/>
                <w:bCs/>
                <w:w w:val="99"/>
                <w:sz w:val="21"/>
                <w:szCs w:val="21"/>
              </w:rPr>
              <w:t> </w:t>
            </w:r>
            <w:r>
              <w:rPr>
                <w:rFonts w:ascii="宋体" w:hAnsi="宋体" w:cs="宋体" w:eastAsia="宋体" w:hint="default"/>
                <w:b/>
                <w:bCs/>
                <w:sz w:val="21"/>
                <w:szCs w:val="21"/>
              </w:rPr>
              <w:t>公司普通股股东的净利润</w:t>
            </w:r>
            <w:r>
              <w:rPr>
                <w:rFonts w:ascii="宋体" w:hAnsi="宋体" w:cs="宋体" w:eastAsia="宋体" w:hint="default"/>
                <w:b/>
                <w:bCs/>
                <w:w w:val="99"/>
                <w:sz w:val="21"/>
                <w:szCs w:val="21"/>
              </w:rPr>
              <w:t> </w:t>
            </w:r>
            <w:r>
              <w:rPr>
                <w:rFonts w:ascii="宋体" w:hAnsi="宋体" w:cs="宋体" w:eastAsia="宋体" w:hint="default"/>
                <w:b/>
                <w:bCs/>
                <w:sz w:val="21"/>
                <w:szCs w:val="21"/>
              </w:rPr>
              <w:t>的比率</w:t>
            </w:r>
            <w:r>
              <w:rPr>
                <w:rFonts w:ascii="宋体" w:hAnsi="宋体" w:cs="宋体" w:eastAsia="宋体" w:hint="default"/>
                <w:sz w:val="21"/>
                <w:szCs w:val="21"/>
              </w:rPr>
            </w:r>
          </w:p>
        </w:tc>
      </w:tr>
      <w:tr>
        <w:trPr>
          <w:trHeight w:val="392" w:hRule="exact"/>
        </w:trPr>
        <w:tc>
          <w:tcPr>
            <w:tcW w:w="23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758" w:right="0"/>
              <w:jc w:val="left"/>
              <w:rPr>
                <w:rFonts w:ascii="宋体" w:hAnsi="宋体" w:cs="宋体" w:eastAsia="宋体" w:hint="default"/>
                <w:sz w:val="21"/>
                <w:szCs w:val="21"/>
              </w:rPr>
            </w:pPr>
            <w:r>
              <w:rPr>
                <w:rFonts w:ascii="宋体" w:hAnsi="宋体" w:cs="宋体" w:eastAsia="宋体" w:hint="default"/>
                <w:b/>
                <w:bCs/>
                <w:sz w:val="21"/>
                <w:szCs w:val="21"/>
              </w:rPr>
              <w:t>分红年度</w:t>
            </w:r>
            <w:r>
              <w:rPr>
                <w:rFonts w:ascii="宋体" w:hAnsi="宋体" w:cs="宋体" w:eastAsia="宋体" w:hint="default"/>
                <w:sz w:val="21"/>
                <w:szCs w:val="21"/>
              </w:rPr>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37" w:right="0"/>
              <w:jc w:val="left"/>
              <w:rPr>
                <w:rFonts w:ascii="宋体" w:hAnsi="宋体" w:cs="宋体" w:eastAsia="宋体" w:hint="default"/>
                <w:sz w:val="21"/>
                <w:szCs w:val="21"/>
              </w:rPr>
            </w:pPr>
            <w:r>
              <w:rPr>
                <w:rFonts w:ascii="宋体" w:hAnsi="宋体" w:cs="宋体" w:eastAsia="宋体" w:hint="default"/>
                <w:b/>
                <w:bCs/>
                <w:sz w:val="21"/>
                <w:szCs w:val="21"/>
              </w:rPr>
              <w:t>现金分红金额（含税）</w:t>
            </w:r>
            <w:r>
              <w:rPr>
                <w:rFonts w:ascii="宋体" w:hAnsi="宋体" w:cs="宋体" w:eastAsia="宋体" w:hint="default"/>
                <w:sz w:val="21"/>
                <w:szCs w:val="21"/>
              </w:rPr>
            </w:r>
          </w:p>
        </w:tc>
        <w:tc>
          <w:tcPr>
            <w:tcW w:w="2392" w:type="dxa"/>
            <w:vMerge/>
            <w:tcBorders>
              <w:left w:val="single" w:sz="4" w:space="0" w:color="000000"/>
              <w:right w:val="single" w:sz="4" w:space="0" w:color="000000"/>
            </w:tcBorders>
            <w:shd w:val="clear" w:color="auto" w:fill="D2D2D2"/>
          </w:tcPr>
          <w:p>
            <w:pPr/>
          </w:p>
        </w:tc>
        <w:tc>
          <w:tcPr>
            <w:tcW w:w="2392" w:type="dxa"/>
            <w:vMerge/>
            <w:tcBorders>
              <w:left w:val="single" w:sz="4" w:space="0" w:color="000000"/>
              <w:right w:val="single" w:sz="4" w:space="0" w:color="000000"/>
            </w:tcBorders>
            <w:shd w:val="clear" w:color="auto" w:fill="D2D2D2"/>
          </w:tcPr>
          <w:p>
            <w:pPr/>
          </w:p>
        </w:tc>
      </w:tr>
      <w:tr>
        <w:trPr>
          <w:trHeight w:val="317"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9,600,000.00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46,169,543.67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20.79%</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8,299,800.31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44,873,935.32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18.50%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11,571,908.15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54,398,804.97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21.27%</w:t>
            </w:r>
          </w:p>
        </w:tc>
      </w:tr>
    </w:tbl>
    <w:p>
      <w:pPr>
        <w:pStyle w:val="BodyText"/>
        <w:spacing w:line="240" w:lineRule="auto" w:before="81"/>
        <w:ind w:left="634" w:right="0"/>
        <w:jc w:val="left"/>
      </w:pPr>
      <w:r>
        <w:rPr/>
        <w:t>公司报告期内盈利且母公司未分配利润为正但未提出现金红利分配预案</w:t>
      </w:r>
    </w:p>
    <w:p>
      <w:pPr>
        <w:spacing w:line="496" w:lineRule="auto" w:before="194"/>
        <w:ind w:left="154" w:right="353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六、内幕信息知情人管理制度的建立和执行情况" w:id="31"/>
      <w:bookmarkEnd w:id="31"/>
      <w:r>
        <w:rPr>
          <w:rFonts w:ascii="宋体" w:hAnsi="宋体" w:cs="宋体" w:eastAsia="宋体" w:hint="default"/>
          <w:sz w:val="24"/>
          <w:szCs w:val="24"/>
        </w:rPr>
      </w:r>
      <w:r>
        <w:rPr>
          <w:rFonts w:ascii="宋体" w:hAnsi="宋体" w:cs="宋体" w:eastAsia="宋体" w:hint="default"/>
          <w:b/>
          <w:bCs/>
          <w:w w:val="95"/>
          <w:sz w:val="24"/>
          <w:szCs w:val="24"/>
        </w:rPr>
        <w:t>六、内幕信息知情人管理制度的建立和执行情况</w:t>
      </w:r>
      <w:r>
        <w:rPr>
          <w:rFonts w:ascii="宋体" w:hAnsi="宋体" w:cs="宋体" w:eastAsia="宋体" w:hint="default"/>
          <w:sz w:val="24"/>
          <w:szCs w:val="24"/>
        </w:rPr>
      </w:r>
    </w:p>
    <w:p>
      <w:pPr>
        <w:spacing w:line="525" w:lineRule="auto" w:before="121"/>
        <w:ind w:left="153" w:right="1133" w:firstLine="480"/>
        <w:jc w:val="left"/>
        <w:rPr>
          <w:rFonts w:ascii="宋体" w:hAnsi="宋体" w:cs="宋体" w:eastAsia="宋体" w:hint="default"/>
          <w:sz w:val="24"/>
          <w:szCs w:val="24"/>
        </w:rPr>
      </w:pPr>
      <w:r>
        <w:rPr>
          <w:rFonts w:ascii="宋体" w:hAnsi="宋体" w:cs="宋体" w:eastAsia="宋体" w:hint="default"/>
          <w:sz w:val="24"/>
          <w:szCs w:val="24"/>
        </w:rPr>
        <w:t>现已建立《内幕信息知情人登记管理制度》，报告期内内幕交易情况不适用。 </w:t>
      </w:r>
      <w:bookmarkStart w:name="七、报告期内接待调研、沟通、采访等活动登记表" w:id="32"/>
      <w:bookmarkEnd w:id="32"/>
      <w:r>
        <w:rPr>
          <w:rFonts w:ascii="宋体" w:hAnsi="宋体" w:cs="宋体" w:eastAsia="宋体" w:hint="default"/>
          <w:sz w:val="24"/>
          <w:szCs w:val="24"/>
        </w:rPr>
      </w:r>
      <w:r>
        <w:rPr>
          <w:rFonts w:ascii="宋体" w:hAnsi="宋体" w:cs="宋体" w:eastAsia="宋体" w:hint="default"/>
          <w:b/>
          <w:bCs/>
          <w:sz w:val="24"/>
          <w:szCs w:val="24"/>
        </w:rPr>
        <w:t>七、报告期内接待调研、沟通、采访等活动登记表</w:t>
      </w:r>
      <w:r>
        <w:rPr>
          <w:rFonts w:ascii="宋体" w:hAnsi="宋体" w:cs="宋体" w:eastAsia="宋体" w:hint="default"/>
          <w:sz w:val="24"/>
          <w:szCs w:val="24"/>
        </w:rPr>
      </w:r>
    </w:p>
    <w:p>
      <w:pPr>
        <w:pStyle w:val="BodyText"/>
        <w:spacing w:line="367" w:lineRule="auto" w:before="93"/>
        <w:ind w:left="634" w:right="3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公司报告期内未发生接待调研、沟通、采访等活动。</w:t>
      </w:r>
    </w:p>
    <w:p>
      <w:pPr>
        <w:spacing w:after="0" w:line="367" w:lineRule="auto"/>
        <w:jc w:val="left"/>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34"/>
        <w:jc w:val="center"/>
        <w:rPr>
          <w:b w:val="0"/>
          <w:bCs w:val="0"/>
        </w:rPr>
      </w:pPr>
      <w:bookmarkStart w:name="第五节 重要事项" w:id="33"/>
      <w:bookmarkEnd w:id="33"/>
      <w:r>
        <w:rPr>
          <w:b w:val="0"/>
          <w:bCs w:val="0"/>
        </w:rPr>
      </w:r>
      <w:bookmarkStart w:name="_bookmark4" w:id="34"/>
      <w:bookmarkEnd w:id="34"/>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before="26"/>
        <w:ind w:left="153" w:right="0" w:firstLine="0"/>
        <w:jc w:val="left"/>
        <w:rPr>
          <w:rFonts w:ascii="宋体" w:hAnsi="宋体" w:cs="宋体" w:eastAsia="宋体" w:hint="default"/>
          <w:sz w:val="24"/>
          <w:szCs w:val="24"/>
        </w:rPr>
      </w:pPr>
      <w:bookmarkStart w:name="一、重大诉讼仲裁事项" w:id="35"/>
      <w:bookmarkEnd w:id="35"/>
      <w:r>
        <w:rPr/>
      </w:r>
      <w:r>
        <w:rPr>
          <w:rFonts w:ascii="宋体" w:hAnsi="宋体" w:cs="宋体" w:eastAsia="宋体" w:hint="default"/>
          <w:b/>
          <w:bCs/>
          <w:sz w:val="24"/>
          <w:szCs w:val="24"/>
        </w:rPr>
        <w:t>一、重大诉讼仲裁事项</w:t>
      </w:r>
      <w:r>
        <w:rPr>
          <w:rFonts w:ascii="宋体" w:hAnsi="宋体" w:cs="宋体" w:eastAsia="宋体" w:hint="default"/>
          <w:sz w:val="24"/>
          <w:szCs w:val="24"/>
        </w:rPr>
      </w:r>
    </w:p>
    <w:p>
      <w:pPr>
        <w:spacing w:line="240" w:lineRule="auto" w:before="11"/>
        <w:rPr>
          <w:rFonts w:ascii="宋体" w:hAnsi="宋体" w:cs="宋体" w:eastAsia="宋体" w:hint="default"/>
          <w:b/>
          <w:bCs/>
          <w:sz w:val="28"/>
          <w:szCs w:val="28"/>
        </w:rPr>
      </w:pPr>
    </w:p>
    <w:p>
      <w:pPr>
        <w:pStyle w:val="BodyText"/>
        <w:spacing w:line="367" w:lineRule="auto" w:before="0"/>
        <w:ind w:left="634" w:right="54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本年度公司无重大诉讼、仲裁事项。</w:t>
      </w:r>
    </w:p>
    <w:p>
      <w:pPr>
        <w:spacing w:line="240" w:lineRule="auto" w:before="12"/>
        <w:rPr>
          <w:rFonts w:ascii="宋体" w:hAnsi="宋体" w:cs="宋体" w:eastAsia="宋体" w:hint="default"/>
          <w:sz w:val="18"/>
          <w:szCs w:val="18"/>
        </w:rPr>
      </w:pPr>
    </w:p>
    <w:p>
      <w:pPr>
        <w:spacing w:before="0"/>
        <w:ind w:left="154" w:right="0" w:firstLine="0"/>
        <w:jc w:val="left"/>
        <w:rPr>
          <w:rFonts w:ascii="宋体" w:hAnsi="宋体" w:cs="宋体" w:eastAsia="宋体" w:hint="default"/>
          <w:sz w:val="24"/>
          <w:szCs w:val="24"/>
        </w:rPr>
      </w:pPr>
      <w:bookmarkStart w:name="二、上市公司发生控股股东及其关联方非经营性占用资金情况" w:id="36"/>
      <w:bookmarkEnd w:id="36"/>
      <w:r>
        <w:rPr/>
      </w:r>
      <w:r>
        <w:rPr>
          <w:rFonts w:ascii="宋体" w:hAnsi="宋体" w:cs="宋体" w:eastAsia="宋体" w:hint="default"/>
          <w:b/>
          <w:bCs/>
          <w:sz w:val="24"/>
          <w:szCs w:val="24"/>
        </w:rPr>
        <w:t>二、上市公司发生控股股东及其关联方非经营性占用资金情况</w:t>
      </w:r>
      <w:r>
        <w:rPr>
          <w:rFonts w:ascii="宋体" w:hAnsi="宋体" w:cs="宋体" w:eastAsia="宋体" w:hint="default"/>
          <w:sz w:val="24"/>
          <w:szCs w:val="24"/>
        </w:rPr>
      </w:r>
    </w:p>
    <w:p>
      <w:pPr>
        <w:spacing w:line="240" w:lineRule="auto" w:before="12"/>
        <w:rPr>
          <w:rFonts w:ascii="宋体" w:hAnsi="宋体" w:cs="宋体" w:eastAsia="宋体" w:hint="default"/>
          <w:b/>
          <w:bCs/>
          <w:sz w:val="28"/>
          <w:szCs w:val="28"/>
        </w:rPr>
      </w:pPr>
    </w:p>
    <w:p>
      <w:pPr>
        <w:pStyle w:val="BodyText"/>
        <w:spacing w:line="367" w:lineRule="auto" w:before="0"/>
        <w:ind w:left="63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不适用 公司报告期不存在上市公司发生控股股东及其关联方非经营性占用资金情况。</w:t>
      </w:r>
    </w:p>
    <w:p>
      <w:pPr>
        <w:spacing w:line="240" w:lineRule="auto" w:before="12"/>
        <w:rPr>
          <w:rFonts w:ascii="宋体" w:hAnsi="宋体" w:cs="宋体" w:eastAsia="宋体" w:hint="default"/>
          <w:sz w:val="18"/>
          <w:szCs w:val="18"/>
        </w:rPr>
      </w:pPr>
    </w:p>
    <w:p>
      <w:pPr>
        <w:spacing w:before="0"/>
        <w:ind w:left="153" w:right="0" w:firstLine="0"/>
        <w:jc w:val="left"/>
        <w:rPr>
          <w:rFonts w:ascii="宋体" w:hAnsi="宋体" w:cs="宋体" w:eastAsia="宋体" w:hint="default"/>
          <w:sz w:val="24"/>
          <w:szCs w:val="24"/>
        </w:rPr>
      </w:pPr>
      <w:bookmarkStart w:name="三、破产重整相关事项" w:id="37"/>
      <w:bookmarkEnd w:id="37"/>
      <w:r>
        <w:rPr/>
      </w:r>
      <w:r>
        <w:rPr>
          <w:rFonts w:ascii="宋体" w:hAnsi="宋体" w:cs="宋体" w:eastAsia="宋体" w:hint="default"/>
          <w:b/>
          <w:bCs/>
          <w:sz w:val="24"/>
          <w:szCs w:val="24"/>
        </w:rPr>
        <w:t>三、破产重整相关事项</w:t>
      </w:r>
      <w:r>
        <w:rPr>
          <w:rFonts w:ascii="宋体" w:hAnsi="宋体" w:cs="宋体" w:eastAsia="宋体" w:hint="default"/>
          <w:sz w:val="24"/>
          <w:szCs w:val="24"/>
        </w:rPr>
      </w:r>
    </w:p>
    <w:p>
      <w:pPr>
        <w:spacing w:line="240" w:lineRule="auto" w:before="12"/>
        <w:rPr>
          <w:rFonts w:ascii="宋体" w:hAnsi="宋体" w:cs="宋体" w:eastAsia="宋体" w:hint="default"/>
          <w:b/>
          <w:bCs/>
          <w:sz w:val="28"/>
          <w:szCs w:val="28"/>
        </w:rPr>
      </w:pPr>
    </w:p>
    <w:p>
      <w:pPr>
        <w:pStyle w:val="BodyText"/>
        <w:spacing w:line="367" w:lineRule="auto" w:before="0"/>
        <w:ind w:left="634" w:right="52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公司报告期未发生破产重整相关事项。</w:t>
      </w:r>
    </w:p>
    <w:p>
      <w:pPr>
        <w:spacing w:line="240" w:lineRule="auto" w:before="1"/>
        <w:rPr>
          <w:rFonts w:ascii="宋体" w:hAnsi="宋体" w:cs="宋体" w:eastAsia="宋体" w:hint="default"/>
          <w:sz w:val="19"/>
          <w:szCs w:val="19"/>
        </w:rPr>
      </w:pPr>
    </w:p>
    <w:p>
      <w:pPr>
        <w:spacing w:before="0"/>
        <w:ind w:left="154" w:right="0" w:firstLine="0"/>
        <w:jc w:val="left"/>
        <w:rPr>
          <w:rFonts w:ascii="宋体" w:hAnsi="宋体" w:cs="宋体" w:eastAsia="宋体" w:hint="default"/>
          <w:sz w:val="24"/>
          <w:szCs w:val="24"/>
        </w:rPr>
      </w:pPr>
      <w:bookmarkStart w:name="四、资产交易事项" w:id="38"/>
      <w:bookmarkEnd w:id="38"/>
      <w:r>
        <w:rPr/>
      </w:r>
      <w:r>
        <w:rPr>
          <w:rFonts w:ascii="宋体" w:hAnsi="宋体" w:cs="宋体" w:eastAsia="宋体" w:hint="default"/>
          <w:b/>
          <w:bCs/>
          <w:sz w:val="24"/>
          <w:szCs w:val="24"/>
        </w:rPr>
        <w:t>四、资产交易事项</w:t>
      </w:r>
      <w:r>
        <w:rPr>
          <w:rFonts w:ascii="宋体" w:hAnsi="宋体" w:cs="宋体" w:eastAsia="宋体" w:hint="default"/>
          <w:sz w:val="24"/>
          <w:szCs w:val="24"/>
        </w:rPr>
      </w:r>
    </w:p>
    <w:p>
      <w:pPr>
        <w:spacing w:line="240" w:lineRule="auto" w:before="11"/>
        <w:rPr>
          <w:rFonts w:ascii="宋体" w:hAnsi="宋体" w:cs="宋体" w:eastAsia="宋体" w:hint="default"/>
          <w:b/>
          <w:bCs/>
          <w:sz w:val="22"/>
          <w:szCs w:val="22"/>
        </w:rPr>
      </w:pPr>
    </w:p>
    <w:p>
      <w:pPr>
        <w:spacing w:before="0"/>
        <w:ind w:left="154" w:right="0" w:firstLine="0"/>
        <w:jc w:val="left"/>
        <w:rPr>
          <w:rFonts w:ascii="宋体" w:hAnsi="宋体" w:cs="宋体" w:eastAsia="宋体" w:hint="default"/>
          <w:sz w:val="24"/>
          <w:szCs w:val="24"/>
        </w:rPr>
      </w:pPr>
      <w:bookmarkStart w:name="1、收购资产情况" w:id="39"/>
      <w:bookmarkEnd w:id="39"/>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、收购资产情况</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pStyle w:val="BodyText"/>
        <w:spacing w:line="367" w:lineRule="auto" w:before="0"/>
        <w:ind w:left="634" w:right="6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公司报告期未收购资产。</w:t>
      </w:r>
    </w:p>
    <w:p>
      <w:pPr>
        <w:spacing w:line="240" w:lineRule="auto" w:before="12"/>
        <w:rPr>
          <w:rFonts w:ascii="宋体" w:hAnsi="宋体" w:cs="宋体" w:eastAsia="宋体" w:hint="default"/>
          <w:sz w:val="18"/>
          <w:szCs w:val="18"/>
        </w:rPr>
      </w:pPr>
    </w:p>
    <w:p>
      <w:pPr>
        <w:spacing w:before="0"/>
        <w:ind w:left="154" w:right="0" w:firstLine="0"/>
        <w:jc w:val="left"/>
        <w:rPr>
          <w:rFonts w:ascii="宋体" w:hAnsi="宋体" w:cs="宋体" w:eastAsia="宋体" w:hint="default"/>
          <w:sz w:val="24"/>
          <w:szCs w:val="24"/>
        </w:rPr>
      </w:pPr>
      <w:bookmarkStart w:name="2、出售资产情况" w:id="40"/>
      <w:bookmarkEnd w:id="40"/>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、出售资产情况</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pStyle w:val="BodyText"/>
        <w:spacing w:line="367" w:lineRule="auto" w:before="0"/>
        <w:ind w:left="634" w:right="6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公司报告期未出售资产。</w:t>
      </w:r>
    </w:p>
    <w:p>
      <w:pPr>
        <w:spacing w:line="240" w:lineRule="auto" w:before="0"/>
        <w:rPr>
          <w:rFonts w:ascii="宋体" w:hAnsi="宋体" w:cs="宋体" w:eastAsia="宋体" w:hint="default"/>
          <w:sz w:val="19"/>
          <w:szCs w:val="19"/>
        </w:rPr>
      </w:pPr>
    </w:p>
    <w:p>
      <w:pPr>
        <w:spacing w:before="0"/>
        <w:ind w:left="154" w:right="0" w:firstLine="0"/>
        <w:jc w:val="left"/>
        <w:rPr>
          <w:rFonts w:ascii="宋体" w:hAnsi="宋体" w:cs="宋体" w:eastAsia="宋体" w:hint="default"/>
          <w:sz w:val="24"/>
          <w:szCs w:val="24"/>
        </w:rPr>
      </w:pPr>
      <w:bookmarkStart w:name="3、企业合并情况" w:id="41"/>
      <w:bookmarkEnd w:id="41"/>
      <w:r>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、企业合并情况</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pStyle w:val="BodyText"/>
        <w:spacing w:line="367" w:lineRule="auto" w:before="0"/>
        <w:ind w:left="634" w:right="5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公司报告期未发生企业合并情况。</w:t>
      </w:r>
    </w:p>
    <w:p>
      <w:pPr>
        <w:spacing w:after="0" w:line="367" w:lineRule="auto"/>
        <w:jc w:val="left"/>
        <w:sectPr>
          <w:pgSz w:w="11910" w:h="16840"/>
          <w:pgMar w:header="877" w:footer="979" w:top="1100" w:bottom="1160" w:left="980" w:right="980"/>
        </w:sectPr>
      </w:pPr>
    </w:p>
    <w:p>
      <w:pPr>
        <w:spacing w:line="240" w:lineRule="auto" w:before="8"/>
        <w:rPr>
          <w:rFonts w:ascii="宋体" w:hAnsi="宋体" w:cs="宋体" w:eastAsia="宋体" w:hint="default"/>
          <w:sz w:val="19"/>
          <w:szCs w:val="19"/>
        </w:rPr>
      </w:pPr>
    </w:p>
    <w:p>
      <w:pPr>
        <w:spacing w:line="314" w:lineRule="exact" w:before="55"/>
        <w:ind w:left="154" w:right="0" w:firstLine="0"/>
        <w:jc w:val="left"/>
        <w:rPr>
          <w:rFonts w:ascii="宋体" w:hAnsi="宋体" w:cs="宋体" w:eastAsia="宋体" w:hint="default"/>
          <w:sz w:val="24"/>
          <w:szCs w:val="24"/>
        </w:rPr>
      </w:pPr>
      <w:bookmarkStart w:name="4、自资产重组报告书或收购出售资产公告刊登后，该事项的进展情况及对报告期经营成果" w:id="42"/>
      <w:bookmarkEnd w:id="42"/>
      <w:r>
        <w:rPr/>
      </w:r>
      <w:r>
        <w:rPr>
          <w:rFonts w:ascii="Times New Roman" w:hAnsi="Times New Roman" w:cs="Times New Roman" w:eastAsia="Times New Roman" w:hint="default"/>
          <w:b/>
          <w:bCs/>
          <w:spacing w:val="-3"/>
          <w:w w:val="95"/>
          <w:sz w:val="24"/>
          <w:szCs w:val="24"/>
        </w:rPr>
        <w:t>4</w:t>
      </w:r>
      <w:r>
        <w:rPr>
          <w:rFonts w:ascii="宋体" w:hAnsi="宋体" w:cs="宋体" w:eastAsia="宋体" w:hint="default"/>
          <w:b/>
          <w:bCs/>
          <w:spacing w:val="-3"/>
          <w:w w:val="95"/>
          <w:sz w:val="24"/>
          <w:szCs w:val="24"/>
        </w:rPr>
        <w:t>、自资产重组报告书或收购出售资产公告刊登后，该事项的进展情况及对报告期经营成果与</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r>
        <w:rPr>
          <w:rFonts w:ascii="宋体" w:hAnsi="宋体" w:cs="宋体" w:eastAsia="宋体" w:hint="default"/>
          <w:b/>
          <w:bCs/>
          <w:sz w:val="24"/>
          <w:szCs w:val="24"/>
        </w:rPr>
        <w:t>财务状况的影响</w:t>
      </w:r>
      <w:r>
        <w:rPr>
          <w:rFonts w:ascii="宋体" w:hAnsi="宋体" w:cs="宋体" w:eastAsia="宋体" w:hint="default"/>
          <w:sz w:val="24"/>
          <w:szCs w:val="24"/>
        </w:rPr>
      </w:r>
    </w:p>
    <w:p>
      <w:pPr>
        <w:spacing w:line="240" w:lineRule="auto" w:before="8"/>
        <w:rPr>
          <w:rFonts w:ascii="宋体" w:hAnsi="宋体" w:cs="宋体" w:eastAsia="宋体" w:hint="default"/>
          <w:b/>
          <w:bCs/>
          <w:sz w:val="26"/>
          <w:szCs w:val="26"/>
        </w:rPr>
      </w:pPr>
    </w:p>
    <w:p>
      <w:pPr>
        <w:spacing w:line="496" w:lineRule="auto" w:before="0"/>
        <w:ind w:left="154" w:right="569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五、公司股权激励的实施情况及其影响" w:id="43"/>
      <w:bookmarkEnd w:id="43"/>
      <w:r>
        <w:rPr>
          <w:rFonts w:ascii="宋体" w:hAnsi="宋体" w:cs="宋体" w:eastAsia="宋体" w:hint="default"/>
          <w:sz w:val="24"/>
          <w:szCs w:val="24"/>
        </w:rPr>
      </w:r>
      <w:r>
        <w:rPr>
          <w:rFonts w:ascii="宋体" w:hAnsi="宋体" w:cs="宋体" w:eastAsia="宋体" w:hint="default"/>
          <w:b/>
          <w:bCs/>
          <w:w w:val="95"/>
          <w:sz w:val="24"/>
          <w:szCs w:val="24"/>
        </w:rPr>
        <w:t>五、公司股权激励的实施情况及其影响</w:t>
      </w:r>
      <w:r>
        <w:rPr>
          <w:rFonts w:ascii="宋体" w:hAnsi="宋体" w:cs="宋体" w:eastAsia="宋体" w:hint="default"/>
          <w:sz w:val="24"/>
          <w:szCs w:val="24"/>
        </w:rPr>
      </w:r>
    </w:p>
    <w:p>
      <w:pPr>
        <w:pStyle w:val="BodyText"/>
        <w:spacing w:line="367" w:lineRule="auto" w:before="121"/>
        <w:ind w:left="634" w:right="47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公司报告期无股权激励计划及其实施情况。</w:t>
      </w:r>
    </w:p>
    <w:p>
      <w:pPr>
        <w:spacing w:line="240" w:lineRule="auto" w:before="12"/>
        <w:rPr>
          <w:rFonts w:ascii="宋体" w:hAnsi="宋体" w:cs="宋体" w:eastAsia="宋体" w:hint="default"/>
          <w:sz w:val="18"/>
          <w:szCs w:val="18"/>
        </w:rPr>
      </w:pPr>
    </w:p>
    <w:p>
      <w:pPr>
        <w:spacing w:before="0"/>
        <w:ind w:left="154" w:right="0" w:firstLine="0"/>
        <w:jc w:val="left"/>
        <w:rPr>
          <w:rFonts w:ascii="宋体" w:hAnsi="宋体" w:cs="宋体" w:eastAsia="宋体" w:hint="default"/>
          <w:sz w:val="24"/>
          <w:szCs w:val="24"/>
        </w:rPr>
      </w:pPr>
      <w:bookmarkStart w:name="六、重大关联交易" w:id="44"/>
      <w:bookmarkEnd w:id="44"/>
      <w:r>
        <w:rPr/>
      </w:r>
      <w:r>
        <w:rPr>
          <w:rFonts w:ascii="宋体" w:hAnsi="宋体" w:cs="宋体" w:eastAsia="宋体" w:hint="default"/>
          <w:b/>
          <w:bCs/>
          <w:sz w:val="24"/>
          <w:szCs w:val="24"/>
        </w:rPr>
        <w:t>六、重大关联交易</w:t>
      </w:r>
      <w:r>
        <w:rPr>
          <w:rFonts w:ascii="宋体" w:hAnsi="宋体" w:cs="宋体" w:eastAsia="宋体" w:hint="default"/>
          <w:sz w:val="24"/>
          <w:szCs w:val="24"/>
        </w:rPr>
      </w:r>
    </w:p>
    <w:p>
      <w:pPr>
        <w:spacing w:line="240" w:lineRule="auto" w:before="12"/>
        <w:rPr>
          <w:rFonts w:ascii="宋体" w:hAnsi="宋体" w:cs="宋体" w:eastAsia="宋体" w:hint="default"/>
          <w:b/>
          <w:bCs/>
          <w:sz w:val="22"/>
          <w:szCs w:val="22"/>
        </w:rPr>
      </w:pPr>
    </w:p>
    <w:p>
      <w:pPr>
        <w:spacing w:before="0"/>
        <w:ind w:left="154" w:right="0" w:firstLine="0"/>
        <w:jc w:val="left"/>
        <w:rPr>
          <w:rFonts w:ascii="宋体" w:hAnsi="宋体" w:cs="宋体" w:eastAsia="宋体" w:hint="default"/>
          <w:sz w:val="24"/>
          <w:szCs w:val="24"/>
        </w:rPr>
      </w:pPr>
      <w:bookmarkStart w:name="1、与日常经营相关的关联交易" w:id="45"/>
      <w:bookmarkEnd w:id="45"/>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、与日常经营相关的关联交易</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pStyle w:val="BodyText"/>
        <w:spacing w:line="367" w:lineRule="auto" w:before="0"/>
        <w:ind w:left="634" w:right="42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公司报告期未发生与日常经营相关的关联交易。</w:t>
      </w:r>
    </w:p>
    <w:p>
      <w:pPr>
        <w:spacing w:line="240" w:lineRule="auto" w:before="12"/>
        <w:rPr>
          <w:rFonts w:ascii="宋体" w:hAnsi="宋体" w:cs="宋体" w:eastAsia="宋体" w:hint="default"/>
          <w:sz w:val="18"/>
          <w:szCs w:val="18"/>
        </w:rPr>
      </w:pPr>
    </w:p>
    <w:p>
      <w:pPr>
        <w:spacing w:before="0"/>
        <w:ind w:left="153" w:right="0" w:firstLine="0"/>
        <w:jc w:val="left"/>
        <w:rPr>
          <w:rFonts w:ascii="宋体" w:hAnsi="宋体" w:cs="宋体" w:eastAsia="宋体" w:hint="default"/>
          <w:sz w:val="24"/>
          <w:szCs w:val="24"/>
        </w:rPr>
      </w:pPr>
      <w:bookmarkStart w:name="2、资产收购、出售发生的关联交易" w:id="46"/>
      <w:bookmarkEnd w:id="46"/>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、资产收购、出售发生的关联交易</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pStyle w:val="BodyText"/>
        <w:spacing w:line="367" w:lineRule="auto" w:before="0"/>
        <w:ind w:left="634" w:right="42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公司报告期未发生资产收购、出售的关联交易。</w:t>
      </w:r>
    </w:p>
    <w:p>
      <w:pPr>
        <w:spacing w:line="240" w:lineRule="auto" w:before="0"/>
        <w:rPr>
          <w:rFonts w:ascii="宋体" w:hAnsi="宋体" w:cs="宋体" w:eastAsia="宋体" w:hint="default"/>
          <w:sz w:val="19"/>
          <w:szCs w:val="19"/>
        </w:rPr>
      </w:pPr>
    </w:p>
    <w:p>
      <w:pPr>
        <w:spacing w:before="0"/>
        <w:ind w:left="153" w:right="0" w:firstLine="0"/>
        <w:jc w:val="left"/>
        <w:rPr>
          <w:rFonts w:ascii="宋体" w:hAnsi="宋体" w:cs="宋体" w:eastAsia="宋体" w:hint="default"/>
          <w:sz w:val="24"/>
          <w:szCs w:val="24"/>
        </w:rPr>
      </w:pPr>
      <w:bookmarkStart w:name="3、共同对外投资的重大关联交易" w:id="47"/>
      <w:bookmarkEnd w:id="47"/>
      <w:r>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、共同对外投资的重大关联交易</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pStyle w:val="BodyText"/>
        <w:spacing w:line="367" w:lineRule="auto" w:before="0"/>
        <w:ind w:left="634" w:right="40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公司报告期未发生共同对外投资的重大关联交易。</w:t>
      </w:r>
    </w:p>
    <w:p>
      <w:pPr>
        <w:spacing w:line="240" w:lineRule="auto" w:before="12"/>
        <w:rPr>
          <w:rFonts w:ascii="宋体" w:hAnsi="宋体" w:cs="宋体" w:eastAsia="宋体" w:hint="default"/>
          <w:sz w:val="18"/>
          <w:szCs w:val="18"/>
        </w:rPr>
      </w:pPr>
    </w:p>
    <w:p>
      <w:pPr>
        <w:spacing w:before="0"/>
        <w:ind w:left="153" w:right="0" w:firstLine="0"/>
        <w:jc w:val="left"/>
        <w:rPr>
          <w:rFonts w:ascii="宋体" w:hAnsi="宋体" w:cs="宋体" w:eastAsia="宋体" w:hint="default"/>
          <w:sz w:val="24"/>
          <w:szCs w:val="24"/>
        </w:rPr>
      </w:pPr>
      <w:bookmarkStart w:name="4、关联债权债务往来" w:id="48"/>
      <w:bookmarkEnd w:id="48"/>
      <w:r>
        <w:rPr/>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、关联债权债务往来</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pStyle w:val="BodyText"/>
        <w:spacing w:line="367" w:lineRule="auto" w:before="0"/>
        <w:ind w:left="634" w:right="42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公司报告期不存在非经营性关联债权债务往来。</w:t>
      </w:r>
    </w:p>
    <w:p>
      <w:pPr>
        <w:spacing w:line="240" w:lineRule="auto" w:before="0"/>
        <w:rPr>
          <w:rFonts w:ascii="宋体" w:hAnsi="宋体" w:cs="宋体" w:eastAsia="宋体" w:hint="default"/>
          <w:sz w:val="19"/>
          <w:szCs w:val="19"/>
        </w:rPr>
      </w:pPr>
    </w:p>
    <w:p>
      <w:pPr>
        <w:spacing w:before="0"/>
        <w:ind w:left="153" w:right="0" w:firstLine="0"/>
        <w:jc w:val="left"/>
        <w:rPr>
          <w:rFonts w:ascii="宋体" w:hAnsi="宋体" w:cs="宋体" w:eastAsia="宋体" w:hint="default"/>
          <w:sz w:val="24"/>
          <w:szCs w:val="24"/>
        </w:rPr>
      </w:pPr>
      <w:bookmarkStart w:name="5、其他重大关联交易" w:id="49"/>
      <w:bookmarkEnd w:id="49"/>
      <w:r>
        <w:rPr/>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、其他重大关联交易</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pStyle w:val="BodyText"/>
        <w:spacing w:line="367" w:lineRule="auto" w:before="0"/>
        <w:ind w:left="634" w:right="5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公司报告期无其他重大关联交易。</w:t>
      </w:r>
    </w:p>
    <w:p>
      <w:pPr>
        <w:spacing w:after="0" w:line="367" w:lineRule="auto"/>
        <w:jc w:val="left"/>
        <w:sectPr>
          <w:pgSz w:w="11910" w:h="16840"/>
          <w:pgMar w:header="877" w:footer="979" w:top="1100" w:bottom="1160" w:left="980" w:right="980"/>
        </w:sectPr>
      </w:pPr>
    </w:p>
    <w:p>
      <w:pPr>
        <w:spacing w:line="240" w:lineRule="auto" w:before="8"/>
        <w:rPr>
          <w:rFonts w:ascii="宋体" w:hAnsi="宋体" w:cs="宋体" w:eastAsia="宋体" w:hint="default"/>
          <w:sz w:val="19"/>
          <w:szCs w:val="19"/>
        </w:rPr>
      </w:pPr>
    </w:p>
    <w:p>
      <w:pPr>
        <w:spacing w:before="26"/>
        <w:ind w:left="153" w:right="0" w:firstLine="0"/>
        <w:jc w:val="left"/>
        <w:rPr>
          <w:rFonts w:ascii="宋体" w:hAnsi="宋体" w:cs="宋体" w:eastAsia="宋体" w:hint="default"/>
          <w:sz w:val="24"/>
          <w:szCs w:val="24"/>
        </w:rPr>
      </w:pPr>
      <w:bookmarkStart w:name="七、重大合同及其履行情况" w:id="50"/>
      <w:bookmarkEnd w:id="50"/>
      <w:r>
        <w:rPr/>
      </w:r>
      <w:r>
        <w:rPr>
          <w:rFonts w:ascii="宋体" w:hAnsi="宋体" w:cs="宋体" w:eastAsia="宋体" w:hint="default"/>
          <w:b/>
          <w:bCs/>
          <w:sz w:val="24"/>
          <w:szCs w:val="24"/>
        </w:rPr>
        <w:t>七、重大合同及其履行情况</w:t>
      </w:r>
      <w:r>
        <w:rPr>
          <w:rFonts w:ascii="宋体" w:hAnsi="宋体" w:cs="宋体" w:eastAsia="宋体" w:hint="default"/>
          <w:sz w:val="24"/>
          <w:szCs w:val="24"/>
        </w:rPr>
      </w:r>
    </w:p>
    <w:p>
      <w:pPr>
        <w:spacing w:line="240" w:lineRule="auto" w:before="12"/>
        <w:rPr>
          <w:rFonts w:ascii="宋体" w:hAnsi="宋体" w:cs="宋体" w:eastAsia="宋体" w:hint="default"/>
          <w:b/>
          <w:bCs/>
          <w:sz w:val="22"/>
          <w:szCs w:val="22"/>
        </w:rPr>
      </w:pPr>
    </w:p>
    <w:p>
      <w:pPr>
        <w:spacing w:before="0"/>
        <w:ind w:left="153" w:right="0" w:firstLine="0"/>
        <w:jc w:val="left"/>
        <w:rPr>
          <w:rFonts w:ascii="宋体" w:hAnsi="宋体" w:cs="宋体" w:eastAsia="宋体" w:hint="default"/>
          <w:sz w:val="24"/>
          <w:szCs w:val="24"/>
        </w:rPr>
      </w:pPr>
      <w:bookmarkStart w:name="1、托管、承包、租赁事项情况" w:id="51"/>
      <w:bookmarkEnd w:id="51"/>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、托管、承包、租赁事项情况</w:t>
      </w:r>
      <w:r>
        <w:rPr>
          <w:rFonts w:ascii="宋体" w:hAnsi="宋体" w:cs="宋体" w:eastAsia="宋体" w:hint="default"/>
          <w:sz w:val="24"/>
          <w:szCs w:val="24"/>
        </w:rPr>
      </w:r>
    </w:p>
    <w:p>
      <w:pPr>
        <w:spacing w:line="240" w:lineRule="auto" w:before="7"/>
        <w:rPr>
          <w:rFonts w:ascii="宋体" w:hAnsi="宋体" w:cs="宋体" w:eastAsia="宋体" w:hint="default"/>
          <w:b/>
          <w:bCs/>
          <w:sz w:val="21"/>
          <w:szCs w:val="21"/>
        </w:rPr>
      </w:pPr>
    </w:p>
    <w:p>
      <w:pPr>
        <w:spacing w:before="0"/>
        <w:ind w:left="153" w:right="0" w:firstLine="0"/>
        <w:jc w:val="left"/>
        <w:rPr>
          <w:rFonts w:ascii="宋体" w:hAnsi="宋体" w:cs="宋体" w:eastAsia="宋体" w:hint="default"/>
          <w:sz w:val="24"/>
          <w:szCs w:val="24"/>
        </w:rPr>
      </w:pPr>
      <w:bookmarkStart w:name="（1）托管情况" w:id="52"/>
      <w:bookmarkEnd w:id="52"/>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）托管情况</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pStyle w:val="BodyText"/>
        <w:spacing w:line="367" w:lineRule="auto" w:before="0"/>
        <w:ind w:left="634" w:right="61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公司报告期不存在托管情况。</w:t>
      </w:r>
    </w:p>
    <w:p>
      <w:pPr>
        <w:spacing w:line="240" w:lineRule="auto" w:before="12"/>
        <w:rPr>
          <w:rFonts w:ascii="宋体" w:hAnsi="宋体" w:cs="宋体" w:eastAsia="宋体" w:hint="default"/>
          <w:sz w:val="18"/>
          <w:szCs w:val="18"/>
        </w:rPr>
      </w:pPr>
    </w:p>
    <w:p>
      <w:pPr>
        <w:spacing w:before="0"/>
        <w:ind w:left="154" w:right="0" w:firstLine="0"/>
        <w:jc w:val="left"/>
        <w:rPr>
          <w:rFonts w:ascii="宋体" w:hAnsi="宋体" w:cs="宋体" w:eastAsia="宋体" w:hint="default"/>
          <w:sz w:val="24"/>
          <w:szCs w:val="24"/>
        </w:rPr>
      </w:pPr>
      <w:bookmarkStart w:name="（2）承包情况" w:id="53"/>
      <w:bookmarkEnd w:id="53"/>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）承包情况</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pStyle w:val="BodyText"/>
        <w:spacing w:line="367" w:lineRule="auto" w:before="0"/>
        <w:ind w:left="634" w:right="61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公司报告期不存在承包情况。</w:t>
      </w:r>
    </w:p>
    <w:p>
      <w:pPr>
        <w:spacing w:line="240" w:lineRule="auto" w:before="12"/>
        <w:rPr>
          <w:rFonts w:ascii="宋体" w:hAnsi="宋体" w:cs="宋体" w:eastAsia="宋体" w:hint="default"/>
          <w:sz w:val="18"/>
          <w:szCs w:val="18"/>
        </w:rPr>
      </w:pPr>
    </w:p>
    <w:p>
      <w:pPr>
        <w:spacing w:before="0"/>
        <w:ind w:left="154" w:right="0" w:firstLine="0"/>
        <w:jc w:val="left"/>
        <w:rPr>
          <w:rFonts w:ascii="宋体" w:hAnsi="宋体" w:cs="宋体" w:eastAsia="宋体" w:hint="default"/>
          <w:sz w:val="24"/>
          <w:szCs w:val="24"/>
        </w:rPr>
      </w:pPr>
      <w:bookmarkStart w:name="（3）租赁情况" w:id="54"/>
      <w:bookmarkEnd w:id="54"/>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）租赁情况</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pStyle w:val="BodyText"/>
        <w:spacing w:line="367" w:lineRule="auto" w:before="0"/>
        <w:ind w:left="634" w:right="61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公司报告期不存在租赁情况。</w:t>
      </w:r>
    </w:p>
    <w:p>
      <w:pPr>
        <w:spacing w:line="240" w:lineRule="auto" w:before="1"/>
        <w:rPr>
          <w:rFonts w:ascii="宋体" w:hAnsi="宋体" w:cs="宋体" w:eastAsia="宋体" w:hint="default"/>
          <w:sz w:val="19"/>
          <w:szCs w:val="19"/>
        </w:rPr>
      </w:pPr>
    </w:p>
    <w:p>
      <w:pPr>
        <w:spacing w:before="0"/>
        <w:ind w:left="154" w:right="0" w:firstLine="0"/>
        <w:jc w:val="left"/>
        <w:rPr>
          <w:rFonts w:ascii="宋体" w:hAnsi="宋体" w:cs="宋体" w:eastAsia="宋体" w:hint="default"/>
          <w:sz w:val="24"/>
          <w:szCs w:val="24"/>
        </w:rPr>
      </w:pPr>
      <w:bookmarkStart w:name="2、担保情况" w:id="55"/>
      <w:bookmarkEnd w:id="55"/>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、担保情况</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pStyle w:val="BodyText"/>
        <w:spacing w:line="367" w:lineRule="auto" w:before="0"/>
        <w:ind w:left="634" w:right="61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公司报告期不存在担保情况。</w:t>
      </w:r>
    </w:p>
    <w:p>
      <w:pPr>
        <w:spacing w:line="240" w:lineRule="auto" w:before="12"/>
        <w:rPr>
          <w:rFonts w:ascii="宋体" w:hAnsi="宋体" w:cs="宋体" w:eastAsia="宋体" w:hint="default"/>
          <w:sz w:val="18"/>
          <w:szCs w:val="18"/>
        </w:rPr>
      </w:pPr>
    </w:p>
    <w:p>
      <w:pPr>
        <w:spacing w:before="0"/>
        <w:ind w:left="154" w:right="0" w:firstLine="0"/>
        <w:jc w:val="left"/>
        <w:rPr>
          <w:rFonts w:ascii="宋体" w:hAnsi="宋体" w:cs="宋体" w:eastAsia="宋体" w:hint="default"/>
          <w:sz w:val="24"/>
          <w:szCs w:val="24"/>
        </w:rPr>
      </w:pPr>
      <w:bookmarkStart w:name="3、委托理财、衍生品投资和委托贷款情况" w:id="56"/>
      <w:bookmarkEnd w:id="56"/>
      <w:r>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、委托理财、衍生品投资和委托贷款情况</w:t>
      </w:r>
      <w:r>
        <w:rPr>
          <w:rFonts w:ascii="宋体" w:hAnsi="宋体" w:cs="宋体" w:eastAsia="宋体" w:hint="default"/>
          <w:sz w:val="24"/>
          <w:szCs w:val="24"/>
        </w:rPr>
      </w:r>
    </w:p>
    <w:p>
      <w:pPr>
        <w:spacing w:line="240" w:lineRule="auto" w:before="7"/>
        <w:rPr>
          <w:rFonts w:ascii="宋体" w:hAnsi="宋体" w:cs="宋体" w:eastAsia="宋体" w:hint="default"/>
          <w:b/>
          <w:bCs/>
          <w:sz w:val="21"/>
          <w:szCs w:val="21"/>
        </w:rPr>
      </w:pPr>
    </w:p>
    <w:p>
      <w:pPr>
        <w:spacing w:before="0"/>
        <w:ind w:left="153" w:right="0" w:firstLine="0"/>
        <w:jc w:val="left"/>
        <w:rPr>
          <w:rFonts w:ascii="宋体" w:hAnsi="宋体" w:cs="宋体" w:eastAsia="宋体" w:hint="default"/>
          <w:sz w:val="24"/>
          <w:szCs w:val="24"/>
        </w:rPr>
      </w:pPr>
      <w:bookmarkStart w:name="（1）委托理财情况" w:id="57"/>
      <w:bookmarkEnd w:id="57"/>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）委托理财情况</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pStyle w:val="BodyText"/>
        <w:spacing w:line="367" w:lineRule="auto" w:before="0"/>
        <w:ind w:left="634" w:right="61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公司报告期不存在委托理财。</w:t>
      </w:r>
    </w:p>
    <w:p>
      <w:pPr>
        <w:spacing w:line="240" w:lineRule="auto" w:before="0"/>
        <w:rPr>
          <w:rFonts w:ascii="宋体" w:hAnsi="宋体" w:cs="宋体" w:eastAsia="宋体" w:hint="default"/>
          <w:sz w:val="19"/>
          <w:szCs w:val="19"/>
        </w:rPr>
      </w:pPr>
    </w:p>
    <w:p>
      <w:pPr>
        <w:spacing w:before="0"/>
        <w:ind w:left="154" w:right="0" w:firstLine="0"/>
        <w:jc w:val="left"/>
        <w:rPr>
          <w:rFonts w:ascii="宋体" w:hAnsi="宋体" w:cs="宋体" w:eastAsia="宋体" w:hint="default"/>
          <w:sz w:val="24"/>
          <w:szCs w:val="24"/>
        </w:rPr>
      </w:pPr>
      <w:bookmarkStart w:name="（2）衍生品投资情况" w:id="58"/>
      <w:bookmarkEnd w:id="58"/>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）衍生品投资情况</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pStyle w:val="BodyText"/>
        <w:spacing w:line="367" w:lineRule="auto" w:before="0"/>
        <w:ind w:left="634" w:right="59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公司报告期不存在衍生品投资。</w:t>
      </w:r>
    </w:p>
    <w:p>
      <w:pPr>
        <w:spacing w:after="0" w:line="367" w:lineRule="auto"/>
        <w:jc w:val="left"/>
        <w:sectPr>
          <w:pgSz w:w="11910" w:h="16840"/>
          <w:pgMar w:header="877" w:footer="979" w:top="1100" w:bottom="1160" w:left="980" w:right="980"/>
        </w:sectPr>
      </w:pPr>
    </w:p>
    <w:p>
      <w:pPr>
        <w:spacing w:line="240" w:lineRule="auto" w:before="8"/>
        <w:rPr>
          <w:rFonts w:ascii="宋体" w:hAnsi="宋体" w:cs="宋体" w:eastAsia="宋体" w:hint="default"/>
          <w:sz w:val="19"/>
          <w:szCs w:val="19"/>
        </w:rPr>
      </w:pPr>
    </w:p>
    <w:p>
      <w:pPr>
        <w:spacing w:before="26"/>
        <w:ind w:left="153" w:right="0" w:firstLine="0"/>
        <w:jc w:val="left"/>
        <w:rPr>
          <w:rFonts w:ascii="宋体" w:hAnsi="宋体" w:cs="宋体" w:eastAsia="宋体" w:hint="default"/>
          <w:sz w:val="24"/>
          <w:szCs w:val="24"/>
        </w:rPr>
      </w:pPr>
      <w:bookmarkStart w:name="（3）委托贷款情况" w:id="59"/>
      <w:bookmarkEnd w:id="59"/>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）委托贷款情况</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pStyle w:val="BodyText"/>
        <w:spacing w:line="367" w:lineRule="auto" w:before="0"/>
        <w:ind w:left="634" w:right="61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公司报告期不存在委托贷款。</w:t>
      </w:r>
    </w:p>
    <w:p>
      <w:pPr>
        <w:spacing w:line="240" w:lineRule="auto" w:before="0"/>
        <w:rPr>
          <w:rFonts w:ascii="宋体" w:hAnsi="宋体" w:cs="宋体" w:eastAsia="宋体" w:hint="default"/>
          <w:sz w:val="19"/>
          <w:szCs w:val="19"/>
        </w:rPr>
      </w:pPr>
    </w:p>
    <w:p>
      <w:pPr>
        <w:spacing w:before="0"/>
        <w:ind w:left="154" w:right="0" w:firstLine="0"/>
        <w:jc w:val="left"/>
        <w:rPr>
          <w:rFonts w:ascii="宋体" w:hAnsi="宋体" w:cs="宋体" w:eastAsia="宋体" w:hint="default"/>
          <w:sz w:val="24"/>
          <w:szCs w:val="24"/>
        </w:rPr>
      </w:pPr>
      <w:bookmarkStart w:name="4、其他重大合同" w:id="60"/>
      <w:bookmarkEnd w:id="60"/>
      <w:r>
        <w:rPr/>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、其他重大合同</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pStyle w:val="BodyText"/>
        <w:spacing w:line="367" w:lineRule="auto" w:before="0"/>
        <w:ind w:left="634" w:right="5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公司报告期不存在其他重大合同。</w:t>
      </w:r>
    </w:p>
    <w:p>
      <w:pPr>
        <w:spacing w:after="0" w:line="367"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
          <w:szCs w:val="2"/>
        </w:rPr>
      </w:pPr>
      <w:r>
        <w:rPr/>
        <w:pict>
          <v:group style="position:absolute;margin-left:659.919983pt;margin-top:418.02002pt;width:37.15pt;height:33.2pt;mso-position-horizontal-relative:page;mso-position-vertical-relative:page;z-index:-741856" coordorigin="13198,8360" coordsize="743,664">
            <v:group style="position:absolute;left:13198;top:8360;width:743;height:312" coordorigin="13198,8360" coordsize="743,312">
              <v:shape style="position:absolute;left:13198;top:8360;width:743;height:312" coordorigin="13198,8360" coordsize="743,312" path="m13198,8672l13941,8672,13941,8360,13198,8360,13198,8672xe" filled="true" fillcolor="#ffffff" stroked="false">
                <v:path arrowok="t"/>
                <v:fill type="solid"/>
              </v:shape>
            </v:group>
            <v:group style="position:absolute;left:13198;top:8672;width:743;height:352" coordorigin="13198,8672" coordsize="743,352">
              <v:shape style="position:absolute;left:13198;top:8672;width:743;height:352" coordorigin="13198,8672" coordsize="743,352" path="m13198,9024l13941,9024,13941,8672,13198,8672,13198,9024xe" filled="true" fillcolor="#ffffff" stroked="false">
                <v:path arrowok="t"/>
                <v:fill type="solid"/>
              </v:shape>
            </v:group>
            <w10:wrap type="none"/>
          </v:group>
        </w:pict>
      </w: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5"/>
          <w:szCs w:val="15"/>
        </w:rPr>
      </w:pPr>
    </w:p>
    <w:p>
      <w:pPr>
        <w:spacing w:before="26"/>
        <w:ind w:left="140" w:right="0" w:firstLine="0"/>
        <w:jc w:val="left"/>
        <w:rPr>
          <w:rFonts w:ascii="宋体" w:hAnsi="宋体" w:cs="宋体" w:eastAsia="宋体" w:hint="default"/>
          <w:sz w:val="24"/>
          <w:szCs w:val="24"/>
        </w:rPr>
      </w:pPr>
      <w:bookmarkStart w:name="八、承诺事项履行情况" w:id="61"/>
      <w:bookmarkEnd w:id="61"/>
      <w:r>
        <w:rPr/>
      </w:r>
      <w:r>
        <w:rPr>
          <w:rFonts w:ascii="宋体" w:hAnsi="宋体" w:cs="宋体" w:eastAsia="宋体" w:hint="default"/>
          <w:b/>
          <w:bCs/>
          <w:sz w:val="24"/>
          <w:szCs w:val="24"/>
        </w:rPr>
        <w:t>八、承诺事项履行情况</w:t>
      </w:r>
      <w:r>
        <w:rPr>
          <w:rFonts w:ascii="宋体" w:hAnsi="宋体" w:cs="宋体" w:eastAsia="宋体" w:hint="default"/>
          <w:sz w:val="24"/>
          <w:szCs w:val="24"/>
        </w:rPr>
      </w:r>
    </w:p>
    <w:p>
      <w:pPr>
        <w:spacing w:line="240" w:lineRule="auto" w:before="12"/>
        <w:rPr>
          <w:rFonts w:ascii="宋体" w:hAnsi="宋体" w:cs="宋体" w:eastAsia="宋体" w:hint="default"/>
          <w:b/>
          <w:bCs/>
          <w:sz w:val="28"/>
          <w:szCs w:val="28"/>
        </w:rPr>
      </w:pPr>
    </w:p>
    <w:p>
      <w:pPr>
        <w:pStyle w:val="BodyText"/>
        <w:spacing w:line="240" w:lineRule="auto" w:before="0"/>
        <w:ind w:left="620" w:right="0"/>
        <w:jc w:val="left"/>
      </w:pPr>
      <w:r>
        <w:rPr>
          <w:rFonts w:ascii="Times New Roman" w:hAnsi="Times New Roman" w:cs="Times New Roman" w:eastAsia="Times New Roman" w:hint="default"/>
        </w:rPr>
        <w:t>1</w:t>
      </w:r>
      <w:r>
        <w:rPr/>
        <w:t>、公司或持股</w:t>
      </w:r>
      <w:r>
        <w:rPr>
          <w:spacing w:val="-60"/>
        </w:rPr>
        <w:t> </w:t>
      </w:r>
      <w:r>
        <w:rPr>
          <w:rFonts w:ascii="Times New Roman" w:hAnsi="Times New Roman" w:cs="Times New Roman" w:eastAsia="Times New Roman" w:hint="default"/>
        </w:rPr>
        <w:t>5%</w:t>
      </w:r>
      <w:r>
        <w:rPr/>
        <w:t>以上股东在报告期内发生或以前期间发生但持续到报告期内的承诺事项</w:t>
      </w:r>
    </w:p>
    <w:p>
      <w:pPr>
        <w:pStyle w:val="BodyText"/>
        <w:spacing w:line="240" w:lineRule="auto" w:before="175"/>
        <w:ind w:left="619"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4"/>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1392"/>
        <w:gridCol w:w="1676"/>
        <w:gridCol w:w="8679"/>
        <w:gridCol w:w="798"/>
        <w:gridCol w:w="1036"/>
        <w:gridCol w:w="422"/>
      </w:tblGrid>
      <w:tr>
        <w:trPr>
          <w:trHeight w:val="317" w:hRule="exact"/>
        </w:trPr>
        <w:tc>
          <w:tcPr>
            <w:tcW w:w="1392" w:type="dxa"/>
            <w:vMerge w:val="restart"/>
            <w:tcBorders>
              <w:top w:val="single" w:sz="4" w:space="0" w:color="000000"/>
              <w:left w:val="single" w:sz="4" w:space="0" w:color="000000"/>
              <w:right w:val="single" w:sz="4" w:space="0" w:color="000000"/>
            </w:tcBorders>
            <w:shd w:val="clear" w:color="auto" w:fill="D2D2D2"/>
          </w:tcPr>
          <w:p>
            <w:pPr/>
          </w:p>
        </w:tc>
        <w:tc>
          <w:tcPr>
            <w:tcW w:w="1676" w:type="dxa"/>
            <w:vMerge w:val="restart"/>
            <w:tcBorders>
              <w:top w:val="single" w:sz="4" w:space="0" w:color="000000"/>
              <w:left w:val="single" w:sz="4" w:space="0" w:color="000000"/>
              <w:right w:val="single" w:sz="4" w:space="0" w:color="000000"/>
            </w:tcBorders>
            <w:shd w:val="clear" w:color="auto" w:fill="D2D2D2"/>
          </w:tcPr>
          <w:p>
            <w:pPr/>
          </w:p>
        </w:tc>
        <w:tc>
          <w:tcPr>
            <w:tcW w:w="8679" w:type="dxa"/>
            <w:vMerge w:val="restart"/>
            <w:tcBorders>
              <w:top w:val="single" w:sz="4" w:space="0" w:color="000000"/>
              <w:left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6" w:type="dxa"/>
            <w:vMerge w:val="restart"/>
            <w:tcBorders>
              <w:top w:val="single" w:sz="4" w:space="0" w:color="000000"/>
              <w:left w:val="single" w:sz="4" w:space="0" w:color="000000"/>
              <w:right w:val="single" w:sz="4" w:space="0" w:color="000000"/>
            </w:tcBorders>
            <w:shd w:val="clear" w:color="auto" w:fill="D2D2D2"/>
          </w:tcPr>
          <w:p>
            <w:pPr/>
          </w:p>
        </w:tc>
        <w:tc>
          <w:tcPr>
            <w:tcW w:w="42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00" w:right="101"/>
              <w:jc w:val="both"/>
              <w:rPr>
                <w:rFonts w:ascii="宋体" w:hAnsi="宋体" w:cs="宋体" w:eastAsia="宋体" w:hint="default"/>
                <w:sz w:val="21"/>
                <w:szCs w:val="21"/>
              </w:rPr>
            </w:pPr>
            <w:r>
              <w:rPr>
                <w:rFonts w:ascii="宋体" w:hAnsi="宋体" w:cs="宋体" w:eastAsia="宋体" w:hint="default"/>
                <w:b/>
                <w:bCs/>
                <w:sz w:val="21"/>
                <w:szCs w:val="21"/>
              </w:rPr>
              <w:t>履</w:t>
            </w:r>
            <w:r>
              <w:rPr>
                <w:rFonts w:ascii="宋体" w:hAnsi="宋体" w:cs="宋体" w:eastAsia="宋体" w:hint="default"/>
                <w:b/>
                <w:bCs/>
                <w:w w:val="99"/>
                <w:sz w:val="21"/>
                <w:szCs w:val="21"/>
              </w:rPr>
              <w:t> </w:t>
            </w:r>
            <w:r>
              <w:rPr>
                <w:rFonts w:ascii="宋体" w:hAnsi="宋体" w:cs="宋体" w:eastAsia="宋体" w:hint="default"/>
                <w:b/>
                <w:bCs/>
                <w:sz w:val="21"/>
                <w:szCs w:val="21"/>
              </w:rPr>
              <w:t>行</w:t>
            </w:r>
            <w:r>
              <w:rPr>
                <w:rFonts w:ascii="宋体" w:hAnsi="宋体" w:cs="宋体" w:eastAsia="宋体" w:hint="default"/>
                <w:b/>
                <w:bCs/>
                <w:w w:val="99"/>
                <w:sz w:val="21"/>
                <w:szCs w:val="21"/>
              </w:rPr>
              <w:t> </w:t>
            </w:r>
            <w:r>
              <w:rPr>
                <w:rFonts w:ascii="宋体" w:hAnsi="宋体" w:cs="宋体" w:eastAsia="宋体" w:hint="default"/>
                <w:b/>
                <w:bCs/>
                <w:sz w:val="21"/>
                <w:szCs w:val="21"/>
              </w:rPr>
              <w:t>情</w:t>
            </w:r>
            <w:r>
              <w:rPr>
                <w:rFonts w:ascii="宋体" w:hAnsi="宋体" w:cs="宋体" w:eastAsia="宋体" w:hint="default"/>
                <w:b/>
                <w:bCs/>
                <w:w w:val="99"/>
                <w:sz w:val="21"/>
                <w:szCs w:val="21"/>
              </w:rPr>
              <w:t> </w:t>
            </w:r>
            <w:r>
              <w:rPr>
                <w:rFonts w:ascii="宋体" w:hAnsi="宋体" w:cs="宋体" w:eastAsia="宋体" w:hint="default"/>
                <w:b/>
                <w:bCs/>
                <w:sz w:val="21"/>
                <w:szCs w:val="21"/>
              </w:rPr>
              <w:t>况</w:t>
            </w:r>
            <w:r>
              <w:rPr>
                <w:rFonts w:ascii="宋体" w:hAnsi="宋体" w:cs="宋体" w:eastAsia="宋体" w:hint="default"/>
                <w:sz w:val="21"/>
                <w:szCs w:val="21"/>
              </w:rPr>
            </w:r>
          </w:p>
        </w:tc>
      </w:tr>
      <w:tr>
        <w:trPr>
          <w:trHeight w:val="156" w:hRule="exact"/>
        </w:trPr>
        <w:tc>
          <w:tcPr>
            <w:tcW w:w="1392" w:type="dxa"/>
            <w:vMerge/>
            <w:tcBorders>
              <w:left w:val="single" w:sz="4" w:space="0" w:color="000000"/>
              <w:bottom w:val="nil" w:sz="6" w:space="0" w:color="auto"/>
              <w:right w:val="single" w:sz="4" w:space="0" w:color="000000"/>
            </w:tcBorders>
            <w:shd w:val="clear" w:color="auto" w:fill="D2D2D2"/>
          </w:tcPr>
          <w:p>
            <w:pPr/>
          </w:p>
        </w:tc>
        <w:tc>
          <w:tcPr>
            <w:tcW w:w="1676" w:type="dxa"/>
            <w:vMerge/>
            <w:tcBorders>
              <w:left w:val="single" w:sz="4" w:space="0" w:color="000000"/>
              <w:bottom w:val="nil" w:sz="6" w:space="0" w:color="auto"/>
              <w:right w:val="single" w:sz="4" w:space="0" w:color="000000"/>
            </w:tcBorders>
            <w:shd w:val="clear" w:color="auto" w:fill="D2D2D2"/>
          </w:tcPr>
          <w:p>
            <w:pPr/>
          </w:p>
        </w:tc>
        <w:tc>
          <w:tcPr>
            <w:tcW w:w="8679" w:type="dxa"/>
            <w:vMerge/>
            <w:tcBorders>
              <w:left w:val="single" w:sz="4" w:space="0" w:color="000000"/>
              <w:bottom w:val="nil" w:sz="6" w:space="0" w:color="auto"/>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287" w:right="77" w:hanging="212"/>
              <w:jc w:val="left"/>
              <w:rPr>
                <w:rFonts w:ascii="宋体" w:hAnsi="宋体" w:cs="宋体" w:eastAsia="宋体" w:hint="default"/>
                <w:sz w:val="21"/>
                <w:szCs w:val="21"/>
              </w:rPr>
            </w:pPr>
            <w:r>
              <w:rPr>
                <w:rFonts w:ascii="宋体" w:hAnsi="宋体" w:cs="宋体" w:eastAsia="宋体" w:hint="default"/>
                <w:b/>
                <w:bCs/>
                <w:sz w:val="21"/>
                <w:szCs w:val="21"/>
              </w:rPr>
              <w:t>承诺时</w:t>
            </w:r>
            <w:r>
              <w:rPr>
                <w:rFonts w:ascii="宋体" w:hAnsi="宋体" w:cs="宋体" w:eastAsia="宋体" w:hint="default"/>
                <w:b/>
                <w:bCs/>
                <w:spacing w:val="1"/>
                <w:w w:val="99"/>
                <w:sz w:val="21"/>
                <w:szCs w:val="21"/>
              </w:rPr>
              <w:t> </w:t>
            </w:r>
            <w:r>
              <w:rPr>
                <w:rFonts w:ascii="宋体" w:hAnsi="宋体" w:cs="宋体" w:eastAsia="宋体" w:hint="default"/>
                <w:b/>
                <w:bCs/>
                <w:sz w:val="21"/>
                <w:szCs w:val="21"/>
              </w:rPr>
              <w:t>间</w:t>
            </w:r>
            <w:r>
              <w:rPr>
                <w:rFonts w:ascii="宋体" w:hAnsi="宋体" w:cs="宋体" w:eastAsia="宋体" w:hint="default"/>
                <w:sz w:val="21"/>
                <w:szCs w:val="21"/>
              </w:rPr>
            </w:r>
          </w:p>
        </w:tc>
        <w:tc>
          <w:tcPr>
            <w:tcW w:w="1036" w:type="dxa"/>
            <w:vMerge/>
            <w:tcBorders>
              <w:left w:val="single" w:sz="4" w:space="0" w:color="000000"/>
              <w:bottom w:val="nil" w:sz="6" w:space="0" w:color="auto"/>
              <w:right w:val="single" w:sz="4" w:space="0" w:color="000000"/>
            </w:tcBorders>
            <w:shd w:val="clear" w:color="auto" w:fill="D2D2D2"/>
          </w:tcPr>
          <w:p>
            <w:pPr/>
          </w:p>
        </w:tc>
        <w:tc>
          <w:tcPr>
            <w:tcW w:w="422" w:type="dxa"/>
            <w:vMerge/>
            <w:tcBorders>
              <w:left w:val="single" w:sz="4" w:space="0" w:color="000000"/>
              <w:right w:val="single" w:sz="4" w:space="0" w:color="000000"/>
            </w:tcBorders>
            <w:shd w:val="clear" w:color="auto" w:fill="D2D2D2"/>
          </w:tcPr>
          <w:p>
            <w:pPr/>
          </w:p>
        </w:tc>
      </w:tr>
      <w:tr>
        <w:trPr>
          <w:trHeight w:val="391" w:hRule="exact"/>
        </w:trPr>
        <w:tc>
          <w:tcPr>
            <w:tcW w:w="1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8"/>
              <w:jc w:val="center"/>
              <w:rPr>
                <w:rFonts w:ascii="宋体" w:hAnsi="宋体" w:cs="宋体" w:eastAsia="宋体" w:hint="default"/>
                <w:sz w:val="21"/>
                <w:szCs w:val="21"/>
              </w:rPr>
            </w:pPr>
            <w:r>
              <w:rPr>
                <w:rFonts w:ascii="宋体" w:hAnsi="宋体" w:cs="宋体" w:eastAsia="宋体" w:hint="default"/>
                <w:b/>
                <w:bCs/>
                <w:sz w:val="21"/>
                <w:szCs w:val="21"/>
              </w:rPr>
              <w:t>承诺来源</w:t>
            </w:r>
            <w:r>
              <w:rPr>
                <w:rFonts w:ascii="宋体" w:hAnsi="宋体" w:cs="宋体" w:eastAsia="宋体" w:hint="default"/>
                <w:sz w:val="21"/>
                <w:szCs w:val="21"/>
              </w:rPr>
            </w:r>
          </w:p>
        </w:tc>
        <w:tc>
          <w:tcPr>
            <w:tcW w:w="16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517" w:right="0"/>
              <w:jc w:val="left"/>
              <w:rPr>
                <w:rFonts w:ascii="宋体" w:hAnsi="宋体" w:cs="宋体" w:eastAsia="宋体" w:hint="default"/>
                <w:sz w:val="21"/>
                <w:szCs w:val="21"/>
              </w:rPr>
            </w:pPr>
            <w:r>
              <w:rPr>
                <w:rFonts w:ascii="宋体" w:hAnsi="宋体" w:cs="宋体" w:eastAsia="宋体" w:hint="default"/>
                <w:b/>
                <w:bCs/>
                <w:sz w:val="21"/>
                <w:szCs w:val="21"/>
              </w:rPr>
              <w:t>承诺方</w:t>
            </w:r>
            <w:r>
              <w:rPr>
                <w:rFonts w:ascii="宋体" w:hAnsi="宋体" w:cs="宋体" w:eastAsia="宋体" w:hint="default"/>
                <w:sz w:val="21"/>
                <w:szCs w:val="21"/>
              </w:rPr>
            </w:r>
          </w:p>
        </w:tc>
        <w:tc>
          <w:tcPr>
            <w:tcW w:w="8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b/>
                <w:bCs/>
                <w:sz w:val="21"/>
                <w:szCs w:val="21"/>
              </w:rPr>
              <w:t>承诺内容</w:t>
            </w:r>
            <w:r>
              <w:rPr>
                <w:rFonts w:ascii="宋体" w:hAnsi="宋体" w:cs="宋体" w:eastAsia="宋体" w:hint="default"/>
                <w:sz w:val="21"/>
                <w:szCs w:val="21"/>
              </w:rPr>
            </w:r>
          </w:p>
        </w:tc>
        <w:tc>
          <w:tcPr>
            <w:tcW w:w="798" w:type="dxa"/>
            <w:vMerge/>
            <w:tcBorders>
              <w:left w:val="single" w:sz="4" w:space="0" w:color="000000"/>
              <w:right w:val="single" w:sz="4" w:space="0" w:color="000000"/>
            </w:tcBorders>
            <w:shd w:val="clear" w:color="auto" w:fill="D2D2D2"/>
          </w:tcPr>
          <w:p>
            <w:pPr/>
          </w:p>
        </w:tc>
        <w:tc>
          <w:tcPr>
            <w:tcW w:w="1036" w:type="dxa"/>
            <w:tcBorders>
              <w:top w:val="nil" w:sz="6" w:space="0" w:color="auto"/>
              <w:left w:val="single" w:sz="9" w:space="0" w:color="D2D2D2"/>
              <w:bottom w:val="nil" w:sz="6" w:space="0" w:color="auto"/>
              <w:right w:val="single" w:sz="10" w:space="0" w:color="D2D2D2"/>
            </w:tcBorders>
          </w:tcPr>
          <w:p>
            <w:pPr>
              <w:pStyle w:val="TableParagraph"/>
              <w:spacing w:line="240" w:lineRule="auto" w:before="26"/>
              <w:ind w:left="1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r>
            <w:r>
              <w:rPr>
                <w:rFonts w:ascii="Times New Roman" w:hAnsi="Times New Roman" w:cs="Times New Roman" w:eastAsia="Times New Roman" w:hint="default"/>
                <w:b/>
                <w:bCs/>
                <w:spacing w:val="16"/>
                <w:sz w:val="21"/>
                <w:szCs w:val="21"/>
                <w:shd w:fill="D2D2D2" w:color="auto" w:val="clear"/>
              </w:rPr>
              <w:t> </w:t>
            </w:r>
            <w:r>
              <w:rPr>
                <w:rFonts w:ascii="宋体" w:hAnsi="宋体" w:cs="宋体" w:eastAsia="宋体" w:hint="default"/>
                <w:b/>
                <w:bCs/>
                <w:sz w:val="21"/>
                <w:szCs w:val="21"/>
                <w:shd w:fill="D2D2D2" w:color="auto" w:val="clear"/>
              </w:rPr>
              <w:t>承诺期限</w:t>
            </w:r>
            <w:r>
              <w:rPr>
                <w:rFonts w:ascii="宋体" w:hAnsi="宋体" w:cs="宋体" w:eastAsia="宋体" w:hint="default"/>
                <w:b/>
                <w:bCs/>
                <w:sz w:val="21"/>
                <w:szCs w:val="21"/>
              </w:rPr>
            </w:r>
            <w:r>
              <w:rPr>
                <w:rFonts w:ascii="宋体" w:hAnsi="宋体" w:cs="宋体" w:eastAsia="宋体" w:hint="default"/>
                <w:sz w:val="21"/>
                <w:szCs w:val="21"/>
              </w:rPr>
            </w:r>
          </w:p>
        </w:tc>
        <w:tc>
          <w:tcPr>
            <w:tcW w:w="422" w:type="dxa"/>
            <w:vMerge/>
            <w:tcBorders>
              <w:left w:val="single" w:sz="4" w:space="0" w:color="000000"/>
              <w:right w:val="single" w:sz="4" w:space="0" w:color="000000"/>
            </w:tcBorders>
            <w:shd w:val="clear" w:color="auto" w:fill="D2D2D2"/>
          </w:tcPr>
          <w:p>
            <w:pPr/>
          </w:p>
        </w:tc>
      </w:tr>
      <w:tr>
        <w:trPr>
          <w:trHeight w:val="156" w:hRule="exact"/>
        </w:trPr>
        <w:tc>
          <w:tcPr>
            <w:tcW w:w="1392" w:type="dxa"/>
            <w:vMerge w:val="restart"/>
            <w:tcBorders>
              <w:top w:val="nil" w:sz="6" w:space="0" w:color="auto"/>
              <w:left w:val="single" w:sz="4" w:space="0" w:color="000000"/>
              <w:right w:val="single" w:sz="4" w:space="0" w:color="000000"/>
            </w:tcBorders>
            <w:shd w:val="clear" w:color="auto" w:fill="D2D2D2"/>
          </w:tcPr>
          <w:p>
            <w:pPr/>
          </w:p>
        </w:tc>
        <w:tc>
          <w:tcPr>
            <w:tcW w:w="1676" w:type="dxa"/>
            <w:vMerge w:val="restart"/>
            <w:tcBorders>
              <w:top w:val="nil" w:sz="6" w:space="0" w:color="auto"/>
              <w:left w:val="single" w:sz="4" w:space="0" w:color="000000"/>
              <w:right w:val="single" w:sz="4" w:space="0" w:color="000000"/>
            </w:tcBorders>
            <w:shd w:val="clear" w:color="auto" w:fill="D2D2D2"/>
          </w:tcPr>
          <w:p>
            <w:pPr/>
          </w:p>
        </w:tc>
        <w:tc>
          <w:tcPr>
            <w:tcW w:w="8679" w:type="dxa"/>
            <w:vMerge w:val="restart"/>
            <w:tcBorders>
              <w:top w:val="nil" w:sz="6" w:space="0" w:color="auto"/>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1036" w:type="dxa"/>
            <w:vMerge w:val="restart"/>
            <w:tcBorders>
              <w:top w:val="nil" w:sz="6" w:space="0" w:color="auto"/>
              <w:left w:val="single" w:sz="4" w:space="0" w:color="000000"/>
              <w:right w:val="single" w:sz="4" w:space="0" w:color="000000"/>
            </w:tcBorders>
            <w:shd w:val="clear" w:color="auto" w:fill="D2D2D2"/>
          </w:tcPr>
          <w:p>
            <w:pPr/>
          </w:p>
        </w:tc>
        <w:tc>
          <w:tcPr>
            <w:tcW w:w="422" w:type="dxa"/>
            <w:vMerge/>
            <w:tcBorders>
              <w:left w:val="single" w:sz="4" w:space="0" w:color="000000"/>
              <w:right w:val="single" w:sz="4" w:space="0" w:color="000000"/>
            </w:tcBorders>
            <w:shd w:val="clear" w:color="auto" w:fill="D2D2D2"/>
          </w:tcPr>
          <w:p>
            <w:pPr/>
          </w:p>
        </w:tc>
      </w:tr>
      <w:tr>
        <w:trPr>
          <w:trHeight w:val="317" w:hRule="exact"/>
        </w:trPr>
        <w:tc>
          <w:tcPr>
            <w:tcW w:w="1392" w:type="dxa"/>
            <w:vMerge/>
            <w:tcBorders>
              <w:left w:val="single" w:sz="4" w:space="0" w:color="000000"/>
              <w:bottom w:val="single" w:sz="4" w:space="0" w:color="000000"/>
              <w:right w:val="single" w:sz="4" w:space="0" w:color="000000"/>
            </w:tcBorders>
            <w:shd w:val="clear" w:color="auto" w:fill="D2D2D2"/>
          </w:tcPr>
          <w:p>
            <w:pPr/>
          </w:p>
        </w:tc>
        <w:tc>
          <w:tcPr>
            <w:tcW w:w="1676" w:type="dxa"/>
            <w:vMerge/>
            <w:tcBorders>
              <w:left w:val="single" w:sz="4" w:space="0" w:color="000000"/>
              <w:bottom w:val="single" w:sz="4" w:space="0" w:color="000000"/>
              <w:right w:val="single" w:sz="4" w:space="0" w:color="000000"/>
            </w:tcBorders>
            <w:shd w:val="clear" w:color="auto" w:fill="D2D2D2"/>
          </w:tcPr>
          <w:p>
            <w:pPr/>
          </w:p>
        </w:tc>
        <w:tc>
          <w:tcPr>
            <w:tcW w:w="8679"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6" w:type="dxa"/>
            <w:vMerge/>
            <w:tcBorders>
              <w:left w:val="single" w:sz="4" w:space="0" w:color="000000"/>
              <w:bottom w:val="single" w:sz="4" w:space="0" w:color="000000"/>
              <w:right w:val="single" w:sz="4" w:space="0" w:color="000000"/>
            </w:tcBorders>
            <w:shd w:val="clear" w:color="auto" w:fill="D2D2D2"/>
          </w:tcPr>
          <w:p>
            <w:pPr/>
          </w:p>
        </w:tc>
        <w:tc>
          <w:tcPr>
            <w:tcW w:w="42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97"/>
              <w:jc w:val="center"/>
              <w:rPr>
                <w:rFonts w:ascii="宋体" w:hAnsi="宋体" w:cs="宋体" w:eastAsia="宋体" w:hint="default"/>
                <w:sz w:val="21"/>
                <w:szCs w:val="21"/>
              </w:rPr>
            </w:pPr>
            <w:r>
              <w:rPr>
                <w:rFonts w:ascii="宋体" w:hAnsi="宋体" w:cs="宋体" w:eastAsia="宋体" w:hint="default"/>
                <w:sz w:val="21"/>
                <w:szCs w:val="21"/>
              </w:rPr>
              <w:t>股权激励承诺</w:t>
            </w:r>
          </w:p>
        </w:tc>
        <w:tc>
          <w:tcPr>
            <w:tcW w:w="1676" w:type="dxa"/>
            <w:tcBorders>
              <w:top w:val="single" w:sz="4" w:space="0" w:color="000000"/>
              <w:left w:val="single" w:sz="13" w:space="0" w:color="D2D2D2"/>
              <w:bottom w:val="single" w:sz="4" w:space="0" w:color="000000"/>
              <w:right w:val="single" w:sz="4" w:space="0" w:color="000000"/>
            </w:tcBorders>
          </w:tcPr>
          <w:p>
            <w:pPr/>
          </w:p>
        </w:tc>
        <w:tc>
          <w:tcPr>
            <w:tcW w:w="867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08"/>
              <w:jc w:val="both"/>
              <w:rPr>
                <w:rFonts w:ascii="宋体" w:hAnsi="宋体" w:cs="宋体" w:eastAsia="宋体" w:hint="default"/>
                <w:sz w:val="21"/>
                <w:szCs w:val="21"/>
              </w:rPr>
            </w:pPr>
            <w:r>
              <w:rPr>
                <w:rFonts w:ascii="宋体" w:hAnsi="宋体" w:cs="宋体" w:eastAsia="宋体" w:hint="default"/>
                <w:sz w:val="21"/>
                <w:szCs w:val="21"/>
              </w:rPr>
              <w:t>收购报告书或 权益变动报告 书中所作承诺</w:t>
            </w:r>
          </w:p>
        </w:tc>
        <w:tc>
          <w:tcPr>
            <w:tcW w:w="1676" w:type="dxa"/>
            <w:tcBorders>
              <w:top w:val="single" w:sz="4" w:space="0" w:color="000000"/>
              <w:left w:val="single" w:sz="13" w:space="0" w:color="D2D2D2"/>
              <w:bottom w:val="single" w:sz="4" w:space="0" w:color="000000"/>
              <w:right w:val="single" w:sz="4" w:space="0" w:color="000000"/>
            </w:tcBorders>
          </w:tcPr>
          <w:p>
            <w:pPr/>
          </w:p>
        </w:tc>
        <w:tc>
          <w:tcPr>
            <w:tcW w:w="867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08"/>
              <w:jc w:val="left"/>
              <w:rPr>
                <w:rFonts w:ascii="宋体" w:hAnsi="宋体" w:cs="宋体" w:eastAsia="宋体" w:hint="default"/>
                <w:sz w:val="21"/>
                <w:szCs w:val="21"/>
              </w:rPr>
            </w:pPr>
            <w:r>
              <w:rPr>
                <w:rFonts w:ascii="宋体" w:hAnsi="宋体" w:cs="宋体" w:eastAsia="宋体" w:hint="default"/>
                <w:sz w:val="21"/>
                <w:szCs w:val="21"/>
              </w:rPr>
              <w:t>资产重组时所 作承诺</w:t>
            </w:r>
          </w:p>
        </w:tc>
        <w:tc>
          <w:tcPr>
            <w:tcW w:w="1676" w:type="dxa"/>
            <w:tcBorders>
              <w:top w:val="single" w:sz="4" w:space="0" w:color="000000"/>
              <w:left w:val="single" w:sz="13" w:space="0" w:color="D2D2D2"/>
              <w:bottom w:val="single" w:sz="4" w:space="0" w:color="000000"/>
              <w:right w:val="single" w:sz="4" w:space="0" w:color="000000"/>
            </w:tcBorders>
          </w:tcPr>
          <w:p>
            <w:pPr/>
          </w:p>
        </w:tc>
        <w:tc>
          <w:tcPr>
            <w:tcW w:w="867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92" w:type="dxa"/>
            <w:vMerge w:val="restart"/>
            <w:tcBorders>
              <w:top w:val="single" w:sz="4" w:space="0" w:color="000000"/>
              <w:left w:val="single" w:sz="4" w:space="0" w:color="000000"/>
              <w:right w:val="single" w:sz="4" w:space="0" w:color="000000"/>
            </w:tcBorders>
            <w:shd w:val="clear" w:color="auto" w:fill="D2D2D2"/>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73" w:lineRule="auto"/>
              <w:ind w:left="22" w:right="173"/>
              <w:jc w:val="left"/>
              <w:rPr>
                <w:rFonts w:ascii="宋体" w:hAnsi="宋体" w:cs="宋体" w:eastAsia="宋体" w:hint="default"/>
                <w:sz w:val="21"/>
                <w:szCs w:val="21"/>
              </w:rPr>
            </w:pPr>
            <w:r>
              <w:rPr>
                <w:rFonts w:ascii="宋体" w:hAnsi="宋体" w:cs="宋体" w:eastAsia="宋体" w:hint="default"/>
                <w:sz w:val="21"/>
                <w:szCs w:val="21"/>
              </w:rPr>
              <w:t>北京启迪华创投 资咨询有限公司</w:t>
            </w:r>
          </w:p>
        </w:tc>
        <w:tc>
          <w:tcPr>
            <w:tcW w:w="8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64" w:lineRule="auto"/>
              <w:ind w:left="23" w:right="33"/>
              <w:jc w:val="left"/>
              <w:rPr>
                <w:rFonts w:ascii="宋体" w:hAnsi="宋体" w:cs="宋体" w:eastAsia="宋体" w:hint="default"/>
                <w:sz w:val="21"/>
                <w:szCs w:val="21"/>
              </w:rPr>
            </w:pPr>
            <w:r>
              <w:rPr>
                <w:rFonts w:ascii="宋体" w:hAnsi="宋体" w:cs="宋体" w:eastAsia="宋体" w:hint="default"/>
                <w:sz w:val="21"/>
                <w:szCs w:val="21"/>
              </w:rPr>
              <w:t>自公司股票上市交易之日起三十六个月内，不转让或者委托他人管理本公司持有的公司公开发 行股票前已持有的股份（</w:t>
            </w:r>
            <w:r>
              <w:rPr>
                <w:rFonts w:ascii="Times New Roman" w:hAnsi="Times New Roman" w:cs="Times New Roman" w:eastAsia="Times New Roman" w:hint="default"/>
                <w:sz w:val="21"/>
                <w:szCs w:val="21"/>
              </w:rPr>
              <w:t>15,024,247 </w:t>
            </w:r>
            <w:r>
              <w:rPr>
                <w:rFonts w:ascii="宋体" w:hAnsi="宋体" w:cs="宋体" w:eastAsia="宋体" w:hint="default"/>
                <w:spacing w:val="-5"/>
                <w:sz w:val="21"/>
                <w:szCs w:val="21"/>
              </w:rPr>
              <w:t>股股份</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对应的公开发售股份），也不由公司回购本公司持</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有的该等股份。</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0"/>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2018-01-20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176"/>
              <w:jc w:val="both"/>
              <w:rPr>
                <w:rFonts w:ascii="宋体" w:hAnsi="宋体" w:cs="宋体" w:eastAsia="宋体" w:hint="default"/>
                <w:sz w:val="21"/>
                <w:szCs w:val="21"/>
              </w:rPr>
            </w:pPr>
            <w:r>
              <w:rPr>
                <w:rFonts w:ascii="宋体" w:hAnsi="宋体" w:cs="宋体" w:eastAsia="宋体" w:hint="default"/>
                <w:sz w:val="21"/>
                <w:szCs w:val="21"/>
              </w:rPr>
              <w:t>正 在 履 行</w:t>
            </w:r>
          </w:p>
        </w:tc>
      </w:tr>
      <w:tr>
        <w:trPr>
          <w:trHeight w:val="162" w:hRule="exact"/>
        </w:trPr>
        <w:tc>
          <w:tcPr>
            <w:tcW w:w="1392" w:type="dxa"/>
            <w:vMerge/>
            <w:tcBorders>
              <w:left w:val="single" w:sz="4" w:space="0" w:color="000000"/>
              <w:bottom w:val="nil" w:sz="6" w:space="0" w:color="auto"/>
              <w:right w:val="single" w:sz="4" w:space="0" w:color="000000"/>
            </w:tcBorders>
            <w:shd w:val="clear" w:color="auto" w:fill="D2D2D2"/>
          </w:tcPr>
          <w:p>
            <w:pPr/>
          </w:p>
        </w:tc>
        <w:tc>
          <w:tcPr>
            <w:tcW w:w="167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73" w:lineRule="auto"/>
              <w:ind w:left="16" w:right="173"/>
              <w:jc w:val="left"/>
              <w:rPr>
                <w:rFonts w:ascii="宋体" w:hAnsi="宋体" w:cs="宋体" w:eastAsia="宋体" w:hint="default"/>
                <w:sz w:val="21"/>
                <w:szCs w:val="21"/>
              </w:rPr>
            </w:pPr>
            <w:r>
              <w:rPr>
                <w:rFonts w:ascii="宋体" w:hAnsi="宋体" w:cs="宋体" w:eastAsia="宋体" w:hint="default"/>
                <w:sz w:val="21"/>
                <w:szCs w:val="21"/>
              </w:rPr>
              <w:t>北京启迪华创投 资咨询有限公司</w:t>
            </w:r>
          </w:p>
        </w:tc>
        <w:tc>
          <w:tcPr>
            <w:tcW w:w="8679" w:type="dxa"/>
            <w:vMerge w:val="restart"/>
            <w:tcBorders>
              <w:top w:val="single" w:sz="4" w:space="0" w:color="000000"/>
              <w:left w:val="single" w:sz="4" w:space="0" w:color="000000"/>
              <w:right w:val="single" w:sz="9" w:space="0" w:color="FFFFFF"/>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73" w:lineRule="auto"/>
              <w:ind w:left="23" w:right="26"/>
              <w:jc w:val="left"/>
              <w:rPr>
                <w:rFonts w:ascii="宋体" w:hAnsi="宋体" w:cs="宋体" w:eastAsia="宋体" w:hint="default"/>
                <w:sz w:val="21"/>
                <w:szCs w:val="21"/>
              </w:rPr>
            </w:pPr>
            <w:r>
              <w:rPr>
                <w:rFonts w:ascii="宋体" w:hAnsi="宋体" w:cs="宋体" w:eastAsia="宋体" w:hint="default"/>
                <w:sz w:val="21"/>
                <w:szCs w:val="21"/>
              </w:rPr>
              <w:t>自公司股票上市之日起十二个月内，不转让或者委托他人管理本公司持有的公司公开发行股票 </w:t>
            </w:r>
            <w:r>
              <w:rPr>
                <w:rFonts w:ascii="宋体" w:hAnsi="宋体" w:cs="宋体" w:eastAsia="宋体" w:hint="default"/>
                <w:spacing w:val="-4"/>
                <w:sz w:val="21"/>
                <w:szCs w:val="21"/>
              </w:rPr>
              <w:t>前已持有的（</w:t>
            </w:r>
            <w:r>
              <w:rPr>
                <w:rFonts w:ascii="Times New Roman" w:hAnsi="Times New Roman" w:cs="Times New Roman" w:eastAsia="Times New Roman" w:hint="default"/>
                <w:spacing w:val="-4"/>
                <w:sz w:val="21"/>
                <w:szCs w:val="21"/>
              </w:rPr>
              <w:t>1,786,834</w:t>
            </w:r>
            <w:r>
              <w:rPr>
                <w:rFonts w:ascii="Times New Roman" w:hAnsi="Times New Roman" w:cs="Times New Roman" w:eastAsia="Times New Roman" w:hint="default"/>
                <w:spacing w:val="30"/>
                <w:sz w:val="21"/>
                <w:szCs w:val="21"/>
              </w:rPr>
              <w:t> </w:t>
            </w:r>
            <w:r>
              <w:rPr>
                <w:rFonts w:ascii="宋体" w:hAnsi="宋体" w:cs="宋体" w:eastAsia="宋体" w:hint="default"/>
                <w:spacing w:val="-6"/>
                <w:sz w:val="21"/>
                <w:szCs w:val="21"/>
              </w:rPr>
              <w:t>股股份</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对应的公开发售股份），也不由公司回购本公司持有的该等股份</w:t>
            </w:r>
          </w:p>
        </w:tc>
        <w:tc>
          <w:tcPr>
            <w:tcW w:w="798" w:type="dxa"/>
            <w:tcBorders>
              <w:top w:val="single" w:sz="4" w:space="0" w:color="000000"/>
              <w:left w:val="single" w:sz="4" w:space="0" w:color="000000"/>
              <w:bottom w:val="nil" w:sz="6" w:space="0" w:color="auto"/>
              <w:right w:val="single" w:sz="4" w:space="0" w:color="000000"/>
            </w:tcBorders>
          </w:tcPr>
          <w:p>
            <w:pPr/>
          </w:p>
        </w:tc>
        <w:tc>
          <w:tcPr>
            <w:tcW w:w="10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2016-01-20</w:t>
            </w:r>
          </w:p>
        </w:tc>
        <w:tc>
          <w:tcPr>
            <w:tcW w:w="422" w:type="dxa"/>
            <w:vMerge w:val="restart"/>
            <w:tcBorders>
              <w:top w:val="single" w:sz="4" w:space="0" w:color="000000"/>
              <w:left w:val="single" w:sz="4" w:space="0" w:color="000000"/>
              <w:right w:val="single" w:sz="4" w:space="0" w:color="000000"/>
            </w:tcBorders>
          </w:tcPr>
          <w:p>
            <w:pPr>
              <w:pStyle w:val="TableParagraph"/>
              <w:spacing w:line="273" w:lineRule="auto" w:before="27"/>
              <w:ind w:left="23" w:right="176"/>
              <w:jc w:val="both"/>
              <w:rPr>
                <w:rFonts w:ascii="宋体" w:hAnsi="宋体" w:cs="宋体" w:eastAsia="宋体" w:hint="default"/>
                <w:sz w:val="21"/>
                <w:szCs w:val="21"/>
              </w:rPr>
            </w:pPr>
            <w:r>
              <w:rPr>
                <w:rFonts w:ascii="宋体" w:hAnsi="宋体" w:cs="宋体" w:eastAsia="宋体" w:hint="default"/>
                <w:sz w:val="21"/>
                <w:szCs w:val="21"/>
              </w:rPr>
              <w:t>正 在 履 行</w:t>
            </w:r>
          </w:p>
        </w:tc>
      </w:tr>
      <w:tr>
        <w:trPr>
          <w:trHeight w:val="1016" w:hRule="exact"/>
        </w:trPr>
        <w:tc>
          <w:tcPr>
            <w:tcW w:w="1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6"/>
              <w:ind w:left="11" w:right="108"/>
              <w:jc w:val="both"/>
              <w:rPr>
                <w:rFonts w:ascii="宋体" w:hAnsi="宋体" w:cs="宋体" w:eastAsia="宋体" w:hint="default"/>
                <w:sz w:val="21"/>
                <w:szCs w:val="21"/>
              </w:rPr>
            </w:pPr>
            <w:r>
              <w:rPr>
                <w:rFonts w:ascii="宋体" w:hAnsi="宋体" w:cs="宋体" w:eastAsia="宋体" w:hint="default"/>
                <w:sz w:val="21"/>
                <w:szCs w:val="21"/>
              </w:rPr>
              <w:t>首次公开发行 或再融资时所 作承诺</w:t>
            </w:r>
          </w:p>
        </w:tc>
        <w:tc>
          <w:tcPr>
            <w:tcW w:w="1676" w:type="dxa"/>
            <w:vMerge/>
            <w:tcBorders>
              <w:left w:val="single" w:sz="9" w:space="0" w:color="D2D2D2"/>
              <w:right w:val="single" w:sz="4" w:space="0" w:color="000000"/>
            </w:tcBorders>
          </w:tcPr>
          <w:p>
            <w:pPr/>
          </w:p>
        </w:tc>
        <w:tc>
          <w:tcPr>
            <w:tcW w:w="8679" w:type="dxa"/>
            <w:vMerge/>
            <w:tcBorders>
              <w:left w:val="single" w:sz="4" w:space="0" w:color="000000"/>
              <w:right w:val="single" w:sz="9" w:space="0" w:color="FFFFFF"/>
            </w:tcBorders>
          </w:tcPr>
          <w:p>
            <w:pPr/>
          </w:p>
        </w:tc>
        <w:tc>
          <w:tcPr>
            <w:tcW w:w="798" w:type="dxa"/>
            <w:tcBorders>
              <w:top w:val="nil" w:sz="6" w:space="0" w:color="auto"/>
              <w:left w:val="single" w:sz="13" w:space="0" w:color="FFFFFF"/>
              <w:bottom w:val="nil" w:sz="6" w:space="0" w:color="auto"/>
              <w:right w:val="single" w:sz="4" w:space="0" w:color="000000"/>
            </w:tcBorders>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24" w:lineRule="exact" w:before="20"/>
              <w:ind w:left="1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w:t>
            </w:r>
          </w:p>
          <w:p>
            <w:pPr>
              <w:pStyle w:val="TableParagraph"/>
              <w:spacing w:line="149" w:lineRule="exact"/>
              <w:ind w:left="-150"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15" w:lineRule="exact"/>
              <w:ind w:left="1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036" w:type="dxa"/>
            <w:vMerge/>
            <w:tcBorders>
              <w:left w:val="single" w:sz="4" w:space="0" w:color="000000"/>
              <w:right w:val="single" w:sz="4" w:space="0" w:color="000000"/>
            </w:tcBorders>
          </w:tcPr>
          <w:p>
            <w:pPr/>
          </w:p>
        </w:tc>
        <w:tc>
          <w:tcPr>
            <w:tcW w:w="422" w:type="dxa"/>
            <w:vMerge/>
            <w:tcBorders>
              <w:left w:val="single" w:sz="4" w:space="0" w:color="000000"/>
              <w:right w:val="single" w:sz="4" w:space="0" w:color="000000"/>
            </w:tcBorders>
          </w:tcPr>
          <w:p>
            <w:pPr/>
          </w:p>
        </w:tc>
      </w:tr>
      <w:tr>
        <w:trPr>
          <w:trHeight w:val="161" w:hRule="exact"/>
        </w:trPr>
        <w:tc>
          <w:tcPr>
            <w:tcW w:w="1392" w:type="dxa"/>
            <w:vMerge w:val="restart"/>
            <w:tcBorders>
              <w:top w:val="nil" w:sz="6" w:space="0" w:color="auto"/>
              <w:left w:val="single" w:sz="4" w:space="0" w:color="000000"/>
              <w:right w:val="single" w:sz="4" w:space="0" w:color="000000"/>
            </w:tcBorders>
            <w:shd w:val="clear" w:color="auto" w:fill="D2D2D2"/>
          </w:tcPr>
          <w:p>
            <w:pPr/>
          </w:p>
        </w:tc>
        <w:tc>
          <w:tcPr>
            <w:tcW w:w="1676" w:type="dxa"/>
            <w:vMerge/>
            <w:tcBorders>
              <w:left w:val="single" w:sz="9" w:space="0" w:color="D2D2D2"/>
              <w:bottom w:val="single" w:sz="4" w:space="0" w:color="000000"/>
              <w:right w:val="single" w:sz="4" w:space="0" w:color="000000"/>
            </w:tcBorders>
          </w:tcPr>
          <w:p>
            <w:pPr/>
          </w:p>
        </w:tc>
        <w:tc>
          <w:tcPr>
            <w:tcW w:w="8679" w:type="dxa"/>
            <w:vMerge/>
            <w:tcBorders>
              <w:left w:val="single" w:sz="4" w:space="0" w:color="000000"/>
              <w:bottom w:val="single" w:sz="4" w:space="0" w:color="000000"/>
              <w:right w:val="single" w:sz="9" w:space="0" w:color="FFFFFF"/>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1036" w:type="dxa"/>
            <w:vMerge/>
            <w:tcBorders>
              <w:left w:val="single" w:sz="4" w:space="0" w:color="000000"/>
              <w:bottom w:val="single" w:sz="4" w:space="0" w:color="000000"/>
              <w:right w:val="single" w:sz="4" w:space="0" w:color="000000"/>
            </w:tcBorders>
          </w:tcPr>
          <w:p>
            <w:pPr/>
          </w:p>
        </w:tc>
        <w:tc>
          <w:tcPr>
            <w:tcW w:w="422" w:type="dxa"/>
            <w:vMerge/>
            <w:tcBorders>
              <w:left w:val="single" w:sz="4" w:space="0" w:color="000000"/>
              <w:bottom w:val="single" w:sz="4" w:space="0" w:color="000000"/>
              <w:right w:val="single" w:sz="4" w:space="0" w:color="000000"/>
            </w:tcBorders>
          </w:tcPr>
          <w:p>
            <w:pPr/>
          </w:p>
        </w:tc>
      </w:tr>
      <w:tr>
        <w:trPr>
          <w:trHeight w:val="1339" w:hRule="exact"/>
        </w:trPr>
        <w:tc>
          <w:tcPr>
            <w:tcW w:w="1392" w:type="dxa"/>
            <w:vMerge/>
            <w:tcBorders>
              <w:left w:val="single" w:sz="4" w:space="0" w:color="000000"/>
              <w:bottom w:val="single" w:sz="4" w:space="0" w:color="000000"/>
              <w:right w:val="single" w:sz="4" w:space="0" w:color="000000"/>
            </w:tcBorders>
            <w:shd w:val="clear" w:color="auto" w:fill="D2D2D2"/>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73" w:lineRule="auto"/>
              <w:ind w:left="22" w:right="173"/>
              <w:jc w:val="left"/>
              <w:rPr>
                <w:rFonts w:ascii="宋体" w:hAnsi="宋体" w:cs="宋体" w:eastAsia="宋体" w:hint="default"/>
                <w:sz w:val="21"/>
                <w:szCs w:val="21"/>
              </w:rPr>
            </w:pPr>
            <w:r>
              <w:rPr>
                <w:rFonts w:ascii="宋体" w:hAnsi="宋体" w:cs="宋体" w:eastAsia="宋体" w:hint="default"/>
                <w:sz w:val="21"/>
                <w:szCs w:val="21"/>
              </w:rPr>
              <w:t>上海文睿投资有 限公司</w:t>
            </w:r>
          </w:p>
        </w:tc>
        <w:tc>
          <w:tcPr>
            <w:tcW w:w="867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7"/>
              <w:ind w:left="23" w:right="23"/>
              <w:jc w:val="left"/>
              <w:rPr>
                <w:rFonts w:ascii="宋体" w:hAnsi="宋体" w:cs="宋体" w:eastAsia="宋体" w:hint="default"/>
                <w:sz w:val="21"/>
                <w:szCs w:val="21"/>
              </w:rPr>
            </w:pPr>
            <w:r>
              <w:rPr>
                <w:rFonts w:ascii="宋体" w:hAnsi="宋体" w:cs="宋体" w:eastAsia="宋体" w:hint="default"/>
                <w:sz w:val="21"/>
                <w:szCs w:val="21"/>
              </w:rPr>
              <w:t>自公司股票上市交易之日起三十六个月内，不转让或委托他人管理本次发行前已持有的公司股 </w:t>
            </w:r>
            <w:r>
              <w:rPr>
                <w:rFonts w:ascii="宋体" w:hAnsi="宋体" w:cs="宋体" w:eastAsia="宋体" w:hint="default"/>
                <w:spacing w:val="-5"/>
                <w:sz w:val="21"/>
                <w:szCs w:val="21"/>
              </w:rPr>
              <w:t>份，也不由公司回购该部分股份。中文在线上市后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个月内如其股票连续</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个交易日的收盘价</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均低于发行价，或者上市后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个月期末（</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日）收盘价低于发行价，所持中文在</w:t>
            </w:r>
          </w:p>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线上述股份的锁定期限自动延长</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0"/>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2018-01-20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176"/>
              <w:jc w:val="both"/>
              <w:rPr>
                <w:rFonts w:ascii="宋体" w:hAnsi="宋体" w:cs="宋体" w:eastAsia="宋体" w:hint="default"/>
                <w:sz w:val="21"/>
                <w:szCs w:val="21"/>
              </w:rPr>
            </w:pPr>
            <w:r>
              <w:rPr>
                <w:rFonts w:ascii="宋体" w:hAnsi="宋体" w:cs="宋体" w:eastAsia="宋体" w:hint="default"/>
                <w:sz w:val="21"/>
                <w:szCs w:val="21"/>
              </w:rPr>
              <w:t>正 在 履 行</w:t>
            </w:r>
          </w:p>
        </w:tc>
      </w:tr>
    </w:tbl>
    <w:p>
      <w:pPr>
        <w:spacing w:after="0" w:line="273" w:lineRule="auto"/>
        <w:jc w:val="both"/>
        <w:rPr>
          <w:rFonts w:ascii="宋体" w:hAnsi="宋体" w:cs="宋体" w:eastAsia="宋体" w:hint="default"/>
          <w:sz w:val="21"/>
          <w:szCs w:val="21"/>
        </w:rPr>
        <w:sectPr>
          <w:headerReference w:type="default" r:id="rId24"/>
          <w:footerReference w:type="default" r:id="rId25"/>
          <w:pgSz w:w="16840" w:h="11910" w:orient="landscape"/>
          <w:pgMar w:header="867" w:footer="979" w:top="1060" w:bottom="1160" w:left="1300" w:right="1300"/>
          <w:pgNumType w:start="42"/>
        </w:sectPr>
      </w:pPr>
    </w:p>
    <w:p>
      <w:pPr>
        <w:spacing w:line="240" w:lineRule="auto" w:before="4"/>
        <w:rPr>
          <w:rFonts w:ascii="Times New Roman" w:hAnsi="Times New Roman" w:cs="Times New Roman" w:eastAsia="Times New Roman" w:hint="default"/>
          <w:sz w:val="3"/>
          <w:szCs w:val="3"/>
        </w:rPr>
      </w:pPr>
      <w:r>
        <w:rPr/>
        <w:pict>
          <v:shape style="position:absolute;margin-left:651.875488pt;margin-top:374.440002pt;width:46.35pt;height:39.050pt;mso-position-horizontal-relative:page;mso-position-vertical-relative:page;z-index:-741832" type="#_x0000_t202" filled="false" stroked="false">
            <v:textbox inset="0,0,0,0">
              <w:txbxContent>
                <w:p>
                  <w:pPr>
                    <w:spacing w:before="101"/>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r>
        <w:rPr/>
        <w:pict>
          <v:group style="position:absolute;margin-left:658.780029pt;margin-top:284.619995pt;width:39.450pt;height:56.65pt;mso-position-horizontal-relative:page;mso-position-vertical-relative:page;z-index:-741808" coordorigin="13176,5692" coordsize="789,1133">
            <v:group style="position:absolute;left:13176;top:5692;width:789;height:780" coordorigin="13176,5692" coordsize="789,780">
              <v:shape style="position:absolute;left:13176;top:5692;width:789;height:780" coordorigin="13176,5692" coordsize="789,780" path="m13176,6472l13964,6472,13964,5692,13176,5692,13176,6472xe" filled="true" fillcolor="#ffffff" stroked="false">
                <v:path arrowok="t"/>
                <v:fill type="solid"/>
              </v:shape>
            </v:group>
            <v:group style="position:absolute;left:13198;top:6472;width:743;height:353" coordorigin="13198,6472" coordsize="743,353">
              <v:shape style="position:absolute;left:13198;top:6472;width:743;height:353" coordorigin="13198,6472" coordsize="743,353" path="m13198,6825l13941,6825,13941,6472,13198,6472,13198,6825xe" filled="true" fillcolor="#ffffff" stroked="false">
                <v:path arrowok="t"/>
                <v:fill type="solid"/>
              </v:shape>
            </v:group>
            <w10:wrap type="none"/>
          </v:group>
        </w:pict>
      </w:r>
      <w:r>
        <w:rPr/>
        <w:pict>
          <v:group style="position:absolute;margin-left:658.780029pt;margin-top:356.860016pt;width:39.450pt;height:56.6pt;mso-position-horizontal-relative:page;mso-position-vertical-relative:page;z-index:-741784" coordorigin="13176,7137" coordsize="789,1132">
            <v:group style="position:absolute;left:13176;top:7489;width:789;height:781" coordorigin="13176,7489" coordsize="789,781">
              <v:shape style="position:absolute;left:13176;top:7489;width:789;height:781" coordorigin="13176,7489" coordsize="789,781" path="m13176,8269l13964,8269,13964,7489,13176,7489,13176,8269xe" filled="true" fillcolor="#ffffff" stroked="false">
                <v:path arrowok="t"/>
                <v:fill type="solid"/>
              </v:shape>
            </v:group>
            <v:group style="position:absolute;left:13198;top:7137;width:743;height:352" coordorigin="13198,7137" coordsize="743,352">
              <v:shape style="position:absolute;left:13198;top:7137;width:743;height:352" coordorigin="13198,7137" coordsize="743,352" path="m13198,7489l13941,7489,13941,7137,13198,7137,13198,7489xe" filled="true" fillcolor="#ffffff" stroked="false">
                <v:path arrowok="t"/>
                <v:fill type="solid"/>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1403"/>
        <w:gridCol w:w="1676"/>
        <w:gridCol w:w="8679"/>
        <w:gridCol w:w="798"/>
        <w:gridCol w:w="1036"/>
        <w:gridCol w:w="422"/>
      </w:tblGrid>
      <w:tr>
        <w:trPr>
          <w:trHeight w:val="2601" w:hRule="exact"/>
        </w:trPr>
        <w:tc>
          <w:tcPr>
            <w:tcW w:w="1403" w:type="dxa"/>
            <w:vMerge w:val="restart"/>
            <w:tcBorders>
              <w:top w:val="single" w:sz="15" w:space="0" w:color="000000"/>
              <w:left w:val="single" w:sz="4" w:space="0" w:color="000000"/>
              <w:right w:val="single" w:sz="4" w:space="0" w:color="000000"/>
            </w:tcBorders>
            <w:shd w:val="clear" w:color="auto" w:fill="D2D2D2"/>
          </w:tcPr>
          <w:p>
            <w:pPr/>
          </w:p>
        </w:tc>
        <w:tc>
          <w:tcPr>
            <w:tcW w:w="16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童之磊</w:t>
            </w:r>
          </w:p>
        </w:tc>
        <w:tc>
          <w:tcPr>
            <w:tcW w:w="8679" w:type="dxa"/>
            <w:tcBorders>
              <w:top w:val="single" w:sz="15" w:space="0" w:color="000000"/>
              <w:left w:val="single" w:sz="4" w:space="0" w:color="000000"/>
              <w:bottom w:val="single" w:sz="4" w:space="0" w:color="000000"/>
              <w:right w:val="single" w:sz="4" w:space="0" w:color="000000"/>
            </w:tcBorders>
          </w:tcPr>
          <w:p>
            <w:pPr>
              <w:pStyle w:val="TableParagraph"/>
              <w:spacing w:line="273" w:lineRule="auto" w:before="26"/>
              <w:ind w:left="23" w:right="33"/>
              <w:jc w:val="both"/>
              <w:rPr>
                <w:rFonts w:ascii="Times New Roman" w:hAnsi="Times New Roman" w:cs="Times New Roman" w:eastAsia="Times New Roman" w:hint="default"/>
                <w:sz w:val="21"/>
                <w:szCs w:val="21"/>
              </w:rPr>
            </w:pPr>
            <w:r>
              <w:rPr>
                <w:rFonts w:ascii="宋体" w:hAnsi="宋体" w:cs="宋体" w:eastAsia="宋体" w:hint="default"/>
                <w:sz w:val="21"/>
                <w:szCs w:val="21"/>
              </w:rPr>
              <w:t>自公司股票上市交易之日起三十六个月内，不转让或委托他人管理直接或间接持有的本次公开 发行前其已持有的股份，也不由公司回购该部分股份。上述禁售期满后，在本人担任中文在线 董事、监事或高级管理人员期间，每年转让的股份不超过所持股份总数的百分之二十五，离职 后半年内，不转让所持有的公司股份；每年转让文睿投资的出资不超过总数的百分之二十五， 离职后半年内，不转让所持有的文睿投资的出资。中文在线上市后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个月内如其股票连续</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w:t>
            </w:r>
          </w:p>
          <w:p>
            <w:pPr>
              <w:pStyle w:val="TableParagraph"/>
              <w:spacing w:line="279" w:lineRule="exact"/>
              <w:ind w:left="23" w:right="0"/>
              <w:jc w:val="both"/>
              <w:rPr>
                <w:rFonts w:ascii="宋体" w:hAnsi="宋体" w:cs="宋体" w:eastAsia="宋体" w:hint="default"/>
                <w:sz w:val="21"/>
                <w:szCs w:val="21"/>
              </w:rPr>
            </w:pPr>
            <w:r>
              <w:rPr>
                <w:rFonts w:ascii="宋体" w:hAnsi="宋体" w:cs="宋体" w:eastAsia="宋体" w:hint="default"/>
                <w:sz w:val="21"/>
                <w:szCs w:val="21"/>
              </w:rPr>
              <w:t>个交易日的收盘价均低于发行价，或者上市后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个月期末（</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日）收盘价低于发</w:t>
            </w:r>
          </w:p>
          <w:p>
            <w:pPr>
              <w:pStyle w:val="TableParagraph"/>
              <w:spacing w:line="259" w:lineRule="auto" w:before="21"/>
              <w:ind w:left="23" w:right="32"/>
              <w:jc w:val="both"/>
              <w:rPr>
                <w:rFonts w:ascii="宋体" w:hAnsi="宋体" w:cs="宋体" w:eastAsia="宋体" w:hint="default"/>
                <w:sz w:val="21"/>
                <w:szCs w:val="21"/>
              </w:rPr>
            </w:pPr>
            <w:r>
              <w:rPr>
                <w:rFonts w:ascii="宋体" w:hAnsi="宋体" w:cs="宋体" w:eastAsia="宋体" w:hint="default"/>
                <w:sz w:val="21"/>
                <w:szCs w:val="21"/>
              </w:rPr>
              <w:t>行价，所持中文在线股份和文睿投资股权的锁定期限自动延长</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个月。上述承诺不因本人职务 变更或离职等原因终止。</w:t>
            </w:r>
          </w:p>
        </w:tc>
        <w:tc>
          <w:tcPr>
            <w:tcW w:w="7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0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2018-01-20</w:t>
            </w:r>
          </w:p>
        </w:tc>
        <w:tc>
          <w:tcPr>
            <w:tcW w:w="42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73" w:lineRule="auto"/>
              <w:ind w:left="23" w:right="176"/>
              <w:jc w:val="both"/>
              <w:rPr>
                <w:rFonts w:ascii="宋体" w:hAnsi="宋体" w:cs="宋体" w:eastAsia="宋体" w:hint="default"/>
                <w:sz w:val="21"/>
                <w:szCs w:val="21"/>
              </w:rPr>
            </w:pPr>
            <w:r>
              <w:rPr>
                <w:rFonts w:ascii="宋体" w:hAnsi="宋体" w:cs="宋体" w:eastAsia="宋体" w:hint="default"/>
                <w:sz w:val="21"/>
                <w:szCs w:val="21"/>
              </w:rPr>
              <w:t>正 在 履 行</w:t>
            </w:r>
          </w:p>
        </w:tc>
      </w:tr>
      <w:tr>
        <w:trPr>
          <w:trHeight w:val="1962" w:hRule="exact"/>
        </w:trPr>
        <w:tc>
          <w:tcPr>
            <w:tcW w:w="1403" w:type="dxa"/>
            <w:vMerge/>
            <w:tcBorders>
              <w:left w:val="single" w:sz="4" w:space="0" w:color="000000"/>
              <w:right w:val="single" w:sz="4" w:space="0" w:color="000000"/>
            </w:tcBorders>
            <w:shd w:val="clear" w:color="auto" w:fill="D2D2D2"/>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22" w:right="0"/>
              <w:jc w:val="left"/>
              <w:rPr>
                <w:rFonts w:ascii="宋体" w:hAnsi="宋体" w:cs="宋体" w:eastAsia="宋体" w:hint="default"/>
                <w:sz w:val="21"/>
                <w:szCs w:val="21"/>
              </w:rPr>
            </w:pPr>
            <w:r>
              <w:rPr>
                <w:rFonts w:ascii="宋体" w:hAnsi="宋体" w:cs="宋体" w:eastAsia="宋体" w:hint="default"/>
                <w:sz w:val="21"/>
                <w:szCs w:val="21"/>
              </w:rPr>
              <w:t>童之磊</w:t>
            </w:r>
          </w:p>
        </w:tc>
        <w:tc>
          <w:tcPr>
            <w:tcW w:w="8679"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26"/>
              <w:ind w:left="23" w:right="16"/>
              <w:jc w:val="both"/>
              <w:rPr>
                <w:rFonts w:ascii="宋体" w:hAnsi="宋体" w:cs="宋体" w:eastAsia="宋体" w:hint="default"/>
                <w:sz w:val="21"/>
                <w:szCs w:val="21"/>
              </w:rPr>
            </w:pPr>
            <w:r>
              <w:rPr>
                <w:rFonts w:ascii="宋体" w:hAnsi="宋体" w:cs="宋体" w:eastAsia="宋体" w:hint="default"/>
                <w:sz w:val="21"/>
                <w:szCs w:val="21"/>
              </w:rPr>
              <w:t>有意长期持有中文在线股份；在限售期届满之日起两年内减持直接持有的中文在线股份数量合 计不超过其持有的中文在线股份的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；减持价格不低于中文在线首次公开股票时的发行价； 减持所持有的中文在线股份应符合相关法律、法规、规章的规定，减持方式包括但不限于二级 市场竞价交易方式、大宗交易方式、协议转让方式等；在减持所持有的中文在线股份前，应提 前三个交易日予以公告，自公告之日起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个月内完成，并按照深圳证券交易所的规则及时、准 确地履行信息披露义务。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w:t>
            </w:r>
          </w:p>
          <w:p>
            <w:pPr>
              <w:pStyle w:val="TableParagraph"/>
              <w:spacing w:line="240" w:lineRule="auto" w:before="23"/>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22" w:right="0"/>
              <w:jc w:val="left"/>
              <w:rPr>
                <w:rFonts w:ascii="Times New Roman" w:hAnsi="Times New Roman" w:cs="Times New Roman" w:eastAsia="Times New Roman" w:hint="default"/>
                <w:sz w:val="21"/>
                <w:szCs w:val="21"/>
              </w:rPr>
            </w:pPr>
            <w:r>
              <w:rPr>
                <w:rFonts w:ascii="Times New Roman"/>
                <w:sz w:val="21"/>
              </w:rPr>
              <w:t>2020-01-20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23" w:right="176"/>
              <w:jc w:val="both"/>
              <w:rPr>
                <w:rFonts w:ascii="宋体" w:hAnsi="宋体" w:cs="宋体" w:eastAsia="宋体" w:hint="default"/>
                <w:sz w:val="21"/>
                <w:szCs w:val="21"/>
              </w:rPr>
            </w:pPr>
            <w:r>
              <w:rPr>
                <w:rFonts w:ascii="宋体" w:hAnsi="宋体" w:cs="宋体" w:eastAsia="宋体" w:hint="default"/>
                <w:sz w:val="21"/>
                <w:szCs w:val="21"/>
              </w:rPr>
              <w:t>正 在 履 行</w:t>
            </w:r>
          </w:p>
        </w:tc>
      </w:tr>
      <w:tr>
        <w:trPr>
          <w:trHeight w:val="2586" w:hRule="exact"/>
        </w:trPr>
        <w:tc>
          <w:tcPr>
            <w:tcW w:w="1403" w:type="dxa"/>
            <w:vMerge/>
            <w:tcBorders>
              <w:left w:val="single" w:sz="4" w:space="0" w:color="000000"/>
              <w:right w:val="single" w:sz="4" w:space="0" w:color="000000"/>
            </w:tcBorders>
            <w:shd w:val="clear" w:color="auto" w:fill="D2D2D2"/>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73" w:lineRule="auto"/>
              <w:ind w:left="22" w:right="173"/>
              <w:jc w:val="left"/>
              <w:rPr>
                <w:rFonts w:ascii="宋体" w:hAnsi="宋体" w:cs="宋体" w:eastAsia="宋体" w:hint="default"/>
                <w:sz w:val="21"/>
                <w:szCs w:val="21"/>
              </w:rPr>
            </w:pPr>
            <w:r>
              <w:rPr>
                <w:rFonts w:ascii="宋体" w:hAnsi="宋体" w:cs="宋体" w:eastAsia="宋体" w:hint="default"/>
                <w:sz w:val="21"/>
                <w:szCs w:val="21"/>
              </w:rPr>
              <w:t>北京启迪华创投 资咨询有限公司</w:t>
            </w:r>
          </w:p>
        </w:tc>
        <w:tc>
          <w:tcPr>
            <w:tcW w:w="8679" w:type="dxa"/>
            <w:tcBorders>
              <w:top w:val="single" w:sz="4" w:space="0" w:color="000000"/>
              <w:left w:val="single" w:sz="4" w:space="0" w:color="000000"/>
              <w:bottom w:val="single" w:sz="4" w:space="0" w:color="000000"/>
              <w:right w:val="single" w:sz="13" w:space="0" w:color="FFFFFF"/>
            </w:tcBorders>
          </w:tcPr>
          <w:p>
            <w:pPr>
              <w:pStyle w:val="TableParagraph"/>
              <w:spacing w:line="261" w:lineRule="auto" w:before="26"/>
              <w:ind w:left="23" w:right="8"/>
              <w:jc w:val="left"/>
              <w:rPr>
                <w:rFonts w:ascii="宋体" w:hAnsi="宋体" w:cs="宋体" w:eastAsia="宋体" w:hint="default"/>
                <w:sz w:val="21"/>
                <w:szCs w:val="21"/>
              </w:rPr>
            </w:pPr>
            <w:r>
              <w:rPr>
                <w:rFonts w:ascii="宋体" w:hAnsi="宋体" w:cs="宋体" w:eastAsia="宋体" w:hint="default"/>
                <w:sz w:val="21"/>
                <w:szCs w:val="21"/>
              </w:rPr>
              <w:t>在限售期满后第一年减持所持有的中文在线股份数量总计不超过本公司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本人所持中文在线股 份总数的</w:t>
            </w:r>
            <w:r>
              <w:rPr>
                <w:rFonts w:ascii="宋体" w:hAnsi="宋体" w:cs="宋体" w:eastAsia="宋体" w:hint="default"/>
                <w:spacing w:val="-44"/>
                <w:sz w:val="21"/>
                <w:szCs w:val="21"/>
              </w:rPr>
              <w:t> </w:t>
            </w:r>
            <w:r>
              <w:rPr>
                <w:rFonts w:ascii="Times New Roman" w:hAnsi="Times New Roman" w:cs="Times New Roman" w:eastAsia="Times New Roman" w:hint="default"/>
                <w:spacing w:val="-2"/>
                <w:sz w:val="21"/>
                <w:szCs w:val="21"/>
              </w:rPr>
              <w:t>40%</w:t>
            </w:r>
            <w:r>
              <w:rPr>
                <w:rFonts w:ascii="宋体" w:hAnsi="宋体" w:cs="宋体" w:eastAsia="宋体" w:hint="default"/>
                <w:spacing w:val="-2"/>
                <w:sz w:val="21"/>
                <w:szCs w:val="21"/>
              </w:rPr>
              <w:t>，在限售期满后第二年减持所持有的中文在线股份数量总计不超过本公司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本人所</w:t>
            </w:r>
            <w:r>
              <w:rPr>
                <w:rFonts w:ascii="宋体" w:hAnsi="宋体" w:cs="宋体" w:eastAsia="宋体" w:hint="default"/>
                <w:spacing w:val="-101"/>
                <w:sz w:val="21"/>
                <w:szCs w:val="21"/>
              </w:rPr>
              <w:t> </w:t>
            </w:r>
            <w:r>
              <w:rPr>
                <w:rFonts w:ascii="宋体" w:hAnsi="宋体" w:cs="宋体" w:eastAsia="宋体" w:hint="default"/>
                <w:sz w:val="21"/>
                <w:szCs w:val="21"/>
              </w:rPr>
              <w:t>持中文在线股份余额的</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40%</w:t>
            </w:r>
            <w:r>
              <w:rPr>
                <w:rFonts w:ascii="宋体" w:hAnsi="宋体" w:cs="宋体" w:eastAsia="宋体" w:hint="default"/>
                <w:spacing w:val="-4"/>
                <w:sz w:val="21"/>
                <w:szCs w:val="21"/>
              </w:rPr>
              <w:t>；减持所持有的中文在线股份的价格根据当时的二级市场价格确定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并应符合相关法律、法规的规定，减持时点的中文在线股票的二级市场价格不得低于发行价的 </w:t>
            </w:r>
            <w:r>
              <w:rPr>
                <w:rFonts w:ascii="Times New Roman" w:hAnsi="Times New Roman" w:cs="Times New Roman" w:eastAsia="Times New Roman" w:hint="default"/>
                <w:sz w:val="21"/>
                <w:szCs w:val="21"/>
              </w:rPr>
              <w:t>80%</w:t>
            </w:r>
            <w:r>
              <w:rPr>
                <w:rFonts w:ascii="宋体" w:hAnsi="宋体" w:cs="宋体" w:eastAsia="宋体" w:hint="default"/>
                <w:sz w:val="21"/>
                <w:szCs w:val="21"/>
              </w:rPr>
              <w:t>；减持所持有的中文在线股份应符合相关法律、法规、规章的规定，减持方式包括但不限 </w:t>
            </w:r>
            <w:r>
              <w:rPr>
                <w:rFonts w:ascii="宋体" w:hAnsi="宋体" w:cs="宋体" w:eastAsia="宋体" w:hint="default"/>
                <w:spacing w:val="-3"/>
                <w:sz w:val="21"/>
                <w:szCs w:val="21"/>
              </w:rPr>
              <w:t>于二级市场竞价交易方式、大宗交易方式、协议转让方式等；在减持所持有的中文在线股份前</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应提前三个交易日予以公告，自公告之日起</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个月内完成，并按照深圳证券交易所的规则及时</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准确地履行信息披露义务。</w:t>
            </w:r>
          </w:p>
        </w:tc>
        <w:tc>
          <w:tcPr>
            <w:tcW w:w="79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15" w:lineRule="exact"/>
              <w:ind w:left="-149"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31"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w:t>
            </w:r>
          </w:p>
          <w:p>
            <w:pPr>
              <w:pStyle w:val="TableParagraph"/>
              <w:spacing w:line="215" w:lineRule="exact" w:before="22"/>
              <w:ind w:left="11" w:right="0"/>
              <w:jc w:val="left"/>
              <w:rPr>
                <w:rFonts w:ascii="宋体" w:hAnsi="宋体" w:cs="宋体" w:eastAsia="宋体" w:hint="default"/>
                <w:sz w:val="21"/>
                <w:szCs w:val="21"/>
              </w:rPr>
            </w:pPr>
            <w:r>
              <w:rPr>
                <w:rFonts w:ascii="宋体" w:hAnsi="宋体" w:cs="宋体" w:eastAsia="宋体" w:hint="default"/>
                <w:sz w:val="21"/>
                <w:szCs w:val="21"/>
              </w:rPr>
              <w:t>日</w:t>
            </w:r>
          </w:p>
          <w:p>
            <w:pPr>
              <w:pStyle w:val="TableParagraph"/>
              <w:spacing w:line="215" w:lineRule="exact"/>
              <w:ind w:left="-151"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2020-01-20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73" w:lineRule="auto"/>
              <w:ind w:left="23" w:right="176"/>
              <w:jc w:val="both"/>
              <w:rPr>
                <w:rFonts w:ascii="宋体" w:hAnsi="宋体" w:cs="宋体" w:eastAsia="宋体" w:hint="default"/>
                <w:sz w:val="21"/>
                <w:szCs w:val="21"/>
              </w:rPr>
            </w:pPr>
            <w:r>
              <w:rPr>
                <w:rFonts w:ascii="宋体" w:hAnsi="宋体" w:cs="宋体" w:eastAsia="宋体" w:hint="default"/>
                <w:sz w:val="21"/>
                <w:szCs w:val="21"/>
              </w:rPr>
              <w:t>正 在 履 行</w:t>
            </w:r>
          </w:p>
        </w:tc>
      </w:tr>
      <w:tr>
        <w:trPr>
          <w:trHeight w:val="2234"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73" w:lineRule="auto"/>
              <w:ind w:left="22" w:right="173"/>
              <w:jc w:val="left"/>
              <w:rPr>
                <w:rFonts w:ascii="宋体" w:hAnsi="宋体" w:cs="宋体" w:eastAsia="宋体" w:hint="default"/>
                <w:sz w:val="21"/>
                <w:szCs w:val="21"/>
              </w:rPr>
            </w:pPr>
            <w:r>
              <w:rPr>
                <w:rFonts w:ascii="宋体" w:hAnsi="宋体" w:cs="宋体" w:eastAsia="宋体" w:hint="default"/>
                <w:sz w:val="21"/>
                <w:szCs w:val="21"/>
              </w:rPr>
              <w:t>上海文睿投资有 限公司</w:t>
            </w:r>
          </w:p>
        </w:tc>
        <w:tc>
          <w:tcPr>
            <w:tcW w:w="8679"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26"/>
              <w:ind w:left="23" w:right="21"/>
              <w:jc w:val="both"/>
              <w:rPr>
                <w:rFonts w:ascii="宋体" w:hAnsi="宋体" w:cs="宋体" w:eastAsia="宋体" w:hint="default"/>
                <w:sz w:val="21"/>
                <w:szCs w:val="21"/>
              </w:rPr>
            </w:pPr>
            <w:r>
              <w:rPr>
                <w:rFonts w:ascii="宋体" w:hAnsi="宋体" w:cs="宋体" w:eastAsia="宋体" w:hint="default"/>
                <w:sz w:val="21"/>
                <w:szCs w:val="21"/>
              </w:rPr>
              <w:t>在限售期满后第一年减持所持有的中文在线股份数量总计不超过本公司所持中文在线股份总数 的</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40%</w:t>
            </w:r>
            <w:r>
              <w:rPr>
                <w:rFonts w:ascii="宋体" w:hAnsi="宋体" w:cs="宋体" w:eastAsia="宋体" w:hint="default"/>
                <w:sz w:val="21"/>
                <w:szCs w:val="21"/>
              </w:rPr>
              <w:t>，在限售期满后第二年减持所持有的中文在线股份数量总计不超过本公司所持中文在线 股份总数余额的</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40%</w:t>
            </w:r>
            <w:r>
              <w:rPr>
                <w:rFonts w:ascii="宋体" w:hAnsi="宋体" w:cs="宋体" w:eastAsia="宋体" w:hint="default"/>
                <w:sz w:val="21"/>
                <w:szCs w:val="21"/>
              </w:rPr>
              <w:t>；减持所持有的中文在线股份的价格根据当时的二级市场价格确定，并应 符合相关法律、法规的规定，减持时点的中文在线股票的二级市场价格不得低于发行价；减持 所持有的中文在线股份应符合相关法律、法规、规章的规定，减持方式包括但不限于二级市场 竞价交易方式、大宗交易方式、协议转让方式等；在减持所持有的中文在线股份前，应提前三 个交易日予以公告，自公告之日起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个月内完成，并按照深圳证券交易所的规则及时、准确地</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32"/>
                <w:szCs w:val="32"/>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0"/>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2020-01-20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73" w:lineRule="auto"/>
              <w:ind w:left="23" w:right="176"/>
              <w:jc w:val="both"/>
              <w:rPr>
                <w:rFonts w:ascii="宋体" w:hAnsi="宋体" w:cs="宋体" w:eastAsia="宋体" w:hint="default"/>
                <w:sz w:val="21"/>
                <w:szCs w:val="21"/>
              </w:rPr>
            </w:pPr>
            <w:r>
              <w:rPr>
                <w:rFonts w:ascii="宋体" w:hAnsi="宋体" w:cs="宋体" w:eastAsia="宋体" w:hint="default"/>
                <w:sz w:val="21"/>
                <w:szCs w:val="21"/>
              </w:rPr>
              <w:t>正 在 履 行</w:t>
            </w:r>
          </w:p>
        </w:tc>
      </w:tr>
    </w:tbl>
    <w:p>
      <w:pPr>
        <w:spacing w:after="0" w:line="273" w:lineRule="auto"/>
        <w:jc w:val="both"/>
        <w:rPr>
          <w:rFonts w:ascii="宋体" w:hAnsi="宋体" w:cs="宋体" w:eastAsia="宋体" w:hint="default"/>
          <w:sz w:val="21"/>
          <w:szCs w:val="21"/>
        </w:rPr>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651.856995pt;margin-top:402.640015pt;width:46.35pt;height:131.6pt;mso-position-horizontal-relative:page;mso-position-vertical-relative:page;z-index:-741712"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1403"/>
        <w:gridCol w:w="1676"/>
        <w:gridCol w:w="8679"/>
        <w:gridCol w:w="798"/>
        <w:gridCol w:w="1036"/>
        <w:gridCol w:w="422"/>
      </w:tblGrid>
      <w:tr>
        <w:trPr>
          <w:trHeight w:val="377" w:hRule="exact"/>
        </w:trPr>
        <w:tc>
          <w:tcPr>
            <w:tcW w:w="1403" w:type="dxa"/>
            <w:vMerge w:val="restart"/>
            <w:tcBorders>
              <w:top w:val="single" w:sz="15" w:space="0" w:color="000000"/>
              <w:left w:val="single" w:sz="4" w:space="0" w:color="000000"/>
              <w:right w:val="single" w:sz="4" w:space="0" w:color="000000"/>
            </w:tcBorders>
            <w:shd w:val="clear" w:color="auto" w:fill="D2D2D2"/>
          </w:tcPr>
          <w:p>
            <w:pPr/>
          </w:p>
        </w:tc>
        <w:tc>
          <w:tcPr>
            <w:tcW w:w="1676" w:type="dxa"/>
            <w:tcBorders>
              <w:top w:val="single" w:sz="15" w:space="0" w:color="000000"/>
              <w:left w:val="single" w:sz="4" w:space="0" w:color="000000"/>
              <w:bottom w:val="single" w:sz="4" w:space="0" w:color="000000"/>
              <w:right w:val="single" w:sz="4" w:space="0" w:color="000000"/>
            </w:tcBorders>
          </w:tcPr>
          <w:p>
            <w:pPr/>
          </w:p>
        </w:tc>
        <w:tc>
          <w:tcPr>
            <w:tcW w:w="8679" w:type="dxa"/>
            <w:tcBorders>
              <w:top w:val="single" w:sz="15"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履行信息披露义务。</w:t>
            </w:r>
          </w:p>
        </w:tc>
        <w:tc>
          <w:tcPr>
            <w:tcW w:w="798" w:type="dxa"/>
            <w:tcBorders>
              <w:top w:val="single" w:sz="15" w:space="0" w:color="000000"/>
              <w:left w:val="single" w:sz="4" w:space="0" w:color="000000"/>
              <w:bottom w:val="single" w:sz="4" w:space="0" w:color="000000"/>
              <w:right w:val="single" w:sz="4" w:space="0" w:color="000000"/>
            </w:tcBorders>
          </w:tcPr>
          <w:p>
            <w:pPr/>
          </w:p>
        </w:tc>
        <w:tc>
          <w:tcPr>
            <w:tcW w:w="1036" w:type="dxa"/>
            <w:tcBorders>
              <w:top w:val="single" w:sz="15" w:space="0" w:color="000000"/>
              <w:left w:val="single" w:sz="4" w:space="0" w:color="000000"/>
              <w:bottom w:val="single" w:sz="4" w:space="0" w:color="000000"/>
              <w:right w:val="single" w:sz="4" w:space="0" w:color="000000"/>
            </w:tcBorders>
          </w:tcPr>
          <w:p>
            <w:pPr/>
          </w:p>
        </w:tc>
        <w:tc>
          <w:tcPr>
            <w:tcW w:w="422" w:type="dxa"/>
            <w:tcBorders>
              <w:top w:val="single" w:sz="15" w:space="0" w:color="000000"/>
              <w:left w:val="single" w:sz="4" w:space="0" w:color="000000"/>
              <w:bottom w:val="single" w:sz="4" w:space="0" w:color="000000"/>
              <w:right w:val="single" w:sz="4" w:space="0" w:color="000000"/>
            </w:tcBorders>
          </w:tcPr>
          <w:p>
            <w:pPr/>
          </w:p>
        </w:tc>
      </w:tr>
      <w:tr>
        <w:trPr>
          <w:trHeight w:val="2898" w:hRule="exact"/>
        </w:trPr>
        <w:tc>
          <w:tcPr>
            <w:tcW w:w="1403" w:type="dxa"/>
            <w:vMerge/>
            <w:tcBorders>
              <w:left w:val="single" w:sz="4" w:space="0" w:color="000000"/>
              <w:right w:val="single" w:sz="4" w:space="0" w:color="000000"/>
            </w:tcBorders>
            <w:shd w:val="clear" w:color="auto" w:fill="D2D2D2"/>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73" w:lineRule="auto"/>
              <w:ind w:left="22" w:right="173"/>
              <w:jc w:val="both"/>
              <w:rPr>
                <w:rFonts w:ascii="宋体" w:hAnsi="宋体" w:cs="宋体" w:eastAsia="宋体" w:hint="default"/>
                <w:sz w:val="21"/>
                <w:szCs w:val="21"/>
              </w:rPr>
            </w:pPr>
            <w:r>
              <w:rPr>
                <w:rFonts w:ascii="宋体" w:hAnsi="宋体" w:cs="宋体" w:eastAsia="宋体" w:hint="default"/>
                <w:sz w:val="21"/>
                <w:szCs w:val="21"/>
              </w:rPr>
              <w:t>北京中文在线数 字出版股份有限 公司</w:t>
            </w:r>
            <w:r>
              <w:rPr>
                <w:rFonts w:ascii="Times New Roman" w:hAnsi="Times New Roman" w:cs="Times New Roman" w:eastAsia="Times New Roman" w:hint="default"/>
                <w:sz w:val="21"/>
                <w:szCs w:val="21"/>
              </w:rPr>
              <w:t>;</w:t>
            </w:r>
            <w:r>
              <w:rPr>
                <w:rFonts w:ascii="宋体" w:hAnsi="宋体" w:cs="宋体" w:eastAsia="宋体" w:hint="default"/>
                <w:sz w:val="21"/>
                <w:szCs w:val="21"/>
              </w:rPr>
              <w:t>童之磊</w:t>
            </w:r>
          </w:p>
        </w:tc>
        <w:tc>
          <w:tcPr>
            <w:tcW w:w="8679" w:type="dxa"/>
            <w:tcBorders>
              <w:top w:val="single" w:sz="4" w:space="0" w:color="000000"/>
              <w:left w:val="single" w:sz="4" w:space="0" w:color="000000"/>
              <w:bottom w:val="single" w:sz="4" w:space="0" w:color="000000"/>
              <w:right w:val="single" w:sz="13" w:space="0" w:color="FFFFFF"/>
            </w:tcBorders>
          </w:tcPr>
          <w:p>
            <w:pPr>
              <w:pStyle w:val="TableParagraph"/>
              <w:spacing w:line="264" w:lineRule="auto" w:before="26"/>
              <w:ind w:left="23" w:right="-36"/>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、公司首次公开发行股票招股说明书不存在虚假记载、误导性陈述或者重大遗漏。</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、公司 首次公开发行股票招股说明书如有虚假记载、误导性陈述或者重大遗漏，对判断公司是否符合 法律规定的发行条件构成重大、实质影响的，公司将依法回购首次公开发行的全部新股，控股 股东将购回其在 </w:t>
            </w:r>
            <w:r>
              <w:rPr>
                <w:rFonts w:ascii="Times New Roman" w:hAnsi="Times New Roman" w:cs="Times New Roman" w:eastAsia="Times New Roman" w:hint="default"/>
                <w:sz w:val="21"/>
                <w:szCs w:val="21"/>
              </w:rPr>
              <w:t>IPO </w:t>
            </w:r>
            <w:r>
              <w:rPr>
                <w:rFonts w:ascii="宋体" w:hAnsi="宋体" w:cs="宋体" w:eastAsia="宋体" w:hint="default"/>
                <w:sz w:val="21"/>
                <w:szCs w:val="21"/>
              </w:rPr>
              <w:t>时转让的全部限售股份。</w:t>
            </w:r>
            <w:r>
              <w:rPr>
                <w:rFonts w:ascii="宋体" w:hAnsi="宋体" w:cs="宋体" w:eastAsia="宋体" w:hint="default"/>
                <w:spacing w:val="-62"/>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）公司启动回购措施的时点及回购价格在中 国证监会或其他有权部门作出认定后二十个交易日内，将根据相关法律、法规及公司章程的规 定召开董事会，并提议召开股东大会，启动股份回购措施，回购价格为二级市场价格。</w:t>
            </w:r>
            <w:r>
              <w:rPr>
                <w:rFonts w:ascii="宋体" w:hAnsi="宋体" w:cs="宋体" w:eastAsia="宋体" w:hint="default"/>
                <w:spacing w:val="58"/>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 控股股东启动购回措施的时点及购回价格控股股东在中国证监会或其他有权部门作出认定后二 </w:t>
            </w:r>
            <w:r>
              <w:rPr>
                <w:rFonts w:ascii="宋体" w:hAnsi="宋体" w:cs="宋体" w:eastAsia="宋体" w:hint="default"/>
                <w:spacing w:val="-5"/>
                <w:sz w:val="21"/>
                <w:szCs w:val="21"/>
              </w:rPr>
              <w:t>十个交易日内，将根据相关法律、法规及规范性文件的规定，启动股份购回措施，购回其在</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时转让的全部限售股份，购回价格为二级市场价格。</w:t>
            </w:r>
          </w:p>
        </w:tc>
        <w:tc>
          <w:tcPr>
            <w:tcW w:w="79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0"/>
              <w:ind w:left="1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w:t>
            </w:r>
          </w:p>
          <w:p>
            <w:pPr>
              <w:pStyle w:val="TableParagraph"/>
              <w:spacing w:line="240" w:lineRule="auto" w:before="22"/>
              <w:ind w:left="1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3"/>
              <w:ind w:left="22" w:right="0"/>
              <w:jc w:val="left"/>
              <w:rPr>
                <w:rFonts w:ascii="Times New Roman" w:hAnsi="Times New Roman" w:cs="Times New Roman" w:eastAsia="Times New Roman" w:hint="default"/>
                <w:sz w:val="21"/>
                <w:szCs w:val="21"/>
              </w:rPr>
            </w:pPr>
            <w:r>
              <w:rPr>
                <w:rFonts w:ascii="Times New Roman"/>
                <w:sz w:val="21"/>
              </w:rPr>
              <w:t>9999-12-31</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16"/>
              <w:ind w:left="23" w:right="176"/>
              <w:jc w:val="both"/>
              <w:rPr>
                <w:rFonts w:ascii="宋体" w:hAnsi="宋体" w:cs="宋体" w:eastAsia="宋体" w:hint="default"/>
                <w:sz w:val="21"/>
                <w:szCs w:val="21"/>
              </w:rPr>
            </w:pPr>
            <w:r>
              <w:rPr>
                <w:rFonts w:ascii="宋体" w:hAnsi="宋体" w:cs="宋体" w:eastAsia="宋体" w:hint="default"/>
                <w:sz w:val="21"/>
                <w:szCs w:val="21"/>
              </w:rPr>
              <w:t>正 在 履 行</w:t>
            </w:r>
          </w:p>
        </w:tc>
      </w:tr>
      <w:tr>
        <w:trPr>
          <w:trHeight w:val="6291"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28"/>
              <w:ind w:left="22" w:right="173"/>
              <w:jc w:val="both"/>
              <w:rPr>
                <w:rFonts w:ascii="宋体" w:hAnsi="宋体" w:cs="宋体" w:eastAsia="宋体" w:hint="default"/>
                <w:sz w:val="21"/>
                <w:szCs w:val="21"/>
              </w:rPr>
            </w:pPr>
            <w:r>
              <w:rPr>
                <w:rFonts w:ascii="宋体" w:hAnsi="宋体" w:cs="宋体" w:eastAsia="宋体" w:hint="default"/>
                <w:sz w:val="21"/>
                <w:szCs w:val="21"/>
              </w:rPr>
              <w:t>北京中文在线数 字出版股份有限 公司</w:t>
            </w:r>
          </w:p>
        </w:tc>
        <w:tc>
          <w:tcPr>
            <w:tcW w:w="8679" w:type="dxa"/>
            <w:tcBorders>
              <w:top w:val="single" w:sz="4" w:space="0" w:color="000000"/>
              <w:left w:val="single" w:sz="4" w:space="0" w:color="000000"/>
              <w:bottom w:val="single" w:sz="4" w:space="0" w:color="000000"/>
              <w:right w:val="single" w:sz="9" w:space="0" w:color="FFFFFF"/>
            </w:tcBorders>
          </w:tcPr>
          <w:p>
            <w:pPr>
              <w:pStyle w:val="TableParagraph"/>
              <w:spacing w:line="268" w:lineRule="auto" w:before="26"/>
              <w:ind w:left="23" w:right="14" w:hanging="1"/>
              <w:jc w:val="center"/>
              <w:rPr>
                <w:rFonts w:ascii="宋体" w:hAnsi="宋体" w:cs="宋体" w:eastAsia="宋体" w:hint="default"/>
                <w:sz w:val="21"/>
                <w:szCs w:val="21"/>
              </w:rPr>
            </w:pP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本次发行后，随着募集资金的到位，公司的股本和净资产都将有较大幅度的增加，但募集资金</w:t>
            </w:r>
            <w:r>
              <w:rPr>
                <w:rFonts w:ascii="宋体" w:hAnsi="宋体" w:cs="宋体" w:eastAsia="宋体" w:hint="default"/>
                <w:sz w:val="21"/>
                <w:szCs w:val="21"/>
              </w:rPr>
              <w:t> 投资项目有一定的建设周期，短期内营业收入及净利润较难以实现同步增长，公司短期内存在 净资产收益率下降以及每股收益被摊薄的风险。公司承诺就填补被摊薄即期回报降采取以下措 施：</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、加快募集资金投资项目的实施，尽快实现效益本次募集资金投资项目为数字内容资源 平台升级改造项目，围绕公司主营业务，具有良好的盈利前景，有助于巩固公司的内容资源和 教育阅读产品优势，增加公司营业收入。公司已对募集资金投资项目上进行了前期投入，募集 资金到位后，公司将继续加快募集资金投资项目的实施，实现项目预期收益，提高股东回报。 此外，本次募集资金到位后，将存放于董事会决定的募集资金专户进行集中管理，做到专款 </w:t>
            </w:r>
            <w:r>
              <w:rPr>
                <w:rFonts w:ascii="宋体" w:hAnsi="宋体" w:cs="宋体" w:eastAsia="宋体" w:hint="default"/>
                <w:spacing w:val="-3"/>
                <w:sz w:val="21"/>
                <w:szCs w:val="21"/>
              </w:rPr>
              <w:t>专用。公司将进一步完善内部控制，加强资金管理，防止资金被挤占挪用，提高资金使用效率</w:t>
            </w:r>
          </w:p>
          <w:p>
            <w:pPr>
              <w:pStyle w:val="TableParagraph"/>
              <w:spacing w:line="268" w:lineRule="auto" w:before="12"/>
              <w:ind w:left="23" w:right="14" w:firstLine="163"/>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、加大优质版权采集力度，提高营业收入优质内容资源是持续吸引客户、维持客户黏性的重</w:t>
            </w:r>
            <w:r>
              <w:rPr>
                <w:rFonts w:ascii="宋体" w:hAnsi="宋体" w:cs="宋体" w:eastAsia="宋体" w:hint="default"/>
                <w:sz w:val="21"/>
                <w:szCs w:val="21"/>
              </w:rPr>
              <w:t> </w:t>
            </w:r>
            <w:r>
              <w:rPr>
                <w:rFonts w:ascii="宋体" w:hAnsi="宋体" w:cs="宋体" w:eastAsia="宋体" w:hint="default"/>
                <w:spacing w:val="-4"/>
                <w:sz w:val="21"/>
                <w:szCs w:val="21"/>
              </w:rPr>
              <w:t>要因素，能创造更高的营业收入。公</w:t>
            </w:r>
            <w:r>
              <w:rPr>
                <w:rFonts w:ascii="宋体" w:hAnsi="宋体" w:cs="宋体" w:eastAsia="宋体" w:hint="default"/>
                <w:spacing w:val="-28"/>
                <w:sz w:val="21"/>
                <w:szCs w:val="21"/>
              </w:rPr>
              <w:t> </w:t>
            </w:r>
            <w:r>
              <w:rPr>
                <w:rFonts w:ascii="宋体" w:hAnsi="宋体" w:cs="宋体" w:eastAsia="宋体" w:hint="default"/>
                <w:sz w:val="21"/>
                <w:szCs w:val="21"/>
              </w:rPr>
              <w:t>司是国内最大的正版数字内容提供商之一，数字内容数量</w:t>
            </w:r>
            <w:r>
              <w:rPr>
                <w:rFonts w:ascii="宋体" w:hAnsi="宋体" w:cs="宋体" w:eastAsia="宋体" w:hint="default"/>
                <w:sz w:val="21"/>
                <w:szCs w:val="21"/>
              </w:rPr>
              <w:t> 多、涵盖面广、质量高、纠纷少，具有较强的市场竞争力。本次募集资金到位后，公司将进一 步加大优质版权力度，丰富内容资源，提高营业收入，为股东创造更好回报。</w:t>
            </w:r>
            <w:r>
              <w:rPr>
                <w:rFonts w:ascii="宋体" w:hAnsi="宋体" w:cs="宋体" w:eastAsia="宋体" w:hint="default"/>
                <w:spacing w:val="14"/>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、加强研发投 入，提高市场竞争力</w:t>
            </w:r>
            <w:r>
              <w:rPr>
                <w:rFonts w:ascii="宋体" w:hAnsi="宋体" w:cs="宋体" w:eastAsia="宋体" w:hint="default"/>
                <w:spacing w:val="58"/>
                <w:sz w:val="21"/>
                <w:szCs w:val="21"/>
              </w:rPr>
              <w:t> </w:t>
            </w:r>
            <w:r>
              <w:rPr>
                <w:rFonts w:ascii="宋体" w:hAnsi="宋体" w:cs="宋体" w:eastAsia="宋体" w:hint="default"/>
                <w:sz w:val="21"/>
                <w:szCs w:val="21"/>
              </w:rPr>
              <w:t>移动互联网是互联网技术发展的新方向，教育的信息化和数字化逐渐成</w:t>
            </w:r>
            <w:r>
              <w:rPr>
                <w:rFonts w:ascii="宋体" w:hAnsi="宋体" w:cs="宋体" w:eastAsia="宋体" w:hint="default"/>
                <w:sz w:val="21"/>
                <w:szCs w:val="21"/>
              </w:rPr>
              <w:t> </w:t>
            </w:r>
            <w:r>
              <w:rPr>
                <w:rFonts w:ascii="宋体" w:hAnsi="宋体" w:cs="宋体" w:eastAsia="宋体" w:hint="default"/>
                <w:spacing w:val="-3"/>
                <w:sz w:val="21"/>
                <w:szCs w:val="21"/>
              </w:rPr>
              <w:t>为全球教育领域的主流趋势。本次募集资金到位后，公司将继续增加在移动互联网的研发投入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以进一步巩固公司核心技术优势、内容采集优势和全媒体出版优势；增加在教育阅读产品的研 发投入，巩固公司在教育信息化和数字化领域中的先发优势。移动互联网和教育阅读产品研发 投入的增加，有助于保持公司的竞争优势，促进公司可持续发展，进而提高股东回报。</w:t>
            </w:r>
            <w:r>
              <w:rPr>
                <w:rFonts w:ascii="宋体" w:hAnsi="宋体" w:cs="宋体" w:eastAsia="宋体" w:hint="default"/>
                <w:spacing w:val="25"/>
                <w:sz w:val="21"/>
                <w:szCs w:val="21"/>
              </w:rPr>
              <w:t> </w:t>
            </w:r>
            <w:r>
              <w:rPr>
                <w:rFonts w:ascii="Times New Roman" w:hAnsi="Times New Roman" w:cs="Times New Roman" w:eastAsia="Times New Roman" w:hint="default"/>
                <w:spacing w:val="-7"/>
                <w:sz w:val="21"/>
                <w:szCs w:val="21"/>
              </w:rPr>
              <w:t>4</w:t>
            </w:r>
            <w:r>
              <w:rPr>
                <w:rFonts w:ascii="宋体" w:hAnsi="宋体" w:cs="宋体" w:eastAsia="宋体" w:hint="default"/>
                <w:spacing w:val="-7"/>
                <w:sz w:val="21"/>
                <w:szCs w:val="21"/>
              </w:rPr>
              <w:t>、科</w:t>
            </w:r>
            <w:r>
              <w:rPr>
                <w:rFonts w:ascii="宋体" w:hAnsi="宋体" w:cs="宋体" w:eastAsia="宋体" w:hint="default"/>
                <w:spacing w:val="-10"/>
                <w:sz w:val="21"/>
                <w:szCs w:val="21"/>
              </w:rPr>
              <w:t> </w:t>
            </w:r>
            <w:r>
              <w:rPr>
                <w:rFonts w:ascii="宋体" w:hAnsi="宋体" w:cs="宋体" w:eastAsia="宋体" w:hint="default"/>
                <w:sz w:val="21"/>
                <w:szCs w:val="21"/>
              </w:rPr>
              <w:t>学实施成本、费用管理，提升利润水平公司将加大成本控制力度，严格控制公司费用支出，提</w:t>
            </w:r>
            <w:r>
              <w:rPr>
                <w:rFonts w:ascii="宋体" w:hAnsi="宋体" w:cs="宋体" w:eastAsia="宋体" w:hint="default"/>
                <w:sz w:val="21"/>
                <w:szCs w:val="21"/>
              </w:rPr>
              <w:t> 升公司利润率。此外，公司将加强对管理层的考核，将管理层薪酬水平与公司经营效益挂钩，</w:t>
            </w:r>
          </w:p>
        </w:tc>
        <w:tc>
          <w:tcPr>
            <w:tcW w:w="79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06" w:lineRule="exact"/>
              <w:ind w:left="-143"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22" w:lineRule="exact"/>
              <w:ind w:left="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w:t>
            </w:r>
          </w:p>
          <w:p>
            <w:pPr>
              <w:pStyle w:val="TableParagraph"/>
              <w:spacing w:line="240" w:lineRule="auto" w:before="22"/>
              <w:ind w:left="16" w:right="0"/>
              <w:jc w:val="left"/>
              <w:rPr>
                <w:rFonts w:ascii="宋体" w:hAnsi="宋体" w:cs="宋体" w:eastAsia="宋体" w:hint="default"/>
                <w:sz w:val="21"/>
                <w:szCs w:val="21"/>
              </w:rPr>
            </w:pPr>
            <w:r>
              <w:rPr>
                <w:rFonts w:ascii="宋体" w:hAnsi="宋体" w:cs="宋体" w:eastAsia="宋体" w:hint="default"/>
                <w:sz w:val="21"/>
                <w:szCs w:val="21"/>
              </w:rPr>
              <w:t>日</w:t>
            </w:r>
          </w:p>
          <w:p>
            <w:pPr>
              <w:pStyle w:val="TableParagraph"/>
              <w:spacing w:line="2984"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9"/>
                <w:sz w:val="20"/>
                <w:szCs w:val="20"/>
              </w:rPr>
              <w:pict>
                <v:group style="width:39.450pt;height:149.25pt;mso-position-horizontal-relative:char;mso-position-vertical-relative:line" coordorigin="0,0" coordsize="789,2985">
                  <v:group style="position:absolute;left:0;top:0;width:789;height:2632" coordorigin="0,0" coordsize="789,2632">
                    <v:shape style="position:absolute;left:0;top:0;width:789;height:2632" coordorigin="0,0" coordsize="789,2632" path="m0,2632l788,2632,788,0,0,0,0,2632xe" filled="true" fillcolor="#ffffff" stroked="false">
                      <v:path arrowok="t"/>
                      <v:fill type="solid"/>
                    </v:shape>
                  </v:group>
                  <v:group style="position:absolute;left:23;top:2632;width:743;height:353" coordorigin="23,2632" coordsize="743,353">
                    <v:shape style="position:absolute;left:23;top:2632;width:743;height:353" coordorigin="23,2632" coordsize="743,353" path="m23,2985l766,2985,766,2632,23,2632,23,2985xe" filled="true" fillcolor="#ffffff" stroked="false">
                      <v:path arrowok="t"/>
                      <v:fill type="solid"/>
                    </v:shape>
                  </v:group>
                </v:group>
              </w:pict>
            </w:r>
            <w:r>
              <w:rPr>
                <w:rFonts w:ascii="Times New Roman" w:hAnsi="Times New Roman" w:cs="Times New Roman" w:eastAsia="Times New Roman" w:hint="default"/>
                <w:position w:val="-59"/>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632"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2"/>
                <w:sz w:val="20"/>
                <w:szCs w:val="20"/>
              </w:rPr>
              <w:pict>
                <v:group style="width:39.450pt;height:131.6pt;mso-position-horizontal-relative:char;mso-position-vertical-relative:line" coordorigin="0,0" coordsize="789,2632">
                  <v:group style="position:absolute;left:0;top:0;width:789;height:2632" coordorigin="0,0" coordsize="789,2632">
                    <v:shape style="position:absolute;left:0;top:0;width:789;height:2632" coordorigin="0,0" coordsize="789,2632" path="m0,2632l788,2632,788,0,0,0,0,2632xe" filled="true" fillcolor="#ffffff" stroked="false">
                      <v:path arrowok="t"/>
                      <v:fill type="solid"/>
                    </v:shape>
                  </v:group>
                </v:group>
              </w:pict>
            </w:r>
            <w:r>
              <w:rPr>
                <w:rFonts w:ascii="Times New Roman" w:hAnsi="Times New Roman" w:cs="Times New Roman" w:eastAsia="Times New Roman" w:hint="default"/>
                <w:position w:val="-52"/>
                <w:sz w:val="20"/>
                <w:szCs w:val="20"/>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2018-01-20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73" w:lineRule="auto"/>
              <w:ind w:left="23" w:right="176"/>
              <w:jc w:val="both"/>
              <w:rPr>
                <w:rFonts w:ascii="宋体" w:hAnsi="宋体" w:cs="宋体" w:eastAsia="宋体" w:hint="default"/>
                <w:sz w:val="21"/>
                <w:szCs w:val="21"/>
              </w:rPr>
            </w:pPr>
            <w:r>
              <w:rPr>
                <w:rFonts w:ascii="宋体" w:hAnsi="宋体" w:cs="宋体" w:eastAsia="宋体" w:hint="default"/>
                <w:sz w:val="21"/>
                <w:szCs w:val="21"/>
              </w:rPr>
              <w:t>正 在 履 行</w:t>
            </w:r>
          </w:p>
        </w:tc>
      </w:tr>
    </w:tbl>
    <w:p>
      <w:pPr>
        <w:spacing w:after="0" w:line="273" w:lineRule="auto"/>
        <w:jc w:val="both"/>
        <w:rPr>
          <w:rFonts w:ascii="宋体" w:hAnsi="宋体" w:cs="宋体" w:eastAsia="宋体" w:hint="default"/>
          <w:sz w:val="21"/>
          <w:szCs w:val="21"/>
        </w:rPr>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651.880005pt;margin-top:489.660004pt;width:46.35pt;height:38pt;mso-position-horizontal-relative:page;mso-position-vertical-relative:page;z-index:-741640"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spacing w:before="0"/>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1403"/>
        <w:gridCol w:w="1676"/>
        <w:gridCol w:w="8679"/>
        <w:gridCol w:w="798"/>
        <w:gridCol w:w="1036"/>
        <w:gridCol w:w="422"/>
      </w:tblGrid>
      <w:tr>
        <w:trPr>
          <w:trHeight w:val="377" w:hRule="exact"/>
        </w:trPr>
        <w:tc>
          <w:tcPr>
            <w:tcW w:w="1403" w:type="dxa"/>
            <w:vMerge w:val="restart"/>
            <w:tcBorders>
              <w:top w:val="single" w:sz="15" w:space="0" w:color="000000"/>
              <w:left w:val="single" w:sz="4" w:space="0" w:color="000000"/>
              <w:right w:val="single" w:sz="4" w:space="0" w:color="000000"/>
            </w:tcBorders>
            <w:shd w:val="clear" w:color="auto" w:fill="D2D2D2"/>
          </w:tcPr>
          <w:p>
            <w:pPr/>
          </w:p>
        </w:tc>
        <w:tc>
          <w:tcPr>
            <w:tcW w:w="1676" w:type="dxa"/>
            <w:tcBorders>
              <w:top w:val="single" w:sz="15" w:space="0" w:color="000000"/>
              <w:left w:val="single" w:sz="4" w:space="0" w:color="000000"/>
              <w:bottom w:val="single" w:sz="4" w:space="0" w:color="000000"/>
              <w:right w:val="single" w:sz="4" w:space="0" w:color="000000"/>
            </w:tcBorders>
          </w:tcPr>
          <w:p>
            <w:pPr/>
          </w:p>
        </w:tc>
        <w:tc>
          <w:tcPr>
            <w:tcW w:w="8679" w:type="dxa"/>
            <w:tcBorders>
              <w:top w:val="single" w:sz="15"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确保管理层恪尽职守、勤勉尽责。</w:t>
            </w:r>
          </w:p>
        </w:tc>
        <w:tc>
          <w:tcPr>
            <w:tcW w:w="798" w:type="dxa"/>
            <w:tcBorders>
              <w:top w:val="single" w:sz="15" w:space="0" w:color="000000"/>
              <w:left w:val="single" w:sz="4" w:space="0" w:color="000000"/>
              <w:bottom w:val="single" w:sz="4" w:space="0" w:color="000000"/>
              <w:right w:val="single" w:sz="4" w:space="0" w:color="000000"/>
            </w:tcBorders>
          </w:tcPr>
          <w:p>
            <w:pPr/>
          </w:p>
        </w:tc>
        <w:tc>
          <w:tcPr>
            <w:tcW w:w="1036" w:type="dxa"/>
            <w:tcBorders>
              <w:top w:val="single" w:sz="15" w:space="0" w:color="000000"/>
              <w:left w:val="single" w:sz="4" w:space="0" w:color="000000"/>
              <w:bottom w:val="single" w:sz="4" w:space="0" w:color="000000"/>
              <w:right w:val="single" w:sz="4" w:space="0" w:color="000000"/>
            </w:tcBorders>
          </w:tcPr>
          <w:p>
            <w:pPr/>
          </w:p>
        </w:tc>
        <w:tc>
          <w:tcPr>
            <w:tcW w:w="422" w:type="dxa"/>
            <w:tcBorders>
              <w:top w:val="single" w:sz="15" w:space="0" w:color="000000"/>
              <w:left w:val="single" w:sz="4" w:space="0" w:color="000000"/>
              <w:bottom w:val="single" w:sz="4" w:space="0" w:color="000000"/>
              <w:right w:val="single" w:sz="4" w:space="0" w:color="000000"/>
            </w:tcBorders>
          </w:tcPr>
          <w:p>
            <w:pPr/>
          </w:p>
        </w:tc>
      </w:tr>
      <w:tr>
        <w:trPr>
          <w:trHeight w:val="2898" w:hRule="exact"/>
        </w:trPr>
        <w:tc>
          <w:tcPr>
            <w:tcW w:w="1403" w:type="dxa"/>
            <w:vMerge/>
            <w:tcBorders>
              <w:left w:val="single" w:sz="4" w:space="0" w:color="000000"/>
              <w:right w:val="single" w:sz="4" w:space="0" w:color="000000"/>
            </w:tcBorders>
            <w:shd w:val="clear" w:color="auto" w:fill="D2D2D2"/>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6" w:lineRule="auto" w:before="116"/>
              <w:ind w:left="22" w:right="113"/>
              <w:jc w:val="both"/>
              <w:rPr>
                <w:rFonts w:ascii="宋体" w:hAnsi="宋体" w:cs="宋体" w:eastAsia="宋体" w:hint="default"/>
                <w:sz w:val="21"/>
                <w:szCs w:val="21"/>
              </w:rPr>
            </w:pPr>
            <w:r>
              <w:rPr>
                <w:rFonts w:ascii="宋体" w:hAnsi="宋体" w:cs="宋体" w:eastAsia="宋体" w:hint="default"/>
                <w:sz w:val="21"/>
                <w:szCs w:val="21"/>
              </w:rPr>
              <w:t>北京启迪华创投 资咨询有限公司</w:t>
            </w:r>
            <w:r>
              <w:rPr>
                <w:rFonts w:ascii="Times New Roman" w:hAnsi="Times New Roman" w:cs="Times New Roman" w:eastAsia="Times New Roman" w:hint="default"/>
                <w:sz w:val="21"/>
                <w:szCs w:val="21"/>
              </w:rPr>
              <w:t>; </w:t>
            </w:r>
            <w:r>
              <w:rPr>
                <w:rFonts w:ascii="宋体" w:hAnsi="宋体" w:cs="宋体" w:eastAsia="宋体" w:hint="default"/>
                <w:sz w:val="21"/>
                <w:szCs w:val="21"/>
              </w:rPr>
              <w:t>上海文睿投资有 限公司</w:t>
            </w:r>
          </w:p>
        </w:tc>
        <w:tc>
          <w:tcPr>
            <w:tcW w:w="8679"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26"/>
              <w:ind w:left="23" w:right="19"/>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本人目前在中国境内外未直接或间接从事或参与任何在商业上对股份公司及其控 股子公司构成竞争的业务及活动。</w:t>
            </w:r>
            <w:r>
              <w:rPr>
                <w:rFonts w:ascii="宋体" w:hAnsi="宋体" w:cs="宋体" w:eastAsia="宋体" w:hint="default"/>
                <w:spacing w:val="-43"/>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本人将来也不在中国境内外直接或间接从事或 参与任何在商业上对股份公司及其控股子公司构成竞争的业务及活动，或拥有与股份公司及其 控股子公司存在竞争关系的任何实体、机构、组织的权益，或以其他任何形式取得该等实体、 </w:t>
            </w:r>
            <w:r>
              <w:rPr>
                <w:rFonts w:ascii="宋体" w:hAnsi="宋体" w:cs="宋体" w:eastAsia="宋体" w:hint="default"/>
                <w:spacing w:val="-2"/>
                <w:sz w:val="21"/>
                <w:szCs w:val="21"/>
              </w:rPr>
              <w:t>机构、组织的控制权，或在该等实体、机构、组织中担任</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委派董事、监事、高级管理人员或核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心技术人员。</w:t>
            </w:r>
            <w:r>
              <w:rPr>
                <w:rFonts w:ascii="宋体" w:hAnsi="宋体" w:cs="宋体" w:eastAsia="宋体" w:hint="default"/>
                <w:spacing w:val="58"/>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）如果本公司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本人违反上述声明、保证与承诺，本公司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本人同意给予股份 公司赔偿。 （</w:t>
            </w:r>
            <w:r>
              <w:rPr>
                <w:rFonts w:ascii="Times New Roman" w:hAnsi="Times New Roman" w:cs="Times New Roman" w:eastAsia="Times New Roman" w:hint="default"/>
                <w:sz w:val="21"/>
                <w:szCs w:val="21"/>
              </w:rPr>
              <w:t>4</w:t>
            </w:r>
            <w:r>
              <w:rPr>
                <w:rFonts w:ascii="宋体" w:hAnsi="宋体" w:cs="宋体" w:eastAsia="宋体" w:hint="default"/>
                <w:sz w:val="21"/>
                <w:szCs w:val="21"/>
              </w:rPr>
              <w:t>）本声明、承诺与保证将持续有效，直至本公司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本人不再持有股份公司</w:t>
            </w:r>
            <w:r>
              <w:rPr>
                <w:rFonts w:ascii="宋体" w:hAnsi="宋体" w:cs="宋体" w:eastAsia="宋体" w:hint="default"/>
                <w:spacing w:val="-1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 上（含 </w:t>
            </w:r>
            <w:r>
              <w:rPr>
                <w:rFonts w:ascii="Times New Roman" w:hAnsi="Times New Roman" w:cs="Times New Roman" w:eastAsia="Times New Roman" w:hint="default"/>
                <w:sz w:val="21"/>
                <w:szCs w:val="21"/>
              </w:rPr>
              <w:t>5%</w:t>
            </w:r>
            <w:r>
              <w:rPr>
                <w:rFonts w:ascii="宋体" w:hAnsi="宋体" w:cs="宋体" w:eastAsia="宋体" w:hint="default"/>
                <w:sz w:val="21"/>
                <w:szCs w:val="21"/>
              </w:rPr>
              <w:t>）的股份为止。</w:t>
            </w:r>
            <w:r>
              <w:rPr>
                <w:rFonts w:ascii="宋体" w:hAnsi="宋体" w:cs="宋体" w:eastAsia="宋体" w:hint="default"/>
                <w:spacing w:val="3"/>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）本声明、承诺与保证可被视为对股份公司及其他股东共同和 分别作出的声明、承诺和保证。</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0"/>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3"/>
              <w:ind w:left="22" w:right="0"/>
              <w:jc w:val="left"/>
              <w:rPr>
                <w:rFonts w:ascii="Times New Roman" w:hAnsi="Times New Roman" w:cs="Times New Roman" w:eastAsia="Times New Roman" w:hint="default"/>
                <w:sz w:val="21"/>
                <w:szCs w:val="21"/>
              </w:rPr>
            </w:pPr>
            <w:r>
              <w:rPr>
                <w:rFonts w:ascii="Times New Roman"/>
                <w:sz w:val="21"/>
              </w:rPr>
              <w:t>9999-12-31</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16"/>
              <w:ind w:left="23" w:right="176"/>
              <w:jc w:val="both"/>
              <w:rPr>
                <w:rFonts w:ascii="宋体" w:hAnsi="宋体" w:cs="宋体" w:eastAsia="宋体" w:hint="default"/>
                <w:sz w:val="21"/>
                <w:szCs w:val="21"/>
              </w:rPr>
            </w:pPr>
            <w:r>
              <w:rPr>
                <w:rFonts w:ascii="宋体" w:hAnsi="宋体" w:cs="宋体" w:eastAsia="宋体" w:hint="default"/>
                <w:sz w:val="21"/>
                <w:szCs w:val="21"/>
              </w:rPr>
              <w:t>正 在 履 行</w:t>
            </w:r>
          </w:p>
        </w:tc>
      </w:tr>
      <w:tr>
        <w:trPr>
          <w:trHeight w:val="2274" w:hRule="exact"/>
        </w:trPr>
        <w:tc>
          <w:tcPr>
            <w:tcW w:w="1403" w:type="dxa"/>
            <w:vMerge/>
            <w:tcBorders>
              <w:left w:val="single" w:sz="4" w:space="0" w:color="000000"/>
              <w:right w:val="single" w:sz="4" w:space="0" w:color="000000"/>
            </w:tcBorders>
            <w:shd w:val="clear" w:color="auto" w:fill="D2D2D2"/>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73" w:lineRule="auto"/>
              <w:ind w:left="22" w:right="173"/>
              <w:jc w:val="both"/>
              <w:rPr>
                <w:rFonts w:ascii="宋体" w:hAnsi="宋体" w:cs="宋体" w:eastAsia="宋体" w:hint="default"/>
                <w:sz w:val="21"/>
                <w:szCs w:val="21"/>
              </w:rPr>
            </w:pPr>
            <w:r>
              <w:rPr>
                <w:rFonts w:ascii="宋体" w:hAnsi="宋体" w:cs="宋体" w:eastAsia="宋体" w:hint="default"/>
                <w:sz w:val="21"/>
                <w:szCs w:val="21"/>
              </w:rPr>
              <w:t>北京中文在线数 字出版股份有限 公司</w:t>
            </w:r>
          </w:p>
        </w:tc>
        <w:tc>
          <w:tcPr>
            <w:tcW w:w="8679" w:type="dxa"/>
            <w:tcBorders>
              <w:top w:val="single" w:sz="4" w:space="0" w:color="000000"/>
              <w:left w:val="single" w:sz="4" w:space="0" w:color="000000"/>
              <w:bottom w:val="single" w:sz="4" w:space="0" w:color="000000"/>
              <w:right w:val="single" w:sz="13" w:space="0" w:color="FFFFFF"/>
            </w:tcBorders>
          </w:tcPr>
          <w:p>
            <w:pPr>
              <w:pStyle w:val="TableParagraph"/>
              <w:spacing w:line="266" w:lineRule="auto" w:before="26"/>
              <w:ind w:left="23" w:right="-44"/>
              <w:jc w:val="both"/>
              <w:rPr>
                <w:rFonts w:ascii="宋体" w:hAnsi="宋体" w:cs="宋体" w:eastAsia="宋体" w:hint="default"/>
                <w:sz w:val="21"/>
                <w:szCs w:val="21"/>
              </w:rPr>
            </w:pPr>
            <w:r>
              <w:rPr>
                <w:rFonts w:ascii="宋体" w:hAnsi="宋体" w:cs="宋体" w:eastAsia="宋体" w:hint="default"/>
                <w:spacing w:val="-5"/>
                <w:sz w:val="21"/>
                <w:szCs w:val="21"/>
              </w:rPr>
              <w:t>自公司股票上市交易之日起三年内，若公司股票连续</w:t>
            </w:r>
            <w:r>
              <w:rPr>
                <w:rFonts w:ascii="宋体" w:hAnsi="宋体" w:cs="宋体" w:eastAsia="宋体" w:hint="default"/>
                <w:spacing w:val="-42"/>
                <w:sz w:val="21"/>
                <w:szCs w:val="21"/>
              </w:rPr>
              <w:t> </w:t>
            </w:r>
            <w:r>
              <w:rPr>
                <w:rFonts w:ascii="Times New Roman" w:hAnsi="Times New Roman" w:cs="Times New Roman" w:eastAsia="Times New Roman" w:hint="default"/>
                <w:spacing w:val="-1"/>
                <w:sz w:val="21"/>
                <w:szCs w:val="21"/>
              </w:rPr>
              <w:t>20</w:t>
            </w:r>
            <w:r>
              <w:rPr>
                <w:rFonts w:ascii="Times New Roman" w:hAnsi="Times New Roman" w:cs="Times New Roman" w:eastAsia="Times New Roman" w:hint="default"/>
                <w:spacing w:val="10"/>
                <w:sz w:val="21"/>
                <w:szCs w:val="21"/>
              </w:rPr>
              <w:t> </w:t>
            </w:r>
            <w:r>
              <w:rPr>
                <w:rFonts w:ascii="宋体" w:hAnsi="宋体" w:cs="宋体" w:eastAsia="宋体" w:hint="default"/>
                <w:spacing w:val="-1"/>
                <w:sz w:val="21"/>
                <w:szCs w:val="21"/>
              </w:rPr>
              <w:t>个交易日的收盘价均低于公司最近一期</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经审计的每股净资产时，公司、控股股东、董事、高级管理人员应按照下述规则启动并实施相 关稳定股价的方案。 稳定股价的具体措施及实施程序：</w:t>
            </w:r>
            <w:r>
              <w:rPr>
                <w:rFonts w:ascii="宋体" w:hAnsi="宋体" w:cs="宋体" w:eastAsia="宋体" w:hint="default"/>
                <w:spacing w:val="10"/>
                <w:sz w:val="21"/>
                <w:szCs w:val="21"/>
              </w:rPr>
              <w:t> </w:t>
            </w:r>
            <w:r>
              <w:rPr>
                <w:rFonts w:ascii="宋体" w:hAnsi="宋体" w:cs="宋体" w:eastAsia="宋体" w:hint="default"/>
                <w:sz w:val="21"/>
                <w:szCs w:val="21"/>
              </w:rPr>
              <w:t>公司自股票上市交易后三年内首次触</w:t>
            </w:r>
            <w:r>
              <w:rPr>
                <w:rFonts w:ascii="宋体" w:hAnsi="宋体" w:cs="宋体" w:eastAsia="宋体" w:hint="default"/>
                <w:sz w:val="21"/>
                <w:szCs w:val="21"/>
              </w:rPr>
              <w:t> 发上述启动条件，和</w:t>
            </w:r>
            <w:r>
              <w:rPr>
                <w:rFonts w:ascii="Times New Roman" w:hAnsi="Times New Roman" w:cs="Times New Roman" w:eastAsia="Times New Roman" w:hint="default"/>
                <w:sz w:val="21"/>
                <w:szCs w:val="21"/>
              </w:rPr>
              <w:t>/</w:t>
            </w:r>
            <w:r>
              <w:rPr>
                <w:rFonts w:ascii="宋体" w:hAnsi="宋体" w:cs="宋体" w:eastAsia="宋体" w:hint="default"/>
                <w:sz w:val="21"/>
                <w:szCs w:val="21"/>
              </w:rPr>
              <w:t>或自股票上市交易后三年内首次触发上述启动各条件之日起每隔三个月任 </w:t>
            </w:r>
            <w:r>
              <w:rPr>
                <w:rFonts w:ascii="宋体" w:hAnsi="宋体" w:cs="宋体" w:eastAsia="宋体" w:hint="default"/>
                <w:spacing w:val="-4"/>
                <w:sz w:val="21"/>
                <w:szCs w:val="21"/>
              </w:rPr>
              <w:t>一时点触发启动条件时，公司应根据当时有效的法律、法规和本预案的有关规定，与控股股东、</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董事、高级管理人员协商，提出稳定公司股价的具体方案，履行相应的审批程序和信息披露义</w:t>
            </w:r>
            <w:r>
              <w:rPr>
                <w:rFonts w:ascii="宋体" w:hAnsi="宋体" w:cs="宋体" w:eastAsia="宋体" w:hint="default"/>
                <w:sz w:val="21"/>
                <w:szCs w:val="21"/>
              </w:rPr>
              <w:t> 务。股价稳定措施实施后，公司的股权分布应当符合上市条件。</w:t>
            </w:r>
          </w:p>
        </w:tc>
        <w:tc>
          <w:tcPr>
            <w:tcW w:w="79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44"/>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0"/>
              <w:ind w:left="1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w:t>
            </w:r>
          </w:p>
          <w:p>
            <w:pPr>
              <w:pStyle w:val="TableParagraph"/>
              <w:spacing w:line="240" w:lineRule="auto" w:before="22"/>
              <w:ind w:left="11" w:right="0"/>
              <w:jc w:val="left"/>
              <w:rPr>
                <w:rFonts w:ascii="宋体" w:hAnsi="宋体" w:cs="宋体" w:eastAsia="宋体" w:hint="default"/>
                <w:sz w:val="21"/>
                <w:szCs w:val="21"/>
              </w:rPr>
            </w:pPr>
            <w:r>
              <w:rPr>
                <w:rFonts w:ascii="宋体" w:hAnsi="宋体" w:cs="宋体" w:eastAsia="宋体" w:hint="default"/>
                <w:sz w:val="21"/>
                <w:szCs w:val="21"/>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352" w:lineRule="exact"/>
              <w:ind w:left="11"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37.15pt;height:17.650pt;mso-position-horizontal-relative:char;mso-position-vertical-relative:line" coordorigin="0,0" coordsize="743,353">
                  <v:group style="position:absolute;left:0;top:0;width:743;height:353" coordorigin="0,0" coordsize="743,353">
                    <v:shape style="position:absolute;left:0;top:0;width:743;height:353" coordorigin="0,0" coordsize="743,353" path="m0,353l743,353,743,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2018-01-20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73" w:lineRule="auto"/>
              <w:ind w:left="23" w:right="176"/>
              <w:jc w:val="both"/>
              <w:rPr>
                <w:rFonts w:ascii="宋体" w:hAnsi="宋体" w:cs="宋体" w:eastAsia="宋体" w:hint="default"/>
                <w:sz w:val="21"/>
                <w:szCs w:val="21"/>
              </w:rPr>
            </w:pPr>
            <w:r>
              <w:rPr>
                <w:rFonts w:ascii="宋体" w:hAnsi="宋体" w:cs="宋体" w:eastAsia="宋体" w:hint="default"/>
                <w:sz w:val="21"/>
                <w:szCs w:val="21"/>
              </w:rPr>
              <w:t>正 在 履 行</w:t>
            </w:r>
          </w:p>
        </w:tc>
      </w:tr>
      <w:tr>
        <w:trPr>
          <w:trHeight w:val="1338" w:hRule="exact"/>
        </w:trPr>
        <w:tc>
          <w:tcPr>
            <w:tcW w:w="1403" w:type="dxa"/>
            <w:vMerge/>
            <w:tcBorders>
              <w:left w:val="single" w:sz="4" w:space="0" w:color="000000"/>
              <w:right w:val="single" w:sz="4" w:space="0" w:color="000000"/>
            </w:tcBorders>
            <w:shd w:val="clear" w:color="auto" w:fill="D2D2D2"/>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26"/>
              <w:ind w:left="22" w:right="113"/>
              <w:jc w:val="both"/>
              <w:rPr>
                <w:rFonts w:ascii="宋体" w:hAnsi="宋体" w:cs="宋体" w:eastAsia="宋体" w:hint="default"/>
                <w:sz w:val="21"/>
                <w:szCs w:val="21"/>
              </w:rPr>
            </w:pPr>
            <w:r>
              <w:rPr>
                <w:rFonts w:ascii="宋体" w:hAnsi="宋体" w:cs="宋体" w:eastAsia="宋体" w:hint="default"/>
                <w:sz w:val="21"/>
                <w:szCs w:val="21"/>
              </w:rPr>
              <w:t>童之磊</w:t>
            </w:r>
            <w:r>
              <w:rPr>
                <w:rFonts w:ascii="Times New Roman" w:hAnsi="Times New Roman" w:cs="Times New Roman" w:eastAsia="Times New Roman" w:hint="default"/>
                <w:sz w:val="21"/>
                <w:szCs w:val="21"/>
              </w:rPr>
              <w:t>;</w:t>
            </w:r>
            <w:r>
              <w:rPr>
                <w:rFonts w:ascii="宋体" w:hAnsi="宋体" w:cs="宋体" w:eastAsia="宋体" w:hint="default"/>
                <w:sz w:val="21"/>
                <w:szCs w:val="21"/>
              </w:rPr>
              <w:t>北京启迪 华创投资咨询有 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上海文睿 投资有限公司</w:t>
            </w:r>
          </w:p>
        </w:tc>
        <w:tc>
          <w:tcPr>
            <w:tcW w:w="8679"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26"/>
              <w:ind w:left="23" w:right="33"/>
              <w:jc w:val="both"/>
              <w:rPr>
                <w:rFonts w:ascii="宋体" w:hAnsi="宋体" w:cs="宋体" w:eastAsia="宋体" w:hint="default"/>
                <w:sz w:val="21"/>
                <w:szCs w:val="21"/>
              </w:rPr>
            </w:pPr>
            <w:r>
              <w:rPr>
                <w:rFonts w:ascii="宋体" w:hAnsi="宋体" w:cs="宋体" w:eastAsia="宋体" w:hint="default"/>
                <w:sz w:val="21"/>
                <w:szCs w:val="21"/>
              </w:rPr>
              <w:t>如北京中文在线数字出版股份有限公司被主管部门要求为其员工补缴或者被追偿社会保险费用 和住房公积金，本人</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本公司与上述其他北京中文在线数字出版股份有限公司持股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以上股东 将以现金方式及时、无条件全额承担该部分补缴和被追偿的损失，保证北京中文在线数字出版 股份有限公司不因此遭受任何损失。</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0"/>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9999-12-31</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176"/>
              <w:jc w:val="both"/>
              <w:rPr>
                <w:rFonts w:ascii="宋体" w:hAnsi="宋体" w:cs="宋体" w:eastAsia="宋体" w:hint="default"/>
                <w:sz w:val="21"/>
                <w:szCs w:val="21"/>
              </w:rPr>
            </w:pPr>
            <w:r>
              <w:rPr>
                <w:rFonts w:ascii="宋体" w:hAnsi="宋体" w:cs="宋体" w:eastAsia="宋体" w:hint="default"/>
                <w:sz w:val="21"/>
                <w:szCs w:val="21"/>
              </w:rPr>
              <w:t>正 在 履 行</w:t>
            </w:r>
          </w:p>
        </w:tc>
      </w:tr>
      <w:tr>
        <w:trPr>
          <w:trHeight w:val="2547"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59" w:lineRule="auto"/>
              <w:ind w:left="22" w:right="113"/>
              <w:jc w:val="left"/>
              <w:rPr>
                <w:rFonts w:ascii="宋体" w:hAnsi="宋体" w:cs="宋体" w:eastAsia="宋体" w:hint="default"/>
                <w:sz w:val="21"/>
                <w:szCs w:val="21"/>
              </w:rPr>
            </w:pPr>
            <w:r>
              <w:rPr>
                <w:rFonts w:ascii="宋体" w:hAnsi="宋体" w:cs="宋体" w:eastAsia="宋体" w:hint="default"/>
                <w:sz w:val="21"/>
                <w:szCs w:val="21"/>
              </w:rPr>
              <w:t>童之磊</w:t>
            </w:r>
            <w:r>
              <w:rPr>
                <w:rFonts w:ascii="Times New Roman" w:hAnsi="Times New Roman" w:cs="Times New Roman" w:eastAsia="Times New Roman" w:hint="default"/>
                <w:sz w:val="21"/>
                <w:szCs w:val="21"/>
              </w:rPr>
              <w:t>;</w:t>
            </w:r>
            <w:r>
              <w:rPr>
                <w:rFonts w:ascii="宋体" w:hAnsi="宋体" w:cs="宋体" w:eastAsia="宋体" w:hint="default"/>
                <w:sz w:val="21"/>
                <w:szCs w:val="21"/>
              </w:rPr>
              <w:t>上海文睿 投资有限公司</w:t>
            </w:r>
          </w:p>
        </w:tc>
        <w:tc>
          <w:tcPr>
            <w:tcW w:w="8679"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26"/>
              <w:ind w:left="23" w:right="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）童之磊及文睿投资将依法履行中文在线首次公开发行股票并上市招股说明书披露的童之 磊、文睿投资作出的承诺事项；</w:t>
            </w:r>
            <w:r>
              <w:rPr>
                <w:rFonts w:ascii="宋体" w:hAnsi="宋体" w:cs="宋体" w:eastAsia="宋体" w:hint="default"/>
                <w:spacing w:val="12"/>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）如未履行上述承诺事项，童之磊及文睿投资将在中文在 线的股东大会和中国证券监督管理委员会指定的报刊上公开说明未履行承诺的具体原因，并向 中文在线的股东和社会公众投资者道歉；</w:t>
            </w:r>
            <w:r>
              <w:rPr>
                <w:rFonts w:ascii="宋体" w:hAnsi="宋体" w:cs="宋体" w:eastAsia="宋体" w:hint="default"/>
                <w:spacing w:val="12"/>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）如因未履行上述承诺事项给中文在线或者其他 投资者造成损失的，童之磊及文睿投资将向中文在线或者其他投资者依法承担赔偿责任。如童 之磊及文睿投资未承担前述赔偿责任，则童之磊及文睿投资持有的中文在线首次公开发行前股 份在童之磊、文睿投资履行完毕前述赔偿责任之前不得转让，同时中文在线有权扣减童之磊、 文睿投资所获分配的现金红利用于承担前述赔偿责任；</w:t>
            </w:r>
            <w:r>
              <w:rPr>
                <w:rFonts w:ascii="宋体" w:hAnsi="宋体" w:cs="宋体" w:eastAsia="宋体" w:hint="default"/>
                <w:spacing w:val="-27"/>
                <w:sz w:val="21"/>
                <w:szCs w:val="21"/>
              </w:rPr>
              <w:t> </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）在童之磊作为中文在线控股股东</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75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39.450pt;height:38pt;mso-position-horizontal-relative:char;mso-position-vertical-relative:line" coordorigin="0,0" coordsize="789,760">
                  <v:group style="position:absolute;left:0;top:0;width:789;height:760" coordorigin="0,0" coordsize="789,760">
                    <v:shape style="position:absolute;left:0;top:0;width:789;height:760" coordorigin="0,0" coordsize="789,760" path="m0,760l788,760,788,0,0,0,0,760xe" filled="true" fillcolor="#ffffff" stroked="false">
                      <v:path arrowok="t"/>
                      <v:fill type="solid"/>
                    </v:shape>
                  </v:group>
                </v:group>
              </w:pict>
            </w:r>
            <w:r>
              <w:rPr>
                <w:rFonts w:ascii="Times New Roman" w:hAnsi="Times New Roman" w:cs="Times New Roman" w:eastAsia="Times New Roman" w:hint="default"/>
                <w:position w:val="-14"/>
                <w:sz w:val="20"/>
                <w:szCs w:val="20"/>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9999-12-31</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70"/>
              <w:ind w:left="23" w:right="176"/>
              <w:jc w:val="both"/>
              <w:rPr>
                <w:rFonts w:ascii="宋体" w:hAnsi="宋体" w:cs="宋体" w:eastAsia="宋体" w:hint="default"/>
                <w:sz w:val="21"/>
                <w:szCs w:val="21"/>
              </w:rPr>
            </w:pPr>
            <w:r>
              <w:rPr>
                <w:rFonts w:ascii="宋体" w:hAnsi="宋体" w:cs="宋体" w:eastAsia="宋体" w:hint="default"/>
                <w:sz w:val="21"/>
                <w:szCs w:val="21"/>
              </w:rPr>
              <w:t>正 在 履 行</w:t>
            </w:r>
          </w:p>
        </w:tc>
      </w:tr>
    </w:tbl>
    <w:p>
      <w:pPr>
        <w:spacing w:after="0" w:line="273" w:lineRule="auto"/>
        <w:jc w:val="both"/>
        <w:rPr>
          <w:rFonts w:ascii="宋体" w:hAnsi="宋体" w:cs="宋体" w:eastAsia="宋体" w:hint="default"/>
          <w:sz w:val="21"/>
          <w:szCs w:val="21"/>
        </w:rPr>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651.846497pt;margin-top:57.180008pt;width:46.4pt;height:64.5pt;mso-position-horizontal-relative:page;mso-position-vertical-relative:page;z-index:-741544"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49"/>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r>
        <w:rPr/>
        <w:pict>
          <v:shape style="position:absolute;margin-left:651.877014pt;margin-top:364.660004pt;width:46.35pt;height:46.85pt;mso-position-horizontal-relative:page;mso-position-vertical-relative:page;z-index:-741520" type="#_x0000_t202" filled="false" stroked="false">
            <v:textbox inset="0,0,0,0">
              <w:txbxContent>
                <w:p>
                  <w:pPr>
                    <w:spacing w:line="219"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Times New Roman" w:hAnsi="Times New Roman" w:cs="Times New Roman" w:eastAsia="Times New Roman" w:hint="default"/>
                      <w:sz w:val="20"/>
                      <w:szCs w:val="20"/>
                    </w:rPr>
                  </w:pPr>
                </w:p>
                <w:p>
                  <w:pPr>
                    <w:spacing w:before="120"/>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1403"/>
        <w:gridCol w:w="1676"/>
        <w:gridCol w:w="8679"/>
        <w:gridCol w:w="798"/>
        <w:gridCol w:w="1036"/>
        <w:gridCol w:w="422"/>
      </w:tblGrid>
      <w:tr>
        <w:trPr>
          <w:trHeight w:val="1313" w:hRule="exact"/>
        </w:trPr>
        <w:tc>
          <w:tcPr>
            <w:tcW w:w="1403" w:type="dxa"/>
            <w:vMerge w:val="restart"/>
            <w:tcBorders>
              <w:top w:val="single" w:sz="15" w:space="0" w:color="000000"/>
              <w:left w:val="single" w:sz="4" w:space="0" w:color="000000"/>
              <w:right w:val="single" w:sz="4" w:space="0" w:color="000000"/>
            </w:tcBorders>
            <w:shd w:val="clear" w:color="auto" w:fill="D2D2D2"/>
          </w:tcPr>
          <w:p>
            <w:pPr/>
          </w:p>
        </w:tc>
        <w:tc>
          <w:tcPr>
            <w:tcW w:w="1676" w:type="dxa"/>
            <w:tcBorders>
              <w:top w:val="single" w:sz="15" w:space="0" w:color="000000"/>
              <w:left w:val="single" w:sz="4" w:space="0" w:color="000000"/>
              <w:bottom w:val="single" w:sz="4" w:space="0" w:color="000000"/>
              <w:right w:val="single" w:sz="4" w:space="0" w:color="000000"/>
            </w:tcBorders>
          </w:tcPr>
          <w:p>
            <w:pPr/>
          </w:p>
        </w:tc>
        <w:tc>
          <w:tcPr>
            <w:tcW w:w="8679" w:type="dxa"/>
            <w:tcBorders>
              <w:top w:val="single" w:sz="15" w:space="0" w:color="000000"/>
              <w:left w:val="single" w:sz="4" w:space="0" w:color="000000"/>
              <w:bottom w:val="single" w:sz="4" w:space="0" w:color="000000"/>
              <w:right w:val="single" w:sz="4" w:space="0" w:color="000000"/>
            </w:tcBorders>
          </w:tcPr>
          <w:p>
            <w:pPr>
              <w:pStyle w:val="TableParagraph"/>
              <w:spacing w:line="260" w:lineRule="exact"/>
              <w:ind w:left="23" w:right="0"/>
              <w:jc w:val="both"/>
              <w:rPr>
                <w:rFonts w:ascii="宋体" w:hAnsi="宋体" w:cs="宋体" w:eastAsia="宋体" w:hint="default"/>
                <w:sz w:val="21"/>
                <w:szCs w:val="21"/>
              </w:rPr>
            </w:pPr>
            <w:r>
              <w:rPr>
                <w:rFonts w:ascii="宋体" w:hAnsi="宋体" w:cs="宋体" w:eastAsia="宋体" w:hint="default"/>
                <w:sz w:val="21"/>
                <w:szCs w:val="21"/>
              </w:rPr>
              <w:t>实际控制人期间，童之磊、文睿投资若未履行招股说明书披露的承诺事项，给投资者造成损失</w:t>
            </w:r>
          </w:p>
          <w:p>
            <w:pPr>
              <w:pStyle w:val="TableParagraph"/>
              <w:spacing w:line="273" w:lineRule="auto" w:before="37"/>
              <w:ind w:left="23" w:right="79"/>
              <w:jc w:val="both"/>
              <w:rPr>
                <w:rFonts w:ascii="宋体" w:hAnsi="宋体" w:cs="宋体" w:eastAsia="宋体" w:hint="default"/>
                <w:sz w:val="21"/>
                <w:szCs w:val="21"/>
              </w:rPr>
            </w:pPr>
            <w:r>
              <w:rPr>
                <w:rFonts w:ascii="宋体" w:hAnsi="宋体" w:cs="宋体" w:eastAsia="宋体" w:hint="default"/>
                <w:sz w:val="21"/>
                <w:szCs w:val="21"/>
              </w:rPr>
              <w:t>的，童之磊、文睿投资承诺依法承担赔偿责任。</w:t>
            </w:r>
            <w:r>
              <w:rPr>
                <w:rFonts w:ascii="宋体" w:hAnsi="宋体" w:cs="宋体" w:eastAsia="宋体" w:hint="default"/>
                <w:spacing w:val="58"/>
                <w:sz w:val="21"/>
                <w:szCs w:val="21"/>
              </w:rPr>
              <w:t> </w:t>
            </w:r>
            <w:r>
              <w:rPr>
                <w:rFonts w:ascii="宋体" w:hAnsi="宋体" w:cs="宋体" w:eastAsia="宋体" w:hint="default"/>
                <w:sz w:val="21"/>
                <w:szCs w:val="21"/>
              </w:rPr>
              <w:t>上述承诺内容系童之磊及文睿投资的真实意</w:t>
            </w:r>
            <w:r>
              <w:rPr>
                <w:rFonts w:ascii="宋体" w:hAnsi="宋体" w:cs="宋体" w:eastAsia="宋体" w:hint="default"/>
                <w:sz w:val="21"/>
                <w:szCs w:val="21"/>
              </w:rPr>
              <w:t> </w:t>
            </w:r>
            <w:r>
              <w:rPr>
                <w:rFonts w:ascii="宋体" w:hAnsi="宋体" w:cs="宋体" w:eastAsia="宋体" w:hint="default"/>
                <w:spacing w:val="-3"/>
                <w:sz w:val="21"/>
                <w:szCs w:val="21"/>
              </w:rPr>
              <w:t>思表示，童之磊及文睿投资自愿接受监管机构、自律组织及社会公众的监督，若违反上述承诺</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童之磊及文睿投资将依法承担相应责任。</w:t>
            </w:r>
          </w:p>
        </w:tc>
        <w:tc>
          <w:tcPr>
            <w:tcW w:w="798" w:type="dxa"/>
            <w:tcBorders>
              <w:top w:val="single" w:sz="15" w:space="0" w:color="000000"/>
              <w:left w:val="single" w:sz="4" w:space="0" w:color="000000"/>
              <w:bottom w:val="single" w:sz="4" w:space="0" w:color="000000"/>
              <w:right w:val="single" w:sz="4" w:space="0" w:color="000000"/>
            </w:tcBorders>
          </w:tcPr>
          <w:p>
            <w:pPr>
              <w:pStyle w:val="TableParagraph"/>
              <w:spacing w:line="128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
                <w:sz w:val="20"/>
                <w:szCs w:val="20"/>
              </w:rPr>
              <w:pict>
                <v:group style="width:39.450pt;height:64.5pt;mso-position-horizontal-relative:char;mso-position-vertical-relative:line" coordorigin="0,0" coordsize="789,1290">
                  <v:group style="position:absolute;left:0;top:0;width:789;height:1290" coordorigin="0,0" coordsize="789,1290">
                    <v:shape style="position:absolute;left:0;top:0;width:789;height:1290" coordorigin="0,0" coordsize="789,1290" path="m0,1289l788,1289,788,0,0,0,0,1289xe" filled="true" fillcolor="#ffffff" stroked="false">
                      <v:path arrowok="t"/>
                      <v:fill type="solid"/>
                    </v:shape>
                  </v:group>
                </v:group>
              </w:pict>
            </w:r>
            <w:r>
              <w:rPr>
                <w:rFonts w:ascii="Times New Roman" w:hAnsi="Times New Roman" w:cs="Times New Roman" w:eastAsia="Times New Roman" w:hint="default"/>
                <w:position w:val="-25"/>
                <w:sz w:val="20"/>
                <w:szCs w:val="20"/>
              </w:rPr>
            </w:r>
          </w:p>
        </w:tc>
        <w:tc>
          <w:tcPr>
            <w:tcW w:w="1036" w:type="dxa"/>
            <w:tcBorders>
              <w:top w:val="single" w:sz="15" w:space="0" w:color="000000"/>
              <w:left w:val="single" w:sz="4" w:space="0" w:color="000000"/>
              <w:bottom w:val="single" w:sz="4" w:space="0" w:color="000000"/>
              <w:right w:val="single" w:sz="4" w:space="0" w:color="000000"/>
            </w:tcBorders>
          </w:tcPr>
          <w:p>
            <w:pPr/>
          </w:p>
        </w:tc>
        <w:tc>
          <w:tcPr>
            <w:tcW w:w="422" w:type="dxa"/>
            <w:tcBorders>
              <w:top w:val="single" w:sz="15" w:space="0" w:color="000000"/>
              <w:left w:val="single" w:sz="4" w:space="0" w:color="000000"/>
              <w:bottom w:val="single" w:sz="4" w:space="0" w:color="000000"/>
              <w:right w:val="single" w:sz="4" w:space="0" w:color="000000"/>
            </w:tcBorders>
          </w:tcPr>
          <w:p>
            <w:pPr/>
          </w:p>
        </w:tc>
      </w:tr>
      <w:tr>
        <w:trPr>
          <w:trHeight w:val="2898" w:hRule="exact"/>
        </w:trPr>
        <w:tc>
          <w:tcPr>
            <w:tcW w:w="1403" w:type="dxa"/>
            <w:vMerge/>
            <w:tcBorders>
              <w:left w:val="single" w:sz="4" w:space="0" w:color="000000"/>
              <w:right w:val="single" w:sz="4" w:space="0" w:color="000000"/>
            </w:tcBorders>
            <w:shd w:val="clear" w:color="auto" w:fill="D2D2D2"/>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73" w:lineRule="auto"/>
              <w:ind w:left="22" w:right="173"/>
              <w:jc w:val="both"/>
              <w:rPr>
                <w:rFonts w:ascii="宋体" w:hAnsi="宋体" w:cs="宋体" w:eastAsia="宋体" w:hint="default"/>
                <w:sz w:val="21"/>
                <w:szCs w:val="21"/>
              </w:rPr>
            </w:pPr>
            <w:r>
              <w:rPr>
                <w:rFonts w:ascii="宋体" w:hAnsi="宋体" w:cs="宋体" w:eastAsia="宋体" w:hint="default"/>
                <w:sz w:val="21"/>
                <w:szCs w:val="21"/>
              </w:rPr>
              <w:t>北京中文在线数 字出版股份有限 公司</w:t>
            </w:r>
          </w:p>
        </w:tc>
        <w:tc>
          <w:tcPr>
            <w:tcW w:w="8679" w:type="dxa"/>
            <w:tcBorders>
              <w:top w:val="single" w:sz="4" w:space="0" w:color="000000"/>
              <w:left w:val="single" w:sz="4" w:space="0" w:color="000000"/>
              <w:bottom w:val="single" w:sz="4" w:space="0" w:color="000000"/>
              <w:right w:val="single" w:sz="13" w:space="0" w:color="FFFFFF"/>
            </w:tcBorders>
          </w:tcPr>
          <w:p>
            <w:pPr>
              <w:pStyle w:val="TableParagraph"/>
              <w:spacing w:line="268" w:lineRule="auto" w:before="26"/>
              <w:ind w:left="23" w:right="-44" w:hanging="68"/>
              <w:jc w:val="center"/>
              <w:rPr>
                <w:rFonts w:ascii="宋体" w:hAnsi="宋体" w:cs="宋体" w:eastAsia="宋体" w:hint="default"/>
                <w:sz w:val="21"/>
                <w:szCs w:val="21"/>
              </w:rPr>
            </w:pPr>
            <w:r>
              <w:rPr>
                <w:rFonts w:ascii="宋体" w:hAnsi="宋体" w:cs="宋体" w:eastAsia="宋体" w:hint="default"/>
                <w:sz w:val="21"/>
                <w:szCs w:val="21"/>
              </w:rPr>
              <w:t>发行人保证将严格履行公司首次公开发行股票并上市招股说明书披露的承诺事项，同时提出未 能履行承诺时的约束措施如下：</w:t>
            </w:r>
            <w:r>
              <w:rPr>
                <w:rFonts w:ascii="宋体" w:hAnsi="宋体" w:cs="宋体" w:eastAsia="宋体" w:hint="default"/>
                <w:spacing w:val="16"/>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）如本公司未履行招股说明书披露的承诺事项，本公司将 在股东大会和中国证监会指定的报刊上公开说明未履行承诺的具体原因，并向股东和社会公众 投资者道歉；</w:t>
            </w:r>
            <w:r>
              <w:rPr>
                <w:rFonts w:ascii="宋体" w:hAnsi="宋体" w:cs="宋体" w:eastAsia="宋体" w:hint="default"/>
                <w:spacing w:val="15"/>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）如因本公司未履行相关承诺事项，致使投资者在证券交易中遭受损失，本 公司将依法赔偿该等损失：</w:t>
            </w:r>
            <w:r>
              <w:rPr>
                <w:rFonts w:ascii="宋体" w:hAnsi="宋体" w:cs="宋体" w:eastAsia="宋体" w:hint="default"/>
                <w:spacing w:val="-34"/>
                <w:sz w:val="21"/>
                <w:szCs w:val="21"/>
              </w:rPr>
              <w:t> </w:t>
            </w:r>
            <w:r>
              <w:rPr>
                <w:rFonts w:ascii="宋体" w:hAnsi="宋体" w:cs="宋体" w:eastAsia="宋体" w:hint="default"/>
                <w:sz w:val="21"/>
                <w:szCs w:val="21"/>
              </w:rPr>
              <w:t>在中国证监会或其他有权部门认定公司招股说明书存在虚假记载、</w:t>
            </w:r>
            <w:r>
              <w:rPr>
                <w:rFonts w:ascii="宋体" w:hAnsi="宋体" w:cs="宋体" w:eastAsia="宋体" w:hint="default"/>
                <w:spacing w:val="-49"/>
                <w:sz w:val="21"/>
                <w:szCs w:val="21"/>
              </w:rPr>
              <w:t> </w:t>
            </w:r>
            <w:r>
              <w:rPr>
                <w:rFonts w:ascii="宋体" w:hAnsi="宋体" w:cs="宋体" w:eastAsia="宋体" w:hint="default"/>
                <w:sz w:val="21"/>
                <w:szCs w:val="21"/>
              </w:rPr>
              <w:t>误导性陈述或者重大遗漏后二十个工作日内，将启动赔偿投资者损失的相关工作；</w:t>
            </w:r>
            <w:r>
              <w:rPr>
                <w:rFonts w:ascii="宋体" w:hAnsi="宋体" w:cs="宋体" w:eastAsia="宋体" w:hint="default"/>
                <w:spacing w:val="58"/>
                <w:sz w:val="21"/>
                <w:szCs w:val="21"/>
              </w:rPr>
              <w:t> </w:t>
            </w:r>
            <w:r>
              <w:rPr>
                <w:rFonts w:ascii="宋体" w:hAnsi="宋体" w:cs="宋体" w:eastAsia="宋体" w:hint="default"/>
                <w:sz w:val="21"/>
                <w:szCs w:val="21"/>
              </w:rPr>
              <w:t>投资者的</w:t>
            </w:r>
            <w:r>
              <w:rPr>
                <w:rFonts w:ascii="宋体" w:hAnsi="宋体" w:cs="宋体" w:eastAsia="宋体" w:hint="default"/>
                <w:sz w:val="21"/>
                <w:szCs w:val="21"/>
              </w:rPr>
              <w:t> 损失根据与投资者协商确定的金额、或者依据中国证监会、司法机关认定的方式或金额确定。 上述承诺内容系本公司的真实意思表示，本公司自愿接受监管机构、自律组织及社会公众的</w:t>
            </w:r>
          </w:p>
          <w:p>
            <w:pPr>
              <w:pStyle w:val="TableParagraph"/>
              <w:spacing w:line="240" w:lineRule="auto" w:before="13"/>
              <w:ind w:left="23" w:right="0"/>
              <w:jc w:val="left"/>
              <w:rPr>
                <w:rFonts w:ascii="宋体" w:hAnsi="宋体" w:cs="宋体" w:eastAsia="宋体" w:hint="default"/>
                <w:sz w:val="21"/>
                <w:szCs w:val="21"/>
              </w:rPr>
            </w:pPr>
            <w:r>
              <w:rPr>
                <w:rFonts w:ascii="宋体" w:hAnsi="宋体" w:cs="宋体" w:eastAsia="宋体" w:hint="default"/>
                <w:sz w:val="21"/>
                <w:szCs w:val="21"/>
              </w:rPr>
              <w:t>监督，若违反上述承诺，本公司将依法承担相应责任。</w:t>
            </w:r>
          </w:p>
        </w:tc>
        <w:tc>
          <w:tcPr>
            <w:tcW w:w="79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0"/>
              <w:ind w:left="1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w:t>
            </w:r>
          </w:p>
          <w:p>
            <w:pPr>
              <w:pStyle w:val="TableParagraph"/>
              <w:spacing w:line="240" w:lineRule="auto" w:before="22"/>
              <w:ind w:left="11" w:right="0"/>
              <w:jc w:val="left"/>
              <w:rPr>
                <w:rFonts w:ascii="宋体" w:hAnsi="宋体" w:cs="宋体" w:eastAsia="宋体" w:hint="default"/>
                <w:sz w:val="21"/>
                <w:szCs w:val="21"/>
              </w:rPr>
            </w:pPr>
            <w:r>
              <w:rPr>
                <w:rFonts w:ascii="宋体" w:hAnsi="宋体" w:cs="宋体" w:eastAsia="宋体" w:hint="default"/>
                <w:sz w:val="21"/>
                <w:szCs w:val="21"/>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312" w:lineRule="exact"/>
              <w:ind w:left="11"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37.15pt;height:15.6pt;mso-position-horizontal-relative:char;mso-position-vertical-relative:line" coordorigin="0,0" coordsize="743,312">
                  <v:group style="position:absolute;left:0;top:0;width:743;height:312" coordorigin="0,0" coordsize="743,312">
                    <v:shape style="position:absolute;left:0;top:0;width:743;height:312" coordorigin="0,0" coordsize="743,312" path="m0,312l743,312,743,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3"/>
              <w:ind w:left="22" w:right="0"/>
              <w:jc w:val="left"/>
              <w:rPr>
                <w:rFonts w:ascii="Times New Roman" w:hAnsi="Times New Roman" w:cs="Times New Roman" w:eastAsia="Times New Roman" w:hint="default"/>
                <w:sz w:val="21"/>
                <w:szCs w:val="21"/>
              </w:rPr>
            </w:pPr>
            <w:r>
              <w:rPr>
                <w:rFonts w:ascii="Times New Roman"/>
                <w:sz w:val="21"/>
              </w:rPr>
              <w:t>9999-12-31</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16"/>
              <w:ind w:left="23" w:right="176"/>
              <w:jc w:val="both"/>
              <w:rPr>
                <w:rFonts w:ascii="宋体" w:hAnsi="宋体" w:cs="宋体" w:eastAsia="宋体" w:hint="default"/>
                <w:sz w:val="21"/>
                <w:szCs w:val="21"/>
              </w:rPr>
            </w:pPr>
            <w:r>
              <w:rPr>
                <w:rFonts w:ascii="宋体" w:hAnsi="宋体" w:cs="宋体" w:eastAsia="宋体" w:hint="default"/>
                <w:sz w:val="21"/>
                <w:szCs w:val="21"/>
              </w:rPr>
              <w:t>正 在 履 行</w:t>
            </w:r>
          </w:p>
        </w:tc>
      </w:tr>
      <w:tr>
        <w:trPr>
          <w:trHeight w:val="2898"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22" w:right="0"/>
              <w:jc w:val="left"/>
              <w:rPr>
                <w:rFonts w:ascii="宋体" w:hAnsi="宋体" w:cs="宋体" w:eastAsia="宋体" w:hint="default"/>
                <w:sz w:val="21"/>
                <w:szCs w:val="21"/>
              </w:rPr>
            </w:pPr>
            <w:r>
              <w:rPr>
                <w:rFonts w:ascii="宋体" w:hAnsi="宋体" w:cs="宋体" w:eastAsia="宋体" w:hint="default"/>
                <w:sz w:val="21"/>
                <w:szCs w:val="21"/>
              </w:rPr>
              <w:t>童之磊</w:t>
            </w:r>
          </w:p>
        </w:tc>
        <w:tc>
          <w:tcPr>
            <w:tcW w:w="8679"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26"/>
              <w:ind w:left="23" w:right="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）本人及本人所控制的除股份公司以外的公司（以下简称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附属公司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）目前并没有直接或间</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接地从事任何与股份公司及其控股子公司实际从事的业务存在竞争的任何业务活动。</w:t>
            </w:r>
            <w:r>
              <w:rPr>
                <w:rFonts w:ascii="宋体" w:hAnsi="宋体" w:cs="宋体" w:eastAsia="宋体" w:hint="default"/>
                <w:spacing w:val="27"/>
                <w:sz w:val="21"/>
                <w:szCs w:val="21"/>
              </w:rPr>
              <w:t> </w:t>
            </w:r>
            <w:r>
              <w:rPr>
                <w:rFonts w:ascii="宋体" w:hAnsi="宋体" w:cs="宋体" w:eastAsia="宋体" w:hint="default"/>
                <w:spacing w:val="-8"/>
                <w:sz w:val="21"/>
                <w:szCs w:val="21"/>
              </w:rPr>
              <w:t>（</w:t>
            </w: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）本</w:t>
            </w:r>
            <w:r>
              <w:rPr>
                <w:rFonts w:ascii="宋体" w:hAnsi="宋体" w:cs="宋体" w:eastAsia="宋体" w:hint="default"/>
                <w:spacing w:val="-16"/>
                <w:sz w:val="21"/>
                <w:szCs w:val="21"/>
              </w:rPr>
              <w:t> </w:t>
            </w:r>
            <w:r>
              <w:rPr>
                <w:rFonts w:ascii="宋体" w:hAnsi="宋体" w:cs="宋体" w:eastAsia="宋体" w:hint="default"/>
                <w:sz w:val="21"/>
                <w:szCs w:val="21"/>
              </w:rPr>
              <w:t>人及附属公司在今后的任何时间不会直接或间接地以任何方式（包括但不限于自营、合资或联</w:t>
            </w:r>
            <w:r>
              <w:rPr>
                <w:rFonts w:ascii="宋体" w:hAnsi="宋体" w:cs="宋体" w:eastAsia="宋体" w:hint="default"/>
                <w:sz w:val="21"/>
                <w:szCs w:val="21"/>
              </w:rPr>
              <w:t> 营）参与或进行与股份公司及其控股子公司实际从事的业务存在直接或间接竞争的任何业务活 动。凡本人及附属公司有任何商业机会可从事、参与或入股任何可能会与股份公司及其控股子 公司生产经营构成竞争的业务，本人及附属公司会将上述商业机会让予股份公司及其控股子公 司。</w:t>
            </w:r>
            <w:r>
              <w:rPr>
                <w:rFonts w:ascii="宋体" w:hAnsi="宋体" w:cs="宋体" w:eastAsia="宋体" w:hint="default"/>
                <w:spacing w:val="11"/>
                <w:sz w:val="21"/>
                <w:szCs w:val="21"/>
              </w:rPr>
              <w:t> </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）如果本人违反上述声明、保证与承诺，本人同意给予股份公司赔偿。</w:t>
            </w:r>
            <w:r>
              <w:rPr>
                <w:rFonts w:ascii="宋体" w:hAnsi="宋体" w:cs="宋体" w:eastAsia="宋体" w:hint="default"/>
                <w:spacing w:val="11"/>
                <w:sz w:val="21"/>
                <w:szCs w:val="21"/>
              </w:rPr>
              <w:t> </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）本声明</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承诺与保证将持续有效，直至本人不再处于股份公司的控股股东或者实际控制人地位为止。</w:t>
            </w:r>
          </w:p>
          <w:p>
            <w:pPr>
              <w:pStyle w:val="TableParagraph"/>
              <w:spacing w:line="240" w:lineRule="auto" w:before="15"/>
              <w:ind w:left="23"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）本声明、承诺与保证可被视为对股份公司及其他股东共同和分别作出的声明、承诺和保证</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0"/>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93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39.450pt;height:46.85pt;mso-position-horizontal-relative:char;mso-position-vertical-relative:line" coordorigin="0,0" coordsize="789,937">
                  <v:group style="position:absolute;left:0;top:0;width:789;height:937" coordorigin="0,0" coordsize="789,937">
                    <v:shape style="position:absolute;left:0;top:0;width:789;height:937" coordorigin="0,0" coordsize="789,937" path="m0,936l788,936,788,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3"/>
              <w:ind w:left="22" w:right="0"/>
              <w:jc w:val="left"/>
              <w:rPr>
                <w:rFonts w:ascii="Times New Roman" w:hAnsi="Times New Roman" w:cs="Times New Roman" w:eastAsia="Times New Roman" w:hint="default"/>
                <w:sz w:val="21"/>
                <w:szCs w:val="21"/>
              </w:rPr>
            </w:pPr>
            <w:r>
              <w:rPr>
                <w:rFonts w:ascii="Times New Roman"/>
                <w:sz w:val="21"/>
              </w:rPr>
              <w:t>9999-12-31</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16"/>
              <w:ind w:left="23" w:right="176"/>
              <w:jc w:val="both"/>
              <w:rPr>
                <w:rFonts w:ascii="宋体" w:hAnsi="宋体" w:cs="宋体" w:eastAsia="宋体" w:hint="default"/>
                <w:sz w:val="21"/>
                <w:szCs w:val="21"/>
              </w:rPr>
            </w:pPr>
            <w:r>
              <w:rPr>
                <w:rFonts w:ascii="宋体" w:hAnsi="宋体" w:cs="宋体" w:eastAsia="宋体" w:hint="default"/>
                <w:sz w:val="21"/>
                <w:szCs w:val="21"/>
              </w:rPr>
              <w:t>正 在 履 行</w:t>
            </w:r>
          </w:p>
        </w:tc>
      </w:tr>
      <w:tr>
        <w:trPr>
          <w:trHeight w:val="1026"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08"/>
              <w:jc w:val="both"/>
              <w:rPr>
                <w:rFonts w:ascii="宋体" w:hAnsi="宋体" w:cs="宋体" w:eastAsia="宋体" w:hint="default"/>
                <w:sz w:val="21"/>
                <w:szCs w:val="21"/>
              </w:rPr>
            </w:pPr>
            <w:r>
              <w:rPr>
                <w:rFonts w:ascii="宋体" w:hAnsi="宋体" w:cs="宋体" w:eastAsia="宋体" w:hint="default"/>
                <w:sz w:val="21"/>
                <w:szCs w:val="21"/>
              </w:rPr>
              <w:t>其他对公司中 小股东所作承 诺</w:t>
            </w:r>
          </w:p>
        </w:tc>
        <w:tc>
          <w:tcPr>
            <w:tcW w:w="1676" w:type="dxa"/>
            <w:tcBorders>
              <w:top w:val="single" w:sz="4" w:space="0" w:color="000000"/>
              <w:left w:val="single" w:sz="4" w:space="0" w:color="000000"/>
              <w:bottom w:val="single" w:sz="4" w:space="0" w:color="000000"/>
              <w:right w:val="single" w:sz="4" w:space="0" w:color="000000"/>
            </w:tcBorders>
          </w:tcPr>
          <w:p>
            <w:pPr/>
          </w:p>
        </w:tc>
        <w:tc>
          <w:tcPr>
            <w:tcW w:w="867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08"/>
              <w:jc w:val="left"/>
              <w:rPr>
                <w:rFonts w:ascii="宋体" w:hAnsi="宋体" w:cs="宋体" w:eastAsia="宋体" w:hint="default"/>
                <w:sz w:val="21"/>
                <w:szCs w:val="21"/>
              </w:rPr>
            </w:pPr>
            <w:r>
              <w:rPr>
                <w:rFonts w:ascii="宋体" w:hAnsi="宋体" w:cs="宋体" w:eastAsia="宋体" w:hint="default"/>
                <w:sz w:val="21"/>
                <w:szCs w:val="21"/>
              </w:rPr>
              <w:t>承诺是否及时 履行</w:t>
            </w:r>
          </w:p>
        </w:tc>
        <w:tc>
          <w:tcPr>
            <w:tcW w:w="126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7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6"/>
              <w:ind w:left="22" w:right="108"/>
              <w:jc w:val="left"/>
              <w:rPr>
                <w:rFonts w:ascii="宋体" w:hAnsi="宋体" w:cs="宋体" w:eastAsia="宋体" w:hint="default"/>
                <w:sz w:val="21"/>
                <w:szCs w:val="21"/>
              </w:rPr>
            </w:pPr>
            <w:r>
              <w:rPr>
                <w:rFonts w:ascii="宋体" w:hAnsi="宋体" w:cs="宋体" w:eastAsia="宋体" w:hint="default"/>
                <w:sz w:val="21"/>
                <w:szCs w:val="21"/>
              </w:rPr>
              <w:t>未完成履行的 具体原因及下</w:t>
            </w:r>
          </w:p>
        </w:tc>
        <w:tc>
          <w:tcPr>
            <w:tcW w:w="12612" w:type="dxa"/>
            <w:gridSpan w:val="5"/>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p>
      <w:pPr>
        <w:spacing w:line="718" w:lineRule="exact"/>
        <w:ind w:left="10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701.7pt;height:35.9pt;mso-position-horizontal-relative:char;mso-position-vertical-relative:line" coordorigin="0,0" coordsize="14034,718">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style="position:absolute;left:26;top:38;width:2;height:666" coordorigin="26,38" coordsize="2,666">
              <v:shape style="position:absolute;left:26;top:38;width:2;height:666" coordorigin="26,38" coordsize="0,666" path="m26,38l26,704e" filled="false" stroked="true" strokeweight="1.140pt" strokecolor="#d2d2d2">
                <v:path arrowok="t"/>
              </v:shape>
            </v:group>
            <v:group style="position:absolute;left:1396;top:38;width:2;height:666" coordorigin="1396,38" coordsize="2,666">
              <v:shape style="position:absolute;left:1396;top:38;width:2;height:666" coordorigin="1396,38" coordsize="0,666" path="m1396,38l1396,704e" filled="false" stroked="true" strokeweight="1.160pt" strokecolor="#d2d2d2">
                <v:path arrowok="t"/>
              </v:shape>
            </v:group>
            <v:group style="position:absolute;left:37;top:38;width:1348;height:312" coordorigin="37,38" coordsize="1348,312">
              <v:shape style="position:absolute;left:37;top:38;width:1348;height:312" coordorigin="37,38" coordsize="1348,312" path="m37,350l1385,350,1385,38,37,38,37,350xe" filled="true" fillcolor="#d2d2d2" stroked="false">
                <v:path arrowok="t"/>
                <v:fill type="solid"/>
              </v:shape>
            </v:group>
            <v:group style="position:absolute;left:37;top:350;width:1348;height:354" coordorigin="37,350" coordsize="1348,354">
              <v:shape style="position:absolute;left:37;top:350;width:1348;height:354" coordorigin="37,350" coordsize="1348,354" path="m37,704l1385,704,1385,350,37,350,37,704xe" filled="true" fillcolor="#d2d2d2" stroked="false">
                <v:path arrowok="t"/>
                <v:fill type="solid"/>
              </v:shape>
            </v:group>
            <v:group style="position:absolute;left:14;top:34;width:1394;height:2" coordorigin="14,34" coordsize="1394,2">
              <v:shape style="position:absolute;left:14;top:34;width:1394;height:2" coordorigin="14,34" coordsize="1394,0" path="m14,34l1408,34e" filled="false" stroked="true" strokeweight=".48pt" strokecolor="#000000">
                <v:path arrowok="t"/>
              </v:shape>
            </v:group>
            <v:group style="position:absolute;left:1418;top:34;width:12602;height:2" coordorigin="1418,34" coordsize="12602,2">
              <v:shape style="position:absolute;left:1418;top:34;width:12602;height:2" coordorigin="1418,34" coordsize="12602,0" path="m1418,34l14020,34e" filled="false" stroked="true" strokeweight=".48pt" strokecolor="#000000">
                <v:path arrowok="t"/>
              </v:shape>
            </v:group>
            <v:group style="position:absolute;left:10;top:29;width:2;height:685" coordorigin="10,29" coordsize="2,685">
              <v:shape style="position:absolute;left:10;top:29;width:2;height:685" coordorigin="10,29" coordsize="0,685" path="m10,29l10,713e" filled="false" stroked="true" strokeweight=".48pt" strokecolor="#000000">
                <v:path arrowok="t"/>
              </v:shape>
            </v:group>
            <v:group style="position:absolute;left:14;top:708;width:1394;height:2" coordorigin="14,708" coordsize="1394,2">
              <v:shape style="position:absolute;left:14;top:708;width:1394;height:2" coordorigin="14,708" coordsize="1394,0" path="m14,708l1408,708e" filled="false" stroked="true" strokeweight=".48pt" strokecolor="#000000">
                <v:path arrowok="t"/>
              </v:shape>
            </v:group>
            <v:group style="position:absolute;left:1413;top:29;width:2;height:685" coordorigin="1413,29" coordsize="2,685">
              <v:shape style="position:absolute;left:1413;top:29;width:2;height:685" coordorigin="1413,29" coordsize="0,685" path="m1413,29l1413,713e" filled="false" stroked="true" strokeweight=".48pt" strokecolor="#000000">
                <v:path arrowok="t"/>
              </v:shape>
            </v:group>
            <v:group style="position:absolute;left:1418;top:708;width:12602;height:2" coordorigin="1418,708" coordsize="12602,2">
              <v:shape style="position:absolute;left:1418;top:708;width:12602;height:2" coordorigin="1418,708" coordsize="12602,0" path="m1418,708l14020,708e" filled="false" stroked="true" strokeweight=".48pt" strokecolor="#000000">
                <v:path arrowok="t"/>
              </v:shape>
            </v:group>
            <v:group style="position:absolute;left:14024;top:29;width:2;height:685" coordorigin="14024,29" coordsize="2,685">
              <v:shape style="position:absolute;left:14024;top:29;width:2;height:685" coordorigin="14024,29" coordsize="0,685" path="m14024,29l14024,713e" filled="false" stroked="true" strokeweight=".48pt" strokecolor="#000000">
                <v:path arrowok="t"/>
              </v:shape>
              <v:shape style="position:absolute;left:10;top:19;width:1404;height:690" type="#_x0000_t202" filled="false" stroked="false">
                <v:textbox inset="0,0,0,0">
                  <w:txbxContent>
                    <w:p>
                      <w:pPr>
                        <w:spacing w:line="273" w:lineRule="auto" w:before="4"/>
                        <w:ind w:left="27" w:right="113" w:firstLine="0"/>
                        <w:jc w:val="left"/>
                        <w:rPr>
                          <w:rFonts w:ascii="宋体" w:hAnsi="宋体" w:cs="宋体" w:eastAsia="宋体" w:hint="default"/>
                          <w:sz w:val="21"/>
                          <w:szCs w:val="21"/>
                        </w:rPr>
                      </w:pPr>
                      <w:r>
                        <w:rPr>
                          <w:rFonts w:ascii="宋体" w:hAnsi="宋体" w:cs="宋体" w:eastAsia="宋体" w:hint="default"/>
                          <w:sz w:val="21"/>
                          <w:szCs w:val="21"/>
                        </w:rPr>
                        <w:t>一步计划（如 有）</w:t>
                      </w:r>
                    </w:p>
                  </w:txbxContent>
                </v:textbox>
                <w10:wrap type="none"/>
              </v:shape>
            </v:group>
          </v:group>
        </w:pict>
      </w:r>
      <w:r>
        <w:rPr>
          <w:rFonts w:ascii="Times New Roman" w:hAnsi="Times New Roman" w:cs="Times New Roman" w:eastAsia="Times New Roman" w:hint="default"/>
          <w:position w:val="-13"/>
          <w:sz w:val="20"/>
          <w:szCs w:val="20"/>
        </w:rPr>
      </w:r>
    </w:p>
    <w:p>
      <w:pPr>
        <w:spacing w:after="0" w:line="718" w:lineRule="exact"/>
        <w:rPr>
          <w:rFonts w:ascii="Times New Roman" w:hAnsi="Times New Roman" w:cs="Times New Roman" w:eastAsia="Times New Roman" w:hint="default"/>
          <w:sz w:val="20"/>
          <w:szCs w:val="20"/>
        </w:rPr>
        <w:sectPr>
          <w:pgSz w:w="16840" w:h="11910" w:orient="landscape"/>
          <w:pgMar w:header="867" w:footer="979" w:top="106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spacing w:line="314" w:lineRule="exact" w:before="55"/>
        <w:ind w:left="154" w:right="0" w:firstLine="0"/>
        <w:jc w:val="left"/>
        <w:rPr>
          <w:rFonts w:ascii="宋体" w:hAnsi="宋体" w:cs="宋体" w:eastAsia="宋体" w:hint="default"/>
          <w:sz w:val="24"/>
          <w:szCs w:val="24"/>
        </w:rPr>
      </w:pPr>
      <w:bookmarkStart w:name="2、公司资产或项目存在盈利预测，且报告期仍处在盈利预测期间，公司就资产或项目达到" w:id="62"/>
      <w:bookmarkEnd w:id="62"/>
      <w:r>
        <w:rPr/>
      </w:r>
      <w:r>
        <w:rPr>
          <w:rFonts w:ascii="Times New Roman" w:hAnsi="Times New Roman" w:cs="Times New Roman" w:eastAsia="Times New Roman" w:hint="default"/>
          <w:b/>
          <w:bCs/>
          <w:spacing w:val="-3"/>
          <w:w w:val="95"/>
          <w:sz w:val="24"/>
          <w:szCs w:val="24"/>
        </w:rPr>
        <w:t>2</w:t>
      </w:r>
      <w:r>
        <w:rPr>
          <w:rFonts w:ascii="宋体" w:hAnsi="宋体" w:cs="宋体" w:eastAsia="宋体" w:hint="default"/>
          <w:b/>
          <w:bCs/>
          <w:spacing w:val="-3"/>
          <w:w w:val="95"/>
          <w:sz w:val="24"/>
          <w:szCs w:val="24"/>
        </w:rPr>
        <w:t>、公司资产或项目存在盈利预测，且报告期仍处在盈利预测期间，公司就资产或项目达到原</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r>
        <w:rPr>
          <w:rFonts w:ascii="宋体" w:hAnsi="宋体" w:cs="宋体" w:eastAsia="宋体" w:hint="default"/>
          <w:b/>
          <w:bCs/>
          <w:sz w:val="24"/>
          <w:szCs w:val="24"/>
        </w:rPr>
        <w:t>盈利预测及其原因做出说明</w:t>
      </w:r>
      <w:r>
        <w:rPr>
          <w:rFonts w:ascii="宋体" w:hAnsi="宋体" w:cs="宋体" w:eastAsia="宋体" w:hint="default"/>
          <w:sz w:val="24"/>
          <w:szCs w:val="24"/>
        </w:rPr>
      </w:r>
    </w:p>
    <w:p>
      <w:pPr>
        <w:spacing w:line="240" w:lineRule="auto" w:before="8"/>
        <w:rPr>
          <w:rFonts w:ascii="宋体" w:hAnsi="宋体" w:cs="宋体" w:eastAsia="宋体" w:hint="default"/>
          <w:b/>
          <w:bCs/>
          <w:sz w:val="26"/>
          <w:szCs w:val="26"/>
        </w:rPr>
      </w:pPr>
    </w:p>
    <w:p>
      <w:pPr>
        <w:spacing w:line="496" w:lineRule="auto" w:before="0"/>
        <w:ind w:left="154" w:right="569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九、聘任、解聘会计师事务所情况" w:id="63"/>
      <w:bookmarkEnd w:id="63"/>
      <w:r>
        <w:rPr>
          <w:rFonts w:ascii="宋体" w:hAnsi="宋体" w:cs="宋体" w:eastAsia="宋体" w:hint="default"/>
          <w:sz w:val="24"/>
          <w:szCs w:val="24"/>
        </w:rPr>
      </w:r>
      <w:r>
        <w:rPr>
          <w:rFonts w:ascii="宋体" w:hAnsi="宋体" w:cs="宋体" w:eastAsia="宋体" w:hint="default"/>
          <w:b/>
          <w:bCs/>
          <w:w w:val="95"/>
          <w:sz w:val="24"/>
          <w:szCs w:val="24"/>
        </w:rPr>
        <w:t>九、聘任、解聘会计师事务所情况</w:t>
      </w:r>
      <w:r>
        <w:rPr>
          <w:rFonts w:ascii="宋体" w:hAnsi="宋体" w:cs="宋体" w:eastAsia="宋体" w:hint="default"/>
          <w:sz w:val="24"/>
          <w:szCs w:val="24"/>
        </w:rPr>
      </w:r>
    </w:p>
    <w:p>
      <w:pPr>
        <w:pStyle w:val="BodyText"/>
        <w:spacing w:line="240" w:lineRule="auto" w:before="121"/>
        <w:ind w:left="634" w:right="0"/>
        <w:jc w:val="left"/>
      </w:pPr>
      <w:r>
        <w:rPr/>
        <w:t>现聘任的会计事务所</w:t>
      </w:r>
    </w:p>
    <w:p>
      <w:pPr>
        <w:spacing w:line="240" w:lineRule="auto" w:before="8"/>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4963"/>
        <w:gridCol w:w="4606"/>
      </w:tblGrid>
      <w:tr>
        <w:trPr>
          <w:trHeight w:val="403"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45</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5</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唐炫、郑小川</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境外会计师事务所名称</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境外会计师事务所报酬（万元）</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境外会计师事务所审计服务的连续年限</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3"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境外会计师事务所注册会计师姓名</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Style w:val="BodyText"/>
        <w:spacing w:line="240" w:lineRule="auto" w:before="81"/>
        <w:ind w:left="634" w:right="0"/>
        <w:jc w:val="left"/>
      </w:pPr>
      <w:r>
        <w:rPr/>
        <w:t>是否改聘会计师事务所</w:t>
      </w:r>
    </w:p>
    <w:p>
      <w:pPr>
        <w:pStyle w:val="BodyText"/>
        <w:spacing w:line="240" w:lineRule="auto" w:before="194"/>
        <w:ind w:left="6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4"/>
        <w:rPr>
          <w:rFonts w:ascii="宋体" w:hAnsi="宋体" w:cs="宋体" w:eastAsia="宋体" w:hint="default"/>
          <w:sz w:val="27"/>
          <w:szCs w:val="27"/>
        </w:rPr>
      </w:pPr>
    </w:p>
    <w:p>
      <w:pPr>
        <w:spacing w:before="0"/>
        <w:ind w:left="154" w:right="172" w:firstLine="0"/>
        <w:jc w:val="left"/>
        <w:rPr>
          <w:rFonts w:ascii="宋体" w:hAnsi="宋体" w:cs="宋体" w:eastAsia="宋体" w:hint="default"/>
          <w:sz w:val="24"/>
          <w:szCs w:val="24"/>
        </w:rPr>
      </w:pPr>
      <w:bookmarkStart w:name="十、上市公司及其董事、监事、高级管理人员、公司股东、实际控制人和收购人处罚及整改" w:id="64"/>
      <w:bookmarkEnd w:id="64"/>
      <w:r>
        <w:rPr/>
      </w:r>
      <w:r>
        <w:rPr>
          <w:rFonts w:ascii="宋体" w:hAnsi="宋体" w:cs="宋体" w:eastAsia="宋体" w:hint="default"/>
          <w:b/>
          <w:bCs/>
          <w:w w:val="95"/>
          <w:sz w:val="24"/>
          <w:szCs w:val="24"/>
        </w:rPr>
        <w:t>十、上市公司及其董事、监事、高级管理人员、公司股东、实际控制人和收购人处罚及整改  </w:t>
      </w:r>
      <w:r>
        <w:rPr>
          <w:rFonts w:ascii="宋体" w:hAnsi="宋体" w:cs="宋体" w:eastAsia="宋体" w:hint="default"/>
          <w:b/>
          <w:bCs/>
          <w:spacing w:val="99"/>
          <w:w w:val="95"/>
          <w:sz w:val="24"/>
          <w:szCs w:val="24"/>
        </w:rPr>
        <w:t> </w:t>
      </w:r>
      <w:r>
        <w:rPr>
          <w:rFonts w:ascii="宋体" w:hAnsi="宋体" w:cs="宋体" w:eastAsia="宋体" w:hint="default"/>
          <w:b/>
          <w:bCs/>
          <w:sz w:val="24"/>
          <w:szCs w:val="24"/>
        </w:rPr>
        <w:t>情况</w:t>
      </w:r>
      <w:r>
        <w:rPr>
          <w:rFonts w:ascii="宋体" w:hAnsi="宋体" w:cs="宋体" w:eastAsia="宋体" w:hint="default"/>
          <w:sz w:val="24"/>
          <w:szCs w:val="24"/>
        </w:rPr>
      </w:r>
    </w:p>
    <w:p>
      <w:pPr>
        <w:spacing w:line="240" w:lineRule="auto" w:before="11"/>
        <w:rPr>
          <w:rFonts w:ascii="宋体" w:hAnsi="宋体" w:cs="宋体" w:eastAsia="宋体" w:hint="default"/>
          <w:b/>
          <w:bCs/>
          <w:sz w:val="28"/>
          <w:szCs w:val="28"/>
        </w:rPr>
      </w:pPr>
    </w:p>
    <w:p>
      <w:pPr>
        <w:pStyle w:val="BodyText"/>
        <w:spacing w:line="367" w:lineRule="auto" w:before="0"/>
        <w:ind w:left="634" w:right="2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不适用 上市公司及其子公司是否被列入环保部门公布的污染严重企业名单</w:t>
      </w:r>
    </w:p>
    <w:p>
      <w:pPr>
        <w:pStyle w:val="BodyText"/>
        <w:spacing w:line="367" w:lineRule="auto" w:before="66"/>
        <w:ind w:left="634" w:right="37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上市公司及其子公司是否存在其他重大社会安全问题</w:t>
      </w:r>
    </w:p>
    <w:p>
      <w:pPr>
        <w:pStyle w:val="BodyText"/>
        <w:spacing w:line="367" w:lineRule="auto" w:before="67"/>
        <w:ind w:left="634" w:right="66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报告期内是否被行政处罚</w:t>
      </w:r>
    </w:p>
    <w:p>
      <w:pPr>
        <w:spacing w:line="499" w:lineRule="auto" w:before="66"/>
        <w:ind w:left="154" w:right="0"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是 </w:t>
      </w:r>
      <w:r>
        <w:rPr>
          <w:rFonts w:ascii="Times New Roman" w:hAnsi="Times New Roman" w:cs="Times New Roman" w:eastAsia="Times New Roman" w:hint="default"/>
          <w:sz w:val="24"/>
          <w:szCs w:val="24"/>
        </w:rPr>
        <w:t>√ </w:t>
      </w:r>
      <w:r>
        <w:rPr>
          <w:rFonts w:ascii="宋体" w:hAnsi="宋体" w:cs="宋体" w:eastAsia="宋体" w:hint="default"/>
          <w:sz w:val="24"/>
          <w:szCs w:val="24"/>
        </w:rPr>
        <w:t>否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十一、公司股东及其一致行动人在报告期提出或实施股份增持计划的情况" w:id="65"/>
      <w:bookmarkEnd w:id="65"/>
      <w:r>
        <w:rPr>
          <w:rFonts w:ascii="宋体" w:hAnsi="宋体" w:cs="宋体" w:eastAsia="宋体" w:hint="default"/>
          <w:sz w:val="24"/>
          <w:szCs w:val="24"/>
        </w:rPr>
      </w:r>
      <w:r>
        <w:rPr>
          <w:rFonts w:ascii="宋体" w:hAnsi="宋体" w:cs="宋体" w:eastAsia="宋体" w:hint="default"/>
          <w:b/>
          <w:bCs/>
          <w:w w:val="95"/>
          <w:sz w:val="24"/>
          <w:szCs w:val="24"/>
        </w:rPr>
        <w:t>十一、公司股东及其一致行动人在报告期提出或实施股份增持计划的情况</w:t>
      </w:r>
      <w:r>
        <w:rPr>
          <w:rFonts w:ascii="宋体" w:hAnsi="宋体" w:cs="宋体" w:eastAsia="宋体" w:hint="default"/>
          <w:sz w:val="24"/>
          <w:szCs w:val="24"/>
        </w:rPr>
      </w:r>
    </w:p>
    <w:p>
      <w:pPr>
        <w:pStyle w:val="BodyText"/>
        <w:spacing w:line="367" w:lineRule="auto" w:before="118"/>
        <w:ind w:left="634" w:right="2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不适用 公司股东及其一致行动人在报告期内未提出或实施股份增持计划。</w:t>
      </w:r>
    </w:p>
    <w:p>
      <w:pPr>
        <w:spacing w:after="0" w:line="367" w:lineRule="auto"/>
        <w:jc w:val="left"/>
        <w:sectPr>
          <w:headerReference w:type="default" r:id="rId26"/>
          <w:footerReference w:type="default" r:id="rId27"/>
          <w:pgSz w:w="11910" w:h="16840"/>
          <w:pgMar w:header="877" w:footer="979" w:top="1100" w:bottom="1160" w:left="980" w:right="980"/>
          <w:pgNumType w:start="48"/>
        </w:sectPr>
      </w:pPr>
    </w:p>
    <w:p>
      <w:pPr>
        <w:spacing w:line="240" w:lineRule="auto" w:before="8"/>
        <w:rPr>
          <w:rFonts w:ascii="宋体" w:hAnsi="宋体" w:cs="宋体" w:eastAsia="宋体" w:hint="default"/>
          <w:sz w:val="19"/>
          <w:szCs w:val="19"/>
        </w:rPr>
      </w:pPr>
    </w:p>
    <w:p>
      <w:pPr>
        <w:spacing w:before="26"/>
        <w:ind w:left="153" w:right="0" w:firstLine="0"/>
        <w:jc w:val="left"/>
        <w:rPr>
          <w:rFonts w:ascii="宋体" w:hAnsi="宋体" w:cs="宋体" w:eastAsia="宋体" w:hint="default"/>
          <w:sz w:val="24"/>
          <w:szCs w:val="24"/>
        </w:rPr>
      </w:pPr>
      <w:bookmarkStart w:name="十二、董事、监事、高级管理人员、持股5%以上的股东违规买卖公司股票情况" w:id="66"/>
      <w:bookmarkEnd w:id="66"/>
      <w:r>
        <w:rPr/>
      </w:r>
      <w:r>
        <w:rPr>
          <w:rFonts w:ascii="宋体" w:hAnsi="宋体" w:cs="宋体" w:eastAsia="宋体" w:hint="default"/>
          <w:b/>
          <w:bCs/>
          <w:sz w:val="24"/>
          <w:szCs w:val="24"/>
        </w:rPr>
        <w:t>十二、董事、监事、高级管理人员、持股</w:t>
      </w:r>
      <w:r>
        <w:rPr>
          <w:rFonts w:ascii="宋体" w:hAnsi="宋体" w:cs="宋体" w:eastAsia="宋体" w:hint="default"/>
          <w:b/>
          <w:bCs/>
          <w:spacing w:val="-88"/>
          <w:sz w:val="24"/>
          <w:szCs w:val="24"/>
        </w:rPr>
        <w:t> </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以上的股东违规买卖公司股票情况</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spacing w:line="496" w:lineRule="auto" w:before="0"/>
        <w:ind w:left="154" w:right="353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十三、年度报告披露后面临暂停上市和终止上市情况" w:id="67"/>
      <w:bookmarkEnd w:id="67"/>
      <w:r>
        <w:rPr>
          <w:rFonts w:ascii="宋体" w:hAnsi="宋体" w:cs="宋体" w:eastAsia="宋体" w:hint="default"/>
          <w:sz w:val="24"/>
          <w:szCs w:val="24"/>
        </w:rPr>
      </w:r>
      <w:r>
        <w:rPr>
          <w:rFonts w:ascii="宋体" w:hAnsi="宋体" w:cs="宋体" w:eastAsia="宋体" w:hint="default"/>
          <w:b/>
          <w:bCs/>
          <w:w w:val="95"/>
          <w:sz w:val="24"/>
          <w:szCs w:val="24"/>
        </w:rPr>
        <w:t>十三、年度报告披露后面临暂停上市和终止上市情况</w:t>
      </w:r>
      <w:r>
        <w:rPr>
          <w:rFonts w:ascii="宋体" w:hAnsi="宋体" w:cs="宋体" w:eastAsia="宋体" w:hint="default"/>
          <w:sz w:val="24"/>
          <w:szCs w:val="24"/>
        </w:rPr>
      </w:r>
    </w:p>
    <w:p>
      <w:pPr>
        <w:spacing w:line="496" w:lineRule="auto" w:before="121"/>
        <w:ind w:left="154" w:right="569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十四、其他重大事项的说明" w:id="68"/>
      <w:bookmarkEnd w:id="68"/>
      <w:r>
        <w:rPr>
          <w:rFonts w:ascii="宋体" w:hAnsi="宋体" w:cs="宋体" w:eastAsia="宋体" w:hint="default"/>
          <w:sz w:val="24"/>
          <w:szCs w:val="24"/>
        </w:rPr>
      </w:r>
      <w:r>
        <w:rPr>
          <w:rFonts w:ascii="宋体" w:hAnsi="宋体" w:cs="宋体" w:eastAsia="宋体" w:hint="default"/>
          <w:b/>
          <w:bCs/>
          <w:w w:val="95"/>
          <w:sz w:val="24"/>
          <w:szCs w:val="24"/>
        </w:rPr>
        <w:t>十四、其他重大事项的说明</w:t>
      </w:r>
      <w:r>
        <w:rPr>
          <w:rFonts w:ascii="宋体" w:hAnsi="宋体" w:cs="宋体" w:eastAsia="宋体" w:hint="default"/>
          <w:sz w:val="24"/>
          <w:szCs w:val="24"/>
        </w:rPr>
      </w:r>
    </w:p>
    <w:p>
      <w:pPr>
        <w:pStyle w:val="BodyText"/>
        <w:spacing w:line="367" w:lineRule="auto" w:before="121"/>
        <w:ind w:left="634" w:right="44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公司报告期不存在需要说明的其他重大事项。</w:t>
      </w:r>
    </w:p>
    <w:p>
      <w:pPr>
        <w:spacing w:line="240" w:lineRule="auto" w:before="12"/>
        <w:rPr>
          <w:rFonts w:ascii="宋体" w:hAnsi="宋体" w:cs="宋体" w:eastAsia="宋体" w:hint="default"/>
          <w:sz w:val="18"/>
          <w:szCs w:val="18"/>
        </w:rPr>
      </w:pPr>
    </w:p>
    <w:p>
      <w:pPr>
        <w:spacing w:before="0"/>
        <w:ind w:left="134" w:right="6881" w:firstLine="0"/>
        <w:jc w:val="center"/>
        <w:rPr>
          <w:rFonts w:ascii="宋体" w:hAnsi="宋体" w:cs="宋体" w:eastAsia="宋体" w:hint="default"/>
          <w:sz w:val="24"/>
          <w:szCs w:val="24"/>
        </w:rPr>
      </w:pPr>
      <w:bookmarkStart w:name="十五、控股子公司重要事项" w:id="69"/>
      <w:bookmarkEnd w:id="69"/>
      <w:r>
        <w:rPr/>
      </w:r>
      <w:r>
        <w:rPr>
          <w:rFonts w:ascii="宋体" w:hAnsi="宋体" w:cs="宋体" w:eastAsia="宋体" w:hint="default"/>
          <w:b/>
          <w:bCs/>
          <w:sz w:val="24"/>
          <w:szCs w:val="24"/>
        </w:rPr>
        <w:t>十五、控股子公司重要事项</w:t>
      </w:r>
      <w:r>
        <w:rPr>
          <w:rFonts w:ascii="宋体" w:hAnsi="宋体" w:cs="宋体" w:eastAsia="宋体" w:hint="default"/>
          <w:sz w:val="24"/>
          <w:szCs w:val="24"/>
        </w:rPr>
      </w:r>
    </w:p>
    <w:p>
      <w:pPr>
        <w:spacing w:line="240" w:lineRule="auto" w:before="12"/>
        <w:rPr>
          <w:rFonts w:ascii="宋体" w:hAnsi="宋体" w:cs="宋体" w:eastAsia="宋体" w:hint="default"/>
          <w:b/>
          <w:bCs/>
          <w:sz w:val="28"/>
          <w:szCs w:val="28"/>
        </w:rPr>
      </w:pPr>
    </w:p>
    <w:p>
      <w:pPr>
        <w:pStyle w:val="BodyText"/>
        <w:spacing w:line="240" w:lineRule="auto" w:before="0"/>
        <w:ind w:left="6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26"/>
        <w:ind w:left="134" w:right="135" w:firstLine="0"/>
        <w:jc w:val="center"/>
        <w:rPr>
          <w:rFonts w:ascii="宋体" w:hAnsi="宋体" w:cs="宋体" w:eastAsia="宋体" w:hint="default"/>
          <w:sz w:val="24"/>
          <w:szCs w:val="24"/>
        </w:rPr>
      </w:pPr>
      <w:bookmarkStart w:name="第六节 股份变动及股东情况" w:id="70"/>
      <w:bookmarkEnd w:id="70"/>
      <w:r>
        <w:rPr/>
      </w:r>
      <w:bookmarkStart w:name="_bookmark5" w:id="71"/>
      <w:bookmarkEnd w:id="71"/>
      <w:r>
        <w:rPr/>
      </w:r>
      <w:r>
        <w:rPr>
          <w:rFonts w:ascii="宋体" w:hAnsi="宋体" w:cs="宋体" w:eastAsia="宋体" w:hint="default"/>
          <w:b/>
          <w:bCs/>
          <w:sz w:val="24"/>
          <w:szCs w:val="24"/>
        </w:rPr>
        <w:t>第六节</w:t>
      </w:r>
      <w:r>
        <w:rPr>
          <w:rFonts w:ascii="宋体" w:hAnsi="宋体" w:cs="宋体" w:eastAsia="宋体" w:hint="default"/>
          <w:b/>
          <w:bCs/>
          <w:spacing w:val="-10"/>
          <w:sz w:val="24"/>
          <w:szCs w:val="24"/>
        </w:rPr>
        <w:t> </w:t>
      </w:r>
      <w:r>
        <w:rPr>
          <w:rFonts w:ascii="宋体" w:hAnsi="宋体" w:cs="宋体" w:eastAsia="宋体" w:hint="default"/>
          <w:b/>
          <w:bCs/>
          <w:sz w:val="24"/>
          <w:szCs w:val="24"/>
        </w:rPr>
        <w:t>股份变动及股东情况</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26"/>
        <w:ind w:left="153" w:right="0" w:firstLine="0"/>
        <w:jc w:val="left"/>
        <w:rPr>
          <w:rFonts w:ascii="宋体" w:hAnsi="宋体" w:cs="宋体" w:eastAsia="宋体" w:hint="default"/>
          <w:sz w:val="24"/>
          <w:szCs w:val="24"/>
        </w:rPr>
      </w:pPr>
      <w:bookmarkStart w:name="一、股份变动情况" w:id="72"/>
      <w:bookmarkEnd w:id="72"/>
      <w:r>
        <w:rPr/>
      </w:r>
      <w:r>
        <w:rPr>
          <w:rFonts w:ascii="宋体" w:hAnsi="宋体" w:cs="宋体" w:eastAsia="宋体" w:hint="default"/>
          <w:b/>
          <w:bCs/>
          <w:sz w:val="24"/>
          <w:szCs w:val="24"/>
        </w:rPr>
        <w:t>一、股份变动情况</w:t>
      </w:r>
      <w:r>
        <w:rPr>
          <w:rFonts w:ascii="宋体" w:hAnsi="宋体" w:cs="宋体" w:eastAsia="宋体" w:hint="default"/>
          <w:sz w:val="24"/>
          <w:szCs w:val="24"/>
        </w:rPr>
      </w:r>
    </w:p>
    <w:p>
      <w:pPr>
        <w:spacing w:line="240" w:lineRule="auto" w:before="11"/>
        <w:rPr>
          <w:rFonts w:ascii="宋体" w:hAnsi="宋体" w:cs="宋体" w:eastAsia="宋体" w:hint="default"/>
          <w:b/>
          <w:bCs/>
          <w:sz w:val="22"/>
          <w:szCs w:val="22"/>
        </w:rPr>
      </w:pPr>
    </w:p>
    <w:p>
      <w:pPr>
        <w:spacing w:before="0"/>
        <w:ind w:left="153" w:right="0" w:firstLine="0"/>
        <w:jc w:val="left"/>
        <w:rPr>
          <w:rFonts w:ascii="宋体" w:hAnsi="宋体" w:cs="宋体" w:eastAsia="宋体" w:hint="default"/>
          <w:sz w:val="24"/>
          <w:szCs w:val="24"/>
        </w:rPr>
      </w:pPr>
      <w:bookmarkStart w:name="1、股份变动情况" w:id="73"/>
      <w:bookmarkEnd w:id="73"/>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、股份变动情况</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单位：股</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009"/>
        <w:gridCol w:w="1099"/>
        <w:gridCol w:w="851"/>
        <w:gridCol w:w="594"/>
        <w:gridCol w:w="844"/>
        <w:gridCol w:w="842"/>
        <w:gridCol w:w="554"/>
        <w:gridCol w:w="710"/>
        <w:gridCol w:w="1134"/>
        <w:gridCol w:w="917"/>
      </w:tblGrid>
      <w:tr>
        <w:trPr>
          <w:trHeight w:val="402" w:hRule="exact"/>
        </w:trPr>
        <w:tc>
          <w:tcPr>
            <w:tcW w:w="20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9" w:right="0"/>
              <w:jc w:val="left"/>
              <w:rPr>
                <w:rFonts w:ascii="宋体" w:hAnsi="宋体" w:cs="宋体" w:eastAsia="宋体" w:hint="default"/>
                <w:sz w:val="21"/>
                <w:szCs w:val="21"/>
              </w:rPr>
            </w:pPr>
            <w:r>
              <w:rPr>
                <w:rFonts w:ascii="宋体" w:hAnsi="宋体" w:cs="宋体" w:eastAsia="宋体" w:hint="default"/>
                <w:b/>
                <w:bCs/>
                <w:sz w:val="21"/>
                <w:szCs w:val="21"/>
              </w:rPr>
              <w:t>本次变动前</w:t>
            </w:r>
            <w:r>
              <w:rPr>
                <w:rFonts w:ascii="宋体" w:hAnsi="宋体" w:cs="宋体" w:eastAsia="宋体" w:hint="default"/>
                <w:sz w:val="21"/>
                <w:szCs w:val="21"/>
              </w:rPr>
            </w:r>
          </w:p>
        </w:tc>
        <w:tc>
          <w:tcPr>
            <w:tcW w:w="354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07" w:right="0"/>
              <w:jc w:val="left"/>
              <w:rPr>
                <w:rFonts w:ascii="宋体" w:hAnsi="宋体" w:cs="宋体" w:eastAsia="宋体" w:hint="default"/>
                <w:sz w:val="21"/>
                <w:szCs w:val="21"/>
              </w:rPr>
            </w:pPr>
            <w:r>
              <w:rPr>
                <w:rFonts w:ascii="宋体" w:hAnsi="宋体" w:cs="宋体" w:eastAsia="宋体" w:hint="default"/>
                <w:b/>
                <w:bCs/>
                <w:sz w:val="21"/>
                <w:szCs w:val="21"/>
              </w:rPr>
              <w:t>本次变动增减（＋，－）</w:t>
            </w:r>
            <w:r>
              <w:rPr>
                <w:rFonts w:ascii="宋体" w:hAnsi="宋体" w:cs="宋体" w:eastAsia="宋体" w:hint="default"/>
                <w:sz w:val="21"/>
                <w:szCs w:val="21"/>
              </w:rPr>
            </w:r>
          </w:p>
        </w:tc>
        <w:tc>
          <w:tcPr>
            <w:tcW w:w="20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93" w:right="0"/>
              <w:jc w:val="left"/>
              <w:rPr>
                <w:rFonts w:ascii="宋体" w:hAnsi="宋体" w:cs="宋体" w:eastAsia="宋体" w:hint="default"/>
                <w:sz w:val="21"/>
                <w:szCs w:val="21"/>
              </w:rPr>
            </w:pPr>
            <w:r>
              <w:rPr>
                <w:rFonts w:ascii="宋体" w:hAnsi="宋体" w:cs="宋体" w:eastAsia="宋体" w:hint="default"/>
                <w:b/>
                <w:bCs/>
                <w:sz w:val="21"/>
                <w:szCs w:val="21"/>
              </w:rPr>
              <w:t>本次变动后</w:t>
            </w:r>
            <w:r>
              <w:rPr>
                <w:rFonts w:ascii="宋体" w:hAnsi="宋体" w:cs="宋体" w:eastAsia="宋体" w:hint="default"/>
                <w:sz w:val="21"/>
                <w:szCs w:val="21"/>
              </w:rPr>
            </w:r>
          </w:p>
        </w:tc>
      </w:tr>
      <w:tr>
        <w:trPr>
          <w:trHeight w:val="161"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109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59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81" w:right="78"/>
              <w:jc w:val="left"/>
              <w:rPr>
                <w:rFonts w:ascii="宋体" w:hAnsi="宋体" w:cs="宋体" w:eastAsia="宋体" w:hint="default"/>
                <w:sz w:val="21"/>
                <w:szCs w:val="21"/>
              </w:rPr>
            </w:pPr>
            <w:r>
              <w:rPr>
                <w:rFonts w:ascii="宋体" w:hAnsi="宋体" w:cs="宋体" w:eastAsia="宋体" w:hint="default"/>
                <w:b/>
                <w:bCs/>
                <w:sz w:val="21"/>
                <w:szCs w:val="21"/>
              </w:rPr>
              <w:t>发行</w:t>
            </w:r>
            <w:r>
              <w:rPr>
                <w:rFonts w:ascii="宋体" w:hAnsi="宋体" w:cs="宋体" w:eastAsia="宋体" w:hint="default"/>
                <w:b/>
                <w:bCs/>
                <w:spacing w:val="1"/>
                <w:w w:val="99"/>
                <w:sz w:val="21"/>
                <w:szCs w:val="21"/>
              </w:rPr>
              <w:t> </w:t>
            </w:r>
            <w:r>
              <w:rPr>
                <w:rFonts w:ascii="宋体" w:hAnsi="宋体" w:cs="宋体" w:eastAsia="宋体" w:hint="default"/>
                <w:b/>
                <w:bCs/>
                <w:sz w:val="21"/>
                <w:szCs w:val="21"/>
              </w:rPr>
              <w:t>新股</w:t>
            </w:r>
            <w:r>
              <w:rPr>
                <w:rFonts w:ascii="宋体" w:hAnsi="宋体" w:cs="宋体" w:eastAsia="宋体" w:hint="default"/>
                <w:sz w:val="21"/>
                <w:szCs w:val="21"/>
              </w:rPr>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05" w:right="97" w:hanging="106"/>
              <w:jc w:val="left"/>
              <w:rPr>
                <w:rFonts w:ascii="宋体" w:hAnsi="宋体" w:cs="宋体" w:eastAsia="宋体" w:hint="default"/>
                <w:sz w:val="21"/>
                <w:szCs w:val="21"/>
              </w:rPr>
            </w:pPr>
            <w:r>
              <w:rPr>
                <w:rFonts w:ascii="宋体" w:hAnsi="宋体" w:cs="宋体" w:eastAsia="宋体" w:hint="default"/>
                <w:b/>
                <w:bCs/>
                <w:sz w:val="21"/>
                <w:szCs w:val="21"/>
              </w:rPr>
              <w:t>公积金</w:t>
            </w:r>
            <w:r>
              <w:rPr>
                <w:rFonts w:ascii="宋体" w:hAnsi="宋体" w:cs="宋体" w:eastAsia="宋体" w:hint="default"/>
                <w:b/>
                <w:bCs/>
                <w:spacing w:val="1"/>
                <w:w w:val="99"/>
                <w:sz w:val="21"/>
                <w:szCs w:val="21"/>
              </w:rPr>
              <w:t> </w:t>
            </w:r>
            <w:r>
              <w:rPr>
                <w:rFonts w:ascii="宋体" w:hAnsi="宋体" w:cs="宋体" w:eastAsia="宋体" w:hint="default"/>
                <w:b/>
                <w:bCs/>
                <w:sz w:val="21"/>
                <w:szCs w:val="21"/>
              </w:rPr>
              <w:t>转股</w:t>
            </w:r>
            <w:r>
              <w:rPr>
                <w:rFonts w:ascii="宋体" w:hAnsi="宋体" w:cs="宋体" w:eastAsia="宋体" w:hint="default"/>
                <w:sz w:val="21"/>
                <w:szCs w:val="21"/>
              </w:rPr>
            </w:r>
          </w:p>
        </w:tc>
        <w:tc>
          <w:tcPr>
            <w:tcW w:w="5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09" w:type="dxa"/>
            <w:vMerge/>
            <w:tcBorders>
              <w:left w:val="single" w:sz="4" w:space="0" w:color="000000"/>
              <w:bottom w:val="nil" w:sz="6" w:space="0" w:color="auto"/>
              <w:right w:val="single" w:sz="4" w:space="0" w:color="000000"/>
            </w:tcBorders>
            <w:shd w:val="clear" w:color="auto" w:fill="D2D2D2"/>
          </w:tcPr>
          <w:p>
            <w:pPr/>
          </w:p>
        </w:tc>
        <w:tc>
          <w:tcPr>
            <w:tcW w:w="10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4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08"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594"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06" w:right="0"/>
              <w:jc w:val="left"/>
              <w:rPr>
                <w:rFonts w:ascii="宋体" w:hAnsi="宋体" w:cs="宋体" w:eastAsia="宋体" w:hint="default"/>
                <w:sz w:val="21"/>
                <w:szCs w:val="21"/>
              </w:rPr>
            </w:pPr>
            <w:r>
              <w:rPr>
                <w:rFonts w:ascii="宋体" w:hAnsi="宋体" w:cs="宋体" w:eastAsia="宋体" w:hint="default"/>
                <w:b/>
                <w:bCs/>
                <w:sz w:val="21"/>
                <w:szCs w:val="21"/>
              </w:rPr>
              <w:t>送股</w:t>
            </w:r>
            <w:r>
              <w:rPr>
                <w:rFonts w:ascii="宋体" w:hAnsi="宋体" w:cs="宋体" w:eastAsia="宋体" w:hint="default"/>
                <w:sz w:val="21"/>
                <w:szCs w:val="21"/>
              </w:rPr>
            </w:r>
          </w:p>
        </w:tc>
        <w:tc>
          <w:tcPr>
            <w:tcW w:w="842" w:type="dxa"/>
            <w:vMerge/>
            <w:tcBorders>
              <w:left w:val="single" w:sz="4" w:space="0" w:color="000000"/>
              <w:right w:val="single" w:sz="4" w:space="0" w:color="000000"/>
            </w:tcBorders>
            <w:shd w:val="clear" w:color="auto" w:fill="D2D2D2"/>
          </w:tcPr>
          <w:p>
            <w:pPr/>
          </w:p>
        </w:tc>
        <w:tc>
          <w:tcPr>
            <w:tcW w:w="5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62" w:right="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37"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50" w:right="0"/>
              <w:jc w:val="left"/>
              <w:rPr>
                <w:rFonts w:ascii="宋体" w:hAnsi="宋体" w:cs="宋体" w:eastAsia="宋体" w:hint="default"/>
                <w:sz w:val="21"/>
                <w:szCs w:val="21"/>
              </w:rPr>
            </w:pPr>
            <w:r>
              <w:rPr>
                <w:rFonts w:ascii="宋体" w:hAnsi="宋体" w:cs="宋体" w:eastAsia="宋体" w:hint="default"/>
                <w:b/>
                <w:bCs/>
                <w:sz w:val="21"/>
                <w:szCs w:val="21"/>
              </w:rPr>
              <w:t>数量</w:t>
            </w:r>
            <w:r>
              <w:rPr>
                <w:rFonts w:ascii="宋体" w:hAnsi="宋体" w:cs="宋体" w:eastAsia="宋体" w:hint="default"/>
                <w:sz w:val="21"/>
                <w:szCs w:val="21"/>
              </w:rPr>
            </w:r>
          </w:p>
        </w:tc>
        <w:tc>
          <w:tcPr>
            <w:tcW w:w="9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42"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202"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1099"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594"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554"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917"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09" w:type="dxa"/>
            <w:vMerge/>
            <w:tcBorders>
              <w:left w:val="single" w:sz="4" w:space="0" w:color="000000"/>
              <w:bottom w:val="single" w:sz="4" w:space="0" w:color="000000"/>
              <w:right w:val="single" w:sz="4" w:space="0" w:color="000000"/>
            </w:tcBorders>
            <w:shd w:val="clear" w:color="auto" w:fill="D2D2D2"/>
          </w:tcPr>
          <w:p>
            <w:pPr/>
          </w:p>
        </w:tc>
        <w:tc>
          <w:tcPr>
            <w:tcW w:w="109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594"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5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100.00%</w:t>
            </w:r>
          </w:p>
        </w:tc>
        <w:tc>
          <w:tcPr>
            <w:tcW w:w="59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90,000,000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c>
          <w:tcPr>
            <w:tcW w:w="59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c>
          <w:tcPr>
            <w:tcW w:w="59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100.00%</w:t>
            </w:r>
          </w:p>
        </w:tc>
        <w:tc>
          <w:tcPr>
            <w:tcW w:w="59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90,000,000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其中：境内法人持股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49,124,212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54.58%</w:t>
            </w:r>
          </w:p>
        </w:tc>
        <w:tc>
          <w:tcPr>
            <w:tcW w:w="59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49,124,212</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54.58%</w:t>
            </w:r>
          </w:p>
        </w:tc>
      </w:tr>
      <w:tr>
        <w:trPr>
          <w:trHeight w:val="714"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境内自然人持</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48,075,788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45.42%</w:t>
            </w:r>
          </w:p>
        </w:tc>
        <w:tc>
          <w:tcPr>
            <w:tcW w:w="59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48,075,788</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45.42%</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c>
          <w:tcPr>
            <w:tcW w:w="59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c>
          <w:tcPr>
            <w:tcW w:w="59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0.00%</w:t>
            </w:r>
          </w:p>
        </w:tc>
      </w:tr>
      <w:tr>
        <w:trPr>
          <w:trHeight w:val="714"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境外自然人持</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c>
          <w:tcPr>
            <w:tcW w:w="59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c>
          <w:tcPr>
            <w:tcW w:w="59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c>
          <w:tcPr>
            <w:tcW w:w="59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、境内上市的外资股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c>
          <w:tcPr>
            <w:tcW w:w="59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、境外上市的外资股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c>
          <w:tcPr>
            <w:tcW w:w="59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c>
          <w:tcPr>
            <w:tcW w:w="59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90,000,000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r>
    </w:tbl>
    <w:p>
      <w:pPr>
        <w:pStyle w:val="BodyText"/>
        <w:spacing w:line="240" w:lineRule="auto" w:before="81"/>
        <w:ind w:left="634" w:right="0"/>
        <w:jc w:val="left"/>
      </w:pPr>
      <w:r>
        <w:rPr/>
        <w:t>股份变动的原因</w:t>
      </w:r>
    </w:p>
    <w:p>
      <w:pPr>
        <w:pStyle w:val="BodyText"/>
        <w:spacing w:line="364" w:lineRule="auto" w:before="194"/>
        <w:ind w:left="634" w:right="1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经中国证券监督管理委员会《关于核准北京中文在线数字出版股份有限公司首次公开发</w:t>
      </w:r>
    </w:p>
    <w:p>
      <w:pPr>
        <w:pStyle w:val="BodyText"/>
        <w:spacing w:line="240" w:lineRule="auto" w:before="29"/>
        <w:ind w:left="154" w:right="0"/>
        <w:jc w:val="left"/>
      </w:pPr>
      <w:r>
        <w:rPr/>
        <w:t>行股票的批复</w:t>
      </w:r>
      <w:r>
        <w:rPr>
          <w:spacing w:val="-120"/>
        </w:rPr>
        <w:t>》</w:t>
      </w:r>
      <w:r>
        <w:rPr/>
        <w:t>（证监许可［</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23 </w:t>
      </w:r>
      <w:r>
        <w:rPr/>
        <w:t>号）核准，公司获准公开发行人民币普通股（</w:t>
      </w:r>
      <w:r>
        <w:rPr>
          <w:rFonts w:ascii="Times New Roman" w:hAnsi="Times New Roman" w:cs="Times New Roman" w:eastAsia="Times New Roman" w:hint="default"/>
          <w:w w:val="99"/>
        </w:rPr>
        <w:t>A</w:t>
      </w:r>
      <w:r>
        <w:rPr>
          <w:rFonts w:ascii="Times New Roman" w:hAnsi="Times New Roman" w:cs="Times New Roman" w:eastAsia="Times New Roman" w:hint="default"/>
          <w:spacing w:val="-1"/>
        </w:rPr>
        <w:t> </w:t>
      </w:r>
      <w:r>
        <w:rPr/>
        <w:t>股）</w:t>
      </w:r>
    </w:p>
    <w:p>
      <w:pPr>
        <w:pStyle w:val="BodyText"/>
        <w:spacing w:line="240" w:lineRule="auto" w:before="135"/>
        <w:ind w:right="0"/>
        <w:jc w:val="left"/>
      </w:pPr>
      <w:r>
        <w:rPr>
          <w:rFonts w:ascii="Times New Roman" w:hAnsi="Times New Roman" w:cs="Times New Roman" w:eastAsia="Times New Roman" w:hint="default"/>
        </w:rPr>
        <w:t>30,000,000 </w:t>
      </w:r>
      <w:r>
        <w:rPr/>
        <w:t>股，发行价为</w:t>
      </w:r>
      <w:r>
        <w:rPr>
          <w:spacing w:val="-60"/>
        </w:rPr>
        <w:t> </w:t>
      </w:r>
      <w:r>
        <w:rPr>
          <w:rFonts w:ascii="Times New Roman" w:hAnsi="Times New Roman" w:cs="Times New Roman" w:eastAsia="Times New Roman" w:hint="default"/>
        </w:rPr>
        <w:t>6.81 </w:t>
      </w:r>
      <w:r>
        <w:rPr/>
        <w:t>元，募集资金总额为</w:t>
      </w:r>
      <w:r>
        <w:rPr>
          <w:spacing w:val="-60"/>
        </w:rPr>
        <w:t> </w:t>
      </w:r>
      <w:r>
        <w:rPr>
          <w:rFonts w:ascii="Times New Roman" w:hAnsi="Times New Roman" w:cs="Times New Roman" w:eastAsia="Times New Roman" w:hint="default"/>
        </w:rPr>
        <w:t>204,300,000.00 </w:t>
      </w:r>
      <w:r>
        <w:rPr/>
        <w:t>元，募集资金净额为</w:t>
      </w:r>
    </w:p>
    <w:p>
      <w:pPr>
        <w:pStyle w:val="BodyText"/>
        <w:spacing w:line="240" w:lineRule="auto" w:before="135"/>
        <w:ind w:right="0"/>
        <w:jc w:val="left"/>
      </w:pPr>
      <w:r>
        <w:rPr>
          <w:rFonts w:ascii="Times New Roman" w:hAnsi="Times New Roman" w:cs="Times New Roman" w:eastAsia="Times New Roman" w:hint="default"/>
        </w:rPr>
        <w:t>167,468,281.40</w:t>
      </w:r>
      <w:r>
        <w:rPr>
          <w:rFonts w:ascii="Times New Roman" w:hAnsi="Times New Roman" w:cs="Times New Roman" w:eastAsia="Times New Roman" w:hint="default"/>
          <w:spacing w:val="2"/>
        </w:rPr>
        <w:t> </w:t>
      </w:r>
      <w:r>
        <w:rPr/>
        <w:t>元。上述资金于</w:t>
      </w:r>
      <w:r>
        <w:rPr>
          <w:spacing w:val="-5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spacing w:val="-5"/>
        </w:rPr>
        <w:t>日全部到位，已经信永中和会计师事务所（特</w:t>
      </w:r>
    </w:p>
    <w:p>
      <w:pPr>
        <w:spacing w:after="0" w:line="240" w:lineRule="auto"/>
        <w:jc w:val="left"/>
        <w:sectPr>
          <w:pgSz w:w="11910" w:h="16840"/>
          <w:pgMar w:header="877" w:footer="979" w:top="1100" w:bottom="1160" w:left="980" w:right="980"/>
        </w:sectPr>
      </w:pPr>
    </w:p>
    <w:p>
      <w:pPr>
        <w:spacing w:line="240" w:lineRule="auto" w:before="9"/>
        <w:rPr>
          <w:rFonts w:ascii="宋体" w:hAnsi="宋体" w:cs="宋体" w:eastAsia="宋体" w:hint="default"/>
          <w:sz w:val="25"/>
          <w:szCs w:val="25"/>
        </w:rPr>
      </w:pPr>
    </w:p>
    <w:p>
      <w:pPr>
        <w:pStyle w:val="BodyText"/>
        <w:spacing w:line="367" w:lineRule="auto"/>
        <w:ind w:left="633" w:right="3228" w:hanging="480"/>
        <w:jc w:val="left"/>
      </w:pPr>
      <w:r>
        <w:rPr/>
        <w:t>殊普通合伙）审验，并出具</w:t>
      </w:r>
      <w:r>
        <w:rPr>
          <w:spacing w:val="-61"/>
        </w:rPr>
        <w:t> </w:t>
      </w:r>
      <w:r>
        <w:rPr>
          <w:rFonts w:ascii="Times New Roman" w:hAnsi="Times New Roman" w:cs="Times New Roman" w:eastAsia="Times New Roman" w:hint="default"/>
        </w:rPr>
        <w:t>XYZH/2013A1058-12</w:t>
      </w:r>
      <w:r>
        <w:rPr>
          <w:rFonts w:ascii="Times New Roman" w:hAnsi="Times New Roman" w:cs="Times New Roman" w:eastAsia="Times New Roman" w:hint="default"/>
          <w:spacing w:val="-1"/>
        </w:rPr>
        <w:t> </w:t>
      </w:r>
      <w:r>
        <w:rPr/>
        <w:t>号验资报告。 股份变动的批准情况</w:t>
      </w:r>
    </w:p>
    <w:p>
      <w:pPr>
        <w:pStyle w:val="BodyText"/>
        <w:spacing w:line="367" w:lineRule="auto" w:before="67"/>
        <w:ind w:left="634" w:right="2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北京中文在线数字出版股份有限公司（以下简称“公司”）经中国证券监督管理委员会</w:t>
      </w:r>
    </w:p>
    <w:p>
      <w:pPr>
        <w:pStyle w:val="BodyText"/>
        <w:spacing w:line="338" w:lineRule="auto"/>
        <w:ind w:right="95"/>
        <w:jc w:val="left"/>
      </w:pPr>
      <w:r>
        <w:rPr>
          <w:spacing w:val="-8"/>
        </w:rPr>
        <w:t>《关于核准北京中文在线数字出版股份有限公司首次公开发行股票的批复》（证监许可［</w:t>
      </w:r>
      <w:r>
        <w:rPr>
          <w:rFonts w:ascii="Times New Roman" w:hAnsi="Times New Roman" w:cs="Times New Roman" w:eastAsia="Times New Roman" w:hint="default"/>
          <w:spacing w:val="-8"/>
        </w:rPr>
        <w:t>2015</w:t>
      </w:r>
      <w:r>
        <w:rPr>
          <w:spacing w:val="-8"/>
        </w:rPr>
        <w:t>］</w:t>
      </w:r>
      <w:r>
        <w:rPr>
          <w:spacing w:val="-90"/>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号）核准，公司获准公开发行人民币普通股（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4"/>
        </w:rPr>
        <w:t> </w:t>
      </w:r>
      <w:r>
        <w:rPr/>
        <w:t>股）</w:t>
      </w:r>
      <w:r>
        <w:rPr>
          <w:rFonts w:ascii="Times New Roman" w:hAnsi="Times New Roman" w:cs="Times New Roman" w:eastAsia="Times New Roman" w:hint="default"/>
        </w:rPr>
        <w:t>30,000,000</w:t>
      </w:r>
      <w:r>
        <w:rPr>
          <w:rFonts w:ascii="Times New Roman" w:hAnsi="Times New Roman" w:cs="Times New Roman" w:eastAsia="Times New Roman" w:hint="default"/>
          <w:spacing w:val="-3"/>
        </w:rPr>
        <w:t> </w:t>
      </w:r>
      <w:r>
        <w:rPr/>
        <w:t>股，发行价为</w:t>
      </w:r>
      <w:r>
        <w:rPr>
          <w:spacing w:val="-63"/>
        </w:rPr>
        <w:t> </w:t>
      </w:r>
      <w:r>
        <w:rPr>
          <w:rFonts w:ascii="Times New Roman" w:hAnsi="Times New Roman" w:cs="Times New Roman" w:eastAsia="Times New Roman" w:hint="default"/>
        </w:rPr>
        <w:t>6.81</w:t>
      </w:r>
      <w:r>
        <w:rPr>
          <w:rFonts w:ascii="Times New Roman" w:hAnsi="Times New Roman" w:cs="Times New Roman" w:eastAsia="Times New Roman" w:hint="default"/>
          <w:spacing w:val="-3"/>
        </w:rPr>
        <w:t> </w:t>
      </w:r>
      <w:r>
        <w:rPr/>
        <w:t>元。经 深圳证券交易所深证上</w:t>
      </w:r>
      <w:r>
        <w:rPr>
          <w:rFonts w:ascii="Times New Roman" w:hAnsi="Times New Roman" w:cs="Times New Roman" w:eastAsia="Times New Roman" w:hint="default"/>
        </w:rPr>
        <w:t>[2015]22</w:t>
      </w:r>
      <w:r>
        <w:rPr>
          <w:rFonts w:ascii="Times New Roman" w:hAnsi="Times New Roman" w:cs="Times New Roman" w:eastAsia="Times New Roman" w:hint="default"/>
          <w:spacing w:val="-8"/>
        </w:rPr>
        <w:t> </w:t>
      </w:r>
      <w:r>
        <w:rPr/>
        <w:t>号文同意，本次公开发行人民币普通股（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8"/>
        </w:rPr>
        <w:t> </w:t>
      </w:r>
      <w:r>
        <w:rPr>
          <w:spacing w:val="-7"/>
        </w:rPr>
        <w:t>股）已于</w:t>
      </w:r>
      <w:r>
        <w:rPr>
          <w:spacing w:val="-6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p>
    <w:p>
      <w:pPr>
        <w:pStyle w:val="BodyText"/>
        <w:spacing w:line="367" w:lineRule="auto" w:before="28"/>
        <w:ind w:left="633" w:right="5473" w:hanging="480"/>
        <w:jc w:val="left"/>
      </w:pP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21 </w:t>
      </w:r>
      <w:r>
        <w:rPr/>
        <w:t>日起在深圳证券交易所挂牌上市。 股份变动的过户情况</w:t>
      </w:r>
    </w:p>
    <w:p>
      <w:pPr>
        <w:pStyle w:val="BodyText"/>
        <w:spacing w:line="364" w:lineRule="auto" w:before="67"/>
        <w:ind w:left="634" w:right="2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不适用 股份变动对最近一年和最近一期基本每股收益和稀释每股收益、归属于公司普通股股东</w:t>
      </w:r>
    </w:p>
    <w:p>
      <w:pPr>
        <w:pStyle w:val="BodyText"/>
        <w:spacing w:line="240" w:lineRule="auto" w:before="30"/>
        <w:ind w:left="154" w:right="213"/>
        <w:jc w:val="left"/>
      </w:pPr>
      <w:r>
        <w:rPr/>
        <w:t>的每股净资产等财务指标的影响</w:t>
      </w:r>
    </w:p>
    <w:p>
      <w:pPr>
        <w:pStyle w:val="BodyText"/>
        <w:spacing w:line="367" w:lineRule="auto" w:before="193"/>
        <w:ind w:left="634" w:right="40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公司认为必要或证券监管机构要求披露的其他内容</w:t>
      </w:r>
    </w:p>
    <w:p>
      <w:pPr>
        <w:pStyle w:val="BodyText"/>
        <w:spacing w:line="240" w:lineRule="auto" w:before="66"/>
        <w:ind w:left="633" w:right="2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7"/>
          <w:szCs w:val="27"/>
        </w:rPr>
      </w:pPr>
    </w:p>
    <w:p>
      <w:pPr>
        <w:spacing w:before="0"/>
        <w:ind w:left="154" w:right="213" w:firstLine="0"/>
        <w:jc w:val="left"/>
        <w:rPr>
          <w:rFonts w:ascii="宋体" w:hAnsi="宋体" w:cs="宋体" w:eastAsia="宋体" w:hint="default"/>
          <w:sz w:val="24"/>
          <w:szCs w:val="24"/>
        </w:rPr>
      </w:pPr>
      <w:bookmarkStart w:name="2、限售股份变动情况" w:id="74"/>
      <w:bookmarkEnd w:id="74"/>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、限售股份变动情况</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spacing w:line="482" w:lineRule="auto" w:before="0"/>
        <w:ind w:left="154" w:right="547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二、证券发行与上市情况" w:id="75"/>
      <w:bookmarkEnd w:id="75"/>
      <w:r>
        <w:rPr>
          <w:rFonts w:ascii="宋体" w:hAnsi="宋体" w:cs="宋体" w:eastAsia="宋体" w:hint="default"/>
          <w:sz w:val="24"/>
          <w:szCs w:val="24"/>
        </w:rPr>
      </w:r>
      <w:r>
        <w:rPr>
          <w:rFonts w:ascii="宋体" w:hAnsi="宋体" w:cs="宋体" w:eastAsia="宋体" w:hint="default"/>
          <w:b/>
          <w:bCs/>
          <w:sz w:val="24"/>
          <w:szCs w:val="24"/>
        </w:rPr>
        <w:t>二、证券发行与上市情况</w:t>
      </w:r>
      <w:r>
        <w:rPr>
          <w:rFonts w:ascii="宋体" w:hAnsi="宋体" w:cs="宋体" w:eastAsia="宋体" w:hint="default"/>
          <w:b/>
          <w:bCs/>
          <w:w w:val="99"/>
          <w:sz w:val="24"/>
          <w:szCs w:val="24"/>
        </w:rPr>
        <w:t> </w:t>
      </w:r>
      <w:bookmarkStart w:name="1、报告期内证券发行情况" w:id="76"/>
      <w:bookmarkEnd w:id="76"/>
      <w:r>
        <w:rPr>
          <w:rFonts w:ascii="宋体" w:hAnsi="宋体" w:cs="宋体" w:eastAsia="宋体" w:hint="default"/>
          <w:b/>
          <w:bCs/>
          <w:w w:val="99"/>
          <w:sz w:val="24"/>
          <w:szCs w:val="24"/>
        </w:rPr>
      </w:r>
      <w:r>
        <w:rPr>
          <w:rFonts w:ascii="Times New Roman" w:hAnsi="Times New Roman" w:cs="Times New Roman" w:eastAsia="Times New Roman" w:hint="default"/>
          <w:b/>
          <w:bCs/>
          <w:w w:val="95"/>
          <w:sz w:val="24"/>
          <w:szCs w:val="24"/>
        </w:rPr>
        <w:t>1</w:t>
      </w:r>
      <w:r>
        <w:rPr>
          <w:rFonts w:ascii="宋体" w:hAnsi="宋体" w:cs="宋体" w:eastAsia="宋体" w:hint="default"/>
          <w:b/>
          <w:bCs/>
          <w:w w:val="95"/>
          <w:sz w:val="24"/>
          <w:szCs w:val="24"/>
        </w:rPr>
        <w:t>、报告期内证券发行情况</w:t>
      </w:r>
      <w:r>
        <w:rPr>
          <w:rFonts w:ascii="宋体" w:hAnsi="宋体" w:cs="宋体" w:eastAsia="宋体" w:hint="default"/>
          <w:sz w:val="24"/>
          <w:szCs w:val="24"/>
        </w:rPr>
      </w:r>
    </w:p>
    <w:p>
      <w:pPr>
        <w:pStyle w:val="BodyText"/>
        <w:spacing w:line="240" w:lineRule="auto" w:before="90"/>
        <w:ind w:left="633" w:right="2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7"/>
          <w:szCs w:val="27"/>
        </w:rPr>
      </w:pPr>
    </w:p>
    <w:p>
      <w:pPr>
        <w:spacing w:before="0"/>
        <w:ind w:left="154" w:right="213" w:firstLine="0"/>
        <w:jc w:val="left"/>
        <w:rPr>
          <w:rFonts w:ascii="宋体" w:hAnsi="宋体" w:cs="宋体" w:eastAsia="宋体" w:hint="default"/>
          <w:sz w:val="24"/>
          <w:szCs w:val="24"/>
        </w:rPr>
      </w:pPr>
      <w:bookmarkStart w:name="2、公司股份总数及股东结构的变动、公司资产和负债结构的变动情况说明" w:id="77"/>
      <w:bookmarkEnd w:id="77"/>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、公司股份总数及股东结构的变动、公司资产和负债结构的变动情况说明</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pStyle w:val="BodyText"/>
        <w:spacing w:line="240" w:lineRule="auto" w:before="0"/>
        <w:ind w:left="633" w:right="2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877" w:footer="979" w:top="1100" w:bottom="1160" w:left="980" w:right="900"/>
        </w:sectPr>
      </w:pPr>
    </w:p>
    <w:p>
      <w:pPr>
        <w:spacing w:line="240" w:lineRule="auto" w:before="8"/>
        <w:rPr>
          <w:rFonts w:ascii="宋体" w:hAnsi="宋体" w:cs="宋体" w:eastAsia="宋体" w:hint="default"/>
          <w:sz w:val="19"/>
          <w:szCs w:val="19"/>
        </w:rPr>
      </w:pPr>
    </w:p>
    <w:p>
      <w:pPr>
        <w:spacing w:before="26"/>
        <w:ind w:left="153" w:right="0" w:firstLine="0"/>
        <w:jc w:val="left"/>
        <w:rPr>
          <w:rFonts w:ascii="宋体" w:hAnsi="宋体" w:cs="宋体" w:eastAsia="宋体" w:hint="default"/>
          <w:sz w:val="24"/>
          <w:szCs w:val="24"/>
        </w:rPr>
      </w:pPr>
      <w:bookmarkStart w:name="三、股东和实际控制人情况" w:id="78"/>
      <w:bookmarkEnd w:id="78"/>
      <w:r>
        <w:rPr/>
      </w:r>
      <w:r>
        <w:rPr>
          <w:rFonts w:ascii="宋体" w:hAnsi="宋体" w:cs="宋体" w:eastAsia="宋体" w:hint="default"/>
          <w:b/>
          <w:bCs/>
          <w:sz w:val="24"/>
          <w:szCs w:val="24"/>
        </w:rPr>
        <w:t>三、股东和实际控制人情况</w:t>
      </w:r>
      <w:r>
        <w:rPr>
          <w:rFonts w:ascii="宋体" w:hAnsi="宋体" w:cs="宋体" w:eastAsia="宋体" w:hint="default"/>
          <w:sz w:val="24"/>
          <w:szCs w:val="24"/>
        </w:rPr>
      </w:r>
    </w:p>
    <w:p>
      <w:pPr>
        <w:spacing w:line="240" w:lineRule="auto" w:before="12"/>
        <w:rPr>
          <w:rFonts w:ascii="宋体" w:hAnsi="宋体" w:cs="宋体" w:eastAsia="宋体" w:hint="default"/>
          <w:b/>
          <w:bCs/>
          <w:sz w:val="22"/>
          <w:szCs w:val="22"/>
        </w:rPr>
      </w:pPr>
    </w:p>
    <w:p>
      <w:pPr>
        <w:spacing w:before="0"/>
        <w:ind w:left="153" w:right="0" w:firstLine="0"/>
        <w:jc w:val="left"/>
        <w:rPr>
          <w:rFonts w:ascii="宋体" w:hAnsi="宋体" w:cs="宋体" w:eastAsia="宋体" w:hint="default"/>
          <w:sz w:val="24"/>
          <w:szCs w:val="24"/>
        </w:rPr>
      </w:pPr>
      <w:bookmarkStart w:name="1、公司股东数量及持股情况" w:id="79"/>
      <w:bookmarkEnd w:id="79"/>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、公司股东数量及持股情况</w:t>
      </w:r>
      <w:r>
        <w:rPr>
          <w:rFonts w:ascii="宋体" w:hAnsi="宋体" w:cs="宋体" w:eastAsia="宋体" w:hint="default"/>
          <w:sz w:val="24"/>
          <w:szCs w:val="24"/>
        </w:rPr>
      </w:r>
    </w:p>
    <w:p>
      <w:pPr>
        <w:spacing w:line="240" w:lineRule="auto" w:before="6"/>
        <w:rPr>
          <w:rFonts w:ascii="宋体" w:hAnsi="宋体" w:cs="宋体" w:eastAsia="宋体" w:hint="default"/>
          <w:b/>
          <w:bCs/>
          <w:sz w:val="19"/>
          <w:szCs w:val="19"/>
        </w:rPr>
      </w:pPr>
    </w:p>
    <w:p>
      <w:pPr>
        <w:pStyle w:val="BodyText"/>
        <w:spacing w:line="240" w:lineRule="auto"/>
        <w:ind w:left="0" w:right="150"/>
        <w:jc w:val="right"/>
      </w:pPr>
      <w:r>
        <w:rPr/>
        <w:t>单位：股</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247"/>
        <w:gridCol w:w="1386"/>
        <w:gridCol w:w="1054"/>
        <w:gridCol w:w="643"/>
        <w:gridCol w:w="491"/>
        <w:gridCol w:w="991"/>
        <w:gridCol w:w="984"/>
        <w:gridCol w:w="150"/>
        <w:gridCol w:w="996"/>
        <w:gridCol w:w="241"/>
        <w:gridCol w:w="606"/>
        <w:gridCol w:w="779"/>
      </w:tblGrid>
      <w:tr>
        <w:trPr>
          <w:trHeight w:val="162" w:hRule="exact"/>
        </w:trPr>
        <w:tc>
          <w:tcPr>
            <w:tcW w:w="26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697" w:type="dxa"/>
            <w:gridSpan w:val="2"/>
            <w:vMerge w:val="restart"/>
            <w:tcBorders>
              <w:top w:val="single" w:sz="4" w:space="0" w:color="000000"/>
              <w:left w:val="single" w:sz="9" w:space="0" w:color="D2D2D2"/>
              <w:right w:val="single" w:sz="13" w:space="0" w:color="D2D2D2"/>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b/>
                <w:sz w:val="21"/>
              </w:rPr>
              <w:t>31</w:t>
            </w:r>
            <w:r>
              <w:rPr>
                <w:rFonts w:ascii="Times New Roman"/>
                <w:sz w:val="21"/>
              </w:rPr>
            </w:r>
          </w:p>
        </w:tc>
        <w:tc>
          <w:tcPr>
            <w:tcW w:w="3613"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56" w:lineRule="auto" w:before="27"/>
              <w:ind w:left="11" w:right="8"/>
              <w:jc w:val="left"/>
              <w:rPr>
                <w:rFonts w:ascii="宋体" w:hAnsi="宋体" w:cs="宋体" w:eastAsia="宋体" w:hint="default"/>
                <w:sz w:val="21"/>
                <w:szCs w:val="21"/>
              </w:rPr>
            </w:pPr>
            <w:r>
              <w:rPr>
                <w:rFonts w:ascii="宋体" w:hAnsi="宋体" w:cs="宋体" w:eastAsia="宋体" w:hint="default"/>
                <w:b/>
                <w:bCs/>
                <w:sz w:val="21"/>
                <w:szCs w:val="21"/>
              </w:rPr>
              <w:t>年度报告披露日前第</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5</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个交易日末股东</w:t>
            </w:r>
            <w:r>
              <w:rPr>
                <w:rFonts w:ascii="宋体" w:hAnsi="宋体" w:cs="宋体" w:eastAsia="宋体" w:hint="default"/>
                <w:b/>
                <w:bCs/>
                <w:w w:val="99"/>
                <w:sz w:val="21"/>
                <w:szCs w:val="21"/>
              </w:rPr>
              <w:t> </w:t>
            </w:r>
            <w:r>
              <w:rPr>
                <w:rFonts w:ascii="宋体" w:hAnsi="宋体" w:cs="宋体" w:eastAsia="宋体" w:hint="default"/>
                <w:b/>
                <w:bCs/>
                <w:sz w:val="21"/>
                <w:szCs w:val="21"/>
              </w:rPr>
              <w:t>总数</w:t>
            </w:r>
            <w:r>
              <w:rPr>
                <w:rFonts w:ascii="宋体" w:hAnsi="宋体" w:cs="宋体" w:eastAsia="宋体" w:hint="default"/>
                <w:sz w:val="21"/>
                <w:szCs w:val="21"/>
              </w:rPr>
            </w:r>
          </w:p>
        </w:tc>
        <w:tc>
          <w:tcPr>
            <w:tcW w:w="1626" w:type="dxa"/>
            <w:gridSpan w:val="3"/>
            <w:vMerge w:val="restart"/>
            <w:tcBorders>
              <w:top w:val="single" w:sz="4" w:space="0" w:color="000000"/>
              <w:left w:val="single" w:sz="13" w:space="0" w:color="D2D2D2"/>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05" w:right="0"/>
              <w:jc w:val="left"/>
              <w:rPr>
                <w:rFonts w:ascii="Times New Roman" w:hAnsi="Times New Roman" w:cs="Times New Roman" w:eastAsia="Times New Roman" w:hint="default"/>
                <w:sz w:val="21"/>
                <w:szCs w:val="21"/>
              </w:rPr>
            </w:pPr>
            <w:r>
              <w:rPr>
                <w:rFonts w:ascii="Times New Roman"/>
                <w:b/>
                <w:sz w:val="21"/>
              </w:rPr>
              <w:t>14,970</w:t>
            </w:r>
            <w:r>
              <w:rPr>
                <w:rFonts w:ascii="Times New Roman"/>
                <w:sz w:val="21"/>
              </w:rPr>
            </w:r>
          </w:p>
        </w:tc>
      </w:tr>
      <w:tr>
        <w:trPr>
          <w:trHeight w:val="391" w:hRule="exact"/>
        </w:trPr>
        <w:tc>
          <w:tcPr>
            <w:tcW w:w="263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b/>
                <w:bCs/>
                <w:sz w:val="21"/>
                <w:szCs w:val="21"/>
              </w:rPr>
              <w:t>报告期末股东总数</w:t>
            </w:r>
            <w:r>
              <w:rPr>
                <w:rFonts w:ascii="宋体" w:hAnsi="宋体" w:cs="宋体" w:eastAsia="宋体" w:hint="default"/>
                <w:sz w:val="21"/>
                <w:szCs w:val="21"/>
              </w:rPr>
            </w:r>
          </w:p>
        </w:tc>
        <w:tc>
          <w:tcPr>
            <w:tcW w:w="1697" w:type="dxa"/>
            <w:gridSpan w:val="2"/>
            <w:vMerge/>
            <w:tcBorders>
              <w:left w:val="single" w:sz="9" w:space="0" w:color="D2D2D2"/>
              <w:right w:val="single" w:sz="13" w:space="0" w:color="D2D2D2"/>
            </w:tcBorders>
          </w:tcPr>
          <w:p>
            <w:pPr/>
          </w:p>
        </w:tc>
        <w:tc>
          <w:tcPr>
            <w:tcW w:w="3613" w:type="dxa"/>
            <w:gridSpan w:val="5"/>
            <w:vMerge/>
            <w:tcBorders>
              <w:left w:val="single" w:sz="4" w:space="0" w:color="000000"/>
              <w:right w:val="single" w:sz="4" w:space="0" w:color="000000"/>
            </w:tcBorders>
            <w:shd w:val="clear" w:color="auto" w:fill="D2D2D2"/>
          </w:tcPr>
          <w:p>
            <w:pPr/>
          </w:p>
        </w:tc>
        <w:tc>
          <w:tcPr>
            <w:tcW w:w="1626" w:type="dxa"/>
            <w:gridSpan w:val="3"/>
            <w:vMerge/>
            <w:tcBorders>
              <w:left w:val="single" w:sz="13" w:space="0" w:color="D2D2D2"/>
              <w:right w:val="single" w:sz="4" w:space="0" w:color="000000"/>
            </w:tcBorders>
          </w:tcPr>
          <w:p>
            <w:pPr/>
          </w:p>
        </w:tc>
      </w:tr>
      <w:tr>
        <w:trPr>
          <w:trHeight w:val="167" w:hRule="exact"/>
        </w:trPr>
        <w:tc>
          <w:tcPr>
            <w:tcW w:w="26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697" w:type="dxa"/>
            <w:gridSpan w:val="2"/>
            <w:vMerge/>
            <w:tcBorders>
              <w:left w:val="single" w:sz="9" w:space="0" w:color="D2D2D2"/>
              <w:bottom w:val="single" w:sz="4" w:space="0" w:color="000000"/>
              <w:right w:val="single" w:sz="13" w:space="0" w:color="D2D2D2"/>
            </w:tcBorders>
          </w:tcPr>
          <w:p>
            <w:pPr/>
          </w:p>
        </w:tc>
        <w:tc>
          <w:tcPr>
            <w:tcW w:w="3613" w:type="dxa"/>
            <w:gridSpan w:val="5"/>
            <w:vMerge/>
            <w:tcBorders>
              <w:left w:val="single" w:sz="4" w:space="0" w:color="000000"/>
              <w:bottom w:val="single" w:sz="4" w:space="0" w:color="000000"/>
              <w:right w:val="single" w:sz="4" w:space="0" w:color="000000"/>
            </w:tcBorders>
            <w:shd w:val="clear" w:color="auto" w:fill="D2D2D2"/>
          </w:tcPr>
          <w:p>
            <w:pPr/>
          </w:p>
        </w:tc>
        <w:tc>
          <w:tcPr>
            <w:tcW w:w="1626" w:type="dxa"/>
            <w:gridSpan w:val="3"/>
            <w:vMerge/>
            <w:tcBorders>
              <w:left w:val="single" w:sz="13" w:space="0" w:color="D2D2D2"/>
              <w:bottom w:val="single" w:sz="4" w:space="0" w:color="000000"/>
              <w:right w:val="single" w:sz="4" w:space="0" w:color="000000"/>
            </w:tcBorders>
          </w:tcPr>
          <w:p>
            <w:pPr/>
          </w:p>
        </w:tc>
      </w:tr>
      <w:tr>
        <w:trPr>
          <w:trHeight w:val="391"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b/>
                <w:bCs/>
                <w:spacing w:val="-58"/>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以上的股东持股情况</w:t>
            </w:r>
            <w:r>
              <w:rPr>
                <w:rFonts w:ascii="宋体" w:hAnsi="宋体" w:cs="宋体" w:eastAsia="宋体" w:hint="default"/>
                <w:sz w:val="21"/>
                <w:szCs w:val="21"/>
              </w:rPr>
            </w:r>
          </w:p>
        </w:tc>
      </w:tr>
      <w:tr>
        <w:trPr>
          <w:trHeight w:val="211" w:hRule="exact"/>
        </w:trPr>
        <w:tc>
          <w:tcPr>
            <w:tcW w:w="1247" w:type="dxa"/>
            <w:vMerge w:val="restart"/>
            <w:tcBorders>
              <w:top w:val="single" w:sz="4" w:space="0" w:color="000000"/>
              <w:left w:val="single" w:sz="4" w:space="0" w:color="000000"/>
              <w:right w:val="single" w:sz="4" w:space="0" w:color="000000"/>
            </w:tcBorders>
            <w:shd w:val="clear" w:color="auto" w:fill="D2D2D2"/>
          </w:tcPr>
          <w:p>
            <w:pPr/>
          </w:p>
        </w:tc>
        <w:tc>
          <w:tcPr>
            <w:tcW w:w="1386" w:type="dxa"/>
            <w:vMerge w:val="restart"/>
            <w:tcBorders>
              <w:top w:val="single" w:sz="4" w:space="0" w:color="000000"/>
              <w:left w:val="single" w:sz="4" w:space="0" w:color="000000"/>
              <w:right w:val="single" w:sz="4" w:space="0" w:color="000000"/>
            </w:tcBorders>
            <w:shd w:val="clear" w:color="auto" w:fill="D2D2D2"/>
          </w:tcPr>
          <w:p>
            <w:pPr/>
          </w:p>
        </w:tc>
        <w:tc>
          <w:tcPr>
            <w:tcW w:w="1054" w:type="dxa"/>
            <w:vMerge w:val="restart"/>
            <w:tcBorders>
              <w:top w:val="single" w:sz="4" w:space="0" w:color="000000"/>
              <w:left w:val="single" w:sz="4" w:space="0" w:color="000000"/>
              <w:right w:val="single" w:sz="4" w:space="0" w:color="000000"/>
            </w:tcBorders>
            <w:shd w:val="clear" w:color="auto" w:fill="D2D2D2"/>
          </w:tcPr>
          <w:p>
            <w:pPr/>
          </w:p>
        </w:tc>
        <w:tc>
          <w:tcPr>
            <w:tcW w:w="11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6"/>
              <w:ind w:left="68" w:right="66"/>
              <w:jc w:val="center"/>
              <w:rPr>
                <w:rFonts w:ascii="宋体" w:hAnsi="宋体" w:cs="宋体" w:eastAsia="宋体" w:hint="default"/>
                <w:sz w:val="21"/>
                <w:szCs w:val="21"/>
              </w:rPr>
            </w:pPr>
            <w:r>
              <w:rPr>
                <w:rFonts w:ascii="宋体" w:hAnsi="宋体" w:cs="宋体" w:eastAsia="宋体" w:hint="default"/>
                <w:b/>
                <w:bCs/>
                <w:sz w:val="21"/>
                <w:szCs w:val="21"/>
              </w:rPr>
              <w:t>报告期内</w:t>
            </w:r>
            <w:r>
              <w:rPr>
                <w:rFonts w:ascii="宋体" w:hAnsi="宋体" w:cs="宋体" w:eastAsia="宋体" w:hint="default"/>
                <w:b/>
                <w:bCs/>
                <w:spacing w:val="1"/>
                <w:w w:val="99"/>
                <w:sz w:val="21"/>
                <w:szCs w:val="21"/>
              </w:rPr>
              <w:t> </w:t>
            </w:r>
            <w:r>
              <w:rPr>
                <w:rFonts w:ascii="宋体" w:hAnsi="宋体" w:cs="宋体" w:eastAsia="宋体" w:hint="default"/>
                <w:b/>
                <w:bCs/>
                <w:sz w:val="21"/>
                <w:szCs w:val="21"/>
              </w:rPr>
              <w:t>增减变动</w:t>
            </w:r>
            <w:r>
              <w:rPr>
                <w:rFonts w:ascii="宋体" w:hAnsi="宋体" w:cs="宋体" w:eastAsia="宋体" w:hint="default"/>
                <w:b/>
                <w:bCs/>
                <w:spacing w:val="1"/>
                <w:w w:val="99"/>
                <w:sz w:val="21"/>
                <w:szCs w:val="21"/>
              </w:rPr>
              <w:t> </w:t>
            </w:r>
            <w:r>
              <w:rPr>
                <w:rFonts w:ascii="宋体" w:hAnsi="宋体" w:cs="宋体" w:eastAsia="宋体" w:hint="default"/>
                <w:b/>
                <w:bCs/>
                <w:sz w:val="21"/>
                <w:szCs w:val="21"/>
              </w:rPr>
              <w:t>情况</w:t>
            </w:r>
            <w:r>
              <w:rPr>
                <w:rFonts w:ascii="宋体" w:hAnsi="宋体" w:cs="宋体" w:eastAsia="宋体" w:hint="default"/>
                <w:sz w:val="21"/>
                <w:szCs w:val="21"/>
              </w:rPr>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6"/>
              <w:ind w:left="36" w:right="33"/>
              <w:jc w:val="center"/>
              <w:rPr>
                <w:rFonts w:ascii="宋体" w:hAnsi="宋体" w:cs="宋体" w:eastAsia="宋体" w:hint="default"/>
                <w:sz w:val="21"/>
                <w:szCs w:val="21"/>
              </w:rPr>
            </w:pPr>
            <w:r>
              <w:rPr>
                <w:rFonts w:ascii="宋体" w:hAnsi="宋体" w:cs="宋体" w:eastAsia="宋体" w:hint="default"/>
                <w:b/>
                <w:bCs/>
                <w:sz w:val="21"/>
                <w:szCs w:val="21"/>
              </w:rPr>
              <w:t>持有有限售</w:t>
            </w:r>
            <w:r>
              <w:rPr>
                <w:rFonts w:ascii="宋体" w:hAnsi="宋体" w:cs="宋体" w:eastAsia="宋体" w:hint="default"/>
                <w:b/>
                <w:bCs/>
                <w:w w:val="99"/>
                <w:sz w:val="21"/>
                <w:szCs w:val="21"/>
              </w:rPr>
              <w:t> </w:t>
            </w:r>
            <w:r>
              <w:rPr>
                <w:rFonts w:ascii="宋体" w:hAnsi="宋体" w:cs="宋体" w:eastAsia="宋体" w:hint="default"/>
                <w:b/>
                <w:bCs/>
                <w:sz w:val="21"/>
                <w:szCs w:val="21"/>
              </w:rPr>
              <w:t>条件的股份</w:t>
            </w:r>
            <w:r>
              <w:rPr>
                <w:rFonts w:ascii="宋体" w:hAnsi="宋体" w:cs="宋体" w:eastAsia="宋体" w:hint="default"/>
                <w:b/>
                <w:bCs/>
                <w:w w:val="99"/>
                <w:sz w:val="21"/>
                <w:szCs w:val="21"/>
              </w:rPr>
              <w:t> </w:t>
            </w:r>
            <w:r>
              <w:rPr>
                <w:rFonts w:ascii="宋体" w:hAnsi="宋体" w:cs="宋体" w:eastAsia="宋体" w:hint="default"/>
                <w:b/>
                <w:bCs/>
                <w:sz w:val="21"/>
                <w:szCs w:val="21"/>
              </w:rPr>
              <w:t>数量</w:t>
            </w:r>
            <w:r>
              <w:rPr>
                <w:rFonts w:ascii="宋体" w:hAnsi="宋体" w:cs="宋体" w:eastAsia="宋体" w:hint="default"/>
                <w:sz w:val="21"/>
                <w:szCs w:val="21"/>
              </w:rPr>
            </w:r>
          </w:p>
        </w:tc>
        <w:tc>
          <w:tcPr>
            <w:tcW w:w="99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6"/>
              <w:ind w:left="70" w:right="69"/>
              <w:jc w:val="both"/>
              <w:rPr>
                <w:rFonts w:ascii="宋体" w:hAnsi="宋体" w:cs="宋体" w:eastAsia="宋体" w:hint="default"/>
                <w:sz w:val="21"/>
                <w:szCs w:val="21"/>
              </w:rPr>
            </w:pPr>
            <w:r>
              <w:rPr>
                <w:rFonts w:ascii="宋体" w:hAnsi="宋体" w:cs="宋体" w:eastAsia="宋体" w:hint="default"/>
                <w:b/>
                <w:bCs/>
                <w:sz w:val="21"/>
                <w:szCs w:val="21"/>
              </w:rPr>
              <w:t>持有无限</w:t>
            </w:r>
            <w:r>
              <w:rPr>
                <w:rFonts w:ascii="宋体" w:hAnsi="宋体" w:cs="宋体" w:eastAsia="宋体" w:hint="default"/>
                <w:b/>
                <w:bCs/>
                <w:spacing w:val="1"/>
                <w:w w:val="99"/>
                <w:sz w:val="21"/>
                <w:szCs w:val="21"/>
              </w:rPr>
              <w:t> </w:t>
            </w:r>
            <w:r>
              <w:rPr>
                <w:rFonts w:ascii="宋体" w:hAnsi="宋体" w:cs="宋体" w:eastAsia="宋体" w:hint="default"/>
                <w:b/>
                <w:bCs/>
                <w:sz w:val="21"/>
                <w:szCs w:val="21"/>
              </w:rPr>
              <w:t>售条件的</w:t>
            </w:r>
            <w:r>
              <w:rPr>
                <w:rFonts w:ascii="宋体" w:hAnsi="宋体" w:cs="宋体" w:eastAsia="宋体" w:hint="default"/>
                <w:b/>
                <w:bCs/>
                <w:spacing w:val="1"/>
                <w:w w:val="99"/>
                <w:sz w:val="21"/>
                <w:szCs w:val="21"/>
              </w:rPr>
              <w:t> </w:t>
            </w:r>
            <w:r>
              <w:rPr>
                <w:rFonts w:ascii="宋体" w:hAnsi="宋体" w:cs="宋体" w:eastAsia="宋体" w:hint="default"/>
                <w:b/>
                <w:bCs/>
                <w:sz w:val="21"/>
                <w:szCs w:val="21"/>
              </w:rPr>
              <w:t>股份数量</w:t>
            </w:r>
            <w:r>
              <w:rPr>
                <w:rFonts w:ascii="宋体" w:hAnsi="宋体" w:cs="宋体" w:eastAsia="宋体" w:hint="default"/>
                <w:sz w:val="21"/>
                <w:szCs w:val="21"/>
              </w:rPr>
            </w:r>
          </w:p>
        </w:tc>
        <w:tc>
          <w:tcPr>
            <w:tcW w:w="162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2"/>
              <w:ind w:left="68" w:right="0"/>
              <w:jc w:val="left"/>
              <w:rPr>
                <w:rFonts w:ascii="宋体" w:hAnsi="宋体" w:cs="宋体" w:eastAsia="宋体" w:hint="default"/>
                <w:sz w:val="21"/>
                <w:szCs w:val="21"/>
              </w:rPr>
            </w:pPr>
            <w:r>
              <w:rPr>
                <w:rFonts w:ascii="宋体" w:hAnsi="宋体" w:cs="宋体" w:eastAsia="宋体" w:hint="default"/>
                <w:b/>
                <w:bCs/>
                <w:sz w:val="21"/>
                <w:szCs w:val="21"/>
              </w:rPr>
              <w:t>质押或冻结情况</w:t>
            </w:r>
            <w:r>
              <w:rPr>
                <w:rFonts w:ascii="宋体" w:hAnsi="宋体" w:cs="宋体" w:eastAsia="宋体" w:hint="default"/>
                <w:sz w:val="21"/>
                <w:szCs w:val="21"/>
              </w:rPr>
            </w:r>
          </w:p>
        </w:tc>
      </w:tr>
      <w:tr>
        <w:trPr>
          <w:trHeight w:val="173" w:hRule="exact"/>
        </w:trPr>
        <w:tc>
          <w:tcPr>
            <w:tcW w:w="1247" w:type="dxa"/>
            <w:vMerge/>
            <w:tcBorders>
              <w:left w:val="single" w:sz="4" w:space="0" w:color="000000"/>
              <w:bottom w:val="nil" w:sz="6" w:space="0" w:color="auto"/>
              <w:right w:val="single" w:sz="4" w:space="0" w:color="000000"/>
            </w:tcBorders>
            <w:shd w:val="clear" w:color="auto" w:fill="D2D2D2"/>
          </w:tcPr>
          <w:p>
            <w:pPr/>
          </w:p>
        </w:tc>
        <w:tc>
          <w:tcPr>
            <w:tcW w:w="1386"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245" w:right="34" w:hanging="211"/>
              <w:jc w:val="left"/>
              <w:rPr>
                <w:rFonts w:ascii="宋体" w:hAnsi="宋体" w:cs="宋体" w:eastAsia="宋体" w:hint="default"/>
                <w:sz w:val="21"/>
                <w:szCs w:val="21"/>
              </w:rPr>
            </w:pPr>
            <w:r>
              <w:rPr>
                <w:rFonts w:ascii="宋体" w:hAnsi="宋体" w:cs="宋体" w:eastAsia="宋体" w:hint="default"/>
                <w:b/>
                <w:bCs/>
                <w:sz w:val="21"/>
                <w:szCs w:val="21"/>
              </w:rPr>
              <w:t>报告期末持</w:t>
            </w:r>
            <w:r>
              <w:rPr>
                <w:rFonts w:ascii="宋体" w:hAnsi="宋体" w:cs="宋体" w:eastAsia="宋体" w:hint="default"/>
                <w:b/>
                <w:bCs/>
                <w:w w:val="99"/>
                <w:sz w:val="21"/>
                <w:szCs w:val="21"/>
              </w:rPr>
              <w:t> </w:t>
            </w:r>
            <w:r>
              <w:rPr>
                <w:rFonts w:ascii="宋体" w:hAnsi="宋体" w:cs="宋体" w:eastAsia="宋体" w:hint="default"/>
                <w:b/>
                <w:bCs/>
                <w:sz w:val="21"/>
                <w:szCs w:val="21"/>
              </w:rPr>
              <w:t>股数量</w:t>
            </w:r>
            <w:r>
              <w:rPr>
                <w:rFonts w:ascii="宋体" w:hAnsi="宋体" w:cs="宋体" w:eastAsia="宋体" w:hint="default"/>
                <w:sz w:val="21"/>
                <w:szCs w:val="21"/>
              </w:rPr>
            </w:r>
          </w:p>
        </w:tc>
        <w:tc>
          <w:tcPr>
            <w:tcW w:w="991" w:type="dxa"/>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6" w:type="dxa"/>
            <w:vMerge/>
            <w:tcBorders>
              <w:left w:val="single" w:sz="4" w:space="0" w:color="000000"/>
              <w:right w:val="single" w:sz="4" w:space="0" w:color="000000"/>
            </w:tcBorders>
            <w:shd w:val="clear" w:color="auto" w:fill="D2D2D2"/>
          </w:tcPr>
          <w:p>
            <w:pPr/>
          </w:p>
        </w:tc>
        <w:tc>
          <w:tcPr>
            <w:tcW w:w="1626" w:type="dxa"/>
            <w:gridSpan w:val="3"/>
            <w:vMerge/>
            <w:tcBorders>
              <w:left w:val="single" w:sz="4" w:space="0" w:color="000000"/>
              <w:bottom w:val="single" w:sz="4" w:space="0" w:color="000000"/>
              <w:right w:val="single" w:sz="4" w:space="0" w:color="000000"/>
            </w:tcBorders>
            <w:shd w:val="clear" w:color="auto" w:fill="D2D2D2"/>
          </w:tcPr>
          <w:p>
            <w:pPr/>
          </w:p>
        </w:tc>
      </w:tr>
      <w:tr>
        <w:trPr>
          <w:trHeight w:val="184" w:hRule="exact"/>
        </w:trPr>
        <w:tc>
          <w:tcPr>
            <w:tcW w:w="12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96" w:right="0"/>
              <w:jc w:val="left"/>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3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65" w:right="0"/>
              <w:jc w:val="left"/>
              <w:rPr>
                <w:rFonts w:ascii="宋体" w:hAnsi="宋体" w:cs="宋体" w:eastAsia="宋体" w:hint="default"/>
                <w:sz w:val="21"/>
                <w:szCs w:val="21"/>
              </w:rPr>
            </w:pPr>
            <w:r>
              <w:rPr>
                <w:rFonts w:ascii="宋体" w:hAnsi="宋体" w:cs="宋体" w:eastAsia="宋体" w:hint="default"/>
                <w:b/>
                <w:bCs/>
                <w:sz w:val="21"/>
                <w:szCs w:val="21"/>
              </w:rPr>
              <w:t>股东性质</w:t>
            </w:r>
            <w:r>
              <w:rPr>
                <w:rFonts w:ascii="宋体" w:hAnsi="宋体" w:cs="宋体" w:eastAsia="宋体" w:hint="default"/>
                <w:sz w:val="21"/>
                <w:szCs w:val="21"/>
              </w:rPr>
            </w: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99"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宋体" w:hAnsi="宋体" w:cs="宋体" w:eastAsia="宋体" w:hint="default"/>
                <w:sz w:val="21"/>
                <w:szCs w:val="21"/>
              </w:rPr>
            </w:r>
          </w:p>
        </w:tc>
        <w:tc>
          <w:tcPr>
            <w:tcW w:w="1134" w:type="dxa"/>
            <w:gridSpan w:val="2"/>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6" w:type="dxa"/>
            <w:vMerge/>
            <w:tcBorders>
              <w:left w:val="single" w:sz="4" w:space="0" w:color="000000"/>
              <w:right w:val="single" w:sz="4" w:space="0" w:color="000000"/>
            </w:tcBorders>
            <w:shd w:val="clear" w:color="auto" w:fill="D2D2D2"/>
          </w:tcPr>
          <w:p>
            <w:pPr/>
          </w:p>
        </w:tc>
        <w:tc>
          <w:tcPr>
            <w:tcW w:w="8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9"/>
              <w:ind w:left="311" w:right="101" w:hanging="210"/>
              <w:jc w:val="left"/>
              <w:rPr>
                <w:rFonts w:ascii="宋体" w:hAnsi="宋体" w:cs="宋体" w:eastAsia="宋体" w:hint="default"/>
                <w:sz w:val="21"/>
                <w:szCs w:val="21"/>
              </w:rPr>
            </w:pPr>
            <w:r>
              <w:rPr>
                <w:rFonts w:ascii="宋体" w:hAnsi="宋体" w:cs="宋体" w:eastAsia="宋体" w:hint="default"/>
                <w:b/>
                <w:bCs/>
                <w:sz w:val="21"/>
                <w:szCs w:val="21"/>
              </w:rPr>
              <w:t>股份状</w:t>
            </w:r>
            <w:r>
              <w:rPr>
                <w:rFonts w:ascii="宋体" w:hAnsi="宋体" w:cs="宋体" w:eastAsia="宋体" w:hint="default"/>
                <w:b/>
                <w:bCs/>
                <w:spacing w:val="1"/>
                <w:w w:val="99"/>
                <w:sz w:val="21"/>
                <w:szCs w:val="21"/>
              </w:rPr>
              <w:t> </w:t>
            </w:r>
            <w:r>
              <w:rPr>
                <w:rFonts w:ascii="宋体" w:hAnsi="宋体" w:cs="宋体" w:eastAsia="宋体" w:hint="default"/>
                <w:b/>
                <w:bCs/>
                <w:sz w:val="21"/>
                <w:szCs w:val="21"/>
              </w:rPr>
              <w:t>态</w:t>
            </w:r>
            <w:r>
              <w:rPr>
                <w:rFonts w:ascii="宋体" w:hAnsi="宋体" w:cs="宋体" w:eastAsia="宋体" w:hint="default"/>
                <w:sz w:val="21"/>
                <w:szCs w:val="21"/>
              </w:rPr>
            </w: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247" w:type="dxa"/>
            <w:vMerge/>
            <w:tcBorders>
              <w:left w:val="single" w:sz="4" w:space="0" w:color="000000"/>
              <w:bottom w:val="nil" w:sz="6" w:space="0" w:color="auto"/>
              <w:right w:val="single" w:sz="4" w:space="0" w:color="000000"/>
            </w:tcBorders>
            <w:shd w:val="clear" w:color="auto" w:fill="D2D2D2"/>
          </w:tcPr>
          <w:p>
            <w:pPr/>
          </w:p>
        </w:tc>
        <w:tc>
          <w:tcPr>
            <w:tcW w:w="1386"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6" w:type="dxa"/>
            <w:vMerge/>
            <w:tcBorders>
              <w:left w:val="single" w:sz="4" w:space="0" w:color="000000"/>
              <w:right w:val="single" w:sz="4" w:space="0" w:color="000000"/>
            </w:tcBorders>
            <w:shd w:val="clear" w:color="auto" w:fill="D2D2D2"/>
          </w:tcPr>
          <w:p>
            <w:pPr/>
          </w:p>
        </w:tc>
        <w:tc>
          <w:tcPr>
            <w:tcW w:w="847" w:type="dxa"/>
            <w:gridSpan w:val="2"/>
            <w:vMerge/>
            <w:tcBorders>
              <w:left w:val="single" w:sz="4" w:space="0" w:color="000000"/>
              <w:right w:val="single" w:sz="4" w:space="0" w:color="000000"/>
            </w:tcBorders>
            <w:shd w:val="clear" w:color="auto" w:fill="D2D2D2"/>
          </w:tcPr>
          <w:p>
            <w:pPr/>
          </w:p>
        </w:tc>
        <w:tc>
          <w:tcPr>
            <w:tcW w:w="7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72" w:right="0"/>
              <w:jc w:val="left"/>
              <w:rPr>
                <w:rFonts w:ascii="宋体" w:hAnsi="宋体" w:cs="宋体" w:eastAsia="宋体" w:hint="default"/>
                <w:sz w:val="21"/>
                <w:szCs w:val="21"/>
              </w:rPr>
            </w:pPr>
            <w:r>
              <w:rPr>
                <w:rFonts w:ascii="宋体" w:hAnsi="宋体" w:cs="宋体" w:eastAsia="宋体" w:hint="default"/>
                <w:b/>
                <w:bCs/>
                <w:sz w:val="21"/>
                <w:szCs w:val="21"/>
              </w:rPr>
              <w:t>数量</w:t>
            </w:r>
            <w:r>
              <w:rPr>
                <w:rFonts w:ascii="宋体" w:hAnsi="宋体" w:cs="宋体" w:eastAsia="宋体" w:hint="default"/>
                <w:sz w:val="21"/>
                <w:szCs w:val="21"/>
              </w:rPr>
            </w:r>
          </w:p>
        </w:tc>
      </w:tr>
      <w:tr>
        <w:trPr>
          <w:trHeight w:val="178" w:hRule="exact"/>
        </w:trPr>
        <w:tc>
          <w:tcPr>
            <w:tcW w:w="1247" w:type="dxa"/>
            <w:vMerge w:val="restart"/>
            <w:tcBorders>
              <w:top w:val="nil" w:sz="6" w:space="0" w:color="auto"/>
              <w:left w:val="single" w:sz="4" w:space="0" w:color="000000"/>
              <w:right w:val="single" w:sz="4" w:space="0" w:color="000000"/>
            </w:tcBorders>
            <w:shd w:val="clear" w:color="auto" w:fill="D2D2D2"/>
          </w:tcPr>
          <w:p>
            <w:pPr/>
          </w:p>
        </w:tc>
        <w:tc>
          <w:tcPr>
            <w:tcW w:w="1386" w:type="dxa"/>
            <w:vMerge w:val="restart"/>
            <w:tcBorders>
              <w:top w:val="nil" w:sz="6" w:space="0" w:color="auto"/>
              <w:left w:val="single" w:sz="4" w:space="0" w:color="000000"/>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6" w:type="dxa"/>
            <w:vMerge/>
            <w:tcBorders>
              <w:left w:val="single" w:sz="4" w:space="0" w:color="000000"/>
              <w:right w:val="single" w:sz="4" w:space="0" w:color="000000"/>
            </w:tcBorders>
            <w:shd w:val="clear" w:color="auto" w:fill="D2D2D2"/>
          </w:tcPr>
          <w:p>
            <w:pPr/>
          </w:p>
        </w:tc>
        <w:tc>
          <w:tcPr>
            <w:tcW w:w="847" w:type="dxa"/>
            <w:gridSpan w:val="2"/>
            <w:vMerge/>
            <w:tcBorders>
              <w:left w:val="single" w:sz="4" w:space="0" w:color="000000"/>
              <w:right w:val="single" w:sz="4" w:space="0" w:color="000000"/>
            </w:tcBorders>
            <w:shd w:val="clear" w:color="auto" w:fill="D2D2D2"/>
          </w:tcPr>
          <w:p>
            <w:pPr/>
          </w:p>
        </w:tc>
        <w:tc>
          <w:tcPr>
            <w:tcW w:w="779" w:type="dxa"/>
            <w:vMerge/>
            <w:tcBorders>
              <w:left w:val="single" w:sz="4" w:space="0" w:color="000000"/>
              <w:bottom w:val="nil" w:sz="6" w:space="0" w:color="auto"/>
              <w:right w:val="single" w:sz="4" w:space="0" w:color="000000"/>
            </w:tcBorders>
            <w:shd w:val="clear" w:color="auto" w:fill="D2D2D2"/>
          </w:tcPr>
          <w:p>
            <w:pPr/>
          </w:p>
        </w:tc>
      </w:tr>
      <w:tr>
        <w:trPr>
          <w:trHeight w:val="183" w:hRule="exact"/>
        </w:trPr>
        <w:tc>
          <w:tcPr>
            <w:tcW w:w="1247" w:type="dxa"/>
            <w:vMerge/>
            <w:tcBorders>
              <w:left w:val="single" w:sz="4" w:space="0" w:color="000000"/>
              <w:bottom w:val="single" w:sz="4" w:space="0" w:color="000000"/>
              <w:right w:val="single" w:sz="4" w:space="0" w:color="000000"/>
            </w:tcBorders>
            <w:shd w:val="clear" w:color="auto" w:fill="D2D2D2"/>
          </w:tcPr>
          <w:p>
            <w:pPr/>
          </w:p>
        </w:tc>
        <w:tc>
          <w:tcPr>
            <w:tcW w:w="1386" w:type="dxa"/>
            <w:vMerge/>
            <w:tcBorders>
              <w:left w:val="single" w:sz="4" w:space="0" w:color="000000"/>
              <w:bottom w:val="single" w:sz="4" w:space="0" w:color="000000"/>
              <w:right w:val="single" w:sz="4" w:space="0" w:color="000000"/>
            </w:tcBorders>
            <w:shd w:val="clear" w:color="auto" w:fill="D2D2D2"/>
          </w:tcPr>
          <w:p>
            <w:pPr/>
          </w:p>
        </w:tc>
        <w:tc>
          <w:tcPr>
            <w:tcW w:w="1054" w:type="dxa"/>
            <w:vMerge/>
            <w:tcBorders>
              <w:left w:val="single" w:sz="4" w:space="0" w:color="000000"/>
              <w:bottom w:val="single" w:sz="4" w:space="0" w:color="000000"/>
              <w:right w:val="single" w:sz="4" w:space="0" w:color="000000"/>
            </w:tcBorders>
            <w:shd w:val="clear" w:color="auto" w:fill="D2D2D2"/>
          </w:tcPr>
          <w:p>
            <w:pPr/>
          </w:p>
        </w:tc>
        <w:tc>
          <w:tcPr>
            <w:tcW w:w="11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996" w:type="dxa"/>
            <w:vMerge/>
            <w:tcBorders>
              <w:left w:val="single" w:sz="4" w:space="0" w:color="000000"/>
              <w:bottom w:val="single" w:sz="4" w:space="0" w:color="000000"/>
              <w:right w:val="single" w:sz="4" w:space="0" w:color="000000"/>
            </w:tcBorders>
            <w:shd w:val="clear" w:color="auto" w:fill="D2D2D2"/>
          </w:tcPr>
          <w:p>
            <w:pPr/>
          </w:p>
        </w:tc>
        <w:tc>
          <w:tcPr>
            <w:tcW w:w="847" w:type="dxa"/>
            <w:gridSpan w:val="2"/>
            <w:vMerge/>
            <w:tcBorders>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童之磊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24.92%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63" w:right="0"/>
              <w:jc w:val="left"/>
              <w:rPr>
                <w:rFonts w:ascii="Times New Roman" w:hAnsi="Times New Roman" w:cs="Times New Roman" w:eastAsia="Times New Roman" w:hint="default"/>
                <w:sz w:val="21"/>
                <w:szCs w:val="21"/>
              </w:rPr>
            </w:pPr>
            <w:r>
              <w:rPr>
                <w:rFonts w:ascii="Times New Roman"/>
                <w:sz w:val="21"/>
              </w:rPr>
              <w:t>22,426,110</w:t>
            </w:r>
          </w:p>
        </w:tc>
        <w:tc>
          <w:tcPr>
            <w:tcW w:w="991"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21"/>
                <w:szCs w:val="21"/>
              </w:rPr>
            </w:pPr>
            <w:r>
              <w:rPr>
                <w:rFonts w:ascii="Times New Roman"/>
                <w:sz w:val="21"/>
              </w:rPr>
              <w:t>0</w:t>
            </w:r>
          </w:p>
        </w:tc>
        <w:tc>
          <w:tcPr>
            <w:tcW w:w="1134"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54"/>
              <w:ind w:left="164" w:right="0"/>
              <w:jc w:val="left"/>
              <w:rPr>
                <w:rFonts w:ascii="Times New Roman" w:hAnsi="Times New Roman" w:cs="Times New Roman" w:eastAsia="Times New Roman" w:hint="default"/>
                <w:sz w:val="21"/>
                <w:szCs w:val="21"/>
              </w:rPr>
            </w:pPr>
            <w:r>
              <w:rPr>
                <w:rFonts w:ascii="Times New Roman"/>
                <w:sz w:val="21"/>
              </w:rPr>
              <w:t>22,426,110</w:t>
            </w:r>
          </w:p>
        </w:tc>
        <w:tc>
          <w:tcPr>
            <w:tcW w:w="996"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21"/>
                <w:szCs w:val="21"/>
              </w:rPr>
            </w:pPr>
            <w:r>
              <w:rPr>
                <w:rFonts w:ascii="Times New Roman"/>
                <w:sz w:val="21"/>
              </w:rPr>
              <w:t>0</w:t>
            </w:r>
          </w:p>
        </w:tc>
        <w:tc>
          <w:tcPr>
            <w:tcW w:w="847"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启迪华创</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91"/>
              <w:jc w:val="left"/>
              <w:rPr>
                <w:rFonts w:ascii="宋体" w:hAnsi="宋体" w:cs="宋体" w:eastAsia="宋体" w:hint="default"/>
                <w:sz w:val="21"/>
                <w:szCs w:val="21"/>
              </w:rPr>
            </w:pPr>
            <w:r>
              <w:rPr>
                <w:rFonts w:ascii="宋体" w:hAnsi="宋体" w:cs="宋体" w:eastAsia="宋体" w:hint="default"/>
                <w:sz w:val="21"/>
                <w:szCs w:val="21"/>
              </w:rPr>
              <w:t>境内非国有法 人</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18.68%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3" w:right="0"/>
              <w:jc w:val="left"/>
              <w:rPr>
                <w:rFonts w:ascii="Times New Roman" w:hAnsi="Times New Roman" w:cs="Times New Roman" w:eastAsia="Times New Roman" w:hint="default"/>
                <w:sz w:val="21"/>
                <w:szCs w:val="21"/>
              </w:rPr>
            </w:pPr>
            <w:r>
              <w:rPr>
                <w:rFonts w:ascii="Times New Roman"/>
                <w:sz w:val="21"/>
              </w:rPr>
              <w:t>16,811,081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4" w:right="0"/>
              <w:jc w:val="left"/>
              <w:rPr>
                <w:rFonts w:ascii="Times New Roman" w:hAnsi="Times New Roman" w:cs="Times New Roman" w:eastAsia="Times New Roman" w:hint="default"/>
                <w:sz w:val="21"/>
                <w:szCs w:val="21"/>
              </w:rPr>
            </w:pPr>
            <w:r>
              <w:rPr>
                <w:rFonts w:ascii="Times New Roman"/>
                <w:sz w:val="21"/>
              </w:rPr>
              <w:t>16,811,081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847"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文睿投资</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91"/>
              <w:jc w:val="left"/>
              <w:rPr>
                <w:rFonts w:ascii="宋体" w:hAnsi="宋体" w:cs="宋体" w:eastAsia="宋体" w:hint="default"/>
                <w:sz w:val="21"/>
                <w:szCs w:val="21"/>
              </w:rPr>
            </w:pPr>
            <w:r>
              <w:rPr>
                <w:rFonts w:ascii="宋体" w:hAnsi="宋体" w:cs="宋体" w:eastAsia="宋体" w:hint="default"/>
                <w:sz w:val="21"/>
                <w:szCs w:val="21"/>
              </w:rPr>
              <w:t>境内非国有法 人</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9.39%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60" w:right="0"/>
              <w:jc w:val="left"/>
              <w:rPr>
                <w:rFonts w:ascii="Times New Roman" w:hAnsi="Times New Roman" w:cs="Times New Roman" w:eastAsia="Times New Roman" w:hint="default"/>
                <w:sz w:val="21"/>
                <w:szCs w:val="21"/>
              </w:rPr>
            </w:pPr>
            <w:r>
              <w:rPr>
                <w:rFonts w:ascii="Times New Roman"/>
                <w:sz w:val="21"/>
              </w:rPr>
              <w:t>8,449,643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61" w:right="0"/>
              <w:jc w:val="left"/>
              <w:rPr>
                <w:rFonts w:ascii="Times New Roman" w:hAnsi="Times New Roman" w:cs="Times New Roman" w:eastAsia="Times New Roman" w:hint="default"/>
                <w:sz w:val="21"/>
                <w:szCs w:val="21"/>
              </w:rPr>
            </w:pPr>
            <w:r>
              <w:rPr>
                <w:rFonts w:ascii="Times New Roman"/>
                <w:sz w:val="21"/>
              </w:rPr>
              <w:t>8,449,643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847"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王秋虎</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5.59%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60" w:right="0"/>
              <w:jc w:val="left"/>
              <w:rPr>
                <w:rFonts w:ascii="Times New Roman" w:hAnsi="Times New Roman" w:cs="Times New Roman" w:eastAsia="Times New Roman" w:hint="default"/>
                <w:sz w:val="21"/>
                <w:szCs w:val="21"/>
              </w:rPr>
            </w:pPr>
            <w:r>
              <w:rPr>
                <w:rFonts w:ascii="Times New Roman"/>
                <w:sz w:val="21"/>
              </w:rPr>
              <w:t>5,031,630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61" w:right="0"/>
              <w:jc w:val="left"/>
              <w:rPr>
                <w:rFonts w:ascii="Times New Roman" w:hAnsi="Times New Roman" w:cs="Times New Roman" w:eastAsia="Times New Roman" w:hint="default"/>
                <w:sz w:val="21"/>
                <w:szCs w:val="21"/>
              </w:rPr>
            </w:pPr>
            <w:r>
              <w:rPr>
                <w:rFonts w:ascii="Times New Roman"/>
                <w:sz w:val="21"/>
              </w:rPr>
              <w:t>5,031,630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Times New Roman" w:hAnsi="Times New Roman" w:cs="Times New Roman" w:eastAsia="Times New Roman" w:hint="default"/>
                <w:sz w:val="21"/>
                <w:szCs w:val="21"/>
              </w:rPr>
            </w:pPr>
            <w:r>
              <w:rPr>
                <w:rFonts w:ascii="Times New Roman"/>
                <w:sz w:val="21"/>
              </w:rPr>
              <w:t>0</w:t>
            </w:r>
          </w:p>
        </w:tc>
        <w:tc>
          <w:tcPr>
            <w:tcW w:w="847"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62"/>
              <w:jc w:val="left"/>
              <w:rPr>
                <w:rFonts w:ascii="宋体" w:hAnsi="宋体" w:cs="宋体" w:eastAsia="宋体" w:hint="default"/>
                <w:sz w:val="21"/>
                <w:szCs w:val="21"/>
              </w:rPr>
            </w:pPr>
            <w:r>
              <w:rPr>
                <w:rFonts w:ascii="宋体" w:hAnsi="宋体" w:cs="宋体" w:eastAsia="宋体" w:hint="default"/>
                <w:sz w:val="21"/>
                <w:szCs w:val="21"/>
              </w:rPr>
              <w:t>华睿海越创 投</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91"/>
              <w:jc w:val="left"/>
              <w:rPr>
                <w:rFonts w:ascii="宋体" w:hAnsi="宋体" w:cs="宋体" w:eastAsia="宋体" w:hint="default"/>
                <w:sz w:val="21"/>
                <w:szCs w:val="21"/>
              </w:rPr>
            </w:pPr>
            <w:r>
              <w:rPr>
                <w:rFonts w:ascii="宋体" w:hAnsi="宋体" w:cs="宋体" w:eastAsia="宋体" w:hint="default"/>
                <w:sz w:val="21"/>
                <w:szCs w:val="21"/>
              </w:rPr>
              <w:t>境内非国有法 人</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5.17%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60" w:right="0"/>
              <w:jc w:val="left"/>
              <w:rPr>
                <w:rFonts w:ascii="Times New Roman" w:hAnsi="Times New Roman" w:cs="Times New Roman" w:eastAsia="Times New Roman" w:hint="default"/>
                <w:sz w:val="21"/>
                <w:szCs w:val="21"/>
              </w:rPr>
            </w:pPr>
            <w:r>
              <w:rPr>
                <w:rFonts w:ascii="Times New Roman"/>
                <w:sz w:val="21"/>
              </w:rPr>
              <w:t>4,654,742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61" w:right="0"/>
              <w:jc w:val="left"/>
              <w:rPr>
                <w:rFonts w:ascii="Times New Roman" w:hAnsi="Times New Roman" w:cs="Times New Roman" w:eastAsia="Times New Roman" w:hint="default"/>
                <w:sz w:val="21"/>
                <w:szCs w:val="21"/>
              </w:rPr>
            </w:pPr>
            <w:r>
              <w:rPr>
                <w:rFonts w:ascii="Times New Roman"/>
                <w:sz w:val="21"/>
              </w:rPr>
              <w:t>4,654,742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847"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胡松挺</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4.75%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60" w:right="0"/>
              <w:jc w:val="left"/>
              <w:rPr>
                <w:rFonts w:ascii="Times New Roman" w:hAnsi="Times New Roman" w:cs="Times New Roman" w:eastAsia="Times New Roman" w:hint="default"/>
                <w:sz w:val="21"/>
                <w:szCs w:val="21"/>
              </w:rPr>
            </w:pPr>
            <w:r>
              <w:rPr>
                <w:rFonts w:ascii="Times New Roman"/>
                <w:sz w:val="21"/>
              </w:rPr>
              <w:t>4,277,994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61" w:right="0"/>
              <w:jc w:val="left"/>
              <w:rPr>
                <w:rFonts w:ascii="Times New Roman" w:hAnsi="Times New Roman" w:cs="Times New Roman" w:eastAsia="Times New Roman" w:hint="default"/>
                <w:sz w:val="21"/>
                <w:szCs w:val="21"/>
              </w:rPr>
            </w:pPr>
            <w:r>
              <w:rPr>
                <w:rFonts w:ascii="Times New Roman"/>
                <w:sz w:val="21"/>
              </w:rPr>
              <w:t>4,277,994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Times New Roman" w:hAnsi="Times New Roman" w:cs="Times New Roman" w:eastAsia="Times New Roman" w:hint="default"/>
                <w:sz w:val="21"/>
                <w:szCs w:val="21"/>
              </w:rPr>
            </w:pPr>
            <w:r>
              <w:rPr>
                <w:rFonts w:ascii="Times New Roman"/>
                <w:sz w:val="21"/>
              </w:rPr>
              <w:t>0</w:t>
            </w:r>
          </w:p>
        </w:tc>
        <w:tc>
          <w:tcPr>
            <w:tcW w:w="847"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开物投资</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91"/>
              <w:jc w:val="left"/>
              <w:rPr>
                <w:rFonts w:ascii="宋体" w:hAnsi="宋体" w:cs="宋体" w:eastAsia="宋体" w:hint="default"/>
                <w:sz w:val="21"/>
                <w:szCs w:val="21"/>
              </w:rPr>
            </w:pPr>
            <w:r>
              <w:rPr>
                <w:rFonts w:ascii="宋体" w:hAnsi="宋体" w:cs="宋体" w:eastAsia="宋体" w:hint="default"/>
                <w:sz w:val="21"/>
                <w:szCs w:val="21"/>
              </w:rPr>
              <w:t>境内非国有法 人</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4.41%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60" w:right="0"/>
              <w:jc w:val="left"/>
              <w:rPr>
                <w:rFonts w:ascii="Times New Roman" w:hAnsi="Times New Roman" w:cs="Times New Roman" w:eastAsia="Times New Roman" w:hint="default"/>
                <w:sz w:val="21"/>
                <w:szCs w:val="21"/>
              </w:rPr>
            </w:pPr>
            <w:r>
              <w:rPr>
                <w:rFonts w:ascii="Times New Roman"/>
                <w:sz w:val="21"/>
              </w:rPr>
              <w:t>3,970,588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61" w:right="0"/>
              <w:jc w:val="left"/>
              <w:rPr>
                <w:rFonts w:ascii="Times New Roman" w:hAnsi="Times New Roman" w:cs="Times New Roman" w:eastAsia="Times New Roman" w:hint="default"/>
                <w:sz w:val="21"/>
                <w:szCs w:val="21"/>
              </w:rPr>
            </w:pPr>
            <w:r>
              <w:rPr>
                <w:rFonts w:ascii="Times New Roman"/>
                <w:sz w:val="21"/>
              </w:rPr>
              <w:t>3,970,588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847"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陈耀杰</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4.40%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60" w:right="0"/>
              <w:jc w:val="left"/>
              <w:rPr>
                <w:rFonts w:ascii="Times New Roman" w:hAnsi="Times New Roman" w:cs="Times New Roman" w:eastAsia="Times New Roman" w:hint="default"/>
                <w:sz w:val="21"/>
                <w:szCs w:val="21"/>
              </w:rPr>
            </w:pPr>
            <w:r>
              <w:rPr>
                <w:rFonts w:ascii="Times New Roman"/>
                <w:sz w:val="21"/>
              </w:rPr>
              <w:t>3,962,102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61" w:right="0"/>
              <w:jc w:val="left"/>
              <w:rPr>
                <w:rFonts w:ascii="Times New Roman" w:hAnsi="Times New Roman" w:cs="Times New Roman" w:eastAsia="Times New Roman" w:hint="default"/>
                <w:sz w:val="21"/>
                <w:szCs w:val="21"/>
              </w:rPr>
            </w:pPr>
            <w:r>
              <w:rPr>
                <w:rFonts w:ascii="Times New Roman"/>
                <w:sz w:val="21"/>
              </w:rPr>
              <w:t>3,962,102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Times New Roman" w:hAnsi="Times New Roman" w:cs="Times New Roman" w:eastAsia="Times New Roman" w:hint="default"/>
                <w:sz w:val="21"/>
                <w:szCs w:val="21"/>
              </w:rPr>
            </w:pPr>
            <w:r>
              <w:rPr>
                <w:rFonts w:ascii="Times New Roman"/>
                <w:sz w:val="21"/>
              </w:rPr>
              <w:t>0</w:t>
            </w:r>
          </w:p>
        </w:tc>
        <w:tc>
          <w:tcPr>
            <w:tcW w:w="847"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博发投资</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91"/>
              <w:jc w:val="left"/>
              <w:rPr>
                <w:rFonts w:ascii="宋体" w:hAnsi="宋体" w:cs="宋体" w:eastAsia="宋体" w:hint="default"/>
                <w:sz w:val="21"/>
                <w:szCs w:val="21"/>
              </w:rPr>
            </w:pPr>
            <w:r>
              <w:rPr>
                <w:rFonts w:ascii="宋体" w:hAnsi="宋体" w:cs="宋体" w:eastAsia="宋体" w:hint="default"/>
                <w:sz w:val="21"/>
                <w:szCs w:val="21"/>
              </w:rPr>
              <w:t>境内非国有法 人</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2.78%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60" w:right="0"/>
              <w:jc w:val="left"/>
              <w:rPr>
                <w:rFonts w:ascii="Times New Roman" w:hAnsi="Times New Roman" w:cs="Times New Roman" w:eastAsia="Times New Roman" w:hint="default"/>
                <w:sz w:val="21"/>
                <w:szCs w:val="21"/>
              </w:rPr>
            </w:pPr>
            <w:r>
              <w:rPr>
                <w:rFonts w:ascii="Times New Roman"/>
                <w:sz w:val="21"/>
              </w:rPr>
              <w:t>2,501,924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61" w:right="0"/>
              <w:jc w:val="left"/>
              <w:rPr>
                <w:rFonts w:ascii="Times New Roman" w:hAnsi="Times New Roman" w:cs="Times New Roman" w:eastAsia="Times New Roman" w:hint="default"/>
                <w:sz w:val="21"/>
                <w:szCs w:val="21"/>
              </w:rPr>
            </w:pPr>
            <w:r>
              <w:rPr>
                <w:rFonts w:ascii="Times New Roman"/>
                <w:sz w:val="21"/>
              </w:rPr>
              <w:t>2,501,924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847"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德同长通</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91"/>
              <w:jc w:val="left"/>
              <w:rPr>
                <w:rFonts w:ascii="宋体" w:hAnsi="宋体" w:cs="宋体" w:eastAsia="宋体" w:hint="default"/>
                <w:sz w:val="21"/>
                <w:szCs w:val="21"/>
              </w:rPr>
            </w:pPr>
            <w:r>
              <w:rPr>
                <w:rFonts w:ascii="宋体" w:hAnsi="宋体" w:cs="宋体" w:eastAsia="宋体" w:hint="default"/>
                <w:sz w:val="21"/>
                <w:szCs w:val="21"/>
              </w:rPr>
              <w:t>境内非国有法 人</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2.33%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60" w:right="0"/>
              <w:jc w:val="left"/>
              <w:rPr>
                <w:rFonts w:ascii="Times New Roman" w:hAnsi="Times New Roman" w:cs="Times New Roman" w:eastAsia="Times New Roman" w:hint="default"/>
                <w:sz w:val="21"/>
                <w:szCs w:val="21"/>
              </w:rPr>
            </w:pPr>
            <w:r>
              <w:rPr>
                <w:rFonts w:ascii="Times New Roman"/>
                <w:sz w:val="21"/>
              </w:rPr>
              <w:t>2,095,870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61" w:right="0"/>
              <w:jc w:val="left"/>
              <w:rPr>
                <w:rFonts w:ascii="Times New Roman" w:hAnsi="Times New Roman" w:cs="Times New Roman" w:eastAsia="Times New Roman" w:hint="default"/>
                <w:sz w:val="21"/>
                <w:szCs w:val="21"/>
              </w:rPr>
            </w:pPr>
            <w:r>
              <w:rPr>
                <w:rFonts w:ascii="Times New Roman"/>
                <w:sz w:val="21"/>
              </w:rPr>
              <w:t>2,095,870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847"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7"/>
              <w:ind w:left="22" w:right="22"/>
              <w:jc w:val="both"/>
              <w:rPr>
                <w:rFonts w:ascii="宋体" w:hAnsi="宋体" w:cs="宋体" w:eastAsia="宋体" w:hint="default"/>
                <w:sz w:val="21"/>
                <w:szCs w:val="21"/>
              </w:rPr>
            </w:pPr>
            <w:r>
              <w:rPr>
                <w:rFonts w:ascii="宋体" w:hAnsi="宋体" w:cs="宋体" w:eastAsia="宋体" w:hint="default"/>
                <w:sz w:val="21"/>
                <w:szCs w:val="21"/>
              </w:rPr>
              <w:t>战略投资者或一般法人因配 售新股成为前</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名股东的情 </w:t>
            </w:r>
            <w:r>
              <w:rPr>
                <w:rFonts w:ascii="宋体" w:hAnsi="宋体" w:cs="宋体" w:eastAsia="宋体" w:hint="default"/>
                <w:spacing w:val="-12"/>
                <w:sz w:val="21"/>
                <w:szCs w:val="21"/>
              </w:rPr>
              <w:t>况（如有）（参见注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6936"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1"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715"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2" w:right="78"/>
              <w:jc w:val="left"/>
              <w:rPr>
                <w:rFonts w:ascii="宋体" w:hAnsi="宋体" w:cs="宋体" w:eastAsia="宋体" w:hint="default"/>
                <w:sz w:val="21"/>
                <w:szCs w:val="21"/>
              </w:rPr>
            </w:pPr>
            <w:r>
              <w:rPr>
                <w:rFonts w:ascii="宋体" w:hAnsi="宋体" w:cs="宋体" w:eastAsia="宋体" w:hint="default"/>
                <w:sz w:val="21"/>
                <w:szCs w:val="21"/>
              </w:rPr>
              <w:t>上述股东关联关系或一致行 动的说明</w:t>
            </w:r>
          </w:p>
        </w:tc>
        <w:tc>
          <w:tcPr>
            <w:tcW w:w="6936"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73" w:lineRule="auto" w:before="27"/>
              <w:ind w:left="11" w:right="21"/>
              <w:jc w:val="left"/>
              <w:rPr>
                <w:rFonts w:ascii="宋体" w:hAnsi="宋体" w:cs="宋体" w:eastAsia="宋体" w:hint="default"/>
                <w:sz w:val="21"/>
                <w:szCs w:val="21"/>
              </w:rPr>
            </w:pPr>
            <w:r>
              <w:rPr>
                <w:rFonts w:ascii="宋体" w:hAnsi="宋体" w:cs="宋体" w:eastAsia="宋体" w:hint="default"/>
                <w:spacing w:val="-2"/>
                <w:sz w:val="21"/>
                <w:szCs w:val="21"/>
              </w:rPr>
              <w:t>除童之磊为上海文睿的控股股东，双方存在关联关系外，其他股东无关联关</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系，不存在一致行动关系。</w:t>
            </w:r>
          </w:p>
        </w:tc>
      </w:tr>
      <w:tr>
        <w:trPr>
          <w:trHeight w:val="402"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前</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名无限售条件股东持股情况</w:t>
            </w:r>
            <w:r>
              <w:rPr>
                <w:rFonts w:ascii="宋体" w:hAnsi="宋体" w:cs="宋体" w:eastAsia="宋体" w:hint="default"/>
                <w:sz w:val="21"/>
                <w:szCs w:val="21"/>
              </w:rPr>
            </w:r>
          </w:p>
        </w:tc>
      </w:tr>
      <w:tr>
        <w:trPr>
          <w:trHeight w:val="206" w:hRule="exact"/>
        </w:trPr>
        <w:tc>
          <w:tcPr>
            <w:tcW w:w="26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63"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7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b/>
                <w:bCs/>
                <w:sz w:val="21"/>
                <w:szCs w:val="21"/>
              </w:rPr>
              <w:t>股份种类</w:t>
            </w:r>
            <w:r>
              <w:rPr>
                <w:rFonts w:ascii="宋体" w:hAnsi="宋体" w:cs="宋体" w:eastAsia="宋体" w:hint="default"/>
                <w:sz w:val="21"/>
                <w:szCs w:val="21"/>
              </w:rPr>
            </w:r>
          </w:p>
        </w:tc>
      </w:tr>
      <w:tr>
        <w:trPr>
          <w:trHeight w:val="191" w:hRule="exact"/>
        </w:trPr>
        <w:tc>
          <w:tcPr>
            <w:tcW w:w="263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4163"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95" w:right="0"/>
              <w:jc w:val="left"/>
              <w:rPr>
                <w:rFonts w:ascii="宋体" w:hAnsi="宋体" w:cs="宋体" w:eastAsia="宋体" w:hint="default"/>
                <w:sz w:val="21"/>
                <w:szCs w:val="21"/>
              </w:rPr>
            </w:pPr>
            <w:r>
              <w:rPr>
                <w:rFonts w:ascii="宋体" w:hAnsi="宋体" w:cs="宋体" w:eastAsia="宋体" w:hint="default"/>
                <w:b/>
                <w:bCs/>
                <w:sz w:val="21"/>
                <w:szCs w:val="21"/>
              </w:rPr>
              <w:t>报告期末持有无限售条件股份数量</w:t>
            </w:r>
            <w:r>
              <w:rPr>
                <w:rFonts w:ascii="宋体" w:hAnsi="宋体" w:cs="宋体" w:eastAsia="宋体" w:hint="default"/>
                <w:sz w:val="21"/>
                <w:szCs w:val="21"/>
              </w:rPr>
            </w:r>
          </w:p>
        </w:tc>
        <w:tc>
          <w:tcPr>
            <w:tcW w:w="2772" w:type="dxa"/>
            <w:gridSpan w:val="5"/>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33" w:type="dxa"/>
            <w:gridSpan w:val="2"/>
            <w:vMerge/>
            <w:tcBorders>
              <w:left w:val="single" w:sz="4" w:space="0" w:color="000000"/>
              <w:bottom w:val="nil" w:sz="6" w:space="0" w:color="auto"/>
              <w:right w:val="single" w:sz="4" w:space="0" w:color="000000"/>
            </w:tcBorders>
            <w:shd w:val="clear" w:color="auto" w:fill="D2D2D2"/>
          </w:tcPr>
          <w:p>
            <w:pPr/>
          </w:p>
        </w:tc>
        <w:tc>
          <w:tcPr>
            <w:tcW w:w="4163" w:type="dxa"/>
            <w:gridSpan w:val="5"/>
            <w:vMerge/>
            <w:tcBorders>
              <w:left w:val="single" w:sz="4" w:space="0" w:color="000000"/>
              <w:bottom w:val="nil" w:sz="6" w:space="0" w:color="auto"/>
              <w:right w:val="single" w:sz="4" w:space="0" w:color="000000"/>
            </w:tcBorders>
            <w:shd w:val="clear" w:color="auto" w:fill="D2D2D2"/>
          </w:tcPr>
          <w:p>
            <w:pPr/>
          </w:p>
        </w:tc>
        <w:tc>
          <w:tcPr>
            <w:tcW w:w="13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2"/>
              <w:ind w:left="268" w:right="0"/>
              <w:jc w:val="left"/>
              <w:rPr>
                <w:rFonts w:ascii="宋体" w:hAnsi="宋体" w:cs="宋体" w:eastAsia="宋体" w:hint="default"/>
                <w:sz w:val="21"/>
                <w:szCs w:val="21"/>
              </w:rPr>
            </w:pPr>
            <w:r>
              <w:rPr>
                <w:rFonts w:ascii="宋体" w:hAnsi="宋体" w:cs="宋体" w:eastAsia="宋体" w:hint="default"/>
                <w:b/>
                <w:bCs/>
                <w:sz w:val="21"/>
                <w:szCs w:val="21"/>
              </w:rPr>
              <w:t>股份种类</w:t>
            </w:r>
            <w:r>
              <w:rPr>
                <w:rFonts w:ascii="宋体" w:hAnsi="宋体" w:cs="宋体" w:eastAsia="宋体" w:hint="default"/>
                <w:sz w:val="21"/>
                <w:szCs w:val="21"/>
              </w:rPr>
            </w:r>
          </w:p>
        </w:tc>
        <w:tc>
          <w:tcPr>
            <w:tcW w:w="13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21"/>
                <w:szCs w:val="21"/>
              </w:rPr>
            </w:pPr>
            <w:r>
              <w:rPr>
                <w:rFonts w:ascii="宋体" w:hAnsi="宋体" w:cs="宋体" w:eastAsia="宋体" w:hint="default"/>
                <w:b/>
                <w:bCs/>
                <w:sz w:val="21"/>
                <w:szCs w:val="21"/>
              </w:rPr>
              <w:t>数量</w:t>
            </w:r>
            <w:r>
              <w:rPr>
                <w:rFonts w:ascii="宋体" w:hAnsi="宋体" w:cs="宋体" w:eastAsia="宋体" w:hint="default"/>
                <w:sz w:val="21"/>
                <w:szCs w:val="21"/>
              </w:rPr>
            </w:r>
          </w:p>
        </w:tc>
      </w:tr>
      <w:tr>
        <w:trPr>
          <w:trHeight w:val="206" w:hRule="exact"/>
        </w:trPr>
        <w:tc>
          <w:tcPr>
            <w:tcW w:w="26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63"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88" w:type="dxa"/>
            <w:gridSpan w:val="3"/>
            <w:vMerge/>
            <w:tcBorders>
              <w:left w:val="single" w:sz="4" w:space="0" w:color="000000"/>
              <w:bottom w:val="single" w:sz="4" w:space="0" w:color="000000"/>
              <w:right w:val="single" w:sz="4" w:space="0" w:color="000000"/>
            </w:tcBorders>
            <w:shd w:val="clear" w:color="auto" w:fill="D2D2D2"/>
          </w:tcPr>
          <w:p>
            <w:pPr/>
          </w:p>
        </w:tc>
        <w:tc>
          <w:tcPr>
            <w:tcW w:w="1385"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无</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1388" w:type="dxa"/>
            <w:gridSpan w:val="3"/>
            <w:tcBorders>
              <w:top w:val="single" w:sz="4" w:space="0" w:color="000000"/>
              <w:left w:val="single" w:sz="4" w:space="0" w:color="000000"/>
              <w:bottom w:val="single" w:sz="4" w:space="0" w:color="000000"/>
              <w:right w:val="single" w:sz="4" w:space="0" w:color="000000"/>
            </w:tcBorders>
          </w:tcPr>
          <w:p>
            <w:pPr/>
          </w:p>
        </w:tc>
        <w:tc>
          <w:tcPr>
            <w:tcW w:w="1385"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无</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1388" w:type="dxa"/>
            <w:gridSpan w:val="3"/>
            <w:tcBorders>
              <w:top w:val="single" w:sz="4" w:space="0" w:color="000000"/>
              <w:left w:val="single" w:sz="4" w:space="0" w:color="000000"/>
              <w:bottom w:val="single" w:sz="4" w:space="0" w:color="000000"/>
              <w:right w:val="single" w:sz="4" w:space="0" w:color="000000"/>
            </w:tcBorders>
          </w:tcPr>
          <w:p>
            <w:pPr/>
          </w:p>
        </w:tc>
        <w:tc>
          <w:tcPr>
            <w:tcW w:w="1385"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无</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1388" w:type="dxa"/>
            <w:gridSpan w:val="3"/>
            <w:tcBorders>
              <w:top w:val="single" w:sz="4" w:space="0" w:color="000000"/>
              <w:left w:val="single" w:sz="4" w:space="0" w:color="000000"/>
              <w:bottom w:val="single" w:sz="4" w:space="0" w:color="000000"/>
              <w:right w:val="single" w:sz="4" w:space="0" w:color="000000"/>
            </w:tcBorders>
          </w:tcPr>
          <w:p>
            <w:pPr/>
          </w:p>
        </w:tc>
        <w:tc>
          <w:tcPr>
            <w:tcW w:w="1385"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33"/>
        <w:gridCol w:w="4163"/>
        <w:gridCol w:w="1388"/>
        <w:gridCol w:w="1385"/>
      </w:tblGrid>
      <w:tr>
        <w:trPr>
          <w:trHeight w:val="402"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名无限售流通股股东之</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pacing w:val="-10"/>
                <w:sz w:val="21"/>
                <w:szCs w:val="21"/>
              </w:rPr>
              <w:t>间，以及前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名无限售流通</w:t>
            </w:r>
          </w:p>
          <w:p>
            <w:pPr>
              <w:pStyle w:val="TableParagraph"/>
              <w:spacing w:line="259" w:lineRule="auto" w:before="21"/>
              <w:ind w:left="22" w:right="22"/>
              <w:jc w:val="left"/>
              <w:rPr>
                <w:rFonts w:ascii="宋体" w:hAnsi="宋体" w:cs="宋体" w:eastAsia="宋体" w:hint="default"/>
                <w:sz w:val="21"/>
                <w:szCs w:val="21"/>
              </w:rPr>
            </w:pPr>
            <w:r>
              <w:rPr>
                <w:rFonts w:ascii="宋体" w:hAnsi="宋体" w:cs="宋体" w:eastAsia="宋体" w:hint="default"/>
                <w:sz w:val="21"/>
                <w:szCs w:val="21"/>
              </w:rPr>
              <w:t>股股东和前</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名股东之间关 联关系或一致行动的说明</w:t>
            </w:r>
          </w:p>
        </w:tc>
        <w:tc>
          <w:tcPr>
            <w:tcW w:w="69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714" w:hRule="exact"/>
        </w:trPr>
        <w:tc>
          <w:tcPr>
            <w:tcW w:w="2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78"/>
              <w:jc w:val="left"/>
              <w:rPr>
                <w:rFonts w:ascii="宋体" w:hAnsi="宋体" w:cs="宋体" w:eastAsia="宋体" w:hint="default"/>
                <w:sz w:val="21"/>
                <w:szCs w:val="21"/>
              </w:rPr>
            </w:pPr>
            <w:r>
              <w:rPr>
                <w:rFonts w:ascii="宋体" w:hAnsi="宋体" w:cs="宋体" w:eastAsia="宋体" w:hint="default"/>
                <w:sz w:val="21"/>
                <w:szCs w:val="21"/>
              </w:rPr>
              <w:t>参与融资融券业务股东情况 </w:t>
            </w:r>
            <w:r>
              <w:rPr>
                <w:rFonts w:ascii="宋体" w:hAnsi="宋体" w:cs="宋体" w:eastAsia="宋体" w:hint="default"/>
                <w:spacing w:val="-11"/>
                <w:sz w:val="21"/>
                <w:szCs w:val="21"/>
              </w:rPr>
              <w:t>说明（如有）（参见注</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c>
          <w:tcPr>
            <w:tcW w:w="69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pStyle w:val="BodyText"/>
        <w:spacing w:line="240" w:lineRule="auto" w:before="81"/>
        <w:ind w:left="634" w:right="0"/>
        <w:jc w:val="left"/>
      </w:pPr>
      <w:r>
        <w:rPr/>
        <w:t>公司股东在报告期内是否进行约定购回交易</w:t>
      </w:r>
    </w:p>
    <w:p>
      <w:pPr>
        <w:pStyle w:val="BodyText"/>
        <w:spacing w:line="367" w:lineRule="auto" w:before="194"/>
        <w:ind w:left="634" w:right="47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公司股东在报告期内未进行约定购回交易。</w:t>
      </w:r>
    </w:p>
    <w:p>
      <w:pPr>
        <w:spacing w:line="240" w:lineRule="auto" w:before="0"/>
        <w:rPr>
          <w:rFonts w:ascii="宋体" w:hAnsi="宋体" w:cs="宋体" w:eastAsia="宋体" w:hint="default"/>
          <w:sz w:val="19"/>
          <w:szCs w:val="19"/>
        </w:rPr>
      </w:pPr>
    </w:p>
    <w:p>
      <w:pPr>
        <w:spacing w:line="499" w:lineRule="auto" w:before="0"/>
        <w:ind w:left="633" w:right="7484" w:hanging="480"/>
        <w:jc w:val="left"/>
        <w:rPr>
          <w:rFonts w:ascii="宋体" w:hAnsi="宋体" w:cs="宋体" w:eastAsia="宋体" w:hint="default"/>
          <w:sz w:val="24"/>
          <w:szCs w:val="24"/>
        </w:rPr>
      </w:pPr>
      <w:bookmarkStart w:name="2、公司控股股东情况" w:id="80"/>
      <w:bookmarkEnd w:id="80"/>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、公司控股股东情况</w:t>
      </w:r>
      <w:r>
        <w:rPr>
          <w:rFonts w:ascii="宋体" w:hAnsi="宋体" w:cs="宋体" w:eastAsia="宋体" w:hint="default"/>
          <w:b/>
          <w:bCs/>
          <w:w w:val="99"/>
          <w:sz w:val="24"/>
          <w:szCs w:val="24"/>
        </w:rPr>
        <w:t> </w:t>
      </w:r>
      <w:r>
        <w:rPr>
          <w:rFonts w:ascii="宋体" w:hAnsi="宋体" w:cs="宋体" w:eastAsia="宋体" w:hint="default"/>
          <w:sz w:val="24"/>
          <w:szCs w:val="24"/>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before="35"/>
        <w:ind w:left="0" w:right="145" w:firstLine="0"/>
        <w:jc w:val="right"/>
        <w:rPr>
          <w:rFonts w:ascii="宋体" w:hAnsi="宋体" w:cs="宋体" w:eastAsia="宋体" w:hint="default"/>
          <w:sz w:val="21"/>
          <w:szCs w:val="21"/>
        </w:rPr>
      </w:pPr>
      <w:r>
        <w:rPr/>
        <w:pict>
          <v:shape style="position:absolute;margin-left:56.459999pt;margin-top:-149.366333pt;width:479.2pt;height:268.1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30" w:right="0"/>
                          <w:jc w:val="left"/>
                          <w:rPr>
                            <w:rFonts w:ascii="宋体" w:hAnsi="宋体" w:cs="宋体" w:eastAsia="宋体" w:hint="default"/>
                            <w:sz w:val="21"/>
                            <w:szCs w:val="21"/>
                          </w:rPr>
                        </w:pPr>
                        <w:r>
                          <w:rPr>
                            <w:rFonts w:ascii="宋体" w:hAnsi="宋体" w:cs="宋体" w:eastAsia="宋体" w:hint="default"/>
                            <w:b/>
                            <w:bCs/>
                            <w:sz w:val="21"/>
                            <w:szCs w:val="21"/>
                          </w:rPr>
                          <w:t>控股股东姓名</w:t>
                        </w:r>
                        <w:r>
                          <w:rPr>
                            <w:rFonts w:ascii="宋体" w:hAnsi="宋体" w:cs="宋体" w:eastAsia="宋体" w:hint="default"/>
                            <w:sz w:val="21"/>
                            <w:szCs w:val="21"/>
                          </w:rPr>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国籍</w:t>
                        </w:r>
                        <w:r>
                          <w:rPr>
                            <w:rFonts w:ascii="宋体" w:hAnsi="宋体" w:cs="宋体" w:eastAsia="宋体" w:hint="default"/>
                            <w:sz w:val="21"/>
                            <w:szCs w:val="21"/>
                          </w:rPr>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08" w:right="0"/>
                          <w:jc w:val="left"/>
                          <w:rPr>
                            <w:rFonts w:ascii="宋体" w:hAnsi="宋体" w:cs="宋体" w:eastAsia="宋体" w:hint="default"/>
                            <w:sz w:val="21"/>
                            <w:szCs w:val="21"/>
                          </w:rPr>
                        </w:pPr>
                        <w:r>
                          <w:rPr>
                            <w:rFonts w:ascii="宋体" w:hAnsi="宋体" w:cs="宋体" w:eastAsia="宋体" w:hint="default"/>
                            <w:b/>
                            <w:bCs/>
                            <w:sz w:val="21"/>
                            <w:szCs w:val="21"/>
                          </w:rPr>
                          <w:t>是否取得其他国家或地区居留权</w:t>
                        </w:r>
                        <w:r>
                          <w:rPr>
                            <w:rFonts w:ascii="宋体" w:hAnsi="宋体" w:cs="宋体" w:eastAsia="宋体" w:hint="default"/>
                            <w:sz w:val="21"/>
                            <w:szCs w:val="21"/>
                          </w:rPr>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童之磊</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汉族</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834"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auto" w:before="26"/>
                          <w:ind w:left="22" w:right="19"/>
                          <w:jc w:val="left"/>
                          <w:rPr>
                            <w:rFonts w:ascii="宋体" w:hAnsi="宋体" w:cs="宋体" w:eastAsia="宋体" w:hint="default"/>
                            <w:sz w:val="21"/>
                            <w:szCs w:val="21"/>
                          </w:rPr>
                        </w:pPr>
                        <w:r>
                          <w:rPr>
                            <w:rFonts w:ascii="宋体" w:hAnsi="宋体" w:cs="宋体" w:eastAsia="宋体" w:hint="default"/>
                            <w:sz w:val="21"/>
                            <w:szCs w:val="21"/>
                          </w:rPr>
                          <w:t>童之磊先生，经济师，北京市东城区第十五届人民代表大会代表、 中华全国青年联合会教育界别秘书长、北京市青年联合会委员、北 京市东城区青年联合会副主席、中国版权协会副理事长、中国音像 与数字出版协会副理事长、中国编辑学会副会长、中国版权协会反 盗版委员会主任、中国音像与数字出版协会大众数字出版工作委员 </w:t>
                        </w:r>
                        <w:r>
                          <w:rPr>
                            <w:rFonts w:ascii="宋体" w:hAnsi="宋体" w:cs="宋体" w:eastAsia="宋体" w:hint="default"/>
                            <w:spacing w:val="-4"/>
                            <w:sz w:val="21"/>
                            <w:szCs w:val="21"/>
                          </w:rPr>
                          <w:t>会主任、中文</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在线反盗版联盟</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秘书长、中国书刊发行业协会非国有</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书业工作委员会副主任、全联书业商会副会长、全国新闻出版信息 标准化技术委员会委员、中国出版协会常务理事、韬奋基金会理事</w:t>
                        </w:r>
                        <w:r>
                          <w:rPr>
                            <w:rFonts w:ascii="宋体" w:hAnsi="宋体" w:cs="宋体" w:eastAsia="宋体" w:hint="default"/>
                            <w:sz w:val="21"/>
                            <w:szCs w:val="21"/>
                          </w:rPr>
                          <w:t> </w:t>
                        </w:r>
                        <w:r>
                          <w:rPr>
                            <w:rFonts w:ascii="Times New Roman" w:hAnsi="Times New Roman" w:cs="Times New Roman" w:eastAsia="Times New Roman" w:hint="default"/>
                            <w:sz w:val="21"/>
                            <w:szCs w:val="21"/>
                          </w:rPr>
                          <w:t>2000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pacing w:val="-3"/>
                            <w:sz w:val="21"/>
                            <w:szCs w:val="21"/>
                          </w:rPr>
                          <w:t>月发起成立中文在线，现任公司董事长兼总经理、文睿投</w:t>
                        </w:r>
                        <w:r>
                          <w:rPr>
                            <w:rFonts w:ascii="宋体" w:hAnsi="宋体" w:cs="宋体" w:eastAsia="宋体" w:hint="default"/>
                            <w:sz w:val="21"/>
                            <w:szCs w:val="21"/>
                          </w:rPr>
                          <w:t> 资执行董事、中文教育执行董事、杭州中文在线董事长兼总经理、 中文传媒监事、湖北中文在线董事长、北京亚杰商汇咨询有限公司 董事。</w:t>
                        </w:r>
                      </w:p>
                    </w:tc>
                  </w:tr>
                  <w:tr>
                    <w:trPr>
                      <w:trHeight w:val="714"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6"/>
                          <w:ind w:left="22" w:right="46"/>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年曾控股的境内外上市公司 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BodyText"/>
        <w:spacing w:line="240" w:lineRule="auto"/>
        <w:ind w:left="634" w:right="0"/>
        <w:jc w:val="left"/>
      </w:pPr>
      <w:r>
        <w:rPr/>
        <w:t>控股股东报告期内变更</w:t>
      </w:r>
    </w:p>
    <w:p>
      <w:pPr>
        <w:spacing w:after="0" w:line="240" w:lineRule="auto"/>
        <w:jc w:val="left"/>
        <w:sectPr>
          <w:pgSz w:w="11910" w:h="16840"/>
          <w:pgMar w:header="877" w:footer="979" w:top="1100" w:bottom="1160" w:left="980" w:right="980"/>
        </w:sectPr>
      </w:pPr>
    </w:p>
    <w:p>
      <w:pPr>
        <w:spacing w:line="240" w:lineRule="auto" w:before="9"/>
        <w:rPr>
          <w:rFonts w:ascii="宋体" w:hAnsi="宋体" w:cs="宋体" w:eastAsia="宋体" w:hint="default"/>
          <w:sz w:val="25"/>
          <w:szCs w:val="25"/>
        </w:rPr>
      </w:pPr>
    </w:p>
    <w:p>
      <w:pPr>
        <w:pStyle w:val="BodyText"/>
        <w:spacing w:line="240" w:lineRule="auto"/>
        <w:ind w:left="6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7"/>
          <w:szCs w:val="27"/>
        </w:rPr>
      </w:pPr>
    </w:p>
    <w:p>
      <w:pPr>
        <w:spacing w:before="0"/>
        <w:ind w:left="154" w:right="0" w:firstLine="0"/>
        <w:jc w:val="left"/>
        <w:rPr>
          <w:rFonts w:ascii="宋体" w:hAnsi="宋体" w:cs="宋体" w:eastAsia="宋体" w:hint="default"/>
          <w:sz w:val="24"/>
          <w:szCs w:val="24"/>
        </w:rPr>
      </w:pPr>
      <w:bookmarkStart w:name="3、公司实际控制人情况" w:id="81"/>
      <w:bookmarkEnd w:id="81"/>
      <w:r>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、公司实际控制人情况</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pStyle w:val="BodyText"/>
        <w:spacing w:line="388" w:lineRule="auto" w:before="0"/>
        <w:ind w:left="634" w:right="4492"/>
        <w:jc w:val="left"/>
      </w:pPr>
      <w:r>
        <w:rPr/>
        <w:t>公司控股股东即实际控制人，具体情况如上。 实际控制人报告期内变更</w:t>
      </w:r>
    </w:p>
    <w:p>
      <w:pPr>
        <w:pStyle w:val="BodyText"/>
        <w:spacing w:line="367" w:lineRule="auto" w:before="46"/>
        <w:ind w:left="634" w:right="3772"/>
        <w:jc w:val="left"/>
      </w:pPr>
      <w:r>
        <w:rPr/>
        <w:pict>
          <v:shape style="position:absolute;margin-left:173.850784pt;margin-top:60.526218pt;width:102.811768pt;height:39.292046pt;mso-position-horizontal-relative:page;mso-position-vertical-relative:paragraph;z-index:-741328" type="#_x0000_t75" stroked="false">
            <v:imagedata r:id="rId28" o:titl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公司与实际控制人之间的产权及控制关系的方框图：</w:t>
      </w:r>
    </w:p>
    <w:p>
      <w:pPr>
        <w:spacing w:line="240" w:lineRule="auto" w:before="8"/>
        <w:rPr>
          <w:rFonts w:ascii="宋体" w:hAnsi="宋体" w:cs="宋体" w:eastAsia="宋体" w:hint="default"/>
          <w:sz w:val="17"/>
          <w:szCs w:val="17"/>
        </w:rPr>
      </w:pPr>
    </w:p>
    <w:tbl>
      <w:tblPr>
        <w:tblW w:w="0" w:type="auto"/>
        <w:jc w:val="left"/>
        <w:tblInd w:w="2512" w:type="dxa"/>
        <w:tblLayout w:type="fixed"/>
        <w:tblCellMar>
          <w:top w:w="0" w:type="dxa"/>
          <w:left w:w="0" w:type="dxa"/>
          <w:bottom w:w="0" w:type="dxa"/>
          <w:right w:w="0" w:type="dxa"/>
        </w:tblCellMar>
        <w:tblLook w:val="01E0"/>
      </w:tblPr>
      <w:tblGrid>
        <w:gridCol w:w="1009"/>
        <w:gridCol w:w="1049"/>
        <w:gridCol w:w="247"/>
      </w:tblGrid>
      <w:tr>
        <w:trPr>
          <w:trHeight w:val="788" w:hRule="exact"/>
        </w:trPr>
        <w:tc>
          <w:tcPr>
            <w:tcW w:w="2058" w:type="dxa"/>
            <w:gridSpan w:val="2"/>
            <w:tcBorders>
              <w:top w:val="single" w:sz="3" w:space="0" w:color="404040"/>
              <w:left w:val="single" w:sz="3" w:space="0" w:color="404040"/>
              <w:bottom w:val="single" w:sz="3" w:space="0" w:color="404040"/>
              <w:right w:val="single" w:sz="3" w:space="0" w:color="404040"/>
            </w:tcBorders>
          </w:tcPr>
          <w:p>
            <w:pPr>
              <w:pStyle w:val="TableParagraph"/>
              <w:spacing w:line="240" w:lineRule="auto" w:before="148"/>
              <w:ind w:left="570" w:right="0"/>
              <w:jc w:val="left"/>
              <w:rPr>
                <w:rFonts w:ascii="宋体" w:hAnsi="宋体" w:cs="宋体" w:eastAsia="宋体" w:hint="default"/>
                <w:sz w:val="27"/>
                <w:szCs w:val="27"/>
              </w:rPr>
            </w:pPr>
            <w:r>
              <w:rPr>
                <w:rFonts w:ascii="宋体" w:hAnsi="宋体" w:cs="宋体" w:eastAsia="宋体" w:hint="default"/>
                <w:w w:val="105"/>
                <w:sz w:val="27"/>
                <w:szCs w:val="27"/>
              </w:rPr>
              <w:t>童之磊</w:t>
            </w:r>
            <w:r>
              <w:rPr>
                <w:rFonts w:ascii="宋体" w:hAnsi="宋体" w:cs="宋体" w:eastAsia="宋体" w:hint="default"/>
                <w:sz w:val="27"/>
                <w:szCs w:val="27"/>
              </w:rPr>
            </w:r>
          </w:p>
        </w:tc>
        <w:tc>
          <w:tcPr>
            <w:tcW w:w="247" w:type="dxa"/>
            <w:tcBorders>
              <w:top w:val="nil" w:sz="6" w:space="0" w:color="auto"/>
              <w:left w:val="single" w:sz="3" w:space="0" w:color="404040"/>
              <w:bottom w:val="nil" w:sz="6" w:space="0" w:color="auto"/>
              <w:right w:val="nil" w:sz="6" w:space="0" w:color="auto"/>
            </w:tcBorders>
          </w:tcPr>
          <w:p>
            <w:pPr/>
          </w:p>
        </w:tc>
      </w:tr>
      <w:tr>
        <w:trPr>
          <w:trHeight w:val="1002" w:hRule="exact"/>
        </w:trPr>
        <w:tc>
          <w:tcPr>
            <w:tcW w:w="1009" w:type="dxa"/>
            <w:vMerge w:val="restart"/>
            <w:tcBorders>
              <w:top w:val="single" w:sz="3" w:space="0" w:color="404040"/>
              <w:left w:val="nil" w:sz="6" w:space="0" w:color="auto"/>
              <w:right w:val="single" w:sz="8" w:space="0" w:color="404040"/>
            </w:tcBorders>
          </w:tcPr>
          <w:p>
            <w:pPr>
              <w:pStyle w:val="TableParagraph"/>
              <w:spacing w:line="240" w:lineRule="auto"/>
              <w:ind w:right="0"/>
              <w:jc w:val="left"/>
              <w:rPr>
                <w:rFonts w:ascii="宋体" w:hAnsi="宋体" w:cs="宋体" w:eastAsia="宋体" w:hint="default"/>
                <w:sz w:val="28"/>
                <w:szCs w:val="28"/>
              </w:rPr>
            </w:pPr>
          </w:p>
          <w:p>
            <w:pPr>
              <w:pStyle w:val="TableParagraph"/>
              <w:spacing w:line="240" w:lineRule="auto"/>
              <w:ind w:right="0"/>
              <w:jc w:val="left"/>
              <w:rPr>
                <w:rFonts w:ascii="宋体" w:hAnsi="宋体" w:cs="宋体" w:eastAsia="宋体" w:hint="default"/>
                <w:sz w:val="28"/>
                <w:szCs w:val="28"/>
              </w:rPr>
            </w:pPr>
          </w:p>
          <w:p>
            <w:pPr>
              <w:pStyle w:val="TableParagraph"/>
              <w:spacing w:line="240" w:lineRule="auto"/>
              <w:ind w:right="0"/>
              <w:jc w:val="left"/>
              <w:rPr>
                <w:rFonts w:ascii="宋体" w:hAnsi="宋体" w:cs="宋体" w:eastAsia="宋体" w:hint="default"/>
                <w:sz w:val="28"/>
                <w:szCs w:val="28"/>
              </w:rPr>
            </w:pPr>
          </w:p>
          <w:p>
            <w:pPr>
              <w:pStyle w:val="TableParagraph"/>
              <w:spacing w:line="240" w:lineRule="auto" w:before="8"/>
              <w:ind w:right="0"/>
              <w:jc w:val="left"/>
              <w:rPr>
                <w:rFonts w:ascii="宋体" w:hAnsi="宋体" w:cs="宋体" w:eastAsia="宋体" w:hint="default"/>
                <w:sz w:val="37"/>
                <w:szCs w:val="37"/>
              </w:rPr>
            </w:pPr>
          </w:p>
          <w:p>
            <w:pPr>
              <w:pStyle w:val="TableParagraph"/>
              <w:spacing w:line="240" w:lineRule="auto"/>
              <w:ind w:left="68" w:right="0"/>
              <w:jc w:val="left"/>
              <w:rPr>
                <w:rFonts w:ascii="Times New Roman" w:hAnsi="Times New Roman" w:cs="Times New Roman" w:eastAsia="Times New Roman" w:hint="default"/>
                <w:sz w:val="27"/>
                <w:szCs w:val="27"/>
              </w:rPr>
            </w:pPr>
            <w:r>
              <w:rPr>
                <w:rFonts w:ascii="Times New Roman"/>
                <w:w w:val="105"/>
                <w:sz w:val="27"/>
              </w:rPr>
              <w:t>24.92%</w:t>
            </w:r>
            <w:r>
              <w:rPr>
                <w:rFonts w:ascii="Times New Roman"/>
                <w:sz w:val="27"/>
              </w:rPr>
            </w:r>
          </w:p>
        </w:tc>
        <w:tc>
          <w:tcPr>
            <w:tcW w:w="1296" w:type="dxa"/>
            <w:gridSpan w:val="2"/>
            <w:tcBorders>
              <w:top w:val="single" w:sz="3" w:space="0" w:color="404040"/>
              <w:left w:val="single" w:sz="8" w:space="0" w:color="404040"/>
              <w:bottom w:val="single" w:sz="8" w:space="0" w:color="404040"/>
              <w:right w:val="nil" w:sz="6" w:space="0" w:color="auto"/>
            </w:tcBorders>
          </w:tcPr>
          <w:p>
            <w:pPr>
              <w:pStyle w:val="TableParagraph"/>
              <w:spacing w:line="240" w:lineRule="auto" w:before="3"/>
              <w:ind w:right="0"/>
              <w:jc w:val="left"/>
              <w:rPr>
                <w:rFonts w:ascii="宋体" w:hAnsi="宋体" w:cs="宋体" w:eastAsia="宋体" w:hint="default"/>
                <w:sz w:val="34"/>
                <w:szCs w:val="34"/>
              </w:rPr>
            </w:pPr>
          </w:p>
          <w:p>
            <w:pPr>
              <w:pStyle w:val="TableParagraph"/>
              <w:spacing w:line="240" w:lineRule="auto"/>
              <w:ind w:left="256" w:right="0"/>
              <w:jc w:val="left"/>
              <w:rPr>
                <w:rFonts w:ascii="Calibri" w:hAnsi="Calibri" w:cs="Calibri" w:eastAsia="Calibri" w:hint="default"/>
                <w:sz w:val="27"/>
                <w:szCs w:val="27"/>
              </w:rPr>
            </w:pPr>
            <w:r>
              <w:rPr>
                <w:rFonts w:ascii="Calibri"/>
                <w:w w:val="105"/>
                <w:sz w:val="27"/>
              </w:rPr>
              <w:t>76.08%</w:t>
            </w:r>
            <w:r>
              <w:rPr>
                <w:rFonts w:ascii="Calibri"/>
                <w:sz w:val="27"/>
              </w:rPr>
            </w:r>
          </w:p>
        </w:tc>
      </w:tr>
      <w:tr>
        <w:trPr>
          <w:trHeight w:val="1199" w:hRule="exact"/>
        </w:trPr>
        <w:tc>
          <w:tcPr>
            <w:tcW w:w="1009" w:type="dxa"/>
            <w:vMerge/>
            <w:tcBorders>
              <w:left w:val="nil" w:sz="6" w:space="0" w:color="auto"/>
              <w:bottom w:val="nil" w:sz="6" w:space="0" w:color="auto"/>
              <w:right w:val="single" w:sz="8" w:space="0" w:color="404040"/>
            </w:tcBorders>
          </w:tcPr>
          <w:p>
            <w:pPr/>
          </w:p>
        </w:tc>
        <w:tc>
          <w:tcPr>
            <w:tcW w:w="1296" w:type="dxa"/>
            <w:gridSpan w:val="2"/>
            <w:tcBorders>
              <w:top w:val="single" w:sz="8" w:space="0" w:color="404040"/>
              <w:left w:val="single" w:sz="9" w:space="0" w:color="404040"/>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634" w:right="0"/>
        <w:jc w:val="left"/>
      </w:pPr>
      <w:r>
        <w:rPr/>
        <w:pict>
          <v:group style="position:absolute;margin-left:173.850784pt;margin-top:-140.969208pt;width:278.650pt;height:126.75pt;mso-position-horizontal-relative:page;mso-position-vertical-relative:paragraph;z-index:-741352" coordorigin="3477,-2819" coordsize="5573,2535">
            <v:shape style="position:absolute;left:3477;top:-1091;width:5552;height:786" type="#_x0000_t75" stroked="false">
              <v:imagedata r:id="rId29" o:title=""/>
            </v:shape>
            <v:shape style="position:absolute;left:4410;top:-1272;width:190;height:181" type="#_x0000_t75" stroked="false">
              <v:imagedata r:id="rId30" o:title=""/>
            </v:shape>
            <v:shape style="position:absolute;left:5944;top:-2819;width:3084;height:786" type="#_x0000_t75" stroked="false">
              <v:imagedata r:id="rId31" o:title=""/>
            </v:shape>
            <v:group style="position:absolute;left:7469;top:-2034;width:18;height:806" coordorigin="7469,-2034" coordsize="18,806">
              <v:shape style="position:absolute;left:7469;top:-2034;width:18;height:806" coordorigin="7469,-2034" coordsize="18,806" path="m7487,-2034l7469,-1228e" filled="false" stroked="true" strokeweight="1.088070pt" strokecolor="#404040">
                <v:path arrowok="t"/>
              </v:shape>
              <v:shape style="position:absolute;left:7375;top:-1274;width:190;height:183" type="#_x0000_t75" stroked="false">
                <v:imagedata r:id="rId32" o:title=""/>
              </v:shape>
              <v:shape style="position:absolute;left:5755;top:-2517;width:190;height:181" type="#_x0000_t75" stroked="false">
                <v:imagedata r:id="rId33" o:title=""/>
              </v:shape>
              <v:shape style="position:absolute;left:7721;top:-1806;width:750;height:278" type="#_x0000_t202" filled="false" stroked="false">
                <v:textbox inset="0,0,0,0">
                  <w:txbxContent>
                    <w:p>
                      <w:pPr>
                        <w:spacing w:line="277" w:lineRule="exact" w:before="0"/>
                        <w:ind w:left="0" w:right="0" w:firstLine="0"/>
                        <w:jc w:val="left"/>
                        <w:rPr>
                          <w:rFonts w:ascii="Times New Roman" w:hAnsi="Times New Roman" w:cs="Times New Roman" w:eastAsia="Times New Roman" w:hint="default"/>
                          <w:sz w:val="27"/>
                          <w:szCs w:val="27"/>
                        </w:rPr>
                      </w:pPr>
                      <w:r>
                        <w:rPr>
                          <w:rFonts w:ascii="Times New Roman"/>
                          <w:w w:val="105"/>
                          <w:sz w:val="27"/>
                        </w:rPr>
                        <w:t>9.39%</w:t>
                      </w:r>
                      <w:r>
                        <w:rPr>
                          <w:rFonts w:ascii="Times New Roman"/>
                          <w:sz w:val="27"/>
                        </w:rPr>
                      </w:r>
                    </w:p>
                  </w:txbxContent>
                </v:textbox>
                <w10:wrap type="none"/>
              </v:shape>
              <v:shape style="position:absolute;left:5964;top:-2801;width:3087;height:788" type="#_x0000_t202" filled="false" stroked="true" strokeweight=".347612pt" strokecolor="#404040">
                <v:textbox inset="0,0,0,0">
                  <w:txbxContent>
                    <w:p>
                      <w:pPr>
                        <w:spacing w:before="148"/>
                        <w:ind w:left="68" w:right="0" w:firstLine="0"/>
                        <w:jc w:val="left"/>
                        <w:rPr>
                          <w:rFonts w:ascii="宋体" w:hAnsi="宋体" w:cs="宋体" w:eastAsia="宋体" w:hint="default"/>
                          <w:sz w:val="27"/>
                          <w:szCs w:val="27"/>
                        </w:rPr>
                      </w:pPr>
                      <w:r>
                        <w:rPr>
                          <w:rFonts w:ascii="宋体" w:hAnsi="宋体" w:cs="宋体" w:eastAsia="宋体" w:hint="default"/>
                          <w:w w:val="105"/>
                          <w:sz w:val="27"/>
                          <w:szCs w:val="27"/>
                        </w:rPr>
                        <w:t>上海文睿投资有限公司</w:t>
                      </w:r>
                      <w:r>
                        <w:rPr>
                          <w:rFonts w:ascii="宋体" w:hAnsi="宋体" w:cs="宋体" w:eastAsia="宋体" w:hint="default"/>
                          <w:sz w:val="27"/>
                          <w:szCs w:val="27"/>
                        </w:rPr>
                      </w:r>
                    </w:p>
                  </w:txbxContent>
                </v:textbox>
                <w10:wrap type="none"/>
              </v:shape>
              <v:shape style="position:absolute;left:3496;top:-1072;width:5554;height:788" type="#_x0000_t202" filled="false" stroked="true" strokeweight=".346887pt" strokecolor="#404040">
                <v:textbox inset="0,0,0,0">
                  <w:txbxContent>
                    <w:p>
                      <w:pPr>
                        <w:spacing w:before="148"/>
                        <w:ind w:left="432" w:right="0" w:firstLine="0"/>
                        <w:jc w:val="left"/>
                        <w:rPr>
                          <w:rFonts w:ascii="宋体" w:hAnsi="宋体" w:cs="宋体" w:eastAsia="宋体" w:hint="default"/>
                          <w:sz w:val="27"/>
                          <w:szCs w:val="27"/>
                        </w:rPr>
                      </w:pPr>
                      <w:r>
                        <w:rPr>
                          <w:rFonts w:ascii="宋体" w:hAnsi="宋体" w:cs="宋体" w:eastAsia="宋体" w:hint="default"/>
                          <w:w w:val="105"/>
                          <w:sz w:val="27"/>
                          <w:szCs w:val="27"/>
                        </w:rPr>
                        <w:t>北京中文在线数字出版股份有限公司</w:t>
                      </w:r>
                      <w:r>
                        <w:rPr>
                          <w:rFonts w:ascii="宋体" w:hAnsi="宋体" w:cs="宋体" w:eastAsia="宋体" w:hint="default"/>
                          <w:sz w:val="27"/>
                          <w:szCs w:val="27"/>
                        </w:rPr>
                      </w:r>
                    </w:p>
                  </w:txbxContent>
                </v:textbox>
                <w10:wrap type="none"/>
              </v:shape>
            </v:group>
            <w10:wrap type="none"/>
          </v:group>
        </w:pict>
      </w:r>
      <w:r>
        <w:rPr/>
        <w:t>实际控制人通过信托或其他资产管理方式控制公司</w:t>
      </w:r>
    </w:p>
    <w:p>
      <w:pPr>
        <w:pStyle w:val="BodyText"/>
        <w:spacing w:line="240" w:lineRule="auto" w:before="193"/>
        <w:ind w:left="6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7"/>
          <w:szCs w:val="27"/>
        </w:rPr>
      </w:pPr>
    </w:p>
    <w:p>
      <w:pPr>
        <w:spacing w:before="0"/>
        <w:ind w:left="154" w:right="0" w:firstLine="0"/>
        <w:jc w:val="left"/>
        <w:rPr>
          <w:rFonts w:ascii="宋体" w:hAnsi="宋体" w:cs="宋体" w:eastAsia="宋体" w:hint="default"/>
          <w:sz w:val="24"/>
          <w:szCs w:val="24"/>
        </w:rPr>
      </w:pPr>
      <w:bookmarkStart w:name="4、其他持股在10%以上的法人股东" w:id="82"/>
      <w:bookmarkEnd w:id="82"/>
      <w:r>
        <w:rPr/>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、其他持股在</w:t>
      </w:r>
      <w:r>
        <w:rPr>
          <w:rFonts w:ascii="宋体" w:hAnsi="宋体" w:cs="宋体" w:eastAsia="宋体" w:hint="default"/>
          <w:b/>
          <w:bCs/>
          <w:spacing w:val="-73"/>
          <w:sz w:val="24"/>
          <w:szCs w:val="24"/>
        </w:rPr>
        <w:t> </w:t>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以上的法人股东</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pStyle w:val="BodyText"/>
        <w:spacing w:line="240" w:lineRule="auto" w:before="0"/>
        <w:ind w:left="6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4"/>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183"/>
        <w:gridCol w:w="1542"/>
        <w:gridCol w:w="1065"/>
        <w:gridCol w:w="1592"/>
        <w:gridCol w:w="1385"/>
        <w:gridCol w:w="1801"/>
      </w:tblGrid>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3" w:right="0"/>
              <w:jc w:val="left"/>
              <w:rPr>
                <w:rFonts w:ascii="宋体" w:hAnsi="宋体" w:cs="宋体" w:eastAsia="宋体" w:hint="default"/>
                <w:sz w:val="21"/>
                <w:szCs w:val="21"/>
              </w:rPr>
            </w:pPr>
            <w:r>
              <w:rPr>
                <w:rFonts w:ascii="宋体" w:hAnsi="宋体" w:cs="宋体" w:eastAsia="宋体" w:hint="default"/>
                <w:b/>
                <w:bCs/>
                <w:sz w:val="21"/>
                <w:szCs w:val="21"/>
              </w:rPr>
              <w:t>法人股东名称</w:t>
            </w:r>
            <w:r>
              <w:rPr>
                <w:rFonts w:ascii="宋体" w:hAnsi="宋体" w:cs="宋体" w:eastAsia="宋体" w:hint="default"/>
                <w:sz w:val="21"/>
                <w:szCs w:val="21"/>
              </w:rPr>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6"/>
              <w:ind w:left="343" w:right="104" w:hanging="240"/>
              <w:jc w:val="left"/>
              <w:rPr>
                <w:rFonts w:ascii="宋体" w:hAnsi="宋体" w:cs="宋体" w:eastAsia="宋体" w:hint="default"/>
                <w:sz w:val="21"/>
                <w:szCs w:val="21"/>
              </w:rPr>
            </w:pPr>
            <w:r>
              <w:rPr>
                <w:rFonts w:ascii="宋体" w:hAnsi="宋体" w:cs="宋体" w:eastAsia="宋体" w:hint="default"/>
                <w:b/>
                <w:bCs/>
                <w:sz w:val="21"/>
                <w:szCs w:val="21"/>
              </w:rPr>
              <w:t>法定代表人</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w:t>
            </w:r>
            <w:r>
              <w:rPr>
                <w:rFonts w:ascii="宋体" w:hAnsi="宋体" w:cs="宋体" w:eastAsia="宋体" w:hint="default"/>
                <w:b/>
                <w:bCs/>
                <w:w w:val="99"/>
                <w:sz w:val="21"/>
                <w:szCs w:val="21"/>
              </w:rPr>
              <w:t> </w:t>
            </w:r>
            <w:r>
              <w:rPr>
                <w:rFonts w:ascii="宋体" w:hAnsi="宋体" w:cs="宋体" w:eastAsia="宋体" w:hint="default"/>
                <w:b/>
                <w:bCs/>
                <w:sz w:val="21"/>
                <w:szCs w:val="21"/>
              </w:rPr>
              <w:t>位负责人</w:t>
            </w:r>
            <w:r>
              <w:rPr>
                <w:rFonts w:ascii="宋体" w:hAnsi="宋体" w:cs="宋体" w:eastAsia="宋体" w:hint="default"/>
                <w:sz w:val="21"/>
                <w:szCs w:val="21"/>
              </w:rPr>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b/>
                <w:bCs/>
                <w:sz w:val="21"/>
                <w:szCs w:val="21"/>
              </w:rPr>
              <w:t>成立日期</w:t>
            </w:r>
            <w:r>
              <w:rPr>
                <w:rFonts w:ascii="宋体" w:hAnsi="宋体" w:cs="宋体" w:eastAsia="宋体" w:hint="default"/>
                <w:sz w:val="21"/>
                <w:szCs w:val="21"/>
              </w:rPr>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b/>
                <w:bCs/>
                <w:sz w:val="21"/>
                <w:szCs w:val="21"/>
              </w:rPr>
              <w:t>组织机构代码</w:t>
            </w:r>
            <w:r>
              <w:rPr>
                <w:rFonts w:ascii="宋体" w:hAnsi="宋体" w:cs="宋体" w:eastAsia="宋体" w:hint="default"/>
                <w:sz w:val="21"/>
                <w:szCs w:val="21"/>
              </w:rPr>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sz w:val="21"/>
                <w:szCs w:val="21"/>
              </w:rPr>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78" w:right="52" w:hanging="527"/>
              <w:jc w:val="left"/>
              <w:rPr>
                <w:rFonts w:ascii="宋体" w:hAnsi="宋体" w:cs="宋体" w:eastAsia="宋体" w:hint="default"/>
                <w:sz w:val="21"/>
                <w:szCs w:val="21"/>
              </w:rPr>
            </w:pPr>
            <w:r>
              <w:rPr>
                <w:rFonts w:ascii="宋体" w:hAnsi="宋体" w:cs="宋体" w:eastAsia="宋体" w:hint="default"/>
                <w:b/>
                <w:bCs/>
                <w:sz w:val="21"/>
                <w:szCs w:val="21"/>
              </w:rPr>
              <w:t>主要经营业务或管</w:t>
            </w:r>
            <w:r>
              <w:rPr>
                <w:rFonts w:ascii="宋体" w:hAnsi="宋体" w:cs="宋体" w:eastAsia="宋体" w:hint="default"/>
                <w:b/>
                <w:bCs/>
                <w:w w:val="99"/>
                <w:sz w:val="21"/>
                <w:szCs w:val="21"/>
              </w:rPr>
              <w:t> </w:t>
            </w:r>
            <w:r>
              <w:rPr>
                <w:rFonts w:ascii="宋体" w:hAnsi="宋体" w:cs="宋体" w:eastAsia="宋体" w:hint="default"/>
                <w:b/>
                <w:bCs/>
                <w:sz w:val="21"/>
                <w:szCs w:val="21"/>
              </w:rPr>
              <w:t>理活动</w:t>
            </w:r>
            <w:r>
              <w:rPr>
                <w:rFonts w:ascii="宋体" w:hAnsi="宋体" w:cs="宋体" w:eastAsia="宋体" w:hint="default"/>
                <w:sz w:val="21"/>
                <w:szCs w:val="21"/>
              </w:rPr>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启迪华创</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雷霖</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03</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0800230385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86"/>
              <w:jc w:val="left"/>
              <w:rPr>
                <w:rFonts w:ascii="宋体" w:hAnsi="宋体" w:cs="宋体" w:eastAsia="宋体" w:hint="default"/>
                <w:sz w:val="21"/>
                <w:szCs w:val="21"/>
              </w:rPr>
            </w:pPr>
            <w:r>
              <w:rPr>
                <w:rFonts w:ascii="宋体" w:hAnsi="宋体" w:cs="宋体" w:eastAsia="宋体" w:hint="default"/>
                <w:sz w:val="21"/>
                <w:szCs w:val="21"/>
              </w:rPr>
              <w:t>主要从事股权投资 和股权管理业务</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情况说明</w:t>
            </w:r>
          </w:p>
        </w:tc>
        <w:tc>
          <w:tcPr>
            <w:tcW w:w="7386" w:type="dxa"/>
            <w:gridSpan w:val="5"/>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5、前10吊限售条件股东持股数量及限售条件" w:id="83"/>
      <w:bookmarkEnd w:id="83"/>
      <w:r>
        <w:rPr/>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、前</w:t>
      </w:r>
      <w:r>
        <w:rPr>
          <w:rFonts w:ascii="宋体" w:hAnsi="宋体" w:cs="宋体" w:eastAsia="宋体" w:hint="default"/>
          <w:b/>
          <w:bCs/>
          <w:spacing w:val="-68"/>
          <w:sz w:val="24"/>
          <w:szCs w:val="24"/>
        </w:rPr>
        <w:t> </w:t>
      </w:r>
      <w:r>
        <w:rPr>
          <w:rFonts w:ascii="Times New Roman" w:hAnsi="Times New Roman" w:cs="Times New Roman" w:eastAsia="Times New Roman" w:hint="default"/>
          <w:b/>
          <w:bCs/>
          <w:sz w:val="24"/>
          <w:szCs w:val="24"/>
        </w:rPr>
        <w:t>10</w:t>
      </w:r>
      <w:r>
        <w:rPr>
          <w:rFonts w:ascii="Times New Roman" w:hAnsi="Times New Roman" w:cs="Times New Roman" w:eastAsia="Times New Roman" w:hint="default"/>
          <w:b/>
          <w:bCs/>
          <w:spacing w:val="-8"/>
          <w:sz w:val="24"/>
          <w:szCs w:val="24"/>
        </w:rPr>
        <w:t> </w:t>
      </w:r>
      <w:r>
        <w:rPr>
          <w:rFonts w:ascii="宋体" w:hAnsi="宋体" w:cs="宋体" w:eastAsia="宋体" w:hint="default"/>
          <w:b/>
          <w:bCs/>
          <w:sz w:val="24"/>
          <w:szCs w:val="24"/>
        </w:rPr>
        <w:t>名限售条件股东持股数量及限售条件</w:t>
      </w:r>
      <w:r>
        <w:rPr>
          <w:rFonts w:ascii="宋体" w:hAnsi="宋体" w:cs="宋体" w:eastAsia="宋体" w:hint="default"/>
          <w:sz w:val="24"/>
          <w:szCs w:val="24"/>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b/>
                <w:bCs/>
                <w:sz w:val="21"/>
                <w:szCs w:val="21"/>
              </w:rPr>
              <w:t>限售条件股东名称</w:t>
            </w:r>
            <w:r>
              <w:rPr>
                <w:rFonts w:ascii="宋体" w:hAnsi="宋体" w:cs="宋体" w:eastAsia="宋体" w:hint="default"/>
                <w:sz w:val="21"/>
                <w:szCs w:val="21"/>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19" w:right="109" w:hanging="212"/>
              <w:jc w:val="left"/>
              <w:rPr>
                <w:rFonts w:ascii="宋体" w:hAnsi="宋体" w:cs="宋体" w:eastAsia="宋体" w:hint="default"/>
                <w:sz w:val="21"/>
                <w:szCs w:val="21"/>
              </w:rPr>
            </w:pPr>
            <w:r>
              <w:rPr>
                <w:rFonts w:ascii="宋体" w:hAnsi="宋体" w:cs="宋体" w:eastAsia="宋体" w:hint="default"/>
                <w:b/>
                <w:bCs/>
                <w:sz w:val="21"/>
                <w:szCs w:val="21"/>
              </w:rPr>
              <w:t>持有的限售条件股</w:t>
            </w:r>
            <w:r>
              <w:rPr>
                <w:rFonts w:ascii="宋体" w:hAnsi="宋体" w:cs="宋体" w:eastAsia="宋体" w:hint="default"/>
                <w:b/>
                <w:bCs/>
                <w:w w:val="99"/>
                <w:sz w:val="21"/>
                <w:szCs w:val="21"/>
              </w:rPr>
              <w:t> </w:t>
            </w:r>
            <w:r>
              <w:rPr>
                <w:rFonts w:ascii="宋体" w:hAnsi="宋体" w:cs="宋体" w:eastAsia="宋体" w:hint="default"/>
                <w:b/>
                <w:bCs/>
                <w:sz w:val="21"/>
                <w:szCs w:val="21"/>
              </w:rPr>
              <w:t>份数量（股）</w:t>
            </w:r>
            <w:r>
              <w:rPr>
                <w:rFonts w:ascii="宋体" w:hAnsi="宋体" w:cs="宋体" w:eastAsia="宋体" w:hint="default"/>
                <w:sz w:val="21"/>
                <w:szCs w:val="21"/>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b/>
                <w:bCs/>
                <w:sz w:val="21"/>
                <w:szCs w:val="21"/>
              </w:rPr>
              <w:t>可上市交易时间</w:t>
            </w:r>
            <w:r>
              <w:rPr>
                <w:rFonts w:ascii="宋体" w:hAnsi="宋体" w:cs="宋体" w:eastAsia="宋体" w:hint="default"/>
                <w:sz w:val="21"/>
                <w:szCs w:val="21"/>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19" w:right="109" w:hanging="212"/>
              <w:jc w:val="left"/>
              <w:rPr>
                <w:rFonts w:ascii="宋体" w:hAnsi="宋体" w:cs="宋体" w:eastAsia="宋体" w:hint="default"/>
                <w:sz w:val="21"/>
                <w:szCs w:val="21"/>
              </w:rPr>
            </w:pPr>
            <w:r>
              <w:rPr>
                <w:rFonts w:ascii="宋体" w:hAnsi="宋体" w:cs="宋体" w:eastAsia="宋体" w:hint="default"/>
                <w:b/>
                <w:bCs/>
                <w:sz w:val="21"/>
                <w:szCs w:val="21"/>
              </w:rPr>
              <w:t>新增可上市交易股</w:t>
            </w:r>
            <w:r>
              <w:rPr>
                <w:rFonts w:ascii="宋体" w:hAnsi="宋体" w:cs="宋体" w:eastAsia="宋体" w:hint="default"/>
                <w:b/>
                <w:bCs/>
                <w:w w:val="99"/>
                <w:sz w:val="21"/>
                <w:szCs w:val="21"/>
              </w:rPr>
              <w:t> </w:t>
            </w:r>
            <w:r>
              <w:rPr>
                <w:rFonts w:ascii="宋体" w:hAnsi="宋体" w:cs="宋体" w:eastAsia="宋体" w:hint="default"/>
                <w:b/>
                <w:bCs/>
                <w:sz w:val="21"/>
                <w:szCs w:val="21"/>
              </w:rPr>
              <w:t>份数量（股）</w:t>
            </w:r>
            <w:r>
              <w:rPr>
                <w:rFonts w:ascii="宋体" w:hAnsi="宋体" w:cs="宋体" w:eastAsia="宋体" w:hint="default"/>
                <w:sz w:val="21"/>
                <w:szCs w:val="21"/>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29" w:right="0"/>
              <w:jc w:val="left"/>
              <w:rPr>
                <w:rFonts w:ascii="宋体" w:hAnsi="宋体" w:cs="宋体" w:eastAsia="宋体" w:hint="default"/>
                <w:sz w:val="21"/>
                <w:szCs w:val="21"/>
              </w:rPr>
            </w:pPr>
            <w:r>
              <w:rPr>
                <w:rFonts w:ascii="宋体" w:hAnsi="宋体" w:cs="宋体" w:eastAsia="宋体" w:hint="default"/>
                <w:b/>
                <w:bCs/>
                <w:sz w:val="21"/>
                <w:szCs w:val="21"/>
              </w:rPr>
              <w:t>限售条件</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童之磊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22,426,110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首发前个人限售股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启迪华创</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15,024,247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首发前机构限售股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启迪华创</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1,786,834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首发前机构限售股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文睿投资</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8,449,643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首发前机构限售股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王秋虎</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5,031,630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首发前个人限售股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华睿海越创投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4,654,742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首发前机构限售股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胡松挺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4,277,994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首发前个人限售股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开物投资</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3,970,588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首发前机构限售股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陈耀杰</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3,962,102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首发前个人限售股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博发投资</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2,501,924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首发前机构限售股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德同长通</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2,095,870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首发前机构限售股</w:t>
            </w:r>
          </w:p>
        </w:tc>
      </w:tr>
    </w:tbl>
    <w:p>
      <w:pPr>
        <w:spacing w:after="0" w:line="240" w:lineRule="auto"/>
        <w:jc w:val="left"/>
        <w:rPr>
          <w:rFonts w:ascii="宋体" w:hAnsi="宋体" w:cs="宋体" w:eastAsia="宋体" w:hint="default"/>
          <w:sz w:val="21"/>
          <w:szCs w:val="21"/>
        </w:rPr>
        <w:sectPr>
          <w:pgSz w:w="11910" w:h="16840"/>
          <w:pgMar w:header="877" w:footer="979" w:top="1100" w:bottom="1160" w:left="980" w:right="98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0"/>
          <w:szCs w:val="20"/>
        </w:rPr>
      </w:pPr>
    </w:p>
    <w:p>
      <w:pPr>
        <w:spacing w:before="26"/>
        <w:ind w:left="4650" w:right="0" w:firstLine="0"/>
        <w:jc w:val="left"/>
        <w:rPr>
          <w:rFonts w:ascii="宋体" w:hAnsi="宋体" w:cs="宋体" w:eastAsia="宋体" w:hint="default"/>
          <w:sz w:val="24"/>
          <w:szCs w:val="24"/>
        </w:rPr>
      </w:pPr>
      <w:bookmarkStart w:name="第七节 董事、监事、高级管理人员和员工情况" w:id="84"/>
      <w:bookmarkEnd w:id="84"/>
      <w:r>
        <w:rPr/>
      </w:r>
      <w:bookmarkStart w:name="_bookmark6" w:id="85"/>
      <w:bookmarkEnd w:id="85"/>
      <w:r>
        <w:rPr/>
      </w:r>
      <w:r>
        <w:rPr>
          <w:rFonts w:ascii="宋体" w:hAnsi="宋体" w:cs="宋体" w:eastAsia="宋体" w:hint="default"/>
          <w:b/>
          <w:bCs/>
          <w:sz w:val="24"/>
          <w:szCs w:val="24"/>
        </w:rPr>
        <w:t>第七节</w:t>
      </w:r>
      <w:r>
        <w:rPr>
          <w:rFonts w:ascii="宋体" w:hAnsi="宋体" w:cs="宋体" w:eastAsia="宋体" w:hint="default"/>
          <w:b/>
          <w:bCs/>
          <w:spacing w:val="-17"/>
          <w:sz w:val="24"/>
          <w:szCs w:val="24"/>
        </w:rPr>
        <w:t> </w:t>
      </w:r>
      <w:r>
        <w:rPr>
          <w:rFonts w:ascii="宋体" w:hAnsi="宋体" w:cs="宋体" w:eastAsia="宋体" w:hint="default"/>
          <w:b/>
          <w:bCs/>
          <w:sz w:val="24"/>
          <w:szCs w:val="24"/>
        </w:rPr>
        <w:t>董事、监事、高级管理人员和员工情况</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26"/>
        <w:ind w:left="140" w:right="0" w:firstLine="0"/>
        <w:jc w:val="left"/>
        <w:rPr>
          <w:rFonts w:ascii="宋体" w:hAnsi="宋体" w:cs="宋体" w:eastAsia="宋体" w:hint="default"/>
          <w:sz w:val="24"/>
          <w:szCs w:val="24"/>
        </w:rPr>
      </w:pPr>
      <w:bookmarkStart w:name="一、董事、监事和高级管理人员持股变动" w:id="86"/>
      <w:bookmarkEnd w:id="86"/>
      <w:r>
        <w:rPr/>
      </w:r>
      <w:r>
        <w:rPr>
          <w:rFonts w:ascii="宋体" w:hAnsi="宋体" w:cs="宋体" w:eastAsia="宋体" w:hint="default"/>
          <w:b/>
          <w:bCs/>
          <w:sz w:val="24"/>
          <w:szCs w:val="24"/>
        </w:rPr>
        <w:t>一、董事、监事和高级管理人员持股变动</w:t>
      </w:r>
      <w:r>
        <w:rPr>
          <w:rFonts w:ascii="宋体" w:hAnsi="宋体" w:cs="宋体" w:eastAsia="宋体" w:hint="default"/>
          <w:sz w:val="24"/>
          <w:szCs w:val="24"/>
        </w:rPr>
      </w:r>
    </w:p>
    <w:p>
      <w:pPr>
        <w:spacing w:line="240" w:lineRule="auto" w:before="11"/>
        <w:rPr>
          <w:rFonts w:ascii="宋体" w:hAnsi="宋体" w:cs="宋体" w:eastAsia="宋体" w:hint="default"/>
          <w:b/>
          <w:bCs/>
          <w:sz w:val="22"/>
          <w:szCs w:val="22"/>
        </w:rPr>
      </w:pPr>
    </w:p>
    <w:p>
      <w:pPr>
        <w:spacing w:before="0"/>
        <w:ind w:left="140" w:right="0" w:firstLine="0"/>
        <w:jc w:val="left"/>
        <w:rPr>
          <w:rFonts w:ascii="宋体" w:hAnsi="宋体" w:cs="宋体" w:eastAsia="宋体" w:hint="default"/>
          <w:sz w:val="24"/>
          <w:szCs w:val="24"/>
        </w:rPr>
      </w:pPr>
      <w:bookmarkStart w:name="1、持股情况" w:id="87"/>
      <w:bookmarkEnd w:id="87"/>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、持股情况</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36"/>
        <w:jc w:val="right"/>
      </w:pPr>
      <w:r>
        <w:rPr/>
        <w:t>单位：股</w:t>
      </w:r>
    </w:p>
    <w:p>
      <w:pPr>
        <w:spacing w:line="240" w:lineRule="auto" w:before="11"/>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736"/>
        <w:gridCol w:w="1418"/>
        <w:gridCol w:w="707"/>
        <w:gridCol w:w="709"/>
        <w:gridCol w:w="1134"/>
        <w:gridCol w:w="994"/>
        <w:gridCol w:w="994"/>
        <w:gridCol w:w="992"/>
        <w:gridCol w:w="995"/>
        <w:gridCol w:w="991"/>
        <w:gridCol w:w="994"/>
        <w:gridCol w:w="992"/>
        <w:gridCol w:w="992"/>
        <w:gridCol w:w="1369"/>
      </w:tblGrid>
      <w:tr>
        <w:trPr>
          <w:trHeight w:val="1650"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sz w:val="21"/>
                <w:szCs w:val="21"/>
              </w:rPr>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性别</w:t>
            </w:r>
            <w:r>
              <w:rPr>
                <w:rFonts w:ascii="宋体" w:hAnsi="宋体" w:cs="宋体" w:eastAsia="宋体" w:hint="default"/>
                <w:sz w:val="21"/>
                <w:szCs w:val="21"/>
              </w:rPr>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年龄</w:t>
            </w:r>
            <w:r>
              <w:rPr>
                <w:rFonts w:ascii="宋体" w:hAnsi="宋体" w:cs="宋体" w:eastAsia="宋体" w:hint="default"/>
                <w:sz w:val="21"/>
                <w:szCs w:val="21"/>
              </w:rPr>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任职状态</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386" w:right="67" w:hanging="317"/>
              <w:jc w:val="left"/>
              <w:rPr>
                <w:rFonts w:ascii="宋体" w:hAnsi="宋体" w:cs="宋体" w:eastAsia="宋体" w:hint="default"/>
                <w:sz w:val="21"/>
                <w:szCs w:val="21"/>
              </w:rPr>
            </w:pPr>
            <w:r>
              <w:rPr>
                <w:rFonts w:ascii="宋体" w:hAnsi="宋体" w:cs="宋体" w:eastAsia="宋体" w:hint="default"/>
                <w:b/>
                <w:bCs/>
                <w:sz w:val="21"/>
                <w:szCs w:val="21"/>
              </w:rPr>
              <w:t>期初持股</w:t>
            </w:r>
            <w:r>
              <w:rPr>
                <w:rFonts w:ascii="宋体" w:hAnsi="宋体" w:cs="宋体" w:eastAsia="宋体" w:hint="default"/>
                <w:b/>
                <w:bCs/>
                <w:spacing w:val="1"/>
                <w:w w:val="99"/>
                <w:sz w:val="21"/>
                <w:szCs w:val="21"/>
              </w:rPr>
              <w:t> </w:t>
            </w:r>
            <w:r>
              <w:rPr>
                <w:rFonts w:ascii="宋体" w:hAnsi="宋体" w:cs="宋体" w:eastAsia="宋体" w:hint="default"/>
                <w:b/>
                <w:bCs/>
                <w:sz w:val="21"/>
                <w:szCs w:val="21"/>
              </w:rPr>
              <w:t>数</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69" w:right="67"/>
              <w:jc w:val="left"/>
              <w:rPr>
                <w:rFonts w:ascii="宋体" w:hAnsi="宋体" w:cs="宋体" w:eastAsia="宋体" w:hint="default"/>
                <w:sz w:val="21"/>
                <w:szCs w:val="21"/>
              </w:rPr>
            </w:pPr>
            <w:r>
              <w:rPr>
                <w:rFonts w:ascii="宋体" w:hAnsi="宋体" w:cs="宋体" w:eastAsia="宋体" w:hint="default"/>
                <w:b/>
                <w:bCs/>
                <w:sz w:val="21"/>
                <w:szCs w:val="21"/>
              </w:rPr>
              <w:t>本期增持</w:t>
            </w:r>
            <w:r>
              <w:rPr>
                <w:rFonts w:ascii="宋体" w:hAnsi="宋体" w:cs="宋体" w:eastAsia="宋体" w:hint="default"/>
                <w:b/>
                <w:bCs/>
                <w:spacing w:val="1"/>
                <w:w w:val="99"/>
                <w:sz w:val="21"/>
                <w:szCs w:val="21"/>
              </w:rPr>
              <w:t> </w:t>
            </w:r>
            <w:r>
              <w:rPr>
                <w:rFonts w:ascii="宋体" w:hAnsi="宋体" w:cs="宋体" w:eastAsia="宋体" w:hint="default"/>
                <w:b/>
                <w:bCs/>
                <w:sz w:val="21"/>
                <w:szCs w:val="21"/>
              </w:rPr>
              <w:t>股份数量</w:t>
            </w:r>
            <w:r>
              <w:rPr>
                <w:rFonts w:ascii="宋体" w:hAnsi="宋体" w:cs="宋体" w:eastAsia="宋体" w:hint="default"/>
                <w:sz w:val="21"/>
                <w:szCs w:val="21"/>
              </w:rPr>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68" w:right="66"/>
              <w:jc w:val="left"/>
              <w:rPr>
                <w:rFonts w:ascii="宋体" w:hAnsi="宋体" w:cs="宋体" w:eastAsia="宋体" w:hint="default"/>
                <w:sz w:val="21"/>
                <w:szCs w:val="21"/>
              </w:rPr>
            </w:pPr>
            <w:r>
              <w:rPr>
                <w:rFonts w:ascii="宋体" w:hAnsi="宋体" w:cs="宋体" w:eastAsia="宋体" w:hint="default"/>
                <w:b/>
                <w:bCs/>
                <w:sz w:val="21"/>
                <w:szCs w:val="21"/>
              </w:rPr>
              <w:t>本期减持</w:t>
            </w:r>
            <w:r>
              <w:rPr>
                <w:rFonts w:ascii="宋体" w:hAnsi="宋体" w:cs="宋体" w:eastAsia="宋体" w:hint="default"/>
                <w:b/>
                <w:bCs/>
                <w:spacing w:val="1"/>
                <w:w w:val="99"/>
                <w:sz w:val="21"/>
                <w:szCs w:val="21"/>
              </w:rPr>
              <w:t> </w:t>
            </w:r>
            <w:r>
              <w:rPr>
                <w:rFonts w:ascii="宋体" w:hAnsi="宋体" w:cs="宋体" w:eastAsia="宋体" w:hint="default"/>
                <w:b/>
                <w:bCs/>
                <w:sz w:val="21"/>
                <w:szCs w:val="21"/>
              </w:rPr>
              <w:t>股份数量</w:t>
            </w:r>
            <w:r>
              <w:rPr>
                <w:rFonts w:ascii="宋体" w:hAnsi="宋体" w:cs="宋体" w:eastAsia="宋体" w:hint="default"/>
                <w:sz w:val="21"/>
                <w:szCs w:val="21"/>
              </w:rPr>
            </w:r>
          </w:p>
        </w:tc>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387" w:right="67" w:hanging="317"/>
              <w:jc w:val="left"/>
              <w:rPr>
                <w:rFonts w:ascii="宋体" w:hAnsi="宋体" w:cs="宋体" w:eastAsia="宋体" w:hint="default"/>
                <w:sz w:val="21"/>
                <w:szCs w:val="21"/>
              </w:rPr>
            </w:pPr>
            <w:r>
              <w:rPr>
                <w:rFonts w:ascii="宋体" w:hAnsi="宋体" w:cs="宋体" w:eastAsia="宋体" w:hint="default"/>
                <w:b/>
                <w:bCs/>
                <w:sz w:val="21"/>
                <w:szCs w:val="21"/>
              </w:rPr>
              <w:t>期末持股</w:t>
            </w:r>
            <w:r>
              <w:rPr>
                <w:rFonts w:ascii="宋体" w:hAnsi="宋体" w:cs="宋体" w:eastAsia="宋体" w:hint="default"/>
                <w:b/>
                <w:bCs/>
                <w:spacing w:val="1"/>
                <w:w w:val="99"/>
                <w:sz w:val="21"/>
                <w:szCs w:val="21"/>
              </w:rPr>
              <w:t> </w:t>
            </w:r>
            <w:r>
              <w:rPr>
                <w:rFonts w:ascii="宋体" w:hAnsi="宋体" w:cs="宋体" w:eastAsia="宋体" w:hint="default"/>
                <w:b/>
                <w:bCs/>
                <w:sz w:val="21"/>
                <w:szCs w:val="21"/>
              </w:rPr>
              <w:t>数</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8" w:right="66"/>
              <w:jc w:val="both"/>
              <w:rPr>
                <w:rFonts w:ascii="宋体" w:hAnsi="宋体" w:cs="宋体" w:eastAsia="宋体" w:hint="default"/>
                <w:sz w:val="21"/>
                <w:szCs w:val="21"/>
              </w:rPr>
            </w:pPr>
            <w:r>
              <w:rPr>
                <w:rFonts w:ascii="宋体" w:hAnsi="宋体" w:cs="宋体" w:eastAsia="宋体" w:hint="default"/>
                <w:b/>
                <w:bCs/>
                <w:sz w:val="21"/>
                <w:szCs w:val="21"/>
              </w:rPr>
              <w:t>期初持有</w:t>
            </w:r>
            <w:r>
              <w:rPr>
                <w:rFonts w:ascii="宋体" w:hAnsi="宋体" w:cs="宋体" w:eastAsia="宋体" w:hint="default"/>
                <w:b/>
                <w:bCs/>
                <w:spacing w:val="1"/>
                <w:w w:val="99"/>
                <w:sz w:val="21"/>
                <w:szCs w:val="21"/>
              </w:rPr>
              <w:t> </w:t>
            </w:r>
            <w:r>
              <w:rPr>
                <w:rFonts w:ascii="宋体" w:hAnsi="宋体" w:cs="宋体" w:eastAsia="宋体" w:hint="default"/>
                <w:b/>
                <w:bCs/>
                <w:sz w:val="21"/>
                <w:szCs w:val="21"/>
              </w:rPr>
              <w:t>的股权激</w:t>
            </w:r>
            <w:r>
              <w:rPr>
                <w:rFonts w:ascii="宋体" w:hAnsi="宋体" w:cs="宋体" w:eastAsia="宋体" w:hint="default"/>
                <w:b/>
                <w:bCs/>
                <w:spacing w:val="1"/>
                <w:w w:val="99"/>
                <w:sz w:val="21"/>
                <w:szCs w:val="21"/>
              </w:rPr>
              <w:t> </w:t>
            </w:r>
            <w:r>
              <w:rPr>
                <w:rFonts w:ascii="宋体" w:hAnsi="宋体" w:cs="宋体" w:eastAsia="宋体" w:hint="default"/>
                <w:b/>
                <w:bCs/>
                <w:sz w:val="21"/>
                <w:szCs w:val="21"/>
              </w:rPr>
              <w:t>励获授予</w:t>
            </w:r>
            <w:r>
              <w:rPr>
                <w:rFonts w:ascii="宋体" w:hAnsi="宋体" w:cs="宋体" w:eastAsia="宋体" w:hint="default"/>
                <w:b/>
                <w:bCs/>
                <w:spacing w:val="1"/>
                <w:w w:val="99"/>
                <w:sz w:val="21"/>
                <w:szCs w:val="21"/>
              </w:rPr>
              <w:t> </w:t>
            </w:r>
            <w:r>
              <w:rPr>
                <w:rFonts w:ascii="宋体" w:hAnsi="宋体" w:cs="宋体" w:eastAsia="宋体" w:hint="default"/>
                <w:b/>
                <w:bCs/>
                <w:sz w:val="21"/>
                <w:szCs w:val="21"/>
              </w:rPr>
              <w:t>限制性股</w:t>
            </w:r>
            <w:r>
              <w:rPr>
                <w:rFonts w:ascii="宋体" w:hAnsi="宋体" w:cs="宋体" w:eastAsia="宋体" w:hint="default"/>
                <w:b/>
                <w:bCs/>
                <w:spacing w:val="1"/>
                <w:w w:val="99"/>
                <w:sz w:val="21"/>
                <w:szCs w:val="21"/>
              </w:rPr>
              <w:t> </w:t>
            </w:r>
            <w:r>
              <w:rPr>
                <w:rFonts w:ascii="宋体" w:hAnsi="宋体" w:cs="宋体" w:eastAsia="宋体" w:hint="default"/>
                <w:b/>
                <w:bCs/>
                <w:sz w:val="21"/>
                <w:szCs w:val="21"/>
              </w:rPr>
              <w:t>票数量</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0" w:right="66"/>
              <w:jc w:val="center"/>
              <w:rPr>
                <w:rFonts w:ascii="宋体" w:hAnsi="宋体" w:cs="宋体" w:eastAsia="宋体" w:hint="default"/>
                <w:sz w:val="21"/>
                <w:szCs w:val="21"/>
              </w:rPr>
            </w:pPr>
            <w:r>
              <w:rPr>
                <w:rFonts w:ascii="宋体" w:hAnsi="宋体" w:cs="宋体" w:eastAsia="宋体" w:hint="default"/>
                <w:b/>
                <w:bCs/>
                <w:sz w:val="21"/>
                <w:szCs w:val="21"/>
              </w:rPr>
              <w:t>本期获授</w:t>
            </w:r>
            <w:r>
              <w:rPr>
                <w:rFonts w:ascii="宋体" w:hAnsi="宋体" w:cs="宋体" w:eastAsia="宋体" w:hint="default"/>
                <w:b/>
                <w:bCs/>
                <w:spacing w:val="1"/>
                <w:w w:val="99"/>
                <w:sz w:val="21"/>
                <w:szCs w:val="21"/>
              </w:rPr>
              <w:t> </w:t>
            </w:r>
            <w:r>
              <w:rPr>
                <w:rFonts w:ascii="宋体" w:hAnsi="宋体" w:cs="宋体" w:eastAsia="宋体" w:hint="default"/>
                <w:b/>
                <w:bCs/>
                <w:sz w:val="21"/>
                <w:szCs w:val="21"/>
              </w:rPr>
              <w:t>予的股权</w:t>
            </w:r>
            <w:r>
              <w:rPr>
                <w:rFonts w:ascii="宋体" w:hAnsi="宋体" w:cs="宋体" w:eastAsia="宋体" w:hint="default"/>
                <w:b/>
                <w:bCs/>
                <w:spacing w:val="1"/>
                <w:w w:val="99"/>
                <w:sz w:val="21"/>
                <w:szCs w:val="21"/>
              </w:rPr>
              <w:t> </w:t>
            </w:r>
            <w:r>
              <w:rPr>
                <w:rFonts w:ascii="宋体" w:hAnsi="宋体" w:cs="宋体" w:eastAsia="宋体" w:hint="default"/>
                <w:b/>
                <w:bCs/>
                <w:sz w:val="21"/>
                <w:szCs w:val="21"/>
              </w:rPr>
              <w:t>激励限制</w:t>
            </w:r>
            <w:r>
              <w:rPr>
                <w:rFonts w:ascii="宋体" w:hAnsi="宋体" w:cs="宋体" w:eastAsia="宋体" w:hint="default"/>
                <w:b/>
                <w:bCs/>
                <w:spacing w:val="1"/>
                <w:w w:val="99"/>
                <w:sz w:val="21"/>
                <w:szCs w:val="21"/>
              </w:rPr>
              <w:t> </w:t>
            </w:r>
            <w:r>
              <w:rPr>
                <w:rFonts w:ascii="宋体" w:hAnsi="宋体" w:cs="宋体" w:eastAsia="宋体" w:hint="default"/>
                <w:b/>
                <w:bCs/>
                <w:sz w:val="21"/>
                <w:szCs w:val="21"/>
              </w:rPr>
              <w:t>性股票数</w:t>
            </w:r>
            <w:r>
              <w:rPr>
                <w:rFonts w:ascii="宋体" w:hAnsi="宋体" w:cs="宋体" w:eastAsia="宋体" w:hint="default"/>
                <w:b/>
                <w:bCs/>
                <w:spacing w:val="1"/>
                <w:w w:val="99"/>
                <w:sz w:val="21"/>
                <w:szCs w:val="21"/>
              </w:rPr>
              <w:t> </w:t>
            </w:r>
            <w:r>
              <w:rPr>
                <w:rFonts w:ascii="宋体" w:hAnsi="宋体" w:cs="宋体" w:eastAsia="宋体" w:hint="default"/>
                <w:b/>
                <w:bCs/>
                <w:sz w:val="21"/>
                <w:szCs w:val="21"/>
              </w:rPr>
              <w:t>量</w:t>
            </w:r>
            <w:r>
              <w:rPr>
                <w:rFonts w:ascii="宋体" w:hAnsi="宋体" w:cs="宋体" w:eastAsia="宋体" w:hint="default"/>
                <w:sz w:val="21"/>
                <w:szCs w:val="21"/>
              </w:rPr>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8" w:right="67"/>
              <w:jc w:val="center"/>
              <w:rPr>
                <w:rFonts w:ascii="宋体" w:hAnsi="宋体" w:cs="宋体" w:eastAsia="宋体" w:hint="default"/>
                <w:sz w:val="21"/>
                <w:szCs w:val="21"/>
              </w:rPr>
            </w:pPr>
            <w:r>
              <w:rPr>
                <w:rFonts w:ascii="宋体" w:hAnsi="宋体" w:cs="宋体" w:eastAsia="宋体" w:hint="default"/>
                <w:b/>
                <w:bCs/>
                <w:sz w:val="21"/>
                <w:szCs w:val="21"/>
              </w:rPr>
              <w:t>本期被注</w:t>
            </w:r>
            <w:r>
              <w:rPr>
                <w:rFonts w:ascii="宋体" w:hAnsi="宋体" w:cs="宋体" w:eastAsia="宋体" w:hint="default"/>
                <w:b/>
                <w:bCs/>
                <w:spacing w:val="1"/>
                <w:w w:val="99"/>
                <w:sz w:val="21"/>
                <w:szCs w:val="21"/>
              </w:rPr>
              <w:t> </w:t>
            </w:r>
            <w:r>
              <w:rPr>
                <w:rFonts w:ascii="宋体" w:hAnsi="宋体" w:cs="宋体" w:eastAsia="宋体" w:hint="default"/>
                <w:b/>
                <w:bCs/>
                <w:sz w:val="21"/>
                <w:szCs w:val="21"/>
              </w:rPr>
              <w:t>销的股权</w:t>
            </w:r>
            <w:r>
              <w:rPr>
                <w:rFonts w:ascii="宋体" w:hAnsi="宋体" w:cs="宋体" w:eastAsia="宋体" w:hint="default"/>
                <w:b/>
                <w:bCs/>
                <w:spacing w:val="1"/>
                <w:w w:val="99"/>
                <w:sz w:val="21"/>
                <w:szCs w:val="21"/>
              </w:rPr>
              <w:t> </w:t>
            </w:r>
            <w:r>
              <w:rPr>
                <w:rFonts w:ascii="宋体" w:hAnsi="宋体" w:cs="宋体" w:eastAsia="宋体" w:hint="default"/>
                <w:b/>
                <w:bCs/>
                <w:sz w:val="21"/>
                <w:szCs w:val="21"/>
              </w:rPr>
              <w:t>激励限制</w:t>
            </w:r>
            <w:r>
              <w:rPr>
                <w:rFonts w:ascii="宋体" w:hAnsi="宋体" w:cs="宋体" w:eastAsia="宋体" w:hint="default"/>
                <w:b/>
                <w:bCs/>
                <w:spacing w:val="1"/>
                <w:w w:val="99"/>
                <w:sz w:val="21"/>
                <w:szCs w:val="21"/>
              </w:rPr>
              <w:t> </w:t>
            </w:r>
            <w:r>
              <w:rPr>
                <w:rFonts w:ascii="宋体" w:hAnsi="宋体" w:cs="宋体" w:eastAsia="宋体" w:hint="default"/>
                <w:b/>
                <w:bCs/>
                <w:sz w:val="21"/>
                <w:szCs w:val="21"/>
              </w:rPr>
              <w:t>性股票数</w:t>
            </w:r>
            <w:r>
              <w:rPr>
                <w:rFonts w:ascii="宋体" w:hAnsi="宋体" w:cs="宋体" w:eastAsia="宋体" w:hint="default"/>
                <w:b/>
                <w:bCs/>
                <w:spacing w:val="1"/>
                <w:w w:val="99"/>
                <w:sz w:val="21"/>
                <w:szCs w:val="21"/>
              </w:rPr>
              <w:t> </w:t>
            </w:r>
            <w:r>
              <w:rPr>
                <w:rFonts w:ascii="宋体" w:hAnsi="宋体" w:cs="宋体" w:eastAsia="宋体" w:hint="default"/>
                <w:b/>
                <w:bCs/>
                <w:sz w:val="21"/>
                <w:szCs w:val="21"/>
              </w:rPr>
              <w:t>量</w:t>
            </w:r>
            <w:r>
              <w:rPr>
                <w:rFonts w:ascii="宋体" w:hAnsi="宋体" w:cs="宋体" w:eastAsia="宋体" w:hint="default"/>
                <w:sz w:val="21"/>
                <w:szCs w:val="21"/>
              </w:rPr>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8" w:right="66"/>
              <w:jc w:val="both"/>
              <w:rPr>
                <w:rFonts w:ascii="宋体" w:hAnsi="宋体" w:cs="宋体" w:eastAsia="宋体" w:hint="default"/>
                <w:sz w:val="21"/>
                <w:szCs w:val="21"/>
              </w:rPr>
            </w:pPr>
            <w:r>
              <w:rPr>
                <w:rFonts w:ascii="宋体" w:hAnsi="宋体" w:cs="宋体" w:eastAsia="宋体" w:hint="default"/>
                <w:b/>
                <w:bCs/>
                <w:sz w:val="21"/>
                <w:szCs w:val="21"/>
              </w:rPr>
              <w:t>期末持有</w:t>
            </w:r>
            <w:r>
              <w:rPr>
                <w:rFonts w:ascii="宋体" w:hAnsi="宋体" w:cs="宋体" w:eastAsia="宋体" w:hint="default"/>
                <w:b/>
                <w:bCs/>
                <w:spacing w:val="1"/>
                <w:w w:val="99"/>
                <w:sz w:val="21"/>
                <w:szCs w:val="21"/>
              </w:rPr>
              <w:t> </w:t>
            </w:r>
            <w:r>
              <w:rPr>
                <w:rFonts w:ascii="宋体" w:hAnsi="宋体" w:cs="宋体" w:eastAsia="宋体" w:hint="default"/>
                <w:b/>
                <w:bCs/>
                <w:sz w:val="21"/>
                <w:szCs w:val="21"/>
              </w:rPr>
              <w:t>的股权激</w:t>
            </w:r>
            <w:r>
              <w:rPr>
                <w:rFonts w:ascii="宋体" w:hAnsi="宋体" w:cs="宋体" w:eastAsia="宋体" w:hint="default"/>
                <w:b/>
                <w:bCs/>
                <w:spacing w:val="1"/>
                <w:w w:val="99"/>
                <w:sz w:val="21"/>
                <w:szCs w:val="21"/>
              </w:rPr>
              <w:t> </w:t>
            </w:r>
            <w:r>
              <w:rPr>
                <w:rFonts w:ascii="宋体" w:hAnsi="宋体" w:cs="宋体" w:eastAsia="宋体" w:hint="default"/>
                <w:b/>
                <w:bCs/>
                <w:sz w:val="21"/>
                <w:szCs w:val="21"/>
              </w:rPr>
              <w:t>励获授予</w:t>
            </w:r>
            <w:r>
              <w:rPr>
                <w:rFonts w:ascii="宋体" w:hAnsi="宋体" w:cs="宋体" w:eastAsia="宋体" w:hint="default"/>
                <w:b/>
                <w:bCs/>
                <w:spacing w:val="1"/>
                <w:w w:val="99"/>
                <w:sz w:val="21"/>
                <w:szCs w:val="21"/>
              </w:rPr>
              <w:t> </w:t>
            </w:r>
            <w:r>
              <w:rPr>
                <w:rFonts w:ascii="宋体" w:hAnsi="宋体" w:cs="宋体" w:eastAsia="宋体" w:hint="default"/>
                <w:b/>
                <w:bCs/>
                <w:sz w:val="21"/>
                <w:szCs w:val="21"/>
              </w:rPr>
              <w:t>限制性股</w:t>
            </w:r>
            <w:r>
              <w:rPr>
                <w:rFonts w:ascii="宋体" w:hAnsi="宋体" w:cs="宋体" w:eastAsia="宋体" w:hint="default"/>
                <w:b/>
                <w:bCs/>
                <w:spacing w:val="1"/>
                <w:w w:val="99"/>
                <w:sz w:val="21"/>
                <w:szCs w:val="21"/>
              </w:rPr>
              <w:t> </w:t>
            </w:r>
            <w:r>
              <w:rPr>
                <w:rFonts w:ascii="宋体" w:hAnsi="宋体" w:cs="宋体" w:eastAsia="宋体" w:hint="default"/>
                <w:b/>
                <w:bCs/>
                <w:sz w:val="21"/>
                <w:szCs w:val="21"/>
              </w:rPr>
              <w:t>票数量</w:t>
            </w:r>
            <w:r>
              <w:rPr>
                <w:rFonts w:ascii="宋体" w:hAnsi="宋体" w:cs="宋体" w:eastAsia="宋体" w:hint="default"/>
                <w:sz w:val="21"/>
                <w:szCs w:val="21"/>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b/>
                <w:bCs/>
                <w:sz w:val="21"/>
                <w:szCs w:val="21"/>
              </w:rPr>
              <w:t>增减变动原因</w:t>
            </w:r>
            <w:r>
              <w:rPr>
                <w:rFonts w:ascii="宋体" w:hAnsi="宋体" w:cs="宋体" w:eastAsia="宋体" w:hint="default"/>
                <w:sz w:val="21"/>
                <w:szCs w:val="21"/>
              </w:rPr>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童之磊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3"/>
              <w:jc w:val="left"/>
              <w:rPr>
                <w:rFonts w:ascii="宋体" w:hAnsi="宋体" w:cs="宋体" w:eastAsia="宋体" w:hint="default"/>
                <w:sz w:val="21"/>
                <w:szCs w:val="21"/>
              </w:rPr>
            </w:pPr>
            <w:r>
              <w:rPr>
                <w:rFonts w:ascii="宋体" w:hAnsi="宋体" w:cs="宋体" w:eastAsia="宋体" w:hint="default"/>
                <w:sz w:val="21"/>
                <w:szCs w:val="21"/>
              </w:rPr>
              <w:t>董事长兼总经 理</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22,426,110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22,426,110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无增减</w:t>
            </w:r>
          </w:p>
        </w:tc>
      </w:tr>
      <w:tr>
        <w:trPr>
          <w:trHeight w:val="40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26"/>
              <w:ind w:right="47"/>
              <w:jc w:val="center"/>
              <w:rPr>
                <w:rFonts w:ascii="宋体" w:hAnsi="宋体" w:cs="宋体" w:eastAsia="宋体" w:hint="default"/>
                <w:sz w:val="21"/>
                <w:szCs w:val="21"/>
              </w:rPr>
            </w:pPr>
            <w:r>
              <w:rPr>
                <w:rFonts w:ascii="宋体" w:hAnsi="宋体" w:cs="宋体" w:eastAsia="宋体" w:hint="default"/>
                <w:sz w:val="21"/>
                <w:szCs w:val="21"/>
              </w:rPr>
              <w:t>雷</w:t>
              <w:tab/>
              <w:t>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8"/>
              <w:jc w:val="center"/>
              <w:rPr>
                <w:rFonts w:ascii="宋体" w:hAnsi="宋体" w:cs="宋体" w:eastAsia="宋体" w:hint="default"/>
                <w:sz w:val="21"/>
                <w:szCs w:val="21"/>
              </w:rPr>
            </w:pPr>
            <w:r>
              <w:rPr>
                <w:rFonts w:ascii="宋体" w:hAnsi="宋体" w:cs="宋体" w:eastAsia="宋体" w:hint="default"/>
                <w:sz w:val="21"/>
                <w:szCs w:val="21"/>
              </w:rPr>
              <w:t>周树华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tabs>
                <w:tab w:pos="421" w:val="left" w:leader="none"/>
              </w:tabs>
              <w:spacing w:line="240" w:lineRule="auto"/>
              <w:ind w:right="47"/>
              <w:jc w:val="center"/>
              <w:rPr>
                <w:rFonts w:ascii="宋体" w:hAnsi="宋体" w:cs="宋体" w:eastAsia="宋体" w:hint="default"/>
                <w:sz w:val="21"/>
                <w:szCs w:val="21"/>
              </w:rPr>
            </w:pPr>
            <w:r>
              <w:rPr>
                <w:rFonts w:ascii="宋体" w:hAnsi="宋体" w:cs="宋体" w:eastAsia="宋体" w:hint="default"/>
                <w:sz w:val="21"/>
                <w:szCs w:val="21"/>
              </w:rPr>
              <w:t>张</w:t>
              <w:tab/>
              <w:t>帆</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3"/>
              <w:jc w:val="both"/>
              <w:rPr>
                <w:rFonts w:ascii="宋体" w:hAnsi="宋体" w:cs="宋体" w:eastAsia="宋体" w:hint="default"/>
                <w:sz w:val="21"/>
                <w:szCs w:val="21"/>
              </w:rPr>
            </w:pPr>
            <w:r>
              <w:rPr>
                <w:rFonts w:ascii="宋体" w:hAnsi="宋体" w:cs="宋体" w:eastAsia="宋体" w:hint="default"/>
                <w:sz w:val="21"/>
                <w:szCs w:val="21"/>
              </w:rPr>
              <w:t>董事、董事会 秘书兼副总经 理</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8"/>
              <w:jc w:val="center"/>
              <w:rPr>
                <w:rFonts w:ascii="宋体" w:hAnsi="宋体" w:cs="宋体" w:eastAsia="宋体" w:hint="default"/>
                <w:sz w:val="21"/>
                <w:szCs w:val="21"/>
              </w:rPr>
            </w:pPr>
            <w:r>
              <w:rPr>
                <w:rFonts w:ascii="宋体" w:hAnsi="宋体" w:cs="宋体" w:eastAsia="宋体" w:hint="default"/>
                <w:sz w:val="21"/>
                <w:szCs w:val="21"/>
              </w:rPr>
              <w:t>桂晓风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离任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8"/>
              <w:jc w:val="center"/>
              <w:rPr>
                <w:rFonts w:ascii="宋体" w:hAnsi="宋体" w:cs="宋体" w:eastAsia="宋体" w:hint="default"/>
                <w:sz w:val="21"/>
                <w:szCs w:val="21"/>
              </w:rPr>
            </w:pPr>
            <w:r>
              <w:rPr>
                <w:rFonts w:ascii="宋体" w:hAnsi="宋体" w:cs="宋体" w:eastAsia="宋体" w:hint="default"/>
                <w:sz w:val="21"/>
                <w:szCs w:val="21"/>
              </w:rPr>
              <w:t>何庆源</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26"/>
              <w:ind w:right="47"/>
              <w:jc w:val="center"/>
              <w:rPr>
                <w:rFonts w:ascii="宋体" w:hAnsi="宋体" w:cs="宋体" w:eastAsia="宋体" w:hint="default"/>
                <w:sz w:val="21"/>
                <w:szCs w:val="21"/>
              </w:rPr>
            </w:pPr>
            <w:r>
              <w:rPr>
                <w:rFonts w:ascii="宋体" w:hAnsi="宋体" w:cs="宋体" w:eastAsia="宋体" w:hint="default"/>
                <w:sz w:val="21"/>
                <w:szCs w:val="21"/>
              </w:rPr>
              <w:t>陈</w:t>
              <w:tab/>
              <w:t>晓</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8"/>
              <w:jc w:val="center"/>
              <w:rPr>
                <w:rFonts w:ascii="宋体" w:hAnsi="宋体" w:cs="宋体" w:eastAsia="宋体" w:hint="default"/>
                <w:sz w:val="21"/>
                <w:szCs w:val="21"/>
              </w:rPr>
            </w:pPr>
            <w:r>
              <w:rPr>
                <w:rFonts w:ascii="宋体" w:hAnsi="宋体" w:cs="宋体" w:eastAsia="宋体" w:hint="default"/>
                <w:sz w:val="21"/>
                <w:szCs w:val="21"/>
              </w:rPr>
              <w:t>姜瑞明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8"/>
              <w:jc w:val="center"/>
              <w:rPr>
                <w:rFonts w:ascii="宋体" w:hAnsi="宋体" w:cs="宋体" w:eastAsia="宋体" w:hint="default"/>
                <w:sz w:val="21"/>
                <w:szCs w:val="21"/>
              </w:rPr>
            </w:pPr>
            <w:r>
              <w:rPr>
                <w:rFonts w:ascii="宋体" w:hAnsi="宋体" w:cs="宋体" w:eastAsia="宋体" w:hint="default"/>
                <w:sz w:val="21"/>
                <w:szCs w:val="21"/>
              </w:rPr>
              <w:t>王忠东</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4"/>
          <w:footerReference w:type="default" r:id="rId35"/>
          <w:pgSz w:w="16840" w:h="11910" w:orient="landscape"/>
          <w:pgMar w:header="867" w:footer="979" w:top="1060" w:bottom="1160" w:left="1300" w:right="1300"/>
          <w:pgNumType w:start="56"/>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736"/>
        <w:gridCol w:w="1418"/>
        <w:gridCol w:w="707"/>
        <w:gridCol w:w="709"/>
        <w:gridCol w:w="1134"/>
        <w:gridCol w:w="994"/>
        <w:gridCol w:w="994"/>
        <w:gridCol w:w="992"/>
        <w:gridCol w:w="995"/>
        <w:gridCol w:w="991"/>
        <w:gridCol w:w="994"/>
        <w:gridCol w:w="992"/>
        <w:gridCol w:w="992"/>
        <w:gridCol w:w="1369"/>
      </w:tblGrid>
      <w:tr>
        <w:trPr>
          <w:trHeight w:val="416" w:hRule="exact"/>
        </w:trPr>
        <w:tc>
          <w:tcPr>
            <w:tcW w:w="736" w:type="dxa"/>
            <w:tcBorders>
              <w:top w:val="single" w:sz="15"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曹</w:t>
              <w:tab/>
              <w:t>达</w:t>
            </w: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0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5"/>
              <w:ind w:right="242"/>
              <w:jc w:val="right"/>
              <w:rPr>
                <w:rFonts w:ascii="Times New Roman" w:hAnsi="Times New Roman" w:cs="Times New Roman" w:eastAsia="Times New Roman" w:hint="default"/>
                <w:sz w:val="21"/>
                <w:szCs w:val="21"/>
              </w:rPr>
            </w:pPr>
            <w:r>
              <w:rPr>
                <w:rFonts w:ascii="Times New Roman"/>
                <w:sz w:val="21"/>
              </w:rPr>
              <w:t>44</w:t>
            </w:r>
          </w:p>
        </w:tc>
        <w:tc>
          <w:tcPr>
            <w:tcW w:w="11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69"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任佳伟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42"/>
              <w:jc w:val="right"/>
              <w:rPr>
                <w:rFonts w:ascii="Times New Roman" w:hAnsi="Times New Roman" w:cs="Times New Roman" w:eastAsia="Times New Roman" w:hint="default"/>
                <w:sz w:val="21"/>
                <w:szCs w:val="21"/>
              </w:rPr>
            </w:pPr>
            <w:r>
              <w:rPr>
                <w:rFonts w:ascii="Times New Roman"/>
                <w:sz w:val="21"/>
              </w:rPr>
              <w:t>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谢广才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常务副总经理</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42"/>
              <w:jc w:val="right"/>
              <w:rPr>
                <w:rFonts w:ascii="Times New Roman" w:hAnsi="Times New Roman" w:cs="Times New Roman" w:eastAsia="Times New Roman" w:hint="default"/>
                <w:sz w:val="21"/>
                <w:szCs w:val="21"/>
              </w:rPr>
            </w:pPr>
            <w:r>
              <w:rPr>
                <w:rFonts w:ascii="Times New Roman"/>
                <w:sz w:val="21"/>
              </w:rPr>
              <w:t>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原森民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3"/>
              <w:jc w:val="left"/>
              <w:rPr>
                <w:rFonts w:ascii="宋体" w:hAnsi="宋体" w:cs="宋体" w:eastAsia="宋体" w:hint="default"/>
                <w:sz w:val="21"/>
                <w:szCs w:val="21"/>
              </w:rPr>
            </w:pPr>
            <w:r>
              <w:rPr>
                <w:rFonts w:ascii="宋体" w:hAnsi="宋体" w:cs="宋体" w:eastAsia="宋体" w:hint="default"/>
                <w:sz w:val="21"/>
                <w:szCs w:val="21"/>
              </w:rPr>
              <w:t>副总经理兼财 务总监</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42"/>
              <w:jc w:val="right"/>
              <w:rPr>
                <w:rFonts w:ascii="Times New Roman" w:hAnsi="Times New Roman" w:cs="Times New Roman" w:eastAsia="Times New Roman" w:hint="default"/>
                <w:sz w:val="21"/>
                <w:szCs w:val="21"/>
              </w:rPr>
            </w:pPr>
            <w:r>
              <w:rPr>
                <w:rFonts w:ascii="Times New Roman"/>
                <w:sz w:val="21"/>
              </w:rPr>
              <w:t>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3"/>
              <w:jc w:val="center"/>
              <w:rPr>
                <w:rFonts w:ascii="Times New Roman" w:hAnsi="Times New Roman" w:cs="Times New Roman" w:eastAsia="Times New Roman" w:hint="default"/>
                <w:sz w:val="21"/>
                <w:szCs w:val="21"/>
              </w:rPr>
            </w:pPr>
            <w:r>
              <w:rPr>
                <w:rFonts w:ascii="Times New Roman"/>
                <w:sz w:val="21"/>
              </w:rPr>
              <w:t>--</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28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22,426,110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22,426,110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8"/>
          <w:szCs w:val="18"/>
        </w:rPr>
      </w:pPr>
    </w:p>
    <w:p>
      <w:pPr>
        <w:spacing w:before="26"/>
        <w:ind w:left="140" w:right="0" w:firstLine="0"/>
        <w:jc w:val="left"/>
        <w:rPr>
          <w:rFonts w:ascii="宋体" w:hAnsi="宋体" w:cs="宋体" w:eastAsia="宋体" w:hint="default"/>
          <w:sz w:val="24"/>
          <w:szCs w:val="24"/>
        </w:rPr>
      </w:pPr>
      <w:bookmarkStart w:name="2、持有股票期权情况" w:id="88"/>
      <w:bookmarkEnd w:id="88"/>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、持有股票期权情况</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spacing w:line="499" w:lineRule="auto" w:before="0"/>
        <w:ind w:left="140" w:right="10476"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二、任职情况" w:id="89"/>
      <w:bookmarkEnd w:id="89"/>
      <w:r>
        <w:rPr>
          <w:rFonts w:ascii="宋体" w:hAnsi="宋体" w:cs="宋体" w:eastAsia="宋体" w:hint="default"/>
          <w:sz w:val="24"/>
          <w:szCs w:val="24"/>
        </w:rPr>
      </w:r>
      <w:r>
        <w:rPr>
          <w:rFonts w:ascii="宋体" w:hAnsi="宋体" w:cs="宋体" w:eastAsia="宋体" w:hint="default"/>
          <w:b/>
          <w:bCs/>
          <w:sz w:val="24"/>
          <w:szCs w:val="24"/>
        </w:rPr>
        <w:t>二、任职情况</w:t>
      </w:r>
      <w:r>
        <w:rPr>
          <w:rFonts w:ascii="宋体" w:hAnsi="宋体" w:cs="宋体" w:eastAsia="宋体" w:hint="default"/>
          <w:sz w:val="24"/>
          <w:szCs w:val="24"/>
        </w:rPr>
      </w:r>
    </w:p>
    <w:p>
      <w:pPr>
        <w:pStyle w:val="BodyText"/>
        <w:spacing w:line="240" w:lineRule="auto" w:before="118"/>
        <w:ind w:left="620" w:right="0"/>
        <w:jc w:val="left"/>
      </w:pPr>
      <w:r>
        <w:rPr/>
        <w:t>公司现任董事、监事、高级管理人员最近</w:t>
      </w:r>
      <w:r>
        <w:rPr>
          <w:spacing w:val="-60"/>
        </w:rPr>
        <w:t> </w:t>
      </w:r>
      <w:r>
        <w:rPr>
          <w:rFonts w:ascii="Times New Roman" w:hAnsi="Times New Roman" w:cs="Times New Roman" w:eastAsia="Times New Roman" w:hint="default"/>
        </w:rPr>
        <w:t>5 </w:t>
      </w:r>
      <w:r>
        <w:rPr/>
        <w:t>年的主要工作经历</w:t>
      </w:r>
    </w:p>
    <w:p>
      <w:pPr>
        <w:spacing w:line="240" w:lineRule="auto" w:before="4"/>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1163"/>
        <w:gridCol w:w="1562"/>
        <w:gridCol w:w="11290"/>
      </w:tblGrid>
      <w:tr>
        <w:trPr>
          <w:trHeight w:val="322"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365" w:right="0"/>
              <w:jc w:val="left"/>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sz w:val="21"/>
                <w:szCs w:val="21"/>
              </w:rPr>
            </w:r>
          </w:p>
        </w:tc>
        <w:tc>
          <w:tcPr>
            <w:tcW w:w="11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exact"/>
              <w:ind w:left="3006" w:right="0"/>
              <w:jc w:val="left"/>
              <w:rPr>
                <w:rFonts w:ascii="宋体" w:hAnsi="宋体" w:cs="宋体" w:eastAsia="宋体" w:hint="default"/>
                <w:sz w:val="21"/>
                <w:szCs w:val="21"/>
              </w:rPr>
            </w:pPr>
            <w:r>
              <w:rPr>
                <w:rFonts w:ascii="宋体" w:hAnsi="宋体" w:cs="宋体" w:eastAsia="宋体" w:hint="default"/>
                <w:b/>
                <w:bCs/>
                <w:sz w:val="21"/>
                <w:szCs w:val="21"/>
              </w:rPr>
              <w:t>最近</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Times New Roman" w:hAnsi="Times New Roman" w:cs="Times New Roman" w:eastAsia="Times New Roman" w:hint="default"/>
                <w:b/>
                <w:bCs/>
                <w:spacing w:val="-4"/>
                <w:sz w:val="21"/>
                <w:szCs w:val="21"/>
              </w:rPr>
              <w:t> </w:t>
            </w:r>
            <w:r>
              <w:rPr>
                <w:rFonts w:ascii="宋体" w:hAnsi="宋体" w:cs="宋体" w:eastAsia="宋体" w:hint="default"/>
                <w:b/>
                <w:bCs/>
                <w:sz w:val="21"/>
                <w:szCs w:val="21"/>
              </w:rPr>
              <w:t>年的主要工作经历和在其他单位的任职或兼职情况</w:t>
            </w:r>
            <w:r>
              <w:rPr>
                <w:rFonts w:ascii="宋体" w:hAnsi="宋体" w:cs="宋体" w:eastAsia="宋体" w:hint="default"/>
                <w:sz w:val="21"/>
                <w:szCs w:val="21"/>
              </w:rPr>
            </w:r>
          </w:p>
        </w:tc>
      </w:tr>
      <w:tr>
        <w:trPr>
          <w:trHeight w:val="2194"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22" w:right="0"/>
              <w:jc w:val="left"/>
              <w:rPr>
                <w:rFonts w:ascii="宋体" w:hAnsi="宋体" w:cs="宋体" w:eastAsia="宋体" w:hint="default"/>
                <w:sz w:val="21"/>
                <w:szCs w:val="21"/>
              </w:rPr>
            </w:pPr>
            <w:r>
              <w:rPr>
                <w:rFonts w:ascii="宋体" w:hAnsi="宋体" w:cs="宋体" w:eastAsia="宋体" w:hint="default"/>
                <w:sz w:val="21"/>
                <w:szCs w:val="21"/>
              </w:rPr>
              <w:t>童之磊</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22" w:right="0"/>
              <w:jc w:val="left"/>
              <w:rPr>
                <w:rFonts w:ascii="宋体" w:hAnsi="宋体" w:cs="宋体" w:eastAsia="宋体" w:hint="default"/>
                <w:sz w:val="21"/>
                <w:szCs w:val="21"/>
              </w:rPr>
            </w:pPr>
            <w:r>
              <w:rPr>
                <w:rFonts w:ascii="宋体" w:hAnsi="宋体" w:cs="宋体" w:eastAsia="宋体" w:hint="default"/>
                <w:sz w:val="21"/>
                <w:szCs w:val="21"/>
              </w:rPr>
              <w:t>董事长兼总经理</w:t>
            </w:r>
          </w:p>
        </w:tc>
        <w:tc>
          <w:tcPr>
            <w:tcW w:w="112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z w:val="21"/>
                <w:szCs w:val="21"/>
              </w:rPr>
              <w:t>经济师，北京市东城区第十五届人民代表大会代表、中华全国青年联合会教育界别秘书长、北京市青年联合会委员、北京</w:t>
            </w:r>
          </w:p>
          <w:p>
            <w:pPr>
              <w:pStyle w:val="TableParagraph"/>
              <w:spacing w:line="273" w:lineRule="auto" w:before="37"/>
              <w:ind w:left="22" w:right="125"/>
              <w:jc w:val="both"/>
              <w:rPr>
                <w:rFonts w:ascii="宋体" w:hAnsi="宋体" w:cs="宋体" w:eastAsia="宋体" w:hint="default"/>
                <w:sz w:val="21"/>
                <w:szCs w:val="21"/>
              </w:rPr>
            </w:pPr>
            <w:r>
              <w:rPr>
                <w:rFonts w:ascii="宋体" w:hAnsi="宋体" w:cs="宋体" w:eastAsia="宋体" w:hint="default"/>
                <w:sz w:val="21"/>
                <w:szCs w:val="21"/>
              </w:rPr>
              <w:t>市东城区青年联合会副主席、中国版权协会副理事长、中国音像与数字出版协会副理事长、中国编辑学会副会长、中国版 权协会反盗版委员会主任、中国音像与数字出版协会大众数字出版工作委员会主任、中文“在线反盗版联盟”秘书长、中 国书刊发行业协会非国有书业工作委员会副主任、全联书业商会副会长、全国新闻出版信息标准化技术委员会委员、中国 出版协会常务理事、韬奋基金会理事。</w:t>
            </w:r>
          </w:p>
          <w:p>
            <w:pPr>
              <w:pStyle w:val="TableParagraph"/>
              <w:spacing w:line="256" w:lineRule="auto" w:before="8"/>
              <w:ind w:left="22" w:right="21"/>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月发起成立中文在线，现任公司董事长兼总经理、文睿投资执行董事、中文教育执行董事、杭州中文在线董事长 兼总经理、中文传媒监事、湖北中文在线董事长、北京亚杰商汇咨询有限公司董事。</w:t>
            </w:r>
          </w:p>
        </w:tc>
      </w:tr>
      <w:tr>
        <w:trPr>
          <w:trHeight w:val="1727"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tabs>
                <w:tab w:pos="443" w:val="left" w:leader="none"/>
              </w:tabs>
              <w:spacing w:line="240" w:lineRule="auto" w:before="165"/>
              <w:ind w:left="22" w:right="0"/>
              <w:jc w:val="left"/>
              <w:rPr>
                <w:rFonts w:ascii="宋体" w:hAnsi="宋体" w:cs="宋体" w:eastAsia="宋体" w:hint="default"/>
                <w:sz w:val="21"/>
                <w:szCs w:val="21"/>
              </w:rPr>
            </w:pPr>
            <w:r>
              <w:rPr>
                <w:rFonts w:ascii="宋体" w:hAnsi="宋体" w:cs="宋体" w:eastAsia="宋体" w:hint="default"/>
                <w:sz w:val="21"/>
                <w:szCs w:val="21"/>
              </w:rPr>
              <w:t>雷</w:t>
              <w:tab/>
              <w:t>霖</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月至今任清华控股有限公司副总裁、清控资产管理有限公司总裁。</w:t>
            </w:r>
          </w:p>
          <w:p>
            <w:pPr>
              <w:pStyle w:val="TableParagraph"/>
              <w:spacing w:line="273" w:lineRule="auto" w:before="99"/>
              <w:ind w:left="22" w:right="127"/>
              <w:jc w:val="both"/>
              <w:rPr>
                <w:rFonts w:ascii="宋体" w:hAnsi="宋体" w:cs="宋体" w:eastAsia="宋体" w:hint="default"/>
                <w:sz w:val="21"/>
                <w:szCs w:val="21"/>
              </w:rPr>
            </w:pPr>
            <w:r>
              <w:rPr>
                <w:rFonts w:ascii="宋体" w:hAnsi="宋体" w:cs="宋体" w:eastAsia="宋体" w:hint="default"/>
                <w:sz w:val="21"/>
                <w:szCs w:val="21"/>
              </w:rPr>
              <w:t>兼任启迪中海创业投资有限公司董事长、启迪汇德创业投资有限公司董事长、启迪明德创业投资有限公司董事长、启迪日 新创业投资有限公司董事长、启迪华创投资咨询有限公司董事长、清控紫荆资本管理有限公司董事长、紫荆华融股权投资 有限公司董事长、荷塘投资管理有限公司董事、启迪创业投资管理有限公司董事、诺德基金管理有限公司董事、中融人寿 保险股份有限公司董事、启迪控股股份有限公司董事、北京慕华教育科技有限公司董事、北京沃捷文化传媒股份有限公司</w:t>
            </w:r>
          </w:p>
        </w:tc>
      </w:tr>
    </w:tbl>
    <w:p>
      <w:pPr>
        <w:spacing w:after="0" w:line="273" w:lineRule="auto"/>
        <w:jc w:val="both"/>
        <w:rPr>
          <w:rFonts w:ascii="宋体" w:hAnsi="宋体" w:cs="宋体" w:eastAsia="宋体" w:hint="default"/>
          <w:sz w:val="21"/>
          <w:szCs w:val="21"/>
        </w:rPr>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163"/>
        <w:gridCol w:w="1562"/>
        <w:gridCol w:w="11290"/>
      </w:tblGrid>
      <w:tr>
        <w:trPr>
          <w:trHeight w:val="648" w:hRule="exact"/>
        </w:trPr>
        <w:tc>
          <w:tcPr>
            <w:tcW w:w="1163" w:type="dxa"/>
            <w:tcBorders>
              <w:top w:val="single" w:sz="15" w:space="0" w:color="000000"/>
              <w:left w:val="single" w:sz="4" w:space="0" w:color="000000"/>
              <w:bottom w:val="single" w:sz="4" w:space="0" w:color="000000"/>
              <w:right w:val="single" w:sz="4" w:space="0" w:color="000000"/>
            </w:tcBorders>
          </w:tcPr>
          <w:p>
            <w:pPr/>
          </w:p>
        </w:tc>
        <w:tc>
          <w:tcPr>
            <w:tcW w:w="1562" w:type="dxa"/>
            <w:tcBorders>
              <w:top w:val="single" w:sz="15" w:space="0" w:color="000000"/>
              <w:left w:val="single" w:sz="4" w:space="0" w:color="000000"/>
              <w:bottom w:val="single" w:sz="4" w:space="0" w:color="000000"/>
              <w:right w:val="single" w:sz="4" w:space="0" w:color="000000"/>
            </w:tcBorders>
          </w:tcPr>
          <w:p>
            <w:pPr/>
          </w:p>
        </w:tc>
        <w:tc>
          <w:tcPr>
            <w:tcW w:w="11290" w:type="dxa"/>
            <w:tcBorders>
              <w:top w:val="single" w:sz="15"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董事、清华控股集团财务有限公司监事会主席。</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月至今任本公司董事。</w:t>
            </w:r>
          </w:p>
        </w:tc>
      </w:tr>
      <w:tr>
        <w:trPr>
          <w:trHeight w:val="1883"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周树华</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29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2"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月至今任上海开物股权投资管理有限公司执行董事兼总经理；</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月至今任开物投资执行事务合伙人委派代表；</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月至今任北京开物投资管理有限公司执行董事兼总经理；</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月至今任上海开物兴华创业投资管理有限公司执行董事兼总经理；</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月至今任上海开物兴晖创业投资合伙企业（有限合伙）执行事务合伙人委派代表。</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月至今任本公司董事。</w:t>
            </w:r>
          </w:p>
        </w:tc>
      </w:tr>
      <w:tr>
        <w:trPr>
          <w:trHeight w:val="1258"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tabs>
                <w:tab w:pos="443" w:val="left" w:leader="none"/>
              </w:tabs>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张</w:t>
              <w:tab/>
              <w:t>帆</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22" w:right="57"/>
              <w:jc w:val="left"/>
              <w:rPr>
                <w:rFonts w:ascii="宋体" w:hAnsi="宋体" w:cs="宋体" w:eastAsia="宋体" w:hint="default"/>
                <w:sz w:val="21"/>
                <w:szCs w:val="21"/>
              </w:rPr>
            </w:pPr>
            <w:r>
              <w:rPr>
                <w:rFonts w:ascii="宋体" w:hAnsi="宋体" w:cs="宋体" w:eastAsia="宋体" w:hint="default"/>
                <w:sz w:val="21"/>
                <w:szCs w:val="21"/>
              </w:rPr>
              <w:t>董事、董事会秘 书兼副总经理</w:t>
            </w:r>
          </w:p>
        </w:tc>
        <w:tc>
          <w:tcPr>
            <w:tcW w:w="112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月至今任湖南弘慧教育发展基金会理事长。</w:t>
            </w:r>
          </w:p>
          <w:p>
            <w:pPr>
              <w:pStyle w:val="TableParagraph"/>
              <w:spacing w:line="264" w:lineRule="auto" w:before="21"/>
              <w:ind w:left="22" w:right="125"/>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月加入公司，现任公司董事、副总经理和董事会秘书、湖北中文在线监事、上海合复新材料科技有限公司董 事、北京赛奇科科技有限公司董事、重庆桑禾动物药业有限公司董事、深圳丝路数字视觉股份有限公司独立董事、北京华 夏威科软件技术有限公司董事、湖南省社会组织促进会副会长。</w:t>
            </w:r>
          </w:p>
        </w:tc>
      </w:tr>
      <w:tr>
        <w:trPr>
          <w:trHeight w:val="4066"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何庆源</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2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1995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月至今任</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Kiina</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Properties</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(Canada)</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Ltd </w:t>
            </w:r>
            <w:r>
              <w:rPr>
                <w:rFonts w:ascii="宋体" w:hAnsi="宋体" w:cs="宋体" w:eastAsia="宋体" w:hint="default"/>
                <w:sz w:val="21"/>
                <w:szCs w:val="21"/>
              </w:rPr>
              <w:t>董事长；</w:t>
            </w:r>
          </w:p>
          <w:p>
            <w:pPr>
              <w:pStyle w:val="TableParagraph"/>
              <w:spacing w:line="256" w:lineRule="auto" w:before="21"/>
              <w:ind w:left="22" w:right="5954"/>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月至今任美国</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Pentair</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Limited </w:t>
            </w:r>
            <w:r>
              <w:rPr>
                <w:rFonts w:ascii="宋体" w:hAnsi="宋体" w:cs="宋体" w:eastAsia="宋体" w:hint="default"/>
                <w:sz w:val="21"/>
                <w:szCs w:val="21"/>
              </w:rPr>
              <w:t>公司独立董事； 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月至今任中国中钢股份有限公司外部董事；</w:t>
            </w:r>
          </w:p>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Kiina</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Investment</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(BVI)</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Ltd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董事长；</w:t>
            </w:r>
          </w:p>
          <w:p>
            <w:pPr>
              <w:pStyle w:val="TableParagraph"/>
              <w:spacing w:line="256" w:lineRule="auto" w:before="21"/>
              <w:ind w:left="22" w:right="5446"/>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月至今任</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Kiina</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Business</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Services</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(HK)</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Ltd </w:t>
            </w:r>
            <w:r>
              <w:rPr>
                <w:rFonts w:ascii="宋体" w:hAnsi="宋体" w:cs="宋体" w:eastAsia="宋体" w:hint="default"/>
                <w:sz w:val="21"/>
                <w:szCs w:val="21"/>
              </w:rPr>
              <w:t>董事长； 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Kiina</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pacing w:val="-4"/>
                <w:sz w:val="21"/>
                <w:szCs w:val="21"/>
              </w:rPr>
              <w:t>Ventures</w:t>
            </w:r>
            <w:r>
              <w:rPr>
                <w:rFonts w:ascii="Times New Roman" w:hAnsi="Times New Roman" w:cs="Times New Roman" w:eastAsia="Times New Roman" w:hint="default"/>
                <w:sz w:val="21"/>
                <w:szCs w:val="21"/>
              </w:rPr>
              <w:t> (Canada) Inc</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董事长；</w:t>
            </w:r>
          </w:p>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月至今任中国东方电气集团外部董事；</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月至今任美国</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Triquint</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Semiconductor</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公司独立董事；</w:t>
            </w:r>
          </w:p>
          <w:p>
            <w:pPr>
              <w:pStyle w:val="TableParagraph"/>
              <w:spacing w:line="256" w:lineRule="auto" w:before="21"/>
              <w:ind w:left="22" w:right="4864"/>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月至今任英国</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Permira</w:t>
            </w:r>
            <w:r>
              <w:rPr>
                <w:rFonts w:ascii="Times New Roman" w:hAnsi="Times New Roman" w:cs="Times New Roman" w:eastAsia="Times New Roman" w:hint="default"/>
                <w:spacing w:val="-13"/>
                <w:sz w:val="21"/>
                <w:szCs w:val="21"/>
              </w:rPr>
              <w:t> </w:t>
            </w:r>
            <w:r>
              <w:rPr>
                <w:rFonts w:ascii="Times New Roman" w:hAnsi="Times New Roman" w:cs="Times New Roman" w:eastAsia="Times New Roman" w:hint="default"/>
                <w:sz w:val="21"/>
                <w:szCs w:val="21"/>
              </w:rPr>
              <w:t>Advisors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私募股权基金高级顾问； 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月至今任中国远洋运输（集团）总公司外部董事；</w:t>
            </w:r>
          </w:p>
          <w:p>
            <w:pPr>
              <w:pStyle w:val="TableParagraph"/>
              <w:spacing w:line="256" w:lineRule="auto" w:before="5"/>
              <w:ind w:left="22" w:right="4985"/>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月至今任美国</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Air</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Products</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and</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Chemical </w:t>
            </w:r>
            <w:r>
              <w:rPr>
                <w:rFonts w:ascii="宋体" w:hAnsi="宋体" w:cs="宋体" w:eastAsia="宋体" w:hint="default"/>
                <w:sz w:val="21"/>
                <w:szCs w:val="21"/>
              </w:rPr>
              <w:t>公司独立董事； 自</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月至今任</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Kiina</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Systems</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(HK)</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Ltd </w:t>
            </w:r>
            <w:r>
              <w:rPr>
                <w:rFonts w:ascii="宋体" w:hAnsi="宋体" w:cs="宋体" w:eastAsia="宋体" w:hint="default"/>
                <w:sz w:val="21"/>
                <w:szCs w:val="21"/>
              </w:rPr>
              <w:t>董事长。</w:t>
            </w:r>
          </w:p>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月至今任本公司独立董事。</w:t>
            </w:r>
          </w:p>
        </w:tc>
      </w:tr>
      <w:tr>
        <w:trPr>
          <w:trHeight w:val="947"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tabs>
                <w:tab w:pos="443" w:val="left" w:leader="none"/>
              </w:tabs>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陈</w:t>
              <w:tab/>
              <w:t>晓</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29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2"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月任汉王科技股份有限公司的独立董事；</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月任领先生物农业股份有限公司独立董事。</w:t>
            </w:r>
          </w:p>
          <w:p>
            <w:pPr>
              <w:pStyle w:val="TableParagraph"/>
              <w:spacing w:line="240" w:lineRule="auto" w:before="21"/>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月加入本公司，现任本公司独立董事、清华大学经济管理学院会计系教授。</w:t>
            </w:r>
          </w:p>
        </w:tc>
      </w:tr>
      <w:tr>
        <w:trPr>
          <w:trHeight w:val="634"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姜瑞明</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2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月任申科滑动轴承股份有限公司独立董事；</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月任蓝天环保设备工程股份有限公司独立董事；</w:t>
            </w:r>
          </w:p>
        </w:tc>
      </w:tr>
    </w:tbl>
    <w:p>
      <w:pPr>
        <w:spacing w:after="0" w:line="240" w:lineRule="auto"/>
        <w:jc w:val="left"/>
        <w:rPr>
          <w:rFonts w:ascii="宋体" w:hAnsi="宋体" w:cs="宋体" w:eastAsia="宋体" w:hint="default"/>
          <w:sz w:val="21"/>
          <w:szCs w:val="21"/>
        </w:rPr>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163"/>
        <w:gridCol w:w="1562"/>
        <w:gridCol w:w="11290"/>
      </w:tblGrid>
      <w:tr>
        <w:trPr>
          <w:trHeight w:val="960" w:hRule="exact"/>
        </w:trPr>
        <w:tc>
          <w:tcPr>
            <w:tcW w:w="1163" w:type="dxa"/>
            <w:tcBorders>
              <w:top w:val="single" w:sz="15" w:space="0" w:color="000000"/>
              <w:left w:val="single" w:sz="4" w:space="0" w:color="000000"/>
              <w:bottom w:val="single" w:sz="4" w:space="0" w:color="000000"/>
              <w:right w:val="single" w:sz="4" w:space="0" w:color="000000"/>
            </w:tcBorders>
          </w:tcPr>
          <w:p>
            <w:pPr/>
          </w:p>
        </w:tc>
        <w:tc>
          <w:tcPr>
            <w:tcW w:w="1562" w:type="dxa"/>
            <w:tcBorders>
              <w:top w:val="single" w:sz="15" w:space="0" w:color="000000"/>
              <w:left w:val="single" w:sz="4" w:space="0" w:color="000000"/>
              <w:bottom w:val="single" w:sz="4" w:space="0" w:color="000000"/>
              <w:right w:val="single" w:sz="4" w:space="0" w:color="000000"/>
            </w:tcBorders>
          </w:tcPr>
          <w:p>
            <w:pPr/>
          </w:p>
        </w:tc>
        <w:tc>
          <w:tcPr>
            <w:tcW w:w="11290" w:type="dxa"/>
            <w:tcBorders>
              <w:top w:val="single" w:sz="15"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月任无锡上机磨床股份有限公司独立董事；</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月任浙江新化化工股份有限公司独立董事。</w:t>
            </w:r>
          </w:p>
          <w:p>
            <w:pPr>
              <w:pStyle w:val="TableParagraph"/>
              <w:spacing w:line="240" w:lineRule="auto" w:before="21"/>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月加入本公司，现任本公司独立董事、首都机场股份有限公司独立董事、北京国枫凯文律师事务所执行合伙人</w:t>
            </w:r>
          </w:p>
        </w:tc>
      </w:tr>
      <w:tr>
        <w:trPr>
          <w:trHeight w:val="323"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王忠东</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129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2"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月加入本公司，现任人力行政中心总经理、监事会主席、四月天科技执行董事、中文教育监事。</w:t>
            </w:r>
          </w:p>
        </w:tc>
      </w:tr>
      <w:tr>
        <w:trPr>
          <w:trHeight w:val="1882"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tabs>
                <w:tab w:pos="443" w:val="left" w:leader="none"/>
              </w:tabs>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曹</w:t>
              <w:tab/>
              <w:t>达</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2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月至今任启迪华创投资咨询有限公司投资总监；</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月至今任清控金信资本管理（北京）有限公司董事长兼总经理。</w:t>
            </w:r>
          </w:p>
          <w:p>
            <w:pPr>
              <w:pStyle w:val="TableParagraph"/>
              <w:spacing w:line="266" w:lineRule="auto" w:before="21"/>
              <w:ind w:left="22" w:right="127"/>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月至今任本公司监事。 现任北京市中关村小额贷款股份有限公司监事、浦华环保有限公司董事、华夏龙晖（北京）汽车电子科技有限公司监事、 北京盈创汇富投资管理有限公司执行董事、北京清控金信投资有限公司执行董事、北京清控金信融达投资有限公司执行董 事、北京睿祺华盛投资管理有限公司执行董事、北京金信融达投资管理有限公司执行董事兼总经理。</w:t>
            </w:r>
          </w:p>
        </w:tc>
      </w:tr>
      <w:tr>
        <w:trPr>
          <w:trHeight w:val="714"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任佳伟</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2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现任北京北信源软件股份有限公司副总经理兼董事会秘书、上海无寻网络科技有限公司董事。</w:t>
            </w:r>
          </w:p>
          <w:p>
            <w:pPr>
              <w:pStyle w:val="TableParagraph"/>
              <w:spacing w:line="240" w:lineRule="auto" w:before="78"/>
              <w:ind w:left="22"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月至今任本公司监事。</w:t>
            </w:r>
          </w:p>
        </w:tc>
      </w:tr>
      <w:tr>
        <w:trPr>
          <w:trHeight w:val="1258"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谢广才</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常务副总经理</w:t>
            </w:r>
          </w:p>
        </w:tc>
        <w:tc>
          <w:tcPr>
            <w:tcW w:w="112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1"/>
                <w:szCs w:val="21"/>
              </w:rPr>
            </w:pPr>
            <w:r>
              <w:rPr>
                <w:rFonts w:ascii="宋体" w:hAnsi="宋体" w:cs="宋体" w:eastAsia="宋体" w:hint="default"/>
                <w:spacing w:val="-2"/>
                <w:sz w:val="21"/>
                <w:szCs w:val="21"/>
              </w:rPr>
              <w:t>北京市东城区第十三届政协委员会委员、中国版权协会反盗版委员会秘书长、中文</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在线反盗版联盟</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副秘书长、北京市东城</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区人民法院陪审员。</w:t>
            </w:r>
          </w:p>
          <w:p>
            <w:pPr>
              <w:pStyle w:val="TableParagraph"/>
              <w:spacing w:line="256" w:lineRule="auto" w:before="37"/>
              <w:ind w:left="22" w:right="1177"/>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2002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月加入公司，历任版权部主任、资源建设部主任、版权中心总经理、中文在线副总经理， 现任中文在线常务副总经理，兼任杭州中文在线董事、学友园中少董事、鸿达以太董事、湖北中文在线董事。</w:t>
            </w:r>
          </w:p>
        </w:tc>
      </w:tr>
      <w:tr>
        <w:trPr>
          <w:trHeight w:val="635"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原森民</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副总经理兼财务</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总监</w:t>
            </w:r>
          </w:p>
        </w:tc>
        <w:tc>
          <w:tcPr>
            <w:tcW w:w="1129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2"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月加入公司，现任公司副总经理兼财务总监、中文传媒执行董事兼总经理、迈步科技董事、学友园中少董事、</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湖北中文在线董事。</w:t>
            </w:r>
          </w:p>
        </w:tc>
      </w:tr>
      <w:tr>
        <w:trPr>
          <w:trHeight w:val="322"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w:t>
            </w:r>
          </w:p>
        </w:tc>
        <w:tc>
          <w:tcPr>
            <w:tcW w:w="11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867" w:footer="979" w:top="1060" w:bottom="1160" w:left="1300" w:right="1300"/>
        </w:sectPr>
      </w:pPr>
    </w:p>
    <w:p>
      <w:pPr>
        <w:spacing w:line="240" w:lineRule="auto" w:before="2"/>
        <w:rPr>
          <w:rFonts w:ascii="Times New Roman" w:hAnsi="Times New Roman" w:cs="Times New Roman" w:eastAsia="Times New Roman" w:hint="default"/>
          <w:sz w:val="29"/>
          <w:szCs w:val="29"/>
        </w:rPr>
      </w:pPr>
    </w:p>
    <w:p>
      <w:pPr>
        <w:pStyle w:val="BodyText"/>
        <w:spacing w:line="240" w:lineRule="auto"/>
        <w:ind w:left="633" w:right="0"/>
        <w:jc w:val="left"/>
      </w:pPr>
      <w:r>
        <w:rPr/>
        <w:t>在股东单位任职情况</w:t>
      </w:r>
    </w:p>
    <w:p>
      <w:pPr>
        <w:pStyle w:val="BodyText"/>
        <w:spacing w:line="240" w:lineRule="auto" w:before="193"/>
        <w:ind w:left="6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4"/>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202"/>
        <w:gridCol w:w="2627"/>
        <w:gridCol w:w="2836"/>
        <w:gridCol w:w="2835"/>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90" w:right="68" w:hanging="422"/>
              <w:jc w:val="left"/>
              <w:rPr>
                <w:rFonts w:ascii="宋体" w:hAnsi="宋体" w:cs="宋体" w:eastAsia="宋体" w:hint="default"/>
                <w:sz w:val="21"/>
                <w:szCs w:val="21"/>
              </w:rPr>
            </w:pPr>
            <w:r>
              <w:rPr>
                <w:rFonts w:ascii="宋体" w:hAnsi="宋体" w:cs="宋体" w:eastAsia="宋体" w:hint="default"/>
                <w:b/>
                <w:bCs/>
                <w:sz w:val="21"/>
                <w:szCs w:val="21"/>
              </w:rPr>
              <w:t>任职人员姓</w:t>
            </w:r>
            <w:r>
              <w:rPr>
                <w:rFonts w:ascii="宋体" w:hAnsi="宋体" w:cs="宋体" w:eastAsia="宋体" w:hint="default"/>
                <w:b/>
                <w:bCs/>
                <w:w w:val="99"/>
                <w:sz w:val="21"/>
                <w:szCs w:val="21"/>
              </w:rPr>
              <w:t> </w:t>
            </w:r>
            <w:r>
              <w:rPr>
                <w:rFonts w:ascii="宋体" w:hAnsi="宋体" w:cs="宋体" w:eastAsia="宋体" w:hint="default"/>
                <w:b/>
                <w:bCs/>
                <w:sz w:val="21"/>
                <w:szCs w:val="21"/>
              </w:rPr>
              <w:t>名</w:t>
            </w:r>
            <w:r>
              <w:rPr>
                <w:rFonts w:ascii="宋体" w:hAnsi="宋体" w:cs="宋体" w:eastAsia="宋体" w:hint="default"/>
                <w:sz w:val="21"/>
                <w:szCs w:val="21"/>
              </w:rPr>
            </w:r>
          </w:p>
        </w:tc>
        <w:tc>
          <w:tcPr>
            <w:tcW w:w="2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股东单位名称</w:t>
            </w:r>
            <w:r>
              <w:rPr>
                <w:rFonts w:ascii="宋体" w:hAnsi="宋体" w:cs="宋体" w:eastAsia="宋体" w:hint="default"/>
                <w:sz w:val="21"/>
                <w:szCs w:val="21"/>
              </w:rPr>
            </w:r>
          </w:p>
        </w:tc>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在股东单位担任的职务</w:t>
            </w:r>
            <w:r>
              <w:rPr>
                <w:rFonts w:ascii="宋体" w:hAnsi="宋体" w:cs="宋体" w:eastAsia="宋体" w:hint="default"/>
                <w:sz w:val="21"/>
                <w:szCs w:val="21"/>
              </w:rPr>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在股东单位是否领取报酬津贴</w:t>
            </w:r>
            <w:r>
              <w:rPr>
                <w:rFonts w:ascii="宋体" w:hAnsi="宋体" w:cs="宋体" w:eastAsia="宋体" w:hint="default"/>
                <w:sz w:val="21"/>
                <w:szCs w:val="21"/>
              </w:rPr>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79" w:right="0"/>
              <w:jc w:val="left"/>
              <w:rPr>
                <w:rFonts w:ascii="宋体" w:hAnsi="宋体" w:cs="宋体" w:eastAsia="宋体" w:hint="default"/>
                <w:sz w:val="21"/>
                <w:szCs w:val="21"/>
              </w:rPr>
            </w:pPr>
            <w:r>
              <w:rPr>
                <w:rFonts w:ascii="宋体" w:hAnsi="宋体" w:cs="宋体" w:eastAsia="宋体" w:hint="default"/>
                <w:sz w:val="21"/>
                <w:szCs w:val="21"/>
              </w:rPr>
              <w:t>童之磊</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上海文睿投资有限公司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17"/>
              <w:jc w:val="both"/>
              <w:rPr>
                <w:rFonts w:ascii="宋体" w:hAnsi="宋体" w:cs="宋体" w:eastAsia="宋体" w:hint="default"/>
                <w:sz w:val="21"/>
                <w:szCs w:val="21"/>
              </w:rPr>
            </w:pPr>
            <w:r>
              <w:rPr>
                <w:rFonts w:ascii="宋体" w:hAnsi="宋体" w:cs="宋体" w:eastAsia="宋体" w:hint="default"/>
                <w:sz w:val="21"/>
                <w:szCs w:val="21"/>
              </w:rPr>
              <w:t>在股东单位 任职情况的 说明</w:t>
            </w:r>
          </w:p>
        </w:tc>
        <w:tc>
          <w:tcPr>
            <w:tcW w:w="8298" w:type="dxa"/>
            <w:gridSpan w:val="3"/>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1"/>
        <w:ind w:left="634" w:right="0"/>
        <w:jc w:val="left"/>
      </w:pPr>
      <w:r>
        <w:rPr/>
        <w:t>在其他单位任职情况</w:t>
      </w:r>
    </w:p>
    <w:p>
      <w:pPr>
        <w:spacing w:line="496" w:lineRule="auto" w:before="194"/>
        <w:ind w:left="154" w:right="353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三、董事、监事、高级管理人员报酬情况" w:id="90"/>
      <w:bookmarkEnd w:id="90"/>
      <w:r>
        <w:rPr>
          <w:rFonts w:ascii="宋体" w:hAnsi="宋体" w:cs="宋体" w:eastAsia="宋体" w:hint="default"/>
          <w:sz w:val="24"/>
          <w:szCs w:val="24"/>
        </w:rPr>
      </w:r>
      <w:r>
        <w:rPr>
          <w:rFonts w:ascii="宋体" w:hAnsi="宋体" w:cs="宋体" w:eastAsia="宋体" w:hint="default"/>
          <w:b/>
          <w:bCs/>
          <w:w w:val="95"/>
          <w:sz w:val="24"/>
          <w:szCs w:val="24"/>
        </w:rPr>
        <w:t>三、董事、监事、高级管理人员报酬情况</w:t>
      </w:r>
      <w:r>
        <w:rPr>
          <w:rFonts w:ascii="宋体" w:hAnsi="宋体" w:cs="宋体" w:eastAsia="宋体" w:hint="default"/>
          <w:sz w:val="24"/>
          <w:szCs w:val="24"/>
        </w:rPr>
      </w:r>
    </w:p>
    <w:p>
      <w:pPr>
        <w:spacing w:line="240" w:lineRule="auto" w:before="2"/>
        <w:rPr>
          <w:rFonts w:ascii="宋体" w:hAnsi="宋体" w:cs="宋体" w:eastAsia="宋体" w:hint="default"/>
          <w:b/>
          <w:bCs/>
          <w:sz w:val="6"/>
          <w:szCs w:val="6"/>
        </w:rPr>
      </w:pPr>
    </w:p>
    <w:tbl>
      <w:tblPr>
        <w:tblW w:w="0" w:type="auto"/>
        <w:jc w:val="left"/>
        <w:tblInd w:w="149" w:type="dxa"/>
        <w:tblLayout w:type="fixed"/>
        <w:tblCellMar>
          <w:top w:w="0" w:type="dxa"/>
          <w:left w:w="0" w:type="dxa"/>
          <w:bottom w:w="0" w:type="dxa"/>
          <w:right w:w="0" w:type="dxa"/>
        </w:tblCellMar>
        <w:tblLook w:val="01E0"/>
      </w:tblPr>
      <w:tblGrid>
        <w:gridCol w:w="2835"/>
        <w:gridCol w:w="6733"/>
      </w:tblGrid>
      <w:tr>
        <w:trPr>
          <w:trHeight w:val="1026"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22" w:right="72"/>
              <w:jc w:val="left"/>
              <w:rPr>
                <w:rFonts w:ascii="宋体" w:hAnsi="宋体" w:cs="宋体" w:eastAsia="宋体" w:hint="default"/>
                <w:sz w:val="21"/>
                <w:szCs w:val="21"/>
              </w:rPr>
            </w:pPr>
            <w:r>
              <w:rPr>
                <w:rFonts w:ascii="宋体" w:hAnsi="宋体" w:cs="宋体" w:eastAsia="宋体" w:hint="default"/>
                <w:sz w:val="21"/>
                <w:szCs w:val="21"/>
              </w:rPr>
              <w:t>董事、监事、高级管理人员报 酬的决策程序</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1"/>
              <w:jc w:val="both"/>
              <w:rPr>
                <w:rFonts w:ascii="宋体" w:hAnsi="宋体" w:cs="宋体" w:eastAsia="宋体" w:hint="default"/>
                <w:sz w:val="21"/>
                <w:szCs w:val="21"/>
              </w:rPr>
            </w:pPr>
            <w:r>
              <w:rPr>
                <w:rFonts w:ascii="宋体" w:hAnsi="宋体" w:cs="宋体" w:eastAsia="宋体" w:hint="default"/>
                <w:spacing w:val="-2"/>
                <w:sz w:val="21"/>
                <w:szCs w:val="21"/>
              </w:rPr>
              <w:t>公司董事、监事、高级管理人员的报酬由董事会审议通过后，提交股东大</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会审议。其中在公司担任工作职务的董事、监事、高级管理人员岗位报酬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由公司支付，不再支付董事、监事津贴。</w:t>
            </w:r>
          </w:p>
        </w:tc>
      </w:tr>
      <w:tr>
        <w:trPr>
          <w:trHeight w:val="1026"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22" w:right="72"/>
              <w:jc w:val="left"/>
              <w:rPr>
                <w:rFonts w:ascii="宋体" w:hAnsi="宋体" w:cs="宋体" w:eastAsia="宋体" w:hint="default"/>
                <w:sz w:val="21"/>
                <w:szCs w:val="21"/>
              </w:rPr>
            </w:pPr>
            <w:r>
              <w:rPr>
                <w:rFonts w:ascii="宋体" w:hAnsi="宋体" w:cs="宋体" w:eastAsia="宋体" w:hint="default"/>
                <w:sz w:val="21"/>
                <w:szCs w:val="21"/>
              </w:rPr>
              <w:t>董事、监事、高级管理人员报 酬确定依据</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1"/>
              <w:jc w:val="both"/>
              <w:rPr>
                <w:rFonts w:ascii="宋体" w:hAnsi="宋体" w:cs="宋体" w:eastAsia="宋体" w:hint="default"/>
                <w:sz w:val="21"/>
                <w:szCs w:val="21"/>
              </w:rPr>
            </w:pPr>
            <w:r>
              <w:rPr>
                <w:rFonts w:ascii="宋体" w:hAnsi="宋体" w:cs="宋体" w:eastAsia="宋体" w:hint="default"/>
                <w:spacing w:val="-2"/>
                <w:sz w:val="21"/>
                <w:szCs w:val="21"/>
              </w:rPr>
              <w:t>根据国家有关法律、法规及《公司章程》的有关规定，以及行业及地区的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收入水平，结合公司实际经营和盈利水平，董事、监事、高级管理人员的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分工及履行情况确定。</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72"/>
              <w:jc w:val="left"/>
              <w:rPr>
                <w:rFonts w:ascii="宋体" w:hAnsi="宋体" w:cs="宋体" w:eastAsia="宋体" w:hint="default"/>
                <w:sz w:val="21"/>
                <w:szCs w:val="21"/>
              </w:rPr>
            </w:pPr>
            <w:r>
              <w:rPr>
                <w:rFonts w:ascii="宋体" w:hAnsi="宋体" w:cs="宋体" w:eastAsia="宋体" w:hint="default"/>
                <w:sz w:val="21"/>
                <w:szCs w:val="21"/>
              </w:rPr>
              <w:t>董事、监事和高级管理人员报 酬的实际支付情况</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3" w:right="30"/>
              <w:jc w:val="left"/>
              <w:rPr>
                <w:rFonts w:ascii="宋体" w:hAnsi="宋体" w:cs="宋体" w:eastAsia="宋体" w:hint="default"/>
                <w:sz w:val="21"/>
                <w:szCs w:val="21"/>
              </w:rPr>
            </w:pPr>
            <w:r>
              <w:rPr>
                <w:rFonts w:ascii="宋体" w:hAnsi="宋体" w:cs="宋体" w:eastAsia="宋体" w:hint="default"/>
                <w:sz w:val="21"/>
                <w:szCs w:val="21"/>
              </w:rPr>
              <w:t>公司现有董事、监事、高级管理人员共</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人，</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年实际支付董监高薪 酬合计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207.56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万元人民币。</w:t>
            </w:r>
          </w:p>
        </w:tc>
      </w:tr>
    </w:tbl>
    <w:p>
      <w:pPr>
        <w:pStyle w:val="BodyText"/>
        <w:spacing w:line="240" w:lineRule="auto" w:before="1"/>
        <w:ind w:left="154" w:right="0"/>
        <w:jc w:val="left"/>
      </w:pPr>
      <w:r>
        <w:rPr/>
        <w:t>公司报告期内董事、监事和高级管理人员报酬情况</w:t>
      </w:r>
    </w:p>
    <w:p>
      <w:pPr>
        <w:pStyle w:val="BodyText"/>
        <w:spacing w:line="240" w:lineRule="auto" w:before="38"/>
        <w:ind w:left="0" w:right="150"/>
        <w:jc w:val="right"/>
      </w:pPr>
      <w:r>
        <w:rPr/>
        <w:t>单位：万元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1026"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8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68" w:right="66"/>
              <w:jc w:val="left"/>
              <w:rPr>
                <w:rFonts w:ascii="宋体" w:hAnsi="宋体" w:cs="宋体" w:eastAsia="宋体" w:hint="default"/>
                <w:sz w:val="21"/>
                <w:szCs w:val="21"/>
              </w:rPr>
            </w:pPr>
            <w:r>
              <w:rPr>
                <w:rFonts w:ascii="宋体" w:hAnsi="宋体" w:cs="宋体" w:eastAsia="宋体" w:hint="default"/>
                <w:sz w:val="21"/>
                <w:szCs w:val="21"/>
              </w:rPr>
              <w:t>从公司获得 的报酬总额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7" w:right="67"/>
              <w:jc w:val="center"/>
              <w:rPr>
                <w:rFonts w:ascii="宋体" w:hAnsi="宋体" w:cs="宋体" w:eastAsia="宋体" w:hint="default"/>
                <w:sz w:val="21"/>
                <w:szCs w:val="21"/>
              </w:rPr>
            </w:pPr>
            <w:r>
              <w:rPr>
                <w:rFonts w:ascii="宋体" w:hAnsi="宋体" w:cs="宋体" w:eastAsia="宋体" w:hint="default"/>
                <w:sz w:val="21"/>
                <w:szCs w:val="21"/>
              </w:rPr>
              <w:t>从股东单位 获得的报酬 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67" w:right="66"/>
              <w:jc w:val="left"/>
              <w:rPr>
                <w:rFonts w:ascii="宋体" w:hAnsi="宋体" w:cs="宋体" w:eastAsia="宋体" w:hint="default"/>
                <w:sz w:val="21"/>
                <w:szCs w:val="21"/>
              </w:rPr>
            </w:pPr>
            <w:r>
              <w:rPr>
                <w:rFonts w:ascii="宋体" w:hAnsi="宋体" w:cs="宋体" w:eastAsia="宋体" w:hint="default"/>
                <w:sz w:val="21"/>
                <w:szCs w:val="21"/>
              </w:rPr>
              <w:t>报告期末实 际所得报酬</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童之磊</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09"/>
              <w:jc w:val="left"/>
              <w:rPr>
                <w:rFonts w:ascii="宋体" w:hAnsi="宋体" w:cs="宋体" w:eastAsia="宋体" w:hint="default"/>
                <w:sz w:val="21"/>
                <w:szCs w:val="21"/>
              </w:rPr>
            </w:pPr>
            <w:r>
              <w:rPr>
                <w:rFonts w:ascii="宋体" w:hAnsi="宋体" w:cs="宋体" w:eastAsia="宋体" w:hint="default"/>
                <w:sz w:val="21"/>
                <w:szCs w:val="21"/>
              </w:rPr>
              <w:t>董事长兼总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37.00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37.00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雷</w:t>
              <w:tab/>
              <w:t>霖</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周树华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r>
      <w:tr>
        <w:trPr>
          <w:trHeight w:val="10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tabs>
                <w:tab w:pos="443" w:val="left" w:leader="none"/>
              </w:tabs>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张</w:t>
              <w:tab/>
              <w:t>帆</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09"/>
              <w:jc w:val="both"/>
              <w:rPr>
                <w:rFonts w:ascii="宋体" w:hAnsi="宋体" w:cs="宋体" w:eastAsia="宋体" w:hint="default"/>
                <w:sz w:val="21"/>
                <w:szCs w:val="21"/>
              </w:rPr>
            </w:pPr>
            <w:r>
              <w:rPr>
                <w:rFonts w:ascii="宋体" w:hAnsi="宋体" w:cs="宋体" w:eastAsia="宋体" w:hint="default"/>
                <w:sz w:val="21"/>
                <w:szCs w:val="21"/>
              </w:rPr>
              <w:t>董事、董事 会秘书兼副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35.36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35.36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桂晓风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何庆源</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陈</w:t>
              <w:tab/>
              <w:t>晓</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姜瑞明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w:t>
            </w:r>
          </w:p>
        </w:tc>
      </w:tr>
    </w:tbl>
    <w:p>
      <w:pPr>
        <w:spacing w:after="0" w:line="240" w:lineRule="auto"/>
        <w:jc w:val="right"/>
        <w:rPr>
          <w:rFonts w:ascii="Times New Roman" w:hAnsi="Times New Roman" w:cs="Times New Roman" w:eastAsia="Times New Roman" w:hint="default"/>
          <w:sz w:val="21"/>
          <w:szCs w:val="21"/>
        </w:rPr>
        <w:sectPr>
          <w:headerReference w:type="default" r:id="rId36"/>
          <w:footerReference w:type="default" r:id="rId37"/>
          <w:pgSz w:w="11910" w:h="16840"/>
          <w:pgMar w:header="877" w:footer="979" w:top="1100" w:bottom="1160" w:left="980" w:right="980"/>
          <w:pgNumType w:start="60"/>
        </w:sectPr>
      </w:pPr>
    </w:p>
    <w:p>
      <w:pPr>
        <w:spacing w:line="240" w:lineRule="auto" w:before="6"/>
        <w:rPr>
          <w:rFonts w:ascii="宋体" w:hAnsi="宋体" w:cs="宋体" w:eastAsia="宋体" w:hint="default"/>
          <w:sz w:val="24"/>
          <w:szCs w:val="24"/>
        </w:rPr>
      </w:pPr>
    </w:p>
    <w:tbl>
      <w:tblPr>
        <w:tblW w:w="0" w:type="auto"/>
        <w:jc w:val="left"/>
        <w:tblInd w:w="20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王忠东</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32.22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32.22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曹</w:t>
              <w:tab/>
              <w:t>达</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任佳伟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谢广才</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09"/>
              <w:jc w:val="left"/>
              <w:rPr>
                <w:rFonts w:ascii="宋体" w:hAnsi="宋体" w:cs="宋体" w:eastAsia="宋体" w:hint="default"/>
                <w:sz w:val="21"/>
                <w:szCs w:val="21"/>
              </w:rPr>
            </w:pPr>
            <w:r>
              <w:rPr>
                <w:rFonts w:ascii="宋体" w:hAnsi="宋体" w:cs="宋体" w:eastAsia="宋体" w:hint="default"/>
                <w:sz w:val="21"/>
                <w:szCs w:val="21"/>
              </w:rPr>
              <w:t>常务副总经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37.03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37.03</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原森民</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09"/>
              <w:jc w:val="left"/>
              <w:rPr>
                <w:rFonts w:ascii="宋体" w:hAnsi="宋体" w:cs="宋体" w:eastAsia="宋体" w:hint="default"/>
                <w:sz w:val="21"/>
                <w:szCs w:val="21"/>
              </w:rPr>
            </w:pPr>
            <w:r>
              <w:rPr>
                <w:rFonts w:ascii="宋体" w:hAnsi="宋体" w:cs="宋体" w:eastAsia="宋体" w:hint="default"/>
                <w:sz w:val="21"/>
                <w:szCs w:val="21"/>
              </w:rPr>
              <w:t>副总经理兼 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35.95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35.95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207.56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207.56</w:t>
            </w:r>
          </w:p>
        </w:tc>
      </w:tr>
    </w:tbl>
    <w:p>
      <w:pPr>
        <w:pStyle w:val="BodyText"/>
        <w:spacing w:line="240" w:lineRule="auto" w:before="81"/>
        <w:ind w:left="694" w:right="316"/>
        <w:jc w:val="left"/>
      </w:pPr>
      <w:r>
        <w:rPr/>
        <w:t>公司董事、监事、高级管理人员报告期内被授予的股权激励情况</w:t>
      </w:r>
    </w:p>
    <w:p>
      <w:pPr>
        <w:spacing w:line="496" w:lineRule="auto" w:before="194"/>
        <w:ind w:left="214" w:right="4950"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四、公司董事、监事、高级管理人员变动情况" w:id="91"/>
      <w:bookmarkEnd w:id="91"/>
      <w:r>
        <w:rPr>
          <w:rFonts w:ascii="宋体" w:hAnsi="宋体" w:cs="宋体" w:eastAsia="宋体" w:hint="default"/>
          <w:sz w:val="24"/>
          <w:szCs w:val="24"/>
        </w:rPr>
      </w:r>
      <w:r>
        <w:rPr>
          <w:rFonts w:ascii="宋体" w:hAnsi="宋体" w:cs="宋体" w:eastAsia="宋体" w:hint="default"/>
          <w:b/>
          <w:bCs/>
          <w:w w:val="95"/>
          <w:sz w:val="24"/>
          <w:szCs w:val="24"/>
        </w:rPr>
        <w:t>四、公司董事、监事、高级管理人员变动情况</w:t>
      </w:r>
      <w:r>
        <w:rPr>
          <w:rFonts w:ascii="宋体" w:hAnsi="宋体" w:cs="宋体" w:eastAsia="宋体" w:hint="default"/>
          <w:sz w:val="24"/>
          <w:szCs w:val="24"/>
        </w:rPr>
      </w:r>
    </w:p>
    <w:p>
      <w:pPr>
        <w:spacing w:line="240" w:lineRule="auto" w:before="2"/>
        <w:rPr>
          <w:rFonts w:ascii="宋体" w:hAnsi="宋体" w:cs="宋体" w:eastAsia="宋体" w:hint="default"/>
          <w:b/>
          <w:bCs/>
          <w:sz w:val="6"/>
          <w:szCs w:val="6"/>
        </w:rPr>
      </w:pPr>
    </w:p>
    <w:tbl>
      <w:tblPr>
        <w:tblW w:w="0" w:type="auto"/>
        <w:jc w:val="left"/>
        <w:tblInd w:w="209" w:type="dxa"/>
        <w:tblLayout w:type="fixed"/>
        <w:tblCellMar>
          <w:top w:w="0" w:type="dxa"/>
          <w:left w:w="0" w:type="dxa"/>
          <w:bottom w:w="0" w:type="dxa"/>
          <w:right w:w="0" w:type="dxa"/>
        </w:tblCellMar>
        <w:tblLook w:val="01E0"/>
      </w:tblPr>
      <w:tblGrid>
        <w:gridCol w:w="1330"/>
        <w:gridCol w:w="1336"/>
        <w:gridCol w:w="1326"/>
        <w:gridCol w:w="1330"/>
        <w:gridCol w:w="4247"/>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36" w:right="0"/>
              <w:jc w:val="left"/>
              <w:rPr>
                <w:rFonts w:ascii="宋体" w:hAnsi="宋体" w:cs="宋体" w:eastAsia="宋体" w:hint="default"/>
                <w:sz w:val="21"/>
                <w:szCs w:val="21"/>
              </w:rPr>
            </w:pPr>
            <w:r>
              <w:rPr>
                <w:rFonts w:ascii="宋体" w:hAnsi="宋体" w:cs="宋体" w:eastAsia="宋体" w:hint="default"/>
                <w:b/>
                <w:bCs/>
                <w:sz w:val="21"/>
                <w:szCs w:val="21"/>
              </w:rPr>
              <w:t>担任的职务</w:t>
            </w:r>
            <w:r>
              <w:rPr>
                <w:rFonts w:ascii="宋体" w:hAnsi="宋体" w:cs="宋体" w:eastAsia="宋体" w:hint="default"/>
                <w:sz w:val="21"/>
                <w:szCs w:val="21"/>
              </w:rPr>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日期</w:t>
            </w:r>
            <w:r>
              <w:rPr>
                <w:rFonts w:ascii="宋体" w:hAnsi="宋体" w:cs="宋体" w:eastAsia="宋体" w:hint="default"/>
                <w:sz w:val="21"/>
                <w:szCs w:val="21"/>
              </w:rPr>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原因</w:t>
            </w:r>
            <w:r>
              <w:rPr>
                <w:rFonts w:ascii="宋体" w:hAnsi="宋体" w:cs="宋体" w:eastAsia="宋体" w:hint="default"/>
                <w:sz w:val="21"/>
                <w:szCs w:val="21"/>
              </w:rPr>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桂晓风</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2"/>
              <w:jc w:val="left"/>
              <w:rPr>
                <w:rFonts w:ascii="宋体" w:hAnsi="宋体" w:cs="宋体" w:eastAsia="宋体" w:hint="default"/>
                <w:sz w:val="21"/>
                <w:szCs w:val="21"/>
              </w:rPr>
            </w:pPr>
            <w:r>
              <w:rPr>
                <w:rFonts w:ascii="宋体" w:hAnsi="宋体" w:cs="宋体" w:eastAsia="宋体" w:hint="default"/>
                <w:sz w:val="21"/>
                <w:szCs w:val="21"/>
              </w:rPr>
              <w:t>因个人原因申请辞去公司第二届董事会独立 董事职务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何庆源</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6"/>
              <w:ind w:left="22" w:right="17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年第二次临时股东大会决议当选为第二 届董事会独立董事</w:t>
            </w:r>
          </w:p>
        </w:tc>
      </w:tr>
    </w:tbl>
    <w:p>
      <w:pPr>
        <w:spacing w:line="240" w:lineRule="auto" w:before="2"/>
        <w:rPr>
          <w:rFonts w:ascii="宋体" w:hAnsi="宋体" w:cs="宋体" w:eastAsia="宋体" w:hint="default"/>
          <w:b/>
          <w:bCs/>
          <w:sz w:val="18"/>
          <w:szCs w:val="18"/>
        </w:rPr>
      </w:pPr>
    </w:p>
    <w:p>
      <w:pPr>
        <w:spacing w:before="26"/>
        <w:ind w:left="214" w:right="316" w:firstLine="0"/>
        <w:jc w:val="left"/>
        <w:rPr>
          <w:rFonts w:ascii="宋体" w:hAnsi="宋体" w:cs="宋体" w:eastAsia="宋体" w:hint="default"/>
          <w:sz w:val="24"/>
          <w:szCs w:val="24"/>
        </w:rPr>
      </w:pPr>
      <w:bookmarkStart w:name="五、报告期核心技术团队或关键技术人员变动情况（非董事、监事、高级管理人员）" w:id="92"/>
      <w:bookmarkEnd w:id="92"/>
      <w:r>
        <w:rPr/>
      </w:r>
      <w:r>
        <w:rPr>
          <w:rFonts w:ascii="宋体" w:hAnsi="宋体" w:cs="宋体" w:eastAsia="宋体" w:hint="default"/>
          <w:b/>
          <w:bCs/>
          <w:sz w:val="24"/>
          <w:szCs w:val="24"/>
        </w:rPr>
        <w:t>五、报告期核心技术团队或关键技术人员变动情况（非董事、监事、高级管理人员）</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357" w:lineRule="auto" w:before="0"/>
        <w:ind w:left="213" w:right="253" w:firstLine="480"/>
        <w:jc w:val="left"/>
      </w:pPr>
      <w:r>
        <w:rPr/>
        <w:t>公司通过采取有效的激励机制和人才保护措施，加强了核心技术人员的稳定性，报告期 内公司的核心技术人员未发生变动。</w:t>
      </w:r>
    </w:p>
    <w:p>
      <w:pPr>
        <w:spacing w:line="240" w:lineRule="auto" w:before="10"/>
        <w:rPr>
          <w:rFonts w:ascii="宋体" w:hAnsi="宋体" w:cs="宋体" w:eastAsia="宋体" w:hint="default"/>
          <w:sz w:val="19"/>
          <w:szCs w:val="19"/>
        </w:rPr>
      </w:pPr>
    </w:p>
    <w:p>
      <w:pPr>
        <w:spacing w:before="0"/>
        <w:ind w:left="213" w:right="316" w:firstLine="0"/>
        <w:jc w:val="left"/>
        <w:rPr>
          <w:rFonts w:ascii="宋体" w:hAnsi="宋体" w:cs="宋体" w:eastAsia="宋体" w:hint="default"/>
          <w:sz w:val="24"/>
          <w:szCs w:val="24"/>
        </w:rPr>
      </w:pPr>
      <w:bookmarkStart w:name="六、公司员工情况" w:id="93"/>
      <w:bookmarkEnd w:id="93"/>
      <w:r>
        <w:rPr/>
      </w:r>
      <w:r>
        <w:rPr>
          <w:rFonts w:ascii="宋体" w:hAnsi="宋体" w:cs="宋体" w:eastAsia="宋体" w:hint="default"/>
          <w:b/>
          <w:bCs/>
          <w:sz w:val="24"/>
          <w:szCs w:val="24"/>
        </w:rPr>
        <w:t>六、公司员工情况</w:t>
      </w:r>
      <w:r>
        <w:rPr>
          <w:rFonts w:ascii="宋体" w:hAnsi="宋体" w:cs="宋体" w:eastAsia="宋体" w:hint="default"/>
          <w:sz w:val="24"/>
          <w:szCs w:val="24"/>
        </w:rPr>
      </w:r>
    </w:p>
    <w:p>
      <w:pPr>
        <w:spacing w:line="240" w:lineRule="auto" w:before="10"/>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1828"/>
        <w:gridCol w:w="2572"/>
        <w:gridCol w:w="2568"/>
        <w:gridCol w:w="2888"/>
      </w:tblGrid>
      <w:tr>
        <w:trPr>
          <w:trHeight w:val="322"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时间</w:t>
            </w:r>
            <w:r>
              <w:rPr>
                <w:rFonts w:ascii="宋体" w:hAnsi="宋体" w:cs="宋体" w:eastAsia="宋体" w:hint="default"/>
                <w:sz w:val="21"/>
                <w:szCs w:val="21"/>
              </w:rPr>
            </w:r>
          </w:p>
        </w:tc>
        <w:tc>
          <w:tcPr>
            <w:tcW w:w="2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b/>
                <w:sz w:val="21"/>
              </w:rPr>
              <w:t>2014.12.31</w:t>
            </w:r>
            <w:r>
              <w:rPr>
                <w:rFonts w:ascii="Times New Roman"/>
                <w:sz w:val="21"/>
              </w:rPr>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b/>
                <w:sz w:val="21"/>
              </w:rPr>
              <w:t>2013.12.31</w:t>
            </w:r>
            <w:r>
              <w:rPr>
                <w:rFonts w:ascii="Times New Roman"/>
                <w:sz w:val="21"/>
              </w:rPr>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b/>
                <w:sz w:val="21"/>
              </w:rPr>
              <w:t>2012.12.31</w:t>
            </w:r>
            <w:r>
              <w:rPr>
                <w:rFonts w:ascii="Times New Roman"/>
                <w:sz w:val="21"/>
              </w:rPr>
            </w:r>
          </w:p>
        </w:tc>
      </w:tr>
      <w:tr>
        <w:trPr>
          <w:trHeight w:val="323"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员工总人数</w:t>
            </w:r>
          </w:p>
        </w:tc>
        <w:tc>
          <w:tcPr>
            <w:tcW w:w="2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558</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514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456</w:t>
            </w:r>
          </w:p>
        </w:tc>
      </w:tr>
    </w:tbl>
    <w:p>
      <w:pPr>
        <w:pStyle w:val="BodyText"/>
        <w:spacing w:line="338" w:lineRule="auto" w:before="81"/>
        <w:ind w:left="213" w:right="218" w:firstLine="480"/>
        <w:jc w:val="left"/>
      </w:pPr>
      <w:r>
        <w:rPr/>
        <w:t>截至</w:t>
      </w:r>
      <w:r>
        <w:rPr>
          <w:spacing w:val="-7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71"/>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日，公司及其合并报表范围内的子公司员工总数为</w:t>
      </w:r>
      <w:r>
        <w:rPr>
          <w:spacing w:val="-70"/>
        </w:rPr>
        <w:t> </w:t>
      </w:r>
      <w:r>
        <w:rPr>
          <w:rFonts w:ascii="Times New Roman" w:hAnsi="Times New Roman" w:cs="Times New Roman" w:eastAsia="Times New Roman" w:hint="default"/>
        </w:rPr>
        <w:t>558</w:t>
      </w:r>
      <w:r>
        <w:rPr>
          <w:rFonts w:ascii="Times New Roman" w:hAnsi="Times New Roman" w:cs="Times New Roman" w:eastAsia="Times New Roman" w:hint="default"/>
          <w:spacing w:val="-11"/>
        </w:rPr>
        <w:t> </w:t>
      </w:r>
      <w:r>
        <w:rPr/>
        <w:t>人，员工结 构、受教育程度、年龄分布情况如下：</w:t>
      </w:r>
    </w:p>
    <w:p>
      <w:pPr>
        <w:pStyle w:val="BodyText"/>
        <w:spacing w:line="240" w:lineRule="auto" w:before="95"/>
        <w:ind w:left="693" w:right="316"/>
        <w:jc w:val="left"/>
      </w:pPr>
      <w:r>
        <w:rPr>
          <w:rFonts w:ascii="Times New Roman" w:hAnsi="Times New Roman" w:cs="Times New Roman" w:eastAsia="Times New Roman" w:hint="default"/>
        </w:rPr>
        <w:t>1</w:t>
      </w:r>
      <w:r>
        <w:rPr/>
        <w:t>、员工专业结构</w:t>
      </w:r>
    </w:p>
    <w:p>
      <w:pPr>
        <w:spacing w:line="240" w:lineRule="auto" w:before="3"/>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285"/>
        <w:gridCol w:w="3285"/>
        <w:gridCol w:w="3286"/>
      </w:tblGrid>
      <w:tr>
        <w:trPr>
          <w:trHeight w:val="323"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专业分类</w:t>
            </w:r>
            <w:r>
              <w:rPr>
                <w:rFonts w:ascii="宋体" w:hAnsi="宋体" w:cs="宋体" w:eastAsia="宋体" w:hint="default"/>
                <w:sz w:val="21"/>
                <w:szCs w:val="21"/>
              </w:rPr>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人员数量（人）</w:t>
            </w:r>
            <w:r>
              <w:rPr>
                <w:rFonts w:ascii="宋体" w:hAnsi="宋体" w:cs="宋体" w:eastAsia="宋体" w:hint="default"/>
                <w:sz w:val="21"/>
                <w:szCs w:val="21"/>
              </w:rPr>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占职工总人数的比例</w:t>
            </w:r>
            <w:r>
              <w:rPr>
                <w:rFonts w:ascii="宋体" w:hAnsi="宋体" w:cs="宋体" w:eastAsia="宋体" w:hint="default"/>
                <w:sz w:val="21"/>
                <w:szCs w:val="21"/>
              </w:rPr>
            </w:r>
          </w:p>
        </w:tc>
      </w:tr>
      <w:tr>
        <w:trPr>
          <w:trHeight w:val="322"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26</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4.66%</w:t>
            </w:r>
          </w:p>
        </w:tc>
      </w:tr>
      <w:tr>
        <w:trPr>
          <w:trHeight w:val="322"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65</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11.65%</w:t>
            </w:r>
          </w:p>
        </w:tc>
      </w:tr>
      <w:tr>
        <w:trPr>
          <w:trHeight w:val="323"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195</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34.95%</w:t>
            </w:r>
          </w:p>
        </w:tc>
      </w:tr>
      <w:tr>
        <w:trPr>
          <w:trHeight w:val="322"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17</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3.05%</w:t>
            </w:r>
          </w:p>
        </w:tc>
      </w:tr>
      <w:tr>
        <w:trPr>
          <w:trHeight w:val="323"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编辑运营人员</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255</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45.70%</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79" w:top="1100" w:bottom="1160" w:left="920" w:right="90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3285"/>
        <w:gridCol w:w="3285"/>
        <w:gridCol w:w="3286"/>
      </w:tblGrid>
      <w:tr>
        <w:trPr>
          <w:trHeight w:val="323"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合 计</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558</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100%</w:t>
            </w:r>
          </w:p>
        </w:tc>
      </w:tr>
    </w:tbl>
    <w:p>
      <w:pPr>
        <w:pStyle w:val="BodyText"/>
        <w:spacing w:line="240" w:lineRule="auto" w:before="81"/>
        <w:ind w:left="694" w:right="316"/>
        <w:jc w:val="left"/>
      </w:pPr>
      <w:r>
        <w:rPr>
          <w:rFonts w:ascii="Times New Roman" w:hAnsi="Times New Roman" w:cs="Times New Roman" w:eastAsia="Times New Roman" w:hint="default"/>
        </w:rPr>
        <w:t>2</w:t>
      </w:r>
      <w:r>
        <w:rPr/>
        <w:t>、员工受教育程度</w:t>
      </w:r>
    </w:p>
    <w:p>
      <w:pPr>
        <w:spacing w:line="240" w:lineRule="auto" w:before="3"/>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285"/>
        <w:gridCol w:w="3285"/>
        <w:gridCol w:w="3286"/>
      </w:tblGrid>
      <w:tr>
        <w:trPr>
          <w:trHeight w:val="323"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学历程度</w:t>
            </w:r>
            <w:r>
              <w:rPr>
                <w:rFonts w:ascii="宋体" w:hAnsi="宋体" w:cs="宋体" w:eastAsia="宋体" w:hint="default"/>
                <w:sz w:val="21"/>
                <w:szCs w:val="21"/>
              </w:rPr>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占职工总人数的比例</w:t>
            </w:r>
            <w:r>
              <w:rPr>
                <w:rFonts w:ascii="宋体" w:hAnsi="宋体" w:cs="宋体" w:eastAsia="宋体" w:hint="default"/>
                <w:sz w:val="21"/>
                <w:szCs w:val="21"/>
              </w:rPr>
            </w:r>
          </w:p>
        </w:tc>
      </w:tr>
      <w:tr>
        <w:trPr>
          <w:trHeight w:val="322"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本科及以上学历</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437</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78.32%</w:t>
            </w:r>
          </w:p>
        </w:tc>
      </w:tr>
      <w:tr>
        <w:trPr>
          <w:trHeight w:val="322"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大专学历</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104</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18.64%</w:t>
            </w:r>
          </w:p>
        </w:tc>
      </w:tr>
      <w:tr>
        <w:trPr>
          <w:trHeight w:val="323"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中专学历</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10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1.79%</w:t>
            </w:r>
          </w:p>
        </w:tc>
      </w:tr>
      <w:tr>
        <w:trPr>
          <w:trHeight w:val="322"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高中及以下学历</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7</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1.25%</w:t>
            </w:r>
          </w:p>
        </w:tc>
      </w:tr>
      <w:tr>
        <w:trPr>
          <w:trHeight w:val="323"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合 计</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558</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100%</w:t>
            </w:r>
          </w:p>
        </w:tc>
      </w:tr>
    </w:tbl>
    <w:p>
      <w:pPr>
        <w:pStyle w:val="BodyText"/>
        <w:spacing w:line="240" w:lineRule="auto" w:before="81"/>
        <w:ind w:left="694" w:right="316"/>
        <w:jc w:val="left"/>
      </w:pPr>
      <w:r>
        <w:rPr>
          <w:rFonts w:ascii="Times New Roman" w:hAnsi="Times New Roman" w:cs="Times New Roman" w:eastAsia="Times New Roman" w:hint="default"/>
        </w:rPr>
        <w:t>3</w:t>
      </w:r>
      <w:r>
        <w:rPr/>
        <w:t>、员工年龄分布</w:t>
      </w:r>
    </w:p>
    <w:p>
      <w:pPr>
        <w:spacing w:line="240" w:lineRule="auto" w:before="3"/>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285"/>
        <w:gridCol w:w="3285"/>
        <w:gridCol w:w="3286"/>
      </w:tblGrid>
      <w:tr>
        <w:trPr>
          <w:trHeight w:val="323"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年龄</w:t>
            </w:r>
            <w:r>
              <w:rPr>
                <w:rFonts w:ascii="宋体" w:hAnsi="宋体" w:cs="宋体" w:eastAsia="宋体" w:hint="default"/>
                <w:sz w:val="21"/>
                <w:szCs w:val="21"/>
              </w:rPr>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占职工总人数的比例</w:t>
            </w:r>
            <w:r>
              <w:rPr>
                <w:rFonts w:ascii="宋体" w:hAnsi="宋体" w:cs="宋体" w:eastAsia="宋体" w:hint="default"/>
                <w:sz w:val="21"/>
                <w:szCs w:val="21"/>
              </w:rPr>
            </w:r>
          </w:p>
        </w:tc>
      </w:tr>
      <w:tr>
        <w:trPr>
          <w:trHeight w:val="322"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51</w:t>
            </w:r>
            <w:r>
              <w:rPr>
                <w:rFonts w:ascii="宋体" w:hAnsi="宋体" w:cs="宋体" w:eastAsia="宋体" w:hint="default"/>
                <w:sz w:val="21"/>
                <w:szCs w:val="21"/>
              </w:rPr>
              <w:t>岁以上</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0.00%</w:t>
            </w:r>
          </w:p>
        </w:tc>
      </w:tr>
      <w:tr>
        <w:trPr>
          <w:trHeight w:val="322"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41-50</w:t>
            </w:r>
            <w:r>
              <w:rPr>
                <w:rFonts w:ascii="宋体" w:hAnsi="宋体" w:cs="宋体" w:eastAsia="宋体" w:hint="default"/>
                <w:sz w:val="21"/>
                <w:szCs w:val="21"/>
              </w:rPr>
              <w:t>岁</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24</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4.30%</w:t>
            </w:r>
          </w:p>
        </w:tc>
      </w:tr>
      <w:tr>
        <w:trPr>
          <w:trHeight w:val="323"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31-40</w:t>
            </w:r>
            <w:r>
              <w:rPr>
                <w:rFonts w:ascii="宋体" w:hAnsi="宋体" w:cs="宋体" w:eastAsia="宋体" w:hint="default"/>
                <w:sz w:val="21"/>
                <w:szCs w:val="21"/>
              </w:rPr>
              <w:t>岁</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163</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29.21%</w:t>
            </w:r>
          </w:p>
        </w:tc>
      </w:tr>
      <w:tr>
        <w:trPr>
          <w:trHeight w:val="322"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岁以下</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371</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66.49%</w:t>
            </w:r>
          </w:p>
        </w:tc>
      </w:tr>
      <w:tr>
        <w:trPr>
          <w:trHeight w:val="323"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558</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100.00%</w:t>
            </w:r>
          </w:p>
        </w:tc>
      </w:tr>
    </w:tbl>
    <w:p>
      <w:pPr>
        <w:pStyle w:val="BodyText"/>
        <w:spacing w:line="240" w:lineRule="auto" w:before="81"/>
        <w:ind w:left="694" w:right="316"/>
        <w:jc w:val="left"/>
      </w:pPr>
      <w:r>
        <w:rPr/>
        <w:t>报告期内，公司没有需要承担费用的离职退休职工。</w:t>
      </w:r>
    </w:p>
    <w:p>
      <w:pPr>
        <w:spacing w:after="0" w:line="240" w:lineRule="auto"/>
        <w:jc w:val="left"/>
        <w:sectPr>
          <w:pgSz w:w="11910" w:h="16840"/>
          <w:pgMar w:header="877" w:footer="979" w:top="1100" w:bottom="1160" w:left="92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34"/>
        <w:jc w:val="center"/>
        <w:rPr>
          <w:b w:val="0"/>
          <w:bCs w:val="0"/>
        </w:rPr>
      </w:pPr>
      <w:bookmarkStart w:name="第八节 公司治理" w:id="94"/>
      <w:bookmarkEnd w:id="94"/>
      <w:r>
        <w:rPr>
          <w:b w:val="0"/>
          <w:bCs w:val="0"/>
        </w:rPr>
      </w:r>
      <w:bookmarkStart w:name="_bookmark7" w:id="95"/>
      <w:bookmarkEnd w:id="95"/>
      <w:r>
        <w:rPr>
          <w:b w:val="0"/>
          <w:bCs w:val="0"/>
        </w:rPr>
      </w:r>
      <w:r>
        <w:rPr/>
        <w:t>第八节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before="26"/>
        <w:ind w:left="153" w:right="0" w:firstLine="0"/>
        <w:jc w:val="both"/>
        <w:rPr>
          <w:rFonts w:ascii="宋体" w:hAnsi="宋体" w:cs="宋体" w:eastAsia="宋体" w:hint="default"/>
          <w:sz w:val="24"/>
          <w:szCs w:val="24"/>
        </w:rPr>
      </w:pPr>
      <w:bookmarkStart w:name="一、公司治理的基本状况" w:id="96"/>
      <w:bookmarkEnd w:id="96"/>
      <w:r>
        <w:rPr/>
      </w:r>
      <w:r>
        <w:rPr>
          <w:rFonts w:ascii="宋体" w:hAnsi="宋体" w:cs="宋体" w:eastAsia="宋体" w:hint="default"/>
          <w:b/>
          <w:bCs/>
          <w:sz w:val="24"/>
          <w:szCs w:val="24"/>
        </w:rPr>
        <w:t>一、公司治理的基本状况</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357" w:lineRule="auto" w:before="0"/>
        <w:ind w:right="173" w:firstLine="480"/>
        <w:jc w:val="left"/>
      </w:pPr>
      <w:r>
        <w:rPr/>
        <w:t>报告期内，公司严格按照《公司法》、《证券法》、《上市公司治理准则》、《创业板 上市规则》、《创业板公司规范运作指引》和其他有关法律法规、规范性文件的要求，不断 完善公司治理结构，进一步提高公司治理水平。公司确立了由股东大会、董事会、监事会和 经营管理层组成的公司治理结构，建立健全了股东大会、董事会、监事会、独立董事、董事 会秘书等相关制度，并在公司董事会下设立了战略、审计、提名、薪酬与考核等专门委员 会。此外，公司持续深入开展公司治理活动，进一步提高了公司规范运作和治理水平，形成 了规范的股东大会、董事会、监事会和经理层的经营决策机制，切实维护公司及全体股东利 益。</w:t>
      </w:r>
    </w:p>
    <w:p>
      <w:pPr>
        <w:pStyle w:val="BodyText"/>
        <w:spacing w:line="364" w:lineRule="auto" w:before="77"/>
        <w:ind w:left="634" w:right="172"/>
        <w:jc w:val="left"/>
      </w:pPr>
      <w:r>
        <w:rPr>
          <w:rFonts w:ascii="Times New Roman" w:hAnsi="Times New Roman" w:cs="Times New Roman" w:eastAsia="Times New Roman" w:hint="default"/>
        </w:rPr>
        <w:t>1</w:t>
      </w:r>
      <w:r>
        <w:rPr/>
        <w:t>、关于股东与股东大会 公司严格按照《公司法》、《上市公司股东大会规则》、《公司章程》、《股东大会议</w:t>
      </w:r>
    </w:p>
    <w:p>
      <w:pPr>
        <w:pStyle w:val="BodyText"/>
        <w:spacing w:line="357" w:lineRule="auto" w:before="29"/>
        <w:ind w:left="154" w:right="189"/>
        <w:jc w:val="both"/>
      </w:pPr>
      <w:r>
        <w:rPr/>
        <w:t>事规则》等规定和要求，规范地召集、召开股东大会，平等地对待所有股东，使其充分行使 股东权利。公司股东大会就会议通知所列明的议案依次进行审议，议案审议符合程序，出席 股东大会会议人员的资格合法有效。股东大会设有股东讨论环节，股东可充分表达自己的意 见，公司管理层对于股东的提问、质询也尽量予以解答。此外，公司聘请律师见证，保证会 议召集、召开和表决程序的合法性，维护了公司和股东的合法权益。</w:t>
      </w:r>
    </w:p>
    <w:p>
      <w:pPr>
        <w:pStyle w:val="BodyText"/>
        <w:spacing w:line="364" w:lineRule="auto" w:before="76"/>
        <w:ind w:left="634" w:right="172"/>
        <w:jc w:val="left"/>
      </w:pPr>
      <w:r>
        <w:rPr>
          <w:rFonts w:ascii="Times New Roman" w:hAnsi="Times New Roman" w:cs="Times New Roman" w:eastAsia="Times New Roman" w:hint="default"/>
        </w:rPr>
        <w:t>2</w:t>
      </w:r>
      <w:r>
        <w:rPr/>
        <w:t>、关于公司与控股股东 公司的控股股东、实际控制人为童之磊先生，截至报告期末，童之磊先生直接持有公司</w:t>
      </w:r>
    </w:p>
    <w:p>
      <w:pPr>
        <w:pStyle w:val="BodyText"/>
        <w:spacing w:line="240" w:lineRule="auto" w:before="29"/>
        <w:ind w:left="154" w:right="0"/>
        <w:jc w:val="both"/>
      </w:pPr>
      <w:r>
        <w:rPr>
          <w:rFonts w:ascii="Times New Roman" w:hAnsi="Times New Roman" w:cs="Times New Roman" w:eastAsia="Times New Roman" w:hint="default"/>
        </w:rPr>
        <w:t>22,426,110 </w:t>
      </w:r>
      <w:r>
        <w:rPr/>
        <w:t>股股份，占公司本次发行前股份总数的</w:t>
      </w:r>
      <w:r>
        <w:rPr>
          <w:spacing w:val="-69"/>
        </w:rPr>
        <w:t> </w:t>
      </w:r>
      <w:r>
        <w:rPr>
          <w:rFonts w:ascii="Times New Roman" w:hAnsi="Times New Roman" w:cs="Times New Roman" w:eastAsia="Times New Roman" w:hint="default"/>
        </w:rPr>
        <w:t>24.92%</w:t>
      </w:r>
      <w:r>
        <w:rPr/>
        <w:t>；通过文睿投资间接持有本公司</w:t>
      </w:r>
    </w:p>
    <w:p>
      <w:pPr>
        <w:pStyle w:val="BodyText"/>
        <w:spacing w:line="352" w:lineRule="auto" w:before="135"/>
        <w:ind w:right="150"/>
        <w:jc w:val="both"/>
      </w:pPr>
      <w:r>
        <w:rPr>
          <w:rFonts w:ascii="Times New Roman" w:hAnsi="Times New Roman" w:cs="Times New Roman" w:eastAsia="Times New Roman" w:hint="default"/>
        </w:rPr>
        <w:t>8,449,643</w:t>
      </w:r>
      <w:r>
        <w:rPr>
          <w:rFonts w:ascii="Times New Roman" w:hAnsi="Times New Roman" w:cs="Times New Roman" w:eastAsia="Times New Roman" w:hint="default"/>
          <w:spacing w:val="-21"/>
        </w:rPr>
        <w:t> </w:t>
      </w:r>
      <w:r>
        <w:rPr/>
        <w:t>股股份，占本次发行前公司股份总数的</w:t>
      </w:r>
      <w:r>
        <w:rPr>
          <w:spacing w:val="-81"/>
        </w:rPr>
        <w:t> </w:t>
      </w:r>
      <w:r>
        <w:rPr>
          <w:rFonts w:ascii="Times New Roman" w:hAnsi="Times New Roman" w:cs="Times New Roman" w:eastAsia="Times New Roman" w:hint="default"/>
        </w:rPr>
        <w:t>9.39%</w:t>
      </w:r>
      <w:r>
        <w:rPr/>
        <w:t>。童之磊先生合计控制公司</w:t>
      </w:r>
      <w:r>
        <w:rPr>
          <w:spacing w:val="-81"/>
        </w:rPr>
        <w:t> </w:t>
      </w:r>
      <w:r>
        <w:rPr>
          <w:rFonts w:ascii="Times New Roman" w:hAnsi="Times New Roman" w:cs="Times New Roman" w:eastAsia="Times New Roman" w:hint="default"/>
        </w:rPr>
        <w:t>34.31%</w:t>
      </w:r>
      <w:r>
        <w:rPr/>
        <w:t>的 股份。控股股东能依据法律、法规及公司的规章管理制度行使权力，并承担相应的义务，履 行相关承诺。不存在控股股东利用其控股地位侵害其他股东利益的行为，也没有超越股东大 会或董事会直接或间接干预公司的决策和经营活动，不存在控股股东非经营性占用公司资金 以及公司为控股股东提供担保的情形。</w:t>
      </w:r>
    </w:p>
    <w:p>
      <w:pPr>
        <w:pStyle w:val="BodyText"/>
        <w:spacing w:line="240" w:lineRule="auto" w:before="82"/>
        <w:ind w:left="633" w:right="0"/>
        <w:jc w:val="left"/>
      </w:pPr>
      <w:r>
        <w:rPr>
          <w:rFonts w:ascii="Times New Roman" w:hAnsi="Times New Roman" w:cs="Times New Roman" w:eastAsia="Times New Roman" w:hint="default"/>
        </w:rPr>
        <w:t>3</w:t>
      </w:r>
      <w:r>
        <w:rPr/>
        <w:t>、关于董事与董事会</w:t>
      </w:r>
    </w:p>
    <w:p>
      <w:pPr>
        <w:pStyle w:val="BodyText"/>
        <w:spacing w:line="240" w:lineRule="auto" w:before="174"/>
        <w:ind w:left="634" w:right="0"/>
        <w:jc w:val="left"/>
      </w:pPr>
      <w:r>
        <w:rPr/>
        <w:t>公司董事会成员共</w:t>
      </w:r>
      <w:r>
        <w:rPr>
          <w:spacing w:val="-60"/>
        </w:rPr>
        <w:t> </w:t>
      </w:r>
      <w:r>
        <w:rPr>
          <w:rFonts w:ascii="Times New Roman" w:hAnsi="Times New Roman" w:cs="Times New Roman" w:eastAsia="Times New Roman" w:hint="default"/>
        </w:rPr>
        <w:t>7 </w:t>
      </w:r>
      <w:r>
        <w:rPr/>
        <w:t>人，其中独立董事</w:t>
      </w:r>
      <w:r>
        <w:rPr>
          <w:spacing w:val="-60"/>
        </w:rPr>
        <w:t> </w:t>
      </w:r>
      <w:r>
        <w:rPr>
          <w:rFonts w:ascii="Times New Roman" w:hAnsi="Times New Roman" w:cs="Times New Roman" w:eastAsia="Times New Roman" w:hint="default"/>
        </w:rPr>
        <w:t>3 </w:t>
      </w:r>
      <w:r>
        <w:rPr/>
        <w:t>人，均由股东大会选举产生，由公司高级管理</w:t>
      </w:r>
    </w:p>
    <w:p>
      <w:pPr>
        <w:spacing w:after="0" w:line="240" w:lineRule="auto"/>
        <w:jc w:val="left"/>
        <w:sectPr>
          <w:pgSz w:w="11910" w:h="16840"/>
          <w:pgMar w:header="877" w:footer="979" w:top="1100" w:bottom="1160" w:left="980" w:right="980"/>
        </w:sectPr>
      </w:pPr>
    </w:p>
    <w:p>
      <w:pPr>
        <w:spacing w:line="240" w:lineRule="auto" w:before="7"/>
        <w:rPr>
          <w:rFonts w:ascii="宋体" w:hAnsi="宋体" w:cs="宋体" w:eastAsia="宋体" w:hint="default"/>
          <w:sz w:val="25"/>
          <w:szCs w:val="25"/>
        </w:rPr>
      </w:pPr>
    </w:p>
    <w:p>
      <w:pPr>
        <w:pStyle w:val="BodyText"/>
        <w:spacing w:line="355" w:lineRule="auto"/>
        <w:ind w:left="154" w:right="151"/>
        <w:jc w:val="both"/>
      </w:pPr>
      <w:r>
        <w:rPr/>
        <w:t>人员担任的董事不超过董事总数的</w:t>
      </w:r>
      <w:r>
        <w:rPr>
          <w:spacing w:val="-44"/>
        </w:rPr>
        <w:t> </w:t>
      </w:r>
      <w:r>
        <w:rPr>
          <w:rFonts w:ascii="Times New Roman" w:hAnsi="Times New Roman" w:cs="Times New Roman" w:eastAsia="Times New Roman" w:hint="default"/>
          <w:spacing w:val="-4"/>
        </w:rPr>
        <w:t>1/3</w:t>
      </w:r>
      <w:r>
        <w:rPr>
          <w:spacing w:val="-4"/>
        </w:rPr>
        <w:t>，董事会的人数及人员构成符合法律、法规和《公司章</w:t>
      </w:r>
      <w:r>
        <w:rPr>
          <w:spacing w:val="-118"/>
        </w:rPr>
        <w:t> </w:t>
      </w:r>
      <w:r>
        <w:rPr>
          <w:spacing w:val="-118"/>
        </w:rPr>
      </w:r>
      <w:r>
        <w:rPr/>
        <w:t>程》的有关规定。公司全体董事的任职资格和任免均按照《公司法》、《创业板上市规则》 及《公司章程》等规定执行，符合法定程序。全体董事诚实守信、勤勉尽责，积极出席董事 会和股东大会，认真审议各项董事会议案，忠诚于公司和全体股东的利益，保护中小股东的 合法权益不受侵害。同时，独立董事以其所具备的丰富的专业知识和勤勉尽责的职业道德在 董事会制定公司发展战略、发展计划和进行生产经营决策等方面发挥了重要的作用，有力地 保障了董事会决策的科学性和公正性。</w:t>
      </w:r>
    </w:p>
    <w:p>
      <w:pPr>
        <w:pStyle w:val="BodyText"/>
        <w:spacing w:line="240" w:lineRule="auto" w:before="78"/>
        <w:ind w:left="634" w:right="0"/>
        <w:jc w:val="left"/>
      </w:pPr>
      <w:r>
        <w:rPr>
          <w:rFonts w:ascii="Times New Roman" w:hAnsi="Times New Roman" w:cs="Times New Roman" w:eastAsia="Times New Roman" w:hint="default"/>
        </w:rPr>
        <w:t>4</w:t>
      </w:r>
      <w:r>
        <w:rPr/>
        <w:t>、关于监事与监事会</w:t>
      </w:r>
    </w:p>
    <w:p>
      <w:pPr>
        <w:pStyle w:val="BodyText"/>
        <w:spacing w:line="352" w:lineRule="auto" w:before="175"/>
        <w:ind w:right="173" w:firstLine="480"/>
        <w:jc w:val="left"/>
      </w:pPr>
      <w:r>
        <w:rPr/>
        <w:t>公司监事会成员共</w:t>
      </w:r>
      <w:r>
        <w:rPr>
          <w:spacing w:val="-60"/>
        </w:rPr>
        <w:t> </w:t>
      </w:r>
      <w:r>
        <w:rPr>
          <w:rFonts w:ascii="Times New Roman" w:hAnsi="Times New Roman" w:cs="Times New Roman" w:eastAsia="Times New Roman" w:hint="default"/>
        </w:rPr>
        <w:t>3 </w:t>
      </w:r>
      <w:r>
        <w:rPr/>
        <w:t>人，其中职工代表监事</w:t>
      </w:r>
      <w:r>
        <w:rPr>
          <w:spacing w:val="-60"/>
        </w:rPr>
        <w:t> </w:t>
      </w:r>
      <w:r>
        <w:rPr>
          <w:rFonts w:ascii="Times New Roman" w:hAnsi="Times New Roman" w:cs="Times New Roman" w:eastAsia="Times New Roman" w:hint="default"/>
        </w:rPr>
        <w:t>1 </w:t>
      </w:r>
      <w:r>
        <w:rPr/>
        <w:t>人。监事会的人数、构成及来源符合法 律、法规的要求。监事会的人数及人员构成符合法律、法规和《公司章程》的要求。公司全 体监事的任职资格和任免均按照《公司法》、《公司章程》等规定执行，符合法定程序。公 司监事能够按照《监事会议事规则》的规定，认真履行自己的职责，对公司重大事项、财务 状况、董事和高级管理人员的履职情况等进行有效监督并发表意见。</w:t>
      </w:r>
    </w:p>
    <w:p>
      <w:pPr>
        <w:pStyle w:val="BodyText"/>
        <w:spacing w:line="367" w:lineRule="auto" w:before="80"/>
        <w:ind w:left="634" w:right="172"/>
        <w:jc w:val="left"/>
      </w:pPr>
      <w:r>
        <w:rPr>
          <w:rFonts w:ascii="Times New Roman" w:hAnsi="Times New Roman" w:cs="Times New Roman" w:eastAsia="Times New Roman" w:hint="default"/>
        </w:rPr>
        <w:t>5</w:t>
      </w:r>
      <w:r>
        <w:rPr/>
        <w:t>、关于经理层 公司《总经理工作细则》明确了总经理的权利和义务。公司经理层在任期内严格按照相</w:t>
      </w:r>
    </w:p>
    <w:p>
      <w:pPr>
        <w:pStyle w:val="BodyText"/>
        <w:spacing w:line="357" w:lineRule="auto"/>
        <w:ind w:right="189"/>
        <w:jc w:val="both"/>
      </w:pPr>
      <w:r>
        <w:rPr/>
        <w:t>关规则行使职权，并对公司日常生产经营实施有效控制。公司经理层没有越权行使职权的行 为，董事会和监事会能对公司经理层实施有效的监督和制约，不存在“内部控制人”倾向。 公司总经理等高级管理人员忠实履行职务，能够维护公司和全体股东的利益，目前未发生过 因未能忠实履行职务，违背诚信义务，侵害公司和股东利益的行为。</w:t>
      </w:r>
    </w:p>
    <w:p>
      <w:pPr>
        <w:pStyle w:val="BodyText"/>
        <w:spacing w:line="364" w:lineRule="auto" w:before="77"/>
        <w:ind w:left="634" w:right="172"/>
        <w:jc w:val="left"/>
      </w:pPr>
      <w:r>
        <w:rPr>
          <w:rFonts w:ascii="Times New Roman" w:hAnsi="Times New Roman" w:cs="Times New Roman" w:eastAsia="Times New Roman" w:hint="default"/>
        </w:rPr>
        <w:t>6</w:t>
      </w:r>
      <w:r>
        <w:rPr/>
        <w:t>、关于公司内部控制 公司按照《公司法》、《证券法》、《创业板上市规则》等法律法规，制定和修订了公</w:t>
      </w:r>
    </w:p>
    <w:p>
      <w:pPr>
        <w:pStyle w:val="BodyText"/>
        <w:spacing w:line="357" w:lineRule="auto" w:before="29"/>
        <w:ind w:left="154" w:right="172"/>
        <w:jc w:val="left"/>
      </w:pPr>
      <w:r>
        <w:rPr/>
        <w:t>司部分内部管理制度。各项制度建立之后得到了有效的贯彻执行，对公司的经营起到了有效 的指导、监督、控制的作用。公司内部管理制度建设独立、印章管理规范、会计核算体系健 全、对异地分子公司管理和控制有效，并建立了有效的风险防范机制，能够抵御突发性风 险，内部稽核、内控体系完备、有效，能够适应公司管理的要求和企业发展的需要。</w:t>
      </w:r>
    </w:p>
    <w:p>
      <w:pPr>
        <w:pStyle w:val="BodyText"/>
        <w:spacing w:line="367" w:lineRule="auto" w:before="76"/>
        <w:ind w:left="634" w:right="172"/>
        <w:jc w:val="left"/>
      </w:pPr>
      <w:r>
        <w:rPr>
          <w:rFonts w:ascii="Times New Roman" w:hAnsi="Times New Roman" w:cs="Times New Roman" w:eastAsia="Times New Roman" w:hint="default"/>
        </w:rPr>
        <w:t>7</w:t>
      </w:r>
      <w:r>
        <w:rPr/>
        <w:t>、关于公司独立性 公司严格按照《公司法》和《公司章程》的有关规定规范运作，建立了健全的公司法人</w:t>
      </w:r>
    </w:p>
    <w:p>
      <w:pPr>
        <w:pStyle w:val="BodyText"/>
        <w:spacing w:line="357" w:lineRule="auto"/>
        <w:ind w:left="154" w:right="190"/>
        <w:jc w:val="both"/>
      </w:pPr>
      <w:r>
        <w:rPr/>
        <w:t>治理结构，在资产、人员、财务、机构、业务等方面均独立于控股股东、实际控制人控制及 其施加重大影响的其他企业，公司具有完整的业务体系及面向市场独立经营的能力。公司控</w:t>
      </w:r>
    </w:p>
    <w:p>
      <w:pPr>
        <w:spacing w:after="0" w:line="357" w:lineRule="auto"/>
        <w:jc w:val="both"/>
        <w:sectPr>
          <w:pgSz w:w="11910" w:h="16840"/>
          <w:pgMar w:header="877" w:footer="979" w:top="1100" w:bottom="1160" w:left="980" w:right="980"/>
        </w:sectPr>
      </w:pPr>
    </w:p>
    <w:p>
      <w:pPr>
        <w:spacing w:line="240" w:lineRule="auto" w:before="7"/>
        <w:rPr>
          <w:rFonts w:ascii="宋体" w:hAnsi="宋体" w:cs="宋体" w:eastAsia="宋体" w:hint="default"/>
          <w:sz w:val="25"/>
          <w:szCs w:val="25"/>
        </w:rPr>
      </w:pPr>
    </w:p>
    <w:p>
      <w:pPr>
        <w:pStyle w:val="BodyText"/>
        <w:spacing w:line="357" w:lineRule="auto"/>
        <w:ind w:right="173"/>
        <w:jc w:val="left"/>
      </w:pPr>
      <w:r>
        <w:rPr/>
        <w:t>股股东严格规范自己的行为，没有超越股东大会直接或间接干预公司的决策和经营活动，不 存在同业竞争的情况，亦不存在控股股东及其它关联方非经营性占用公司资金的情况。</w:t>
      </w:r>
    </w:p>
    <w:p>
      <w:pPr>
        <w:pStyle w:val="BodyText"/>
        <w:spacing w:line="240" w:lineRule="auto" w:before="76"/>
        <w:ind w:left="633" w:right="0"/>
        <w:jc w:val="left"/>
      </w:pPr>
      <w:r>
        <w:rPr/>
        <w:t>公司治理与《公司法》和中国证监会相关规定的要求是否存在差异</w:t>
      </w:r>
    </w:p>
    <w:p>
      <w:pPr>
        <w:spacing w:line="482" w:lineRule="auto" w:before="195"/>
        <w:ind w:left="154" w:right="353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是 </w:t>
      </w:r>
      <w:r>
        <w:rPr>
          <w:rFonts w:ascii="Times New Roman" w:hAnsi="Times New Roman" w:cs="Times New Roman" w:eastAsia="Times New Roman" w:hint="default"/>
          <w:sz w:val="24"/>
          <w:szCs w:val="24"/>
        </w:rPr>
        <w:t>√ </w:t>
      </w:r>
      <w:r>
        <w:rPr>
          <w:rFonts w:ascii="宋体" w:hAnsi="宋体" w:cs="宋体" w:eastAsia="宋体" w:hint="default"/>
          <w:sz w:val="24"/>
          <w:szCs w:val="24"/>
        </w:rPr>
        <w:t>否 </w:t>
      </w:r>
      <w:bookmarkStart w:name="二、报告期内召开的年度股东大会和临时股东大会的有关情况" w:id="97"/>
      <w:bookmarkEnd w:id="97"/>
      <w:r>
        <w:rPr>
          <w:rFonts w:ascii="宋体" w:hAnsi="宋体" w:cs="宋体" w:eastAsia="宋体" w:hint="default"/>
          <w:sz w:val="24"/>
          <w:szCs w:val="24"/>
        </w:rPr>
      </w:r>
      <w:r>
        <w:rPr>
          <w:rFonts w:ascii="宋体" w:hAnsi="宋体" w:cs="宋体" w:eastAsia="宋体" w:hint="default"/>
          <w:b/>
          <w:bCs/>
          <w:w w:val="95"/>
          <w:sz w:val="24"/>
          <w:szCs w:val="24"/>
        </w:rPr>
        <w:t>二、报告期内召开的年度股东大会和临时股东大会的有关情况</w:t>
      </w:r>
      <w:r>
        <w:rPr>
          <w:rFonts w:ascii="宋体" w:hAnsi="宋体" w:cs="宋体" w:eastAsia="宋体" w:hint="default"/>
          <w:b/>
          <w:bCs/>
          <w:spacing w:val="70"/>
          <w:w w:val="95"/>
          <w:sz w:val="24"/>
          <w:szCs w:val="24"/>
        </w:rPr>
        <w:t> </w:t>
      </w:r>
      <w:bookmarkStart w:name="1、本报告期年度股东大会情况" w:id="98"/>
      <w:bookmarkEnd w:id="98"/>
      <w:r>
        <w:rPr>
          <w:rFonts w:ascii="宋体" w:hAnsi="宋体" w:cs="宋体" w:eastAsia="宋体" w:hint="default"/>
          <w:b/>
          <w:bCs/>
          <w:spacing w:val="70"/>
          <w:w w:val="95"/>
          <w:sz w:val="24"/>
          <w:szCs w:val="24"/>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、本报告期年度股东大会情况</w:t>
      </w:r>
      <w:r>
        <w:rPr>
          <w:rFonts w:ascii="宋体" w:hAnsi="宋体" w:cs="宋体" w:eastAsia="宋体" w:hint="default"/>
          <w:sz w:val="24"/>
          <w:szCs w:val="24"/>
        </w:rPr>
      </w:r>
    </w:p>
    <w:p>
      <w:pPr>
        <w:spacing w:line="240" w:lineRule="auto" w:before="10"/>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769" w:right="0"/>
              <w:jc w:val="left"/>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sz w:val="21"/>
                <w:szCs w:val="21"/>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770" w:right="0"/>
              <w:jc w:val="left"/>
              <w:rPr>
                <w:rFonts w:ascii="宋体" w:hAnsi="宋体" w:cs="宋体" w:eastAsia="宋体" w:hint="default"/>
                <w:sz w:val="21"/>
                <w:szCs w:val="21"/>
              </w:rPr>
            </w:pPr>
            <w:r>
              <w:rPr>
                <w:rFonts w:ascii="宋体" w:hAnsi="宋体" w:cs="宋体" w:eastAsia="宋体" w:hint="default"/>
                <w:b/>
                <w:bCs/>
                <w:sz w:val="21"/>
                <w:szCs w:val="21"/>
              </w:rPr>
              <w:t>召开日期</w:t>
            </w:r>
            <w:r>
              <w:rPr>
                <w:rFonts w:ascii="宋体" w:hAnsi="宋体" w:cs="宋体" w:eastAsia="宋体" w:hint="default"/>
                <w:sz w:val="21"/>
                <w:szCs w:val="21"/>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69" w:right="32" w:hanging="738"/>
              <w:jc w:val="left"/>
              <w:rPr>
                <w:rFonts w:ascii="宋体" w:hAnsi="宋体" w:cs="宋体" w:eastAsia="宋体" w:hint="default"/>
                <w:sz w:val="21"/>
                <w:szCs w:val="21"/>
              </w:rPr>
            </w:pPr>
            <w:r>
              <w:rPr>
                <w:rFonts w:ascii="宋体" w:hAnsi="宋体" w:cs="宋体" w:eastAsia="宋体" w:hint="default"/>
                <w:b/>
                <w:bCs/>
                <w:sz w:val="21"/>
                <w:szCs w:val="21"/>
              </w:rPr>
              <w:t>会议决议刊登的指定网站</w:t>
            </w:r>
            <w:r>
              <w:rPr>
                <w:rFonts w:ascii="宋体" w:hAnsi="宋体" w:cs="宋体" w:eastAsia="宋体" w:hint="default"/>
                <w:b/>
                <w:bCs/>
                <w:w w:val="99"/>
                <w:sz w:val="21"/>
                <w:szCs w:val="21"/>
              </w:rPr>
              <w:t> </w:t>
            </w:r>
            <w:r>
              <w:rPr>
                <w:rFonts w:ascii="宋体" w:hAnsi="宋体" w:cs="宋体" w:eastAsia="宋体" w:hint="default"/>
                <w:b/>
                <w:bCs/>
                <w:sz w:val="21"/>
                <w:szCs w:val="21"/>
              </w:rPr>
              <w:t>查询索引</w:t>
            </w:r>
            <w:r>
              <w:rPr>
                <w:rFonts w:ascii="宋体" w:hAnsi="宋体" w:cs="宋体" w:eastAsia="宋体" w:hint="default"/>
                <w:sz w:val="21"/>
                <w:szCs w:val="21"/>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980" w:right="32" w:hanging="950"/>
              <w:jc w:val="left"/>
              <w:rPr>
                <w:rFonts w:ascii="宋体" w:hAnsi="宋体" w:cs="宋体" w:eastAsia="宋体" w:hint="default"/>
                <w:sz w:val="21"/>
                <w:szCs w:val="21"/>
              </w:rPr>
            </w:pPr>
            <w:r>
              <w:rPr>
                <w:rFonts w:ascii="宋体" w:hAnsi="宋体" w:cs="宋体" w:eastAsia="宋体" w:hint="default"/>
                <w:b/>
                <w:bCs/>
                <w:sz w:val="21"/>
                <w:szCs w:val="21"/>
              </w:rPr>
              <w:t>会议决议刊登的信息披露</w:t>
            </w:r>
            <w:r>
              <w:rPr>
                <w:rFonts w:ascii="宋体" w:hAnsi="宋体" w:cs="宋体" w:eastAsia="宋体" w:hint="default"/>
                <w:b/>
                <w:bCs/>
                <w:w w:val="99"/>
                <w:sz w:val="21"/>
                <w:szCs w:val="21"/>
              </w:rPr>
              <w:t> </w:t>
            </w:r>
            <w:r>
              <w:rPr>
                <w:rFonts w:ascii="宋体" w:hAnsi="宋体" w:cs="宋体" w:eastAsia="宋体" w:hint="default"/>
                <w:b/>
                <w:bCs/>
                <w:sz w:val="21"/>
                <w:szCs w:val="21"/>
              </w:rPr>
              <w:t>日期</w:t>
            </w:r>
            <w:r>
              <w:rPr>
                <w:rFonts w:ascii="宋体" w:hAnsi="宋体" w:cs="宋体" w:eastAsia="宋体" w:hint="default"/>
                <w:sz w:val="21"/>
                <w:szCs w:val="21"/>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上市前召开，无查询索引</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bookmarkStart w:name="2、本报告期临时股东大会情况" w:id="99"/>
      <w:bookmarkEnd w:id="99"/>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、本报告期临时股东大会情况</w:t>
      </w:r>
      <w:r>
        <w:rPr>
          <w:rFonts w:ascii="宋体" w:hAnsi="宋体" w:cs="宋体" w:eastAsia="宋体" w:hint="default"/>
          <w:sz w:val="24"/>
          <w:szCs w:val="24"/>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769" w:right="0"/>
              <w:jc w:val="left"/>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sz w:val="21"/>
                <w:szCs w:val="21"/>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770" w:right="0"/>
              <w:jc w:val="left"/>
              <w:rPr>
                <w:rFonts w:ascii="宋体" w:hAnsi="宋体" w:cs="宋体" w:eastAsia="宋体" w:hint="default"/>
                <w:sz w:val="21"/>
                <w:szCs w:val="21"/>
              </w:rPr>
            </w:pPr>
            <w:r>
              <w:rPr>
                <w:rFonts w:ascii="宋体" w:hAnsi="宋体" w:cs="宋体" w:eastAsia="宋体" w:hint="default"/>
                <w:b/>
                <w:bCs/>
                <w:sz w:val="21"/>
                <w:szCs w:val="21"/>
              </w:rPr>
              <w:t>召开日期</w:t>
            </w:r>
            <w:r>
              <w:rPr>
                <w:rFonts w:ascii="宋体" w:hAnsi="宋体" w:cs="宋体" w:eastAsia="宋体" w:hint="default"/>
                <w:sz w:val="21"/>
                <w:szCs w:val="21"/>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69" w:right="32" w:hanging="738"/>
              <w:jc w:val="left"/>
              <w:rPr>
                <w:rFonts w:ascii="宋体" w:hAnsi="宋体" w:cs="宋体" w:eastAsia="宋体" w:hint="default"/>
                <w:sz w:val="21"/>
                <w:szCs w:val="21"/>
              </w:rPr>
            </w:pPr>
            <w:r>
              <w:rPr>
                <w:rFonts w:ascii="宋体" w:hAnsi="宋体" w:cs="宋体" w:eastAsia="宋体" w:hint="default"/>
                <w:b/>
                <w:bCs/>
                <w:sz w:val="21"/>
                <w:szCs w:val="21"/>
              </w:rPr>
              <w:t>会议决议刊登的指定网站</w:t>
            </w:r>
            <w:r>
              <w:rPr>
                <w:rFonts w:ascii="宋体" w:hAnsi="宋体" w:cs="宋体" w:eastAsia="宋体" w:hint="default"/>
                <w:b/>
                <w:bCs/>
                <w:w w:val="99"/>
                <w:sz w:val="21"/>
                <w:szCs w:val="21"/>
              </w:rPr>
              <w:t> </w:t>
            </w:r>
            <w:r>
              <w:rPr>
                <w:rFonts w:ascii="宋体" w:hAnsi="宋体" w:cs="宋体" w:eastAsia="宋体" w:hint="default"/>
                <w:b/>
                <w:bCs/>
                <w:sz w:val="21"/>
                <w:szCs w:val="21"/>
              </w:rPr>
              <w:t>查询索引</w:t>
            </w:r>
            <w:r>
              <w:rPr>
                <w:rFonts w:ascii="宋体" w:hAnsi="宋体" w:cs="宋体" w:eastAsia="宋体" w:hint="default"/>
                <w:sz w:val="21"/>
                <w:szCs w:val="21"/>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980" w:right="32" w:hanging="950"/>
              <w:jc w:val="left"/>
              <w:rPr>
                <w:rFonts w:ascii="宋体" w:hAnsi="宋体" w:cs="宋体" w:eastAsia="宋体" w:hint="default"/>
                <w:sz w:val="21"/>
                <w:szCs w:val="21"/>
              </w:rPr>
            </w:pPr>
            <w:r>
              <w:rPr>
                <w:rFonts w:ascii="宋体" w:hAnsi="宋体" w:cs="宋体" w:eastAsia="宋体" w:hint="default"/>
                <w:b/>
                <w:bCs/>
                <w:sz w:val="21"/>
                <w:szCs w:val="21"/>
              </w:rPr>
              <w:t>会议决议刊登的信息披露</w:t>
            </w:r>
            <w:r>
              <w:rPr>
                <w:rFonts w:ascii="宋体" w:hAnsi="宋体" w:cs="宋体" w:eastAsia="宋体" w:hint="default"/>
                <w:b/>
                <w:bCs/>
                <w:w w:val="99"/>
                <w:sz w:val="21"/>
                <w:szCs w:val="21"/>
              </w:rPr>
              <w:t> </w:t>
            </w:r>
            <w:r>
              <w:rPr>
                <w:rFonts w:ascii="宋体" w:hAnsi="宋体" w:cs="宋体" w:eastAsia="宋体" w:hint="default"/>
                <w:b/>
                <w:bCs/>
                <w:sz w:val="21"/>
                <w:szCs w:val="21"/>
              </w:rPr>
              <w:t>日期</w:t>
            </w:r>
            <w:r>
              <w:rPr>
                <w:rFonts w:ascii="宋体" w:hAnsi="宋体" w:cs="宋体" w:eastAsia="宋体" w:hint="default"/>
                <w:sz w:val="21"/>
                <w:szCs w:val="21"/>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7"/>
              <w:ind w:left="22" w:right="204"/>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年第一次临时股东 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上市前召开，无查询索引</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7"/>
              <w:ind w:left="22" w:right="204"/>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年第二次临时股东 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上市前召开，无查询索引</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7"/>
              <w:ind w:left="22" w:right="204"/>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年第三次临时股东 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上市前召开，无查询索引</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7"/>
              <w:ind w:left="22" w:right="204"/>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年第四次临时股东 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上市前召开，无查询索引</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7"/>
              <w:ind w:left="22" w:right="204"/>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年第五次临时股东 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上市前召开，无查询索引</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7"/>
              <w:ind w:left="22" w:right="204"/>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年第六次临时股东 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上市前召开，无查询索引</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7"/>
              <w:ind w:left="22" w:right="204"/>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年第七次临时股东 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上市前召开，无查询索引</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bookmarkStart w:name="三、报告期董事会召开情况" w:id="100"/>
      <w:bookmarkEnd w:id="100"/>
      <w:r>
        <w:rPr/>
      </w:r>
      <w:r>
        <w:rPr>
          <w:rFonts w:ascii="宋体" w:hAnsi="宋体" w:cs="宋体" w:eastAsia="宋体" w:hint="default"/>
          <w:b/>
          <w:bCs/>
          <w:sz w:val="24"/>
          <w:szCs w:val="24"/>
        </w:rPr>
        <w:t>三、报告期董事会召开情况</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sz w:val="21"/>
                <w:szCs w:val="21"/>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770" w:right="0"/>
              <w:jc w:val="left"/>
              <w:rPr>
                <w:rFonts w:ascii="宋体" w:hAnsi="宋体" w:cs="宋体" w:eastAsia="宋体" w:hint="default"/>
                <w:sz w:val="21"/>
                <w:szCs w:val="21"/>
              </w:rPr>
            </w:pPr>
            <w:r>
              <w:rPr>
                <w:rFonts w:ascii="宋体" w:hAnsi="宋体" w:cs="宋体" w:eastAsia="宋体" w:hint="default"/>
                <w:b/>
                <w:bCs/>
                <w:sz w:val="21"/>
                <w:szCs w:val="21"/>
              </w:rPr>
              <w:t>召开日期</w:t>
            </w:r>
            <w:r>
              <w:rPr>
                <w:rFonts w:ascii="宋体" w:hAnsi="宋体" w:cs="宋体" w:eastAsia="宋体" w:hint="default"/>
                <w:sz w:val="21"/>
                <w:szCs w:val="21"/>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69" w:right="32" w:hanging="738"/>
              <w:jc w:val="left"/>
              <w:rPr>
                <w:rFonts w:ascii="宋体" w:hAnsi="宋体" w:cs="宋体" w:eastAsia="宋体" w:hint="default"/>
                <w:sz w:val="21"/>
                <w:szCs w:val="21"/>
              </w:rPr>
            </w:pPr>
            <w:r>
              <w:rPr>
                <w:rFonts w:ascii="宋体" w:hAnsi="宋体" w:cs="宋体" w:eastAsia="宋体" w:hint="default"/>
                <w:b/>
                <w:bCs/>
                <w:sz w:val="21"/>
                <w:szCs w:val="21"/>
              </w:rPr>
              <w:t>会议决议刊登的指定网站</w:t>
            </w:r>
            <w:r>
              <w:rPr>
                <w:rFonts w:ascii="宋体" w:hAnsi="宋体" w:cs="宋体" w:eastAsia="宋体" w:hint="default"/>
                <w:b/>
                <w:bCs/>
                <w:w w:val="99"/>
                <w:sz w:val="21"/>
                <w:szCs w:val="21"/>
              </w:rPr>
              <w:t> </w:t>
            </w:r>
            <w:r>
              <w:rPr>
                <w:rFonts w:ascii="宋体" w:hAnsi="宋体" w:cs="宋体" w:eastAsia="宋体" w:hint="default"/>
                <w:b/>
                <w:bCs/>
                <w:sz w:val="21"/>
                <w:szCs w:val="21"/>
              </w:rPr>
              <w:t>查询索引</w:t>
            </w:r>
            <w:r>
              <w:rPr>
                <w:rFonts w:ascii="宋体" w:hAnsi="宋体" w:cs="宋体" w:eastAsia="宋体" w:hint="default"/>
                <w:sz w:val="21"/>
                <w:szCs w:val="21"/>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980" w:right="32" w:hanging="950"/>
              <w:jc w:val="left"/>
              <w:rPr>
                <w:rFonts w:ascii="宋体" w:hAnsi="宋体" w:cs="宋体" w:eastAsia="宋体" w:hint="default"/>
                <w:sz w:val="21"/>
                <w:szCs w:val="21"/>
              </w:rPr>
            </w:pPr>
            <w:r>
              <w:rPr>
                <w:rFonts w:ascii="宋体" w:hAnsi="宋体" w:cs="宋体" w:eastAsia="宋体" w:hint="default"/>
                <w:b/>
                <w:bCs/>
                <w:sz w:val="21"/>
                <w:szCs w:val="21"/>
              </w:rPr>
              <w:t>会议决议刊登的信息披露</w:t>
            </w:r>
            <w:r>
              <w:rPr>
                <w:rFonts w:ascii="宋体" w:hAnsi="宋体" w:cs="宋体" w:eastAsia="宋体" w:hint="default"/>
                <w:b/>
                <w:bCs/>
                <w:w w:val="99"/>
                <w:sz w:val="21"/>
                <w:szCs w:val="21"/>
              </w:rPr>
              <w:t> </w:t>
            </w:r>
            <w:r>
              <w:rPr>
                <w:rFonts w:ascii="宋体" w:hAnsi="宋体" w:cs="宋体" w:eastAsia="宋体" w:hint="default"/>
                <w:b/>
                <w:bCs/>
                <w:sz w:val="21"/>
                <w:szCs w:val="21"/>
              </w:rPr>
              <w:t>日期</w:t>
            </w:r>
            <w:r>
              <w:rPr>
                <w:rFonts w:ascii="宋体" w:hAnsi="宋体" w:cs="宋体" w:eastAsia="宋体" w:hint="default"/>
                <w:sz w:val="21"/>
                <w:szCs w:val="21"/>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4"/>
              <w:jc w:val="center"/>
              <w:rPr>
                <w:rFonts w:ascii="宋体" w:hAnsi="宋体" w:cs="宋体" w:eastAsia="宋体" w:hint="default"/>
                <w:sz w:val="21"/>
                <w:szCs w:val="21"/>
              </w:rPr>
            </w:pPr>
            <w:r>
              <w:rPr>
                <w:rFonts w:ascii="宋体" w:hAnsi="宋体" w:cs="宋体" w:eastAsia="宋体" w:hint="default"/>
                <w:sz w:val="21"/>
                <w:szCs w:val="21"/>
              </w:rPr>
              <w:t>第二届董事会第一次会议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上市前召开，无查询索引</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4"/>
              <w:jc w:val="center"/>
              <w:rPr>
                <w:rFonts w:ascii="宋体" w:hAnsi="宋体" w:cs="宋体" w:eastAsia="宋体" w:hint="default"/>
                <w:sz w:val="21"/>
                <w:szCs w:val="21"/>
              </w:rPr>
            </w:pPr>
            <w:r>
              <w:rPr>
                <w:rFonts w:ascii="宋体" w:hAnsi="宋体" w:cs="宋体" w:eastAsia="宋体" w:hint="default"/>
                <w:sz w:val="21"/>
                <w:szCs w:val="21"/>
              </w:rPr>
              <w:t>第二届董事会第二次会议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上市前召开，无查询索引</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4"/>
              <w:jc w:val="center"/>
              <w:rPr>
                <w:rFonts w:ascii="宋体" w:hAnsi="宋体" w:cs="宋体" w:eastAsia="宋体" w:hint="default"/>
                <w:sz w:val="21"/>
                <w:szCs w:val="21"/>
              </w:rPr>
            </w:pPr>
            <w:r>
              <w:rPr>
                <w:rFonts w:ascii="宋体" w:hAnsi="宋体" w:cs="宋体" w:eastAsia="宋体" w:hint="default"/>
                <w:sz w:val="21"/>
                <w:szCs w:val="21"/>
              </w:rPr>
              <w:t>第二届董事会第三次会议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上市前召开，无查询索引</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4"/>
              <w:jc w:val="center"/>
              <w:rPr>
                <w:rFonts w:ascii="宋体" w:hAnsi="宋体" w:cs="宋体" w:eastAsia="宋体" w:hint="default"/>
                <w:sz w:val="21"/>
                <w:szCs w:val="21"/>
              </w:rPr>
            </w:pPr>
            <w:r>
              <w:rPr>
                <w:rFonts w:ascii="宋体" w:hAnsi="宋体" w:cs="宋体" w:eastAsia="宋体" w:hint="default"/>
                <w:sz w:val="21"/>
                <w:szCs w:val="21"/>
              </w:rPr>
              <w:t>第二届董事会第四次会议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上市前召开，无查询索引</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4"/>
              <w:jc w:val="center"/>
              <w:rPr>
                <w:rFonts w:ascii="宋体" w:hAnsi="宋体" w:cs="宋体" w:eastAsia="宋体" w:hint="default"/>
                <w:sz w:val="21"/>
                <w:szCs w:val="21"/>
              </w:rPr>
            </w:pPr>
            <w:r>
              <w:rPr>
                <w:rFonts w:ascii="宋体" w:hAnsi="宋体" w:cs="宋体" w:eastAsia="宋体" w:hint="default"/>
                <w:sz w:val="21"/>
                <w:szCs w:val="21"/>
              </w:rPr>
              <w:t>第二届董事会第五次会议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上市前召开，无查询索引</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4"/>
              <w:jc w:val="center"/>
              <w:rPr>
                <w:rFonts w:ascii="宋体" w:hAnsi="宋体" w:cs="宋体" w:eastAsia="宋体" w:hint="default"/>
                <w:sz w:val="21"/>
                <w:szCs w:val="21"/>
              </w:rPr>
            </w:pPr>
            <w:r>
              <w:rPr>
                <w:rFonts w:ascii="宋体" w:hAnsi="宋体" w:cs="宋体" w:eastAsia="宋体" w:hint="default"/>
                <w:sz w:val="21"/>
                <w:szCs w:val="21"/>
              </w:rPr>
              <w:t>第二届董事会第六次会议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上市前召开，无查询索引</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4"/>
              <w:jc w:val="center"/>
              <w:rPr>
                <w:rFonts w:ascii="宋体" w:hAnsi="宋体" w:cs="宋体" w:eastAsia="宋体" w:hint="default"/>
                <w:sz w:val="21"/>
                <w:szCs w:val="21"/>
              </w:rPr>
            </w:pPr>
            <w:r>
              <w:rPr>
                <w:rFonts w:ascii="宋体" w:hAnsi="宋体" w:cs="宋体" w:eastAsia="宋体" w:hint="default"/>
                <w:sz w:val="21"/>
                <w:szCs w:val="21"/>
              </w:rPr>
              <w:t>第二届董事会第七次会议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上市前召开，无查询索引</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4"/>
              <w:jc w:val="center"/>
              <w:rPr>
                <w:rFonts w:ascii="宋体" w:hAnsi="宋体" w:cs="宋体" w:eastAsia="宋体" w:hint="default"/>
                <w:sz w:val="21"/>
                <w:szCs w:val="21"/>
              </w:rPr>
            </w:pPr>
            <w:r>
              <w:rPr>
                <w:rFonts w:ascii="宋体" w:hAnsi="宋体" w:cs="宋体" w:eastAsia="宋体" w:hint="default"/>
                <w:sz w:val="21"/>
                <w:szCs w:val="21"/>
              </w:rPr>
              <w:t>第二届董事会第八次会议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上市前召开，无查询索引</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4"/>
              <w:jc w:val="center"/>
              <w:rPr>
                <w:rFonts w:ascii="宋体" w:hAnsi="宋体" w:cs="宋体" w:eastAsia="宋体" w:hint="default"/>
                <w:sz w:val="21"/>
                <w:szCs w:val="21"/>
              </w:rPr>
            </w:pPr>
            <w:r>
              <w:rPr>
                <w:rFonts w:ascii="宋体" w:hAnsi="宋体" w:cs="宋体" w:eastAsia="宋体" w:hint="default"/>
                <w:sz w:val="21"/>
                <w:szCs w:val="21"/>
              </w:rPr>
              <w:t>第二届董事会第九次会议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上市前召开，无查询索引</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bookmarkStart w:name="四、年度报告重大差错责任追究制度的建立与执行情况" w:id="101"/>
      <w:bookmarkEnd w:id="101"/>
      <w:r>
        <w:rPr/>
      </w:r>
      <w:r>
        <w:rPr>
          <w:rFonts w:ascii="宋体" w:hAnsi="宋体" w:cs="宋体" w:eastAsia="宋体" w:hint="default"/>
          <w:b/>
          <w:bCs/>
          <w:sz w:val="24"/>
          <w:szCs w:val="24"/>
        </w:rPr>
        <w:t>四、年度报告重大差错责任追究制度的建立与执行情况</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357" w:lineRule="auto" w:before="0"/>
        <w:ind w:right="413" w:firstLine="480"/>
        <w:jc w:val="left"/>
      </w:pPr>
      <w:r>
        <w:rPr/>
        <w:t>已建立年度报告重大差错责任追究制度，经第二届董事会第十一次会议审议修订后执 行。</w:t>
      </w:r>
    </w:p>
    <w:p>
      <w:pPr>
        <w:spacing w:line="240" w:lineRule="auto" w:before="10"/>
        <w:rPr>
          <w:rFonts w:ascii="宋体" w:hAnsi="宋体" w:cs="宋体" w:eastAsia="宋体" w:hint="default"/>
          <w:sz w:val="19"/>
          <w:szCs w:val="19"/>
        </w:rPr>
      </w:pPr>
    </w:p>
    <w:p>
      <w:pPr>
        <w:spacing w:before="0"/>
        <w:ind w:left="154" w:right="0" w:firstLine="0"/>
        <w:jc w:val="left"/>
        <w:rPr>
          <w:rFonts w:ascii="宋体" w:hAnsi="宋体" w:cs="宋体" w:eastAsia="宋体" w:hint="default"/>
          <w:sz w:val="24"/>
          <w:szCs w:val="24"/>
        </w:rPr>
      </w:pPr>
      <w:bookmarkStart w:name="五、监事会工作情况" w:id="102"/>
      <w:bookmarkEnd w:id="102"/>
      <w:r>
        <w:rPr/>
      </w:r>
      <w:r>
        <w:rPr>
          <w:rFonts w:ascii="宋体" w:hAnsi="宋体" w:cs="宋体" w:eastAsia="宋体" w:hint="default"/>
          <w:b/>
          <w:bCs/>
          <w:sz w:val="24"/>
          <w:szCs w:val="24"/>
        </w:rPr>
        <w:t>五、监事会工作情况</w:t>
      </w:r>
      <w:r>
        <w:rPr>
          <w:rFonts w:ascii="宋体" w:hAnsi="宋体" w:cs="宋体" w:eastAsia="宋体" w:hint="default"/>
          <w:sz w:val="24"/>
          <w:szCs w:val="24"/>
        </w:rPr>
      </w:r>
    </w:p>
    <w:p>
      <w:pPr>
        <w:spacing w:line="240" w:lineRule="auto" w:before="11"/>
        <w:rPr>
          <w:rFonts w:ascii="宋体" w:hAnsi="宋体" w:cs="宋体" w:eastAsia="宋体" w:hint="default"/>
          <w:b/>
          <w:bCs/>
          <w:sz w:val="28"/>
          <w:szCs w:val="28"/>
        </w:rPr>
      </w:pPr>
    </w:p>
    <w:p>
      <w:pPr>
        <w:pStyle w:val="BodyText"/>
        <w:spacing w:line="240" w:lineRule="auto" w:before="0"/>
        <w:ind w:left="633" w:right="0"/>
        <w:jc w:val="left"/>
      </w:pPr>
      <w:r>
        <w:rPr/>
        <w:t>监事会在报告期内的监督活动是否发现公司存在风险</w:t>
      </w:r>
    </w:p>
    <w:p>
      <w:pPr>
        <w:pStyle w:val="BodyText"/>
        <w:spacing w:line="367" w:lineRule="auto" w:before="194"/>
        <w:ind w:left="634" w:right="47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公司监事会对报告期内的监督事项无异议。</w:t>
      </w:r>
    </w:p>
    <w:p>
      <w:pPr>
        <w:spacing w:after="0" w:line="367" w:lineRule="auto"/>
        <w:jc w:val="left"/>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34"/>
        <w:jc w:val="center"/>
        <w:rPr>
          <w:b w:val="0"/>
          <w:bCs w:val="0"/>
        </w:rPr>
      </w:pPr>
      <w:bookmarkStart w:name="第九节 财务报告" w:id="103"/>
      <w:bookmarkEnd w:id="103"/>
      <w:r>
        <w:rPr>
          <w:b w:val="0"/>
          <w:bCs w:val="0"/>
        </w:rPr>
      </w:r>
      <w:bookmarkStart w:name="_bookmark8" w:id="104"/>
      <w:bookmarkEnd w:id="104"/>
      <w:r>
        <w:rPr>
          <w:b w:val="0"/>
          <w:bCs w:val="0"/>
        </w:rPr>
      </w:r>
      <w:r>
        <w:rPr/>
        <w:t>第九节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before="26"/>
        <w:ind w:left="153" w:right="0" w:firstLine="0"/>
        <w:jc w:val="left"/>
        <w:rPr>
          <w:rFonts w:ascii="宋体" w:hAnsi="宋体" w:cs="宋体" w:eastAsia="宋体" w:hint="default"/>
          <w:sz w:val="24"/>
          <w:szCs w:val="24"/>
        </w:rPr>
      </w:pPr>
      <w:bookmarkStart w:name="一、审计报告" w:id="105"/>
      <w:bookmarkEnd w:id="105"/>
      <w:r>
        <w:rPr/>
      </w:r>
      <w:r>
        <w:rPr>
          <w:rFonts w:ascii="宋体" w:hAnsi="宋体" w:cs="宋体" w:eastAsia="宋体" w:hint="default"/>
          <w:b/>
          <w:bCs/>
          <w:sz w:val="24"/>
          <w:szCs w:val="24"/>
        </w:rPr>
        <w:t>一、审计报告</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XYZH/2015BJA10034</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唐炫、郑小川</w:t>
            </w:r>
          </w:p>
        </w:tc>
      </w:tr>
    </w:tbl>
    <w:p>
      <w:pPr>
        <w:spacing w:line="240" w:lineRule="auto" w:before="2"/>
        <w:rPr>
          <w:rFonts w:ascii="宋体" w:hAnsi="宋体" w:cs="宋体" w:eastAsia="宋体" w:hint="default"/>
          <w:b/>
          <w:bCs/>
          <w:sz w:val="10"/>
          <w:szCs w:val="10"/>
        </w:rPr>
      </w:pPr>
    </w:p>
    <w:p>
      <w:pPr>
        <w:spacing w:line="506" w:lineRule="auto" w:before="26"/>
        <w:ind w:left="153" w:right="4231" w:firstLine="4096"/>
        <w:jc w:val="left"/>
        <w:rPr>
          <w:rFonts w:ascii="宋体" w:hAnsi="宋体" w:cs="宋体" w:eastAsia="宋体" w:hint="default"/>
          <w:sz w:val="24"/>
          <w:szCs w:val="24"/>
        </w:rPr>
      </w:pPr>
      <w:r>
        <w:rPr>
          <w:rFonts w:ascii="宋体" w:hAnsi="宋体" w:cs="宋体" w:eastAsia="宋体" w:hint="default"/>
          <w:b/>
          <w:bCs/>
          <w:sz w:val="24"/>
          <w:szCs w:val="24"/>
        </w:rPr>
        <w:t>审计报告正文</w:t>
      </w:r>
      <w:r>
        <w:rPr>
          <w:rFonts w:ascii="宋体" w:hAnsi="宋体" w:cs="宋体" w:eastAsia="宋体" w:hint="default"/>
          <w:b/>
          <w:bCs/>
          <w:w w:val="99"/>
          <w:sz w:val="24"/>
          <w:szCs w:val="24"/>
        </w:rPr>
        <w:t> </w:t>
      </w:r>
      <w:r>
        <w:rPr>
          <w:rFonts w:ascii="宋体" w:hAnsi="宋体" w:cs="宋体" w:eastAsia="宋体" w:hint="default"/>
          <w:b/>
          <w:bCs/>
          <w:sz w:val="24"/>
          <w:szCs w:val="24"/>
        </w:rPr>
        <w:t>北京中文在线数字出版股份有限公司全体股东：</w:t>
      </w:r>
      <w:r>
        <w:rPr>
          <w:rFonts w:ascii="宋体" w:hAnsi="宋体" w:cs="宋体" w:eastAsia="宋体" w:hint="default"/>
          <w:sz w:val="24"/>
          <w:szCs w:val="24"/>
        </w:rPr>
      </w:r>
    </w:p>
    <w:p>
      <w:pPr>
        <w:pStyle w:val="BodyText"/>
        <w:spacing w:line="357" w:lineRule="auto" w:before="6"/>
        <w:ind w:right="0" w:firstLine="480"/>
        <w:jc w:val="left"/>
      </w:pPr>
      <w:r>
        <w:rPr>
          <w:spacing w:val="-6"/>
        </w:rPr>
        <w:t>我们审计了后附的北京中文在线数字出版股份有限公司（以下简称中文在线）财务报表，</w:t>
      </w:r>
      <w:r>
        <w:rPr/>
        <w:t> 包括</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日的合并及母公司资产负债表，</w:t>
      </w:r>
      <w:r>
        <w:rPr>
          <w:rFonts w:ascii="宋体" w:hAnsi="宋体" w:cs="宋体" w:eastAsia="宋体" w:hint="default"/>
        </w:rPr>
        <w:t>2014</w:t>
      </w:r>
      <w:r>
        <w:rPr>
          <w:rFonts w:ascii="宋体" w:hAnsi="宋体" w:cs="宋体" w:eastAsia="宋体" w:hint="default"/>
          <w:spacing w:val="-60"/>
        </w:rPr>
        <w:t> </w:t>
      </w:r>
      <w:r>
        <w:rPr/>
        <w:t>年度的合并及母公司利润表、合 并及母公司现金流量表、合并及母公司股东权益变动表以及财务报表附注。</w:t>
      </w:r>
    </w:p>
    <w:p>
      <w:pPr>
        <w:spacing w:line="331" w:lineRule="auto" w:before="196"/>
        <w:ind w:left="633" w:right="0" w:hanging="149"/>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3"/>
          <w:sz w:val="24"/>
          <w:szCs w:val="24"/>
        </w:rPr>
        <w:t>编制和公允列报财务报表是中文在线管理层的责任，这种责任包括：（</w:t>
      </w:r>
      <w:r>
        <w:rPr>
          <w:rFonts w:ascii="宋体" w:hAnsi="宋体" w:cs="宋体" w:eastAsia="宋体" w:hint="default"/>
          <w:spacing w:val="-3"/>
          <w:sz w:val="24"/>
          <w:szCs w:val="24"/>
        </w:rPr>
        <w:t>1</w:t>
      </w:r>
      <w:r>
        <w:rPr>
          <w:rFonts w:ascii="宋体" w:hAnsi="宋体" w:cs="宋体" w:eastAsia="宋体" w:hint="default"/>
          <w:spacing w:val="-3"/>
          <w:sz w:val="24"/>
          <w:szCs w:val="24"/>
        </w:rPr>
        <w:t>）按照企业会计</w:t>
      </w:r>
    </w:p>
    <w:p>
      <w:pPr>
        <w:pStyle w:val="BodyText"/>
        <w:spacing w:line="357" w:lineRule="auto" w:before="61"/>
        <w:ind w:right="135"/>
        <w:jc w:val="left"/>
      </w:pPr>
      <w:r>
        <w:rPr>
          <w:spacing w:val="-2"/>
        </w:rPr>
        <w:t>准则的规定编制财务报表，并使其实现公允反映；（</w:t>
      </w:r>
      <w:r>
        <w:rPr>
          <w:rFonts w:ascii="宋体" w:hAnsi="宋体" w:cs="宋体" w:eastAsia="宋体" w:hint="default"/>
          <w:spacing w:val="-2"/>
        </w:rPr>
        <w:t>2</w:t>
      </w:r>
      <w:r>
        <w:rPr>
          <w:spacing w:val="-2"/>
        </w:rPr>
        <w:t>）设计、执行和维护必要的内部控制，</w:t>
      </w:r>
      <w:r>
        <w:rPr/>
        <w:t> 以使财务报表不存在由于舞弊或错误导致的重大错报。</w:t>
      </w:r>
    </w:p>
    <w:p>
      <w:pPr>
        <w:spacing w:line="331" w:lineRule="auto" w:before="196"/>
        <w:ind w:left="633" w:right="173" w:hanging="149"/>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z w:val="24"/>
          <w:szCs w:val="24"/>
        </w:rPr>
        <w:t>我们的责任是在执行审计工作的基础上对财务报表发表审计意见。我们按照中国注册会</w:t>
      </w:r>
    </w:p>
    <w:p>
      <w:pPr>
        <w:pStyle w:val="BodyText"/>
        <w:spacing w:line="357" w:lineRule="auto" w:before="61"/>
        <w:ind w:right="413"/>
        <w:jc w:val="left"/>
      </w:pPr>
      <w:r>
        <w:rPr/>
        <w:t>计师审计准则的规定执行了审计工作。中国注册会计师审计准则要求我们遵守职业道德守 则，计划和执行审计工作以对财务报表是否不存在重大错报获取合理保证。</w:t>
      </w:r>
    </w:p>
    <w:p>
      <w:pPr>
        <w:pStyle w:val="BodyText"/>
        <w:spacing w:line="357" w:lineRule="auto" w:before="74"/>
        <w:ind w:right="173" w:firstLine="480"/>
        <w:jc w:val="left"/>
      </w:pPr>
      <w:r>
        <w:rPr/>
        <w:t>审计工作涉及实施审计程序，以获取有关财务报表金额和披露的审计证据。选择的审计 程序取决于注册会计师的判断，包括对由于舞弊或错误导致的财务报表重大错报风险的评 估。在进行风险评估时，注册会计师考虑与财务报表编制和公允列报相关的内部控制，以设 计恰当的审计程序。审计工作还包括评价管理层选用会计政策的恰当性和作出会计估计的合 理性，以及评价财务报表的总体列报。</w:t>
      </w:r>
    </w:p>
    <w:p>
      <w:pPr>
        <w:pStyle w:val="BodyText"/>
        <w:spacing w:line="240" w:lineRule="auto" w:before="77"/>
        <w:ind w:left="634" w:right="0"/>
        <w:jc w:val="left"/>
      </w:pPr>
      <w:r>
        <w:rPr/>
        <w:t>我们相信，我们获取的审计证据是充分、适当的，为发表审计意见提供了基础。</w:t>
      </w:r>
    </w:p>
    <w:p>
      <w:pPr>
        <w:spacing w:after="0" w:line="240" w:lineRule="auto"/>
        <w:jc w:val="left"/>
        <w:sectPr>
          <w:pgSz w:w="11910" w:h="16840"/>
          <w:pgMar w:header="877" w:footer="979" w:top="1100" w:bottom="1160" w:left="980" w:right="980"/>
        </w:sectPr>
      </w:pPr>
    </w:p>
    <w:p>
      <w:pPr>
        <w:spacing w:line="240" w:lineRule="auto" w:before="9"/>
        <w:rPr>
          <w:rFonts w:ascii="宋体" w:hAnsi="宋体" w:cs="宋体" w:eastAsia="宋体" w:hint="default"/>
          <w:sz w:val="25"/>
          <w:szCs w:val="25"/>
        </w:rPr>
      </w:pPr>
    </w:p>
    <w:p>
      <w:pPr>
        <w:pStyle w:val="BodyText"/>
        <w:spacing w:line="386" w:lineRule="auto"/>
        <w:ind w:left="633" w:right="173" w:firstLine="2"/>
        <w:jc w:val="left"/>
      </w:pPr>
      <w:r>
        <w:rPr>
          <w:rFonts w:ascii="宋体" w:hAnsi="宋体" w:cs="宋体" w:eastAsia="宋体" w:hint="default"/>
          <w:b/>
          <w:bCs/>
        </w:rPr>
        <w:t>三、审计意见</w:t>
      </w:r>
      <w:r>
        <w:rPr>
          <w:rFonts w:ascii="宋体" w:hAnsi="宋体" w:cs="宋体" w:eastAsia="宋体" w:hint="default"/>
          <w:b/>
          <w:bCs/>
          <w:w w:val="99"/>
        </w:rPr>
        <w:t> </w:t>
      </w:r>
      <w:r>
        <w:rPr/>
        <w:t>我们认为，中文在线财务报表在所有重大方面按照企业会计准则的规定编制，公允反映</w:t>
      </w:r>
    </w:p>
    <w:p>
      <w:pPr>
        <w:pStyle w:val="BodyText"/>
        <w:spacing w:line="360" w:lineRule="auto" w:before="7"/>
        <w:ind w:right="173"/>
        <w:jc w:val="left"/>
      </w:pPr>
      <w:r>
        <w:rPr/>
        <w:t>了中文在线</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日的合并及母公司财务状况以及</w:t>
      </w:r>
      <w:r>
        <w:rPr>
          <w:spacing w:val="-60"/>
        </w:rPr>
        <w:t> </w:t>
      </w:r>
      <w:r>
        <w:rPr>
          <w:rFonts w:ascii="宋体" w:hAnsi="宋体" w:cs="宋体" w:eastAsia="宋体" w:hint="default"/>
        </w:rPr>
        <w:t>2014</w:t>
      </w:r>
      <w:r>
        <w:rPr>
          <w:rFonts w:ascii="宋体" w:hAnsi="宋体" w:cs="宋体" w:eastAsia="宋体" w:hint="default"/>
          <w:spacing w:val="-60"/>
        </w:rPr>
        <w:t> </w:t>
      </w:r>
      <w:r>
        <w:rPr/>
        <w:t>年度的合并及母公司经营 成果和现金流量。</w:t>
      </w:r>
    </w:p>
    <w:p>
      <w:pPr>
        <w:spacing w:line="240" w:lineRule="auto" w:before="7"/>
        <w:rPr>
          <w:rFonts w:ascii="宋体" w:hAnsi="宋体" w:cs="宋体" w:eastAsia="宋体" w:hint="default"/>
          <w:sz w:val="19"/>
          <w:szCs w:val="19"/>
        </w:rPr>
      </w:pPr>
    </w:p>
    <w:p>
      <w:pPr>
        <w:spacing w:before="0"/>
        <w:ind w:left="153" w:right="0" w:firstLine="0"/>
        <w:jc w:val="left"/>
        <w:rPr>
          <w:rFonts w:ascii="宋体" w:hAnsi="宋体" w:cs="宋体" w:eastAsia="宋体" w:hint="default"/>
          <w:sz w:val="24"/>
          <w:szCs w:val="24"/>
        </w:rPr>
      </w:pPr>
      <w:bookmarkStart w:name="二、财务报表" w:id="106"/>
      <w:bookmarkEnd w:id="106"/>
      <w:r>
        <w:rPr/>
      </w:r>
      <w:r>
        <w:rPr>
          <w:rFonts w:ascii="宋体" w:hAnsi="宋体" w:cs="宋体" w:eastAsia="宋体" w:hint="default"/>
          <w:b/>
          <w:bCs/>
          <w:sz w:val="24"/>
          <w:szCs w:val="24"/>
        </w:rPr>
        <w:t>二、财务报表</w:t>
      </w:r>
      <w:r>
        <w:rPr>
          <w:rFonts w:ascii="宋体" w:hAnsi="宋体" w:cs="宋体" w:eastAsia="宋体" w:hint="default"/>
          <w:sz w:val="24"/>
          <w:szCs w:val="24"/>
        </w:rPr>
      </w:r>
    </w:p>
    <w:p>
      <w:pPr>
        <w:spacing w:line="240" w:lineRule="auto" w:before="11"/>
        <w:rPr>
          <w:rFonts w:ascii="宋体" w:hAnsi="宋体" w:cs="宋体" w:eastAsia="宋体" w:hint="default"/>
          <w:b/>
          <w:bCs/>
          <w:sz w:val="28"/>
          <w:szCs w:val="28"/>
        </w:rPr>
      </w:pPr>
    </w:p>
    <w:p>
      <w:pPr>
        <w:pStyle w:val="BodyText"/>
        <w:spacing w:line="240" w:lineRule="auto" w:before="0"/>
        <w:ind w:left="633" w:right="0"/>
        <w:jc w:val="left"/>
      </w:pPr>
      <w:r>
        <w:rPr/>
        <w:t>财务附注中报表的单位为：人民币元</w:t>
      </w:r>
    </w:p>
    <w:p>
      <w:pPr>
        <w:spacing w:line="240" w:lineRule="auto" w:before="10"/>
        <w:rPr>
          <w:rFonts w:ascii="宋体" w:hAnsi="宋体" w:cs="宋体" w:eastAsia="宋体" w:hint="default"/>
          <w:sz w:val="28"/>
          <w:szCs w:val="28"/>
        </w:rPr>
      </w:pPr>
    </w:p>
    <w:p>
      <w:pPr>
        <w:spacing w:before="0"/>
        <w:ind w:left="154" w:right="0" w:firstLine="0"/>
        <w:jc w:val="left"/>
        <w:rPr>
          <w:rFonts w:ascii="宋体" w:hAnsi="宋体" w:cs="宋体" w:eastAsia="宋体" w:hint="default"/>
          <w:sz w:val="24"/>
          <w:szCs w:val="24"/>
        </w:rPr>
      </w:pPr>
      <w:bookmarkStart w:name="1、合并资产负债表" w:id="107"/>
      <w:bookmarkEnd w:id="107"/>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、合并资产负债表</w:t>
      </w:r>
      <w:r>
        <w:rPr>
          <w:rFonts w:ascii="宋体" w:hAnsi="宋体" w:cs="宋体" w:eastAsia="宋体" w:hint="default"/>
          <w:sz w:val="24"/>
          <w:szCs w:val="24"/>
        </w:rPr>
      </w:r>
    </w:p>
    <w:p>
      <w:pPr>
        <w:spacing w:line="240" w:lineRule="auto" w:before="6"/>
        <w:rPr>
          <w:rFonts w:ascii="宋体" w:hAnsi="宋体" w:cs="宋体" w:eastAsia="宋体" w:hint="default"/>
          <w:b/>
          <w:bCs/>
          <w:sz w:val="25"/>
          <w:szCs w:val="25"/>
        </w:rPr>
      </w:pPr>
    </w:p>
    <w:p>
      <w:pPr>
        <w:pStyle w:val="BodyText"/>
        <w:spacing w:line="240" w:lineRule="auto"/>
        <w:ind w:left="633" w:right="0"/>
        <w:jc w:val="left"/>
      </w:pPr>
      <w:r>
        <w:rPr/>
        <w:t>编制单位：北京中文在线数字出版股份有限公司</w:t>
      </w:r>
    </w:p>
    <w:p>
      <w:pPr>
        <w:pStyle w:val="BodyText"/>
        <w:spacing w:line="240" w:lineRule="auto" w:before="115"/>
        <w:ind w:left="0" w:right="150"/>
        <w:jc w:val="right"/>
      </w:pPr>
      <w:r>
        <w:rPr/>
        <w:t>单位：元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59,956,818.95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116,330,817.83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1"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以公允价值计量且其变动 计入当期损益的金融资产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97,537,231.63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66,570,485.30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23,931,717.71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3,598,826.86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9,249,765.75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7,740,248.89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1,446,666.98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流动资产合计</w:t>
            </w:r>
            <w:r>
              <w:rPr>
                <w:rFonts w:ascii="宋体" w:hAnsi="宋体" w:cs="宋体" w:eastAsia="宋体" w:hint="default"/>
                <w:sz w:val="21"/>
                <w:szCs w:val="21"/>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192,122,201.02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194,240,378.88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96,748,300.00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73,505,105.81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68,508,849.85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4,849,986.52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4,279,356.44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61,489,393.28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49,915,164.95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1,654,444.08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1,654,444.08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257,172.76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2,503,767.41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2,150,834.21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非流动资产合计</w:t>
            </w:r>
            <w:r>
              <w:rPr>
                <w:rFonts w:ascii="宋体" w:hAnsi="宋体" w:cs="宋体" w:eastAsia="宋体" w:hint="default"/>
                <w:sz w:val="21"/>
                <w:szCs w:val="21"/>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241,008,169.86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126,508,649.53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433,130,370.88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320,749,028.41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611"/>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1"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以公允价值计量且其变动 计入当期损益的金融负债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32,480,250.85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23,919,186.41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12,110,316.70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6,691,807.30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611"/>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11,129,997.79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10,729,759.87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14,672,301.23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10,020,681.29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101,077.78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527,625.70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153,056.86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流动负债合计</w:t>
            </w:r>
            <w:r>
              <w:rPr>
                <w:rFonts w:ascii="宋体" w:hAnsi="宋体" w:cs="宋体" w:eastAsia="宋体" w:hint="default"/>
                <w:sz w:val="21"/>
                <w:szCs w:val="21"/>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126,021,570.05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51,514,491.73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8"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5,195,800.12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5,122,920.93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非流动负债合计</w:t>
            </w:r>
            <w:r>
              <w:rPr>
                <w:rFonts w:ascii="宋体" w:hAnsi="宋体" w:cs="宋体" w:eastAsia="宋体" w:hint="default"/>
                <w:sz w:val="21"/>
                <w:szCs w:val="21"/>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5,195,800.12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5,122,920.93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负债合计</w:t>
            </w:r>
            <w:r>
              <w:rPr>
                <w:rFonts w:ascii="宋体" w:hAnsi="宋体" w:cs="宋体" w:eastAsia="宋体" w:hint="default"/>
                <w:sz w:val="21"/>
                <w:szCs w:val="21"/>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131,217,370.17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56,637,412.66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8"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29,880,245.78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29,880,245.78</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20,198,350.08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13,794,398.76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161,127,686.55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129,661,894.51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b/>
                <w:bCs/>
                <w:sz w:val="21"/>
                <w:szCs w:val="21"/>
              </w:rPr>
              <w:t>归属于母公司所有者权益合计</w:t>
            </w:r>
            <w:r>
              <w:rPr>
                <w:rFonts w:ascii="宋体" w:hAnsi="宋体" w:cs="宋体" w:eastAsia="宋体" w:hint="default"/>
                <w:sz w:val="21"/>
                <w:szCs w:val="21"/>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301,206,282.41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263,336,539.05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706,718.30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775,076.70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b/>
                <w:bCs/>
                <w:sz w:val="21"/>
                <w:szCs w:val="21"/>
              </w:rPr>
              <w:t>所有者权益合计</w:t>
            </w:r>
            <w:r>
              <w:rPr>
                <w:rFonts w:ascii="宋体" w:hAnsi="宋体" w:cs="宋体" w:eastAsia="宋体" w:hint="default"/>
                <w:sz w:val="21"/>
                <w:szCs w:val="21"/>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301,913,000.71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264,111,615.75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b/>
                <w:bCs/>
                <w:sz w:val="21"/>
                <w:szCs w:val="21"/>
              </w:rPr>
              <w:t>负债和所有者权益总计</w:t>
            </w:r>
            <w:r>
              <w:rPr>
                <w:rFonts w:ascii="宋体" w:hAnsi="宋体" w:cs="宋体" w:eastAsia="宋体" w:hint="default"/>
                <w:sz w:val="21"/>
                <w:szCs w:val="21"/>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433,130,370.88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320,749,028.41</w:t>
            </w:r>
          </w:p>
        </w:tc>
      </w:tr>
    </w:tbl>
    <w:p>
      <w:pPr>
        <w:spacing w:line="240" w:lineRule="auto" w:before="11"/>
        <w:rPr>
          <w:rFonts w:ascii="Times New Roman" w:hAnsi="Times New Roman" w:cs="Times New Roman" w:eastAsia="Times New Roman" w:hint="default"/>
          <w:sz w:val="5"/>
          <w:szCs w:val="5"/>
        </w:rPr>
      </w:pPr>
    </w:p>
    <w:p>
      <w:pPr>
        <w:tabs>
          <w:tab w:pos="3304" w:val="left" w:leader="none"/>
          <w:tab w:pos="7399" w:val="left" w:leader="none"/>
        </w:tabs>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法定代表人：童之磊</w:t>
        <w:tab/>
      </w:r>
      <w:r>
        <w:rPr>
          <w:rFonts w:ascii="宋体" w:hAnsi="宋体" w:cs="宋体" w:eastAsia="宋体" w:hint="default"/>
          <w:spacing w:val="-1"/>
          <w:sz w:val="21"/>
          <w:szCs w:val="21"/>
        </w:rPr>
        <w:t>主管会计工作负责人：原森民</w:t>
        <w:tab/>
        <w:t>会计机构负责人：李凤梅</w:t>
      </w:r>
    </w:p>
    <w:p>
      <w:pPr>
        <w:spacing w:line="240" w:lineRule="auto" w:before="13"/>
        <w:rPr>
          <w:rFonts w:ascii="宋体" w:hAnsi="宋体" w:cs="宋体" w:eastAsia="宋体" w:hint="default"/>
          <w:sz w:val="29"/>
          <w:szCs w:val="29"/>
        </w:rPr>
      </w:pPr>
    </w:p>
    <w:p>
      <w:pPr>
        <w:spacing w:before="0"/>
        <w:ind w:left="154" w:right="0" w:firstLine="0"/>
        <w:jc w:val="left"/>
        <w:rPr>
          <w:rFonts w:ascii="宋体" w:hAnsi="宋体" w:cs="宋体" w:eastAsia="宋体" w:hint="default"/>
          <w:sz w:val="24"/>
          <w:szCs w:val="24"/>
        </w:rPr>
      </w:pPr>
      <w:bookmarkStart w:name="2、母公司资产负债表" w:id="108"/>
      <w:bookmarkEnd w:id="108"/>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、母公司资产负债表</w:t>
      </w:r>
      <w:r>
        <w:rPr>
          <w:rFonts w:ascii="宋体" w:hAnsi="宋体" w:cs="宋体" w:eastAsia="宋体" w:hint="default"/>
          <w:sz w:val="24"/>
          <w:szCs w:val="24"/>
        </w:rPr>
      </w:r>
    </w:p>
    <w:p>
      <w:pPr>
        <w:spacing w:line="240" w:lineRule="auto" w:before="6"/>
        <w:rPr>
          <w:rFonts w:ascii="宋体" w:hAnsi="宋体" w:cs="宋体" w:eastAsia="宋体" w:hint="default"/>
          <w:b/>
          <w:bCs/>
          <w:sz w:val="21"/>
          <w:szCs w:val="21"/>
        </w:rPr>
      </w:pPr>
    </w:p>
    <w:p>
      <w:pPr>
        <w:pStyle w:val="BodyText"/>
        <w:spacing w:line="240" w:lineRule="auto" w:before="0"/>
        <w:ind w:left="0" w:right="150"/>
        <w:jc w:val="right"/>
      </w:pPr>
      <w:r>
        <w:rPr/>
        <w:t>单位：元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43,195,740.96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81,874,993.53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1"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以公允价值计量且其变动 计入当期损益的金融资产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74,043,653.67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44,726,027.03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3,012,360.24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2,475,735.65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56,749,609.34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24,088,207.82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流动资产合计</w:t>
            </w:r>
            <w:r>
              <w:rPr>
                <w:rFonts w:ascii="宋体" w:hAnsi="宋体" w:cs="宋体" w:eastAsia="宋体" w:hint="default"/>
                <w:sz w:val="21"/>
                <w:szCs w:val="21"/>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177,001,364.21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153,164,964.03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90,629,300.00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105,468,563.70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92,729,364.53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3,465,093.10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3,062,069.98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56,223,349.01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42,855,574.15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824,375.04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1,747,074.77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256,610,680.85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140,394,083.43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433,612,045.06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293,559,047.46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1"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以公允价值计量且其变动 计入当期损益的金融负债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16,006,541.62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14,065,547.25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9,279,857.75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6,443,292.04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6,918,885.24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7,052,993.24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11,656,144.03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5,031,816.16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101,077.78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33,827,282.03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12,745,017.21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流动负债合计</w:t>
            </w:r>
            <w:r>
              <w:rPr>
                <w:rFonts w:ascii="宋体" w:hAnsi="宋体" w:cs="宋体" w:eastAsia="宋体" w:hint="default"/>
                <w:sz w:val="21"/>
                <w:szCs w:val="21"/>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132,789,788.45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45,338,665.90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8"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1,985,083.14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5,122,920.93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1,985,083.14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5,122,920.93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负债合计</w:t>
            </w:r>
            <w:r>
              <w:rPr>
                <w:rFonts w:ascii="宋体" w:hAnsi="宋体" w:cs="宋体" w:eastAsia="宋体" w:hint="default"/>
                <w:sz w:val="21"/>
                <w:szCs w:val="21"/>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134,774,871.59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50,461,586.83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8"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30,325,381.10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30,325,381.10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20,198,350.08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13,794,398.76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158,313,442.29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108,977,680.77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298,837,173.47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243,097,460.63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433,612,045.06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293,559,047.46</w:t>
            </w:r>
          </w:p>
        </w:tc>
      </w:tr>
    </w:tbl>
    <w:p>
      <w:pPr>
        <w:spacing w:line="240" w:lineRule="auto" w:before="7"/>
        <w:rPr>
          <w:rFonts w:ascii="Times New Roman" w:hAnsi="Times New Roman" w:cs="Times New Roman" w:eastAsia="Times New Roman" w:hint="default"/>
          <w:sz w:val="20"/>
          <w:szCs w:val="20"/>
        </w:rPr>
      </w:pPr>
    </w:p>
    <w:p>
      <w:pPr>
        <w:spacing w:before="26"/>
        <w:ind w:left="154" w:right="0" w:firstLine="0"/>
        <w:jc w:val="left"/>
        <w:rPr>
          <w:rFonts w:ascii="宋体" w:hAnsi="宋体" w:cs="宋体" w:eastAsia="宋体" w:hint="default"/>
          <w:sz w:val="24"/>
          <w:szCs w:val="24"/>
        </w:rPr>
      </w:pPr>
      <w:bookmarkStart w:name="3、合并利润表" w:id="109"/>
      <w:bookmarkEnd w:id="109"/>
      <w:r>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、合并利润表</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一、营业总收入</w:t>
            </w:r>
            <w:r>
              <w:rPr>
                <w:rFonts w:ascii="宋体" w:hAnsi="宋体" w:cs="宋体" w:eastAsia="宋体" w:hint="default"/>
                <w:sz w:val="21"/>
                <w:szCs w:val="21"/>
              </w:rPr>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269,738,063.00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220,336,179.37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146"/>
              <w:jc w:val="right"/>
              <w:rPr>
                <w:rFonts w:ascii="宋体" w:hAnsi="宋体" w:cs="宋体" w:eastAsia="宋体" w:hint="default"/>
                <w:sz w:val="21"/>
                <w:szCs w:val="21"/>
              </w:rPr>
            </w:pPr>
            <w:r>
              <w:rPr>
                <w:rFonts w:ascii="宋体" w:hAnsi="宋体" w:cs="宋体" w:eastAsia="宋体" w:hint="default"/>
                <w:sz w:val="21"/>
                <w:szCs w:val="21"/>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269,738,063.00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220,336,179.37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145"/>
              <w:jc w:val="right"/>
              <w:rPr>
                <w:rFonts w:ascii="宋体" w:hAnsi="宋体" w:cs="宋体" w:eastAsia="宋体" w:hint="default"/>
                <w:sz w:val="21"/>
                <w:szCs w:val="21"/>
              </w:rPr>
            </w:pPr>
            <w:r>
              <w:rPr>
                <w:rFonts w:ascii="宋体" w:hAnsi="宋体" w:cs="宋体" w:eastAsia="宋体" w:hint="default"/>
                <w:sz w:val="21"/>
                <w:szCs w:val="21"/>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85"/>
              <w:jc w:val="center"/>
              <w:rPr>
                <w:rFonts w:ascii="宋体" w:hAnsi="宋体" w:cs="宋体" w:eastAsia="宋体" w:hint="default"/>
                <w:sz w:val="21"/>
                <w:szCs w:val="21"/>
              </w:rPr>
            </w:pPr>
            <w:r>
              <w:rPr>
                <w:rFonts w:ascii="宋体" w:hAnsi="宋体" w:cs="宋体" w:eastAsia="宋体" w:hint="default"/>
                <w:sz w:val="21"/>
                <w:szCs w:val="21"/>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317"/>
              <w:jc w:val="righ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b/>
                <w:bCs/>
                <w:sz w:val="21"/>
                <w:szCs w:val="21"/>
              </w:rPr>
              <w:t>二、营业总成本</w:t>
            </w:r>
            <w:r>
              <w:rPr>
                <w:rFonts w:ascii="宋体" w:hAnsi="宋体" w:cs="宋体" w:eastAsia="宋体" w:hint="default"/>
                <w:sz w:val="21"/>
                <w:szCs w:val="21"/>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235,894,311.29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183,345,435.28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144,735,750.21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110,675,015.48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85"/>
              <w:jc w:val="center"/>
              <w:rPr>
                <w:rFonts w:ascii="宋体" w:hAnsi="宋体" w:cs="宋体" w:eastAsia="宋体" w:hint="default"/>
                <w:sz w:val="21"/>
                <w:szCs w:val="21"/>
              </w:rPr>
            </w:pPr>
            <w:r>
              <w:rPr>
                <w:rFonts w:ascii="宋体" w:hAnsi="宋体" w:cs="宋体" w:eastAsia="宋体" w:hint="default"/>
                <w:sz w:val="21"/>
                <w:szCs w:val="21"/>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317"/>
              <w:jc w:val="righ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95"/>
              <w:jc w:val="center"/>
              <w:rPr>
                <w:rFonts w:ascii="宋体" w:hAnsi="宋体" w:cs="宋体" w:eastAsia="宋体" w:hint="default"/>
                <w:sz w:val="21"/>
                <w:szCs w:val="21"/>
              </w:rPr>
            </w:pPr>
            <w:r>
              <w:rPr>
                <w:rFonts w:ascii="宋体" w:hAnsi="宋体" w:cs="宋体" w:eastAsia="宋体" w:hint="default"/>
                <w:sz w:val="21"/>
                <w:szCs w:val="21"/>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提取保险合同准备金</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85"/>
              <w:jc w:val="center"/>
              <w:rPr>
                <w:rFonts w:ascii="宋体" w:hAnsi="宋体" w:cs="宋体" w:eastAsia="宋体" w:hint="default"/>
                <w:sz w:val="21"/>
                <w:szCs w:val="21"/>
              </w:rPr>
            </w:pPr>
            <w:r>
              <w:rPr>
                <w:rFonts w:ascii="宋体" w:hAnsi="宋体" w:cs="宋体" w:eastAsia="宋体" w:hint="default"/>
                <w:sz w:val="21"/>
                <w:szCs w:val="21"/>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2,523,498.49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3,675,271.36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85"/>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28,277,445.07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19,929,611.98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85"/>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57,918,599.21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47,865,038.60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85"/>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393,408.08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-873,823.78</w:t>
            </w:r>
            <w:r>
              <w:rPr>
                <w:rFonts w:ascii="Times New Roman"/>
                <w:sz w:val="21"/>
              </w:rPr>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2,045,610.23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2,074,321.64</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07" w:firstLine="420"/>
              <w:jc w:val="left"/>
              <w:rPr>
                <w:rFonts w:ascii="宋体" w:hAnsi="宋体" w:cs="宋体" w:eastAsia="宋体" w:hint="default"/>
                <w:sz w:val="21"/>
                <w:szCs w:val="21"/>
              </w:rPr>
            </w:pPr>
            <w:r>
              <w:rPr>
                <w:rFonts w:ascii="宋体" w:hAnsi="宋体" w:cs="宋体" w:eastAsia="宋体" w:hint="default"/>
                <w:sz w:val="21"/>
                <w:szCs w:val="21"/>
              </w:rPr>
              <w:t>加：公允价值变动收益（损 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6,076,431.33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3,602,419.43</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07" w:firstLine="840"/>
              <w:jc w:val="left"/>
              <w:rPr>
                <w:rFonts w:ascii="宋体" w:hAnsi="宋体" w:cs="宋体" w:eastAsia="宋体" w:hint="default"/>
                <w:sz w:val="21"/>
                <w:szCs w:val="21"/>
              </w:rPr>
            </w:pPr>
            <w:r>
              <w:rPr>
                <w:rFonts w:ascii="宋体" w:hAnsi="宋体" w:cs="宋体" w:eastAsia="宋体" w:hint="default"/>
                <w:sz w:val="21"/>
                <w:szCs w:val="21"/>
              </w:rPr>
              <w:t>其中：对联营企业和合 营企业的投资收益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6,076,431.33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3,602,419.43</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3"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22" w:right="95"/>
              <w:jc w:val="left"/>
              <w:rPr>
                <w:rFonts w:ascii="宋体" w:hAnsi="宋体" w:cs="宋体" w:eastAsia="宋体" w:hint="default"/>
                <w:sz w:val="21"/>
                <w:szCs w:val="21"/>
              </w:rPr>
            </w:pPr>
            <w:r>
              <w:rPr>
                <w:rFonts w:ascii="宋体" w:hAnsi="宋体" w:cs="宋体" w:eastAsia="宋体" w:hint="default"/>
                <w:b/>
                <w:bCs/>
                <w:sz w:val="21"/>
                <w:szCs w:val="21"/>
              </w:rPr>
              <w:t>三、营业利润（亏损以</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号填</w:t>
            </w:r>
            <w:r>
              <w:rPr>
                <w:rFonts w:ascii="宋体" w:hAnsi="宋体" w:cs="宋体" w:eastAsia="宋体" w:hint="default"/>
                <w:b/>
                <w:bCs/>
                <w:spacing w:val="1"/>
                <w:w w:val="99"/>
                <w:sz w:val="21"/>
                <w:szCs w:val="21"/>
              </w:rPr>
              <w:t> </w:t>
            </w:r>
            <w:r>
              <w:rPr>
                <w:rFonts w:ascii="宋体" w:hAnsi="宋体" w:cs="宋体" w:eastAsia="宋体" w:hint="default"/>
                <w:b/>
                <w:bCs/>
                <w:sz w:val="21"/>
                <w:szCs w:val="21"/>
              </w:rPr>
              <w:t>列）</w:t>
            </w:r>
            <w:r>
              <w:rPr>
                <w:rFonts w:ascii="宋体" w:hAnsi="宋体" w:cs="宋体" w:eastAsia="宋体" w:hint="default"/>
                <w:sz w:val="21"/>
                <w:szCs w:val="21"/>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39,920,183.04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40,593,163.52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13,992,709.88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11,301,849.49</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3" w:right="0"/>
              <w:jc w:val="left"/>
              <w:rPr>
                <w:rFonts w:ascii="宋体" w:hAnsi="宋体" w:cs="宋体" w:eastAsia="宋体" w:hint="default"/>
                <w:sz w:val="21"/>
                <w:szCs w:val="21"/>
              </w:rPr>
            </w:pPr>
            <w:r>
              <w:rPr>
                <w:rFonts w:ascii="宋体" w:hAnsi="宋体" w:cs="宋体" w:eastAsia="宋体" w:hint="default"/>
                <w:sz w:val="21"/>
                <w:szCs w:val="21"/>
              </w:rPr>
              <w:t>其中：非流动资产处置</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218,673.85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343,790.00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3" w:right="0"/>
              <w:jc w:val="left"/>
              <w:rPr>
                <w:rFonts w:ascii="宋体" w:hAnsi="宋体" w:cs="宋体" w:eastAsia="宋体" w:hint="default"/>
                <w:sz w:val="21"/>
                <w:szCs w:val="21"/>
              </w:rPr>
            </w:pPr>
            <w:r>
              <w:rPr>
                <w:rFonts w:ascii="宋体" w:hAnsi="宋体" w:cs="宋体" w:eastAsia="宋体" w:hint="default"/>
                <w:sz w:val="21"/>
                <w:szCs w:val="21"/>
              </w:rPr>
              <w:t>其中：非流动资产处置</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22" w:right="98"/>
              <w:jc w:val="left"/>
              <w:rPr>
                <w:rFonts w:ascii="宋体" w:hAnsi="宋体" w:cs="宋体" w:eastAsia="宋体" w:hint="default"/>
                <w:sz w:val="21"/>
                <w:szCs w:val="21"/>
              </w:rPr>
            </w:pPr>
            <w:r>
              <w:rPr>
                <w:rFonts w:ascii="宋体" w:hAnsi="宋体" w:cs="宋体" w:eastAsia="宋体" w:hint="default"/>
                <w:b/>
                <w:bCs/>
                <w:sz w:val="21"/>
                <w:szCs w:val="21"/>
              </w:rPr>
              <w:t>四、利润总额（亏损总额以</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号填列）</w:t>
            </w:r>
            <w:r>
              <w:rPr>
                <w:rFonts w:ascii="宋体" w:hAnsi="宋体" w:cs="宋体" w:eastAsia="宋体" w:hint="default"/>
                <w:sz w:val="21"/>
                <w:szCs w:val="21"/>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53,694,219.07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51,551,223.01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7,593,033.80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6,427,228.77</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11" w:right="83"/>
              <w:jc w:val="left"/>
              <w:rPr>
                <w:rFonts w:ascii="宋体" w:hAnsi="宋体" w:cs="宋体" w:eastAsia="宋体" w:hint="default"/>
                <w:sz w:val="21"/>
                <w:szCs w:val="21"/>
              </w:rPr>
            </w:pPr>
            <w:r>
              <w:rPr>
                <w:rFonts w:ascii="宋体" w:hAnsi="宋体" w:cs="宋体" w:eastAsia="宋体" w:hint="default"/>
                <w:b/>
                <w:bCs/>
                <w:sz w:val="21"/>
                <w:szCs w:val="21"/>
              </w:rPr>
              <w:t>五、净利润（净亏损以</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号填</w:t>
            </w:r>
            <w:r>
              <w:rPr>
                <w:rFonts w:ascii="宋体" w:hAnsi="宋体" w:cs="宋体" w:eastAsia="宋体" w:hint="default"/>
                <w:b/>
                <w:bCs/>
                <w:spacing w:val="1"/>
                <w:w w:val="99"/>
                <w:sz w:val="21"/>
                <w:szCs w:val="21"/>
              </w:rPr>
              <w:t> </w:t>
            </w:r>
            <w:r>
              <w:rPr>
                <w:rFonts w:ascii="宋体" w:hAnsi="宋体" w:cs="宋体" w:eastAsia="宋体" w:hint="default"/>
                <w:b/>
                <w:bCs/>
                <w:sz w:val="21"/>
                <w:szCs w:val="21"/>
              </w:rPr>
              <w:t>列）</w:t>
            </w:r>
            <w:r>
              <w:rPr>
                <w:rFonts w:ascii="宋体" w:hAnsi="宋体" w:cs="宋体" w:eastAsia="宋体" w:hint="default"/>
                <w:sz w:val="21"/>
                <w:szCs w:val="21"/>
              </w:rPr>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46,101,185.27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45,123,994.24</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润</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46,169,543.67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44,873,935.32</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-68,358.40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250,058.92</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六、其他综合收益的税后净额</w:t>
            </w:r>
            <w:r>
              <w:rPr>
                <w:rFonts w:ascii="宋体" w:hAnsi="宋体" w:cs="宋体" w:eastAsia="宋体" w:hint="default"/>
                <w:sz w:val="21"/>
                <w:szCs w:val="21"/>
              </w:rPr>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6" w:firstLine="210"/>
              <w:jc w:val="left"/>
              <w:rPr>
                <w:rFonts w:ascii="宋体" w:hAnsi="宋体" w:cs="宋体" w:eastAsia="宋体" w:hint="default"/>
                <w:sz w:val="21"/>
                <w:szCs w:val="21"/>
              </w:rPr>
            </w:pPr>
            <w:r>
              <w:rPr>
                <w:rFonts w:ascii="宋体" w:hAnsi="宋体" w:cs="宋体" w:eastAsia="宋体" w:hint="default"/>
                <w:sz w:val="21"/>
                <w:szCs w:val="21"/>
              </w:rPr>
              <w:t>归属母公司所有者的其他综合 收益的税后净额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6" w:firstLine="420"/>
              <w:jc w:val="left"/>
              <w:rPr>
                <w:rFonts w:ascii="宋体" w:hAnsi="宋体" w:cs="宋体" w:eastAsia="宋体" w:hint="default"/>
                <w:sz w:val="21"/>
                <w:szCs w:val="21"/>
              </w:rPr>
            </w:pPr>
            <w:r>
              <w:rPr>
                <w:rFonts w:ascii="宋体" w:hAnsi="宋体" w:cs="宋体" w:eastAsia="宋体" w:hint="default"/>
                <w:sz w:val="21"/>
                <w:szCs w:val="21"/>
              </w:rPr>
              <w:t>（一）以后不能重分类进损 益的其他综合收益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11" w:right="148" w:firstLine="105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 计划净负债或净资产的变动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6"/>
              <w:ind w:left="11" w:right="96" w:firstLine="105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权益法下在被投资 单位不能重分类进损益的其他综 合收益中享有的份额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6" w:firstLine="420"/>
              <w:jc w:val="left"/>
              <w:rPr>
                <w:rFonts w:ascii="宋体" w:hAnsi="宋体" w:cs="宋体" w:eastAsia="宋体" w:hint="default"/>
                <w:sz w:val="21"/>
                <w:szCs w:val="21"/>
              </w:rPr>
            </w:pPr>
            <w:r>
              <w:rPr>
                <w:rFonts w:ascii="宋体" w:hAnsi="宋体" w:cs="宋体" w:eastAsia="宋体" w:hint="default"/>
                <w:sz w:val="21"/>
                <w:szCs w:val="21"/>
              </w:rPr>
              <w:t>（二）以后将重分类进损益 的其他综合收益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6"/>
              <w:ind w:left="11" w:right="96" w:firstLine="105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权益法下在被投资 单位以后将重分类进损益的其他 综合收益中享有的份额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11" w:right="148" w:firstLine="105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 公允价值变动损益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11" w:right="148" w:firstLine="105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持有至到期投资重 分类为可供出售金融资产损益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w:t>
            </w:r>
          </w:p>
          <w:p>
            <w:pPr>
              <w:pStyle w:val="TableParagraph"/>
              <w:spacing w:line="240" w:lineRule="auto" w:before="22"/>
              <w:ind w:left="11" w:right="0"/>
              <w:jc w:val="left"/>
              <w:rPr>
                <w:rFonts w:ascii="宋体" w:hAnsi="宋体" w:cs="宋体" w:eastAsia="宋体" w:hint="default"/>
                <w:sz w:val="21"/>
                <w:szCs w:val="21"/>
              </w:rPr>
            </w:pPr>
            <w:r>
              <w:rPr>
                <w:rFonts w:ascii="宋体" w:hAnsi="宋体" w:cs="宋体" w:eastAsia="宋体" w:hint="default"/>
                <w:sz w:val="21"/>
                <w:szCs w:val="21"/>
              </w:rPr>
              <w:t>的有效部分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w:t>
            </w:r>
          </w:p>
          <w:p>
            <w:pPr>
              <w:pStyle w:val="TableParagraph"/>
              <w:spacing w:line="240" w:lineRule="auto" w:before="22"/>
              <w:ind w:left="11"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346"/>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6" w:firstLine="210"/>
              <w:jc w:val="left"/>
              <w:rPr>
                <w:rFonts w:ascii="宋体" w:hAnsi="宋体" w:cs="宋体" w:eastAsia="宋体" w:hint="default"/>
                <w:sz w:val="21"/>
                <w:szCs w:val="21"/>
              </w:rPr>
            </w:pPr>
            <w:r>
              <w:rPr>
                <w:rFonts w:ascii="宋体" w:hAnsi="宋体" w:cs="宋体" w:eastAsia="宋体" w:hint="default"/>
                <w:sz w:val="21"/>
                <w:szCs w:val="21"/>
              </w:rPr>
              <w:t>归属于少数股东的其他综合收 益的税后净额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七、综合收益总额</w:t>
            </w:r>
            <w:r>
              <w:rPr>
                <w:rFonts w:ascii="宋体" w:hAnsi="宋体" w:cs="宋体" w:eastAsia="宋体" w:hint="default"/>
                <w:sz w:val="21"/>
                <w:szCs w:val="21"/>
              </w:rPr>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46,101,185.27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45,123,994.24</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6" w:firstLine="420"/>
              <w:jc w:val="left"/>
              <w:rPr>
                <w:rFonts w:ascii="宋体" w:hAnsi="宋体" w:cs="宋体" w:eastAsia="宋体" w:hint="default"/>
                <w:sz w:val="21"/>
                <w:szCs w:val="21"/>
              </w:rPr>
            </w:pPr>
            <w:r>
              <w:rPr>
                <w:rFonts w:ascii="宋体" w:hAnsi="宋体" w:cs="宋体" w:eastAsia="宋体" w:hint="default"/>
                <w:sz w:val="21"/>
                <w:szCs w:val="21"/>
              </w:rPr>
              <w:t>归属于母公司所有者的综合 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46,169,543.67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44,873,935.32</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6" w:firstLine="420"/>
              <w:jc w:val="left"/>
              <w:rPr>
                <w:rFonts w:ascii="宋体" w:hAnsi="宋体" w:cs="宋体" w:eastAsia="宋体" w:hint="default"/>
                <w:sz w:val="21"/>
                <w:szCs w:val="21"/>
              </w:rPr>
            </w:pPr>
            <w:r>
              <w:rPr>
                <w:rFonts w:ascii="宋体" w:hAnsi="宋体" w:cs="宋体" w:eastAsia="宋体" w:hint="default"/>
                <w:sz w:val="21"/>
                <w:szCs w:val="21"/>
              </w:rPr>
              <w:t>归属于少数股东的综合收益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-68,358.40</w:t>
            </w:r>
            <w:r>
              <w:rPr>
                <w:rFonts w:ascii="Times New Roman"/>
                <w:sz w:val="21"/>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250,058.92</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八、每股收益：</w:t>
            </w:r>
            <w:r>
              <w:rPr>
                <w:rFonts w:ascii="宋体" w:hAnsi="宋体" w:cs="宋体" w:eastAsia="宋体" w:hint="default"/>
                <w:sz w:val="21"/>
                <w:szCs w:val="21"/>
              </w:rPr>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0.51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0.50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0.51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0.50</w:t>
            </w:r>
          </w:p>
        </w:tc>
      </w:tr>
    </w:tbl>
    <w:p>
      <w:pPr>
        <w:spacing w:line="240" w:lineRule="auto" w:before="11"/>
        <w:rPr>
          <w:rFonts w:ascii="Times New Roman" w:hAnsi="Times New Roman" w:cs="Times New Roman" w:eastAsia="Times New Roman" w:hint="default"/>
          <w:sz w:val="5"/>
          <w:szCs w:val="5"/>
        </w:rPr>
      </w:pPr>
    </w:p>
    <w:p>
      <w:pPr>
        <w:tabs>
          <w:tab w:pos="3513" w:val="left" w:leader="none"/>
          <w:tab w:pos="7399" w:val="left" w:leader="none"/>
        </w:tabs>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法定代表人：童之磊</w:t>
        <w:tab/>
        <w:t>主管会计工作负责人：原森民</w:t>
        <w:tab/>
        <w:t>会计机构负责人：李凤梅</w:t>
      </w:r>
    </w:p>
    <w:p>
      <w:pPr>
        <w:spacing w:line="240" w:lineRule="auto" w:before="13"/>
        <w:rPr>
          <w:rFonts w:ascii="宋体" w:hAnsi="宋体" w:cs="宋体" w:eastAsia="宋体" w:hint="default"/>
          <w:sz w:val="29"/>
          <w:szCs w:val="29"/>
        </w:rPr>
      </w:pPr>
    </w:p>
    <w:p>
      <w:pPr>
        <w:spacing w:before="0"/>
        <w:ind w:left="154" w:right="0" w:firstLine="0"/>
        <w:jc w:val="left"/>
        <w:rPr>
          <w:rFonts w:ascii="宋体" w:hAnsi="宋体" w:cs="宋体" w:eastAsia="宋体" w:hint="default"/>
          <w:sz w:val="24"/>
          <w:szCs w:val="24"/>
        </w:rPr>
      </w:pPr>
      <w:bookmarkStart w:name="4、母公司利润表" w:id="110"/>
      <w:bookmarkEnd w:id="110"/>
      <w:r>
        <w:rPr/>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、母公司利润表</w:t>
      </w:r>
      <w:r>
        <w:rPr>
          <w:rFonts w:ascii="宋体" w:hAnsi="宋体" w:cs="宋体" w:eastAsia="宋体" w:hint="default"/>
          <w:sz w:val="24"/>
          <w:szCs w:val="24"/>
        </w:rPr>
      </w:r>
    </w:p>
    <w:p>
      <w:pPr>
        <w:spacing w:line="240" w:lineRule="auto" w:before="6"/>
        <w:rPr>
          <w:rFonts w:ascii="宋体" w:hAnsi="宋体" w:cs="宋体" w:eastAsia="宋体" w:hint="default"/>
          <w:b/>
          <w:bCs/>
          <w:sz w:val="21"/>
          <w:szCs w:val="21"/>
        </w:rPr>
      </w:pPr>
    </w:p>
    <w:p>
      <w:pPr>
        <w:pStyle w:val="BodyText"/>
        <w:spacing w:line="240" w:lineRule="auto" w:before="0"/>
        <w:ind w:left="0" w:right="150"/>
        <w:jc w:val="right"/>
      </w:pPr>
      <w:r>
        <w:rPr/>
        <w:t>单位：元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一、营业收入</w:t>
            </w:r>
            <w:r>
              <w:rPr>
                <w:rFonts w:ascii="宋体" w:hAnsi="宋体" w:cs="宋体" w:eastAsia="宋体" w:hint="default"/>
                <w:sz w:val="21"/>
                <w:szCs w:val="21"/>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176,240,104.57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133,013,498.49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82,766,518.64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70,048,046.39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1,606,855.56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2,868,288.82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24,107,921.13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17,844,331.06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27,879,134.29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27,718,372.60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732,443.01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-800,763.49</w:t>
            </w:r>
            <w:r>
              <w:rPr>
                <w:rFonts w:ascii="Times New Roman"/>
                <w:sz w:val="21"/>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405,413.40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1,402,573.71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加：公允价值变动收益（损</w:t>
            </w:r>
            <w:r>
              <w:rPr>
                <w:rFonts w:ascii="宋体" w:hAnsi="宋体" w:cs="宋体" w:eastAsia="宋体" w:hint="default"/>
                <w:sz w:val="21"/>
                <w:szCs w:val="21"/>
              </w:rPr>
              <w:t> 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p>
            <w:pPr>
              <w:pStyle w:val="TableParagraph"/>
              <w:spacing w:line="240" w:lineRule="auto" w:before="22"/>
              <w:ind w:left="1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25,445,296.69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25,082,460.13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 w:firstLine="840"/>
              <w:jc w:val="left"/>
              <w:rPr>
                <w:rFonts w:ascii="宋体" w:hAnsi="宋体" w:cs="宋体" w:eastAsia="宋体" w:hint="default"/>
                <w:sz w:val="21"/>
                <w:szCs w:val="21"/>
              </w:rPr>
            </w:pPr>
            <w:r>
              <w:rPr>
                <w:rFonts w:ascii="宋体" w:hAnsi="宋体" w:cs="宋体" w:eastAsia="宋体" w:hint="default"/>
                <w:spacing w:val="-3"/>
                <w:sz w:val="21"/>
                <w:szCs w:val="21"/>
              </w:rPr>
              <w:t>其中：对联营企业和合</w:t>
            </w:r>
            <w:r>
              <w:rPr>
                <w:rFonts w:ascii="宋体" w:hAnsi="宋体" w:cs="宋体" w:eastAsia="宋体" w:hint="default"/>
                <w:sz w:val="21"/>
                <w:szCs w:val="21"/>
              </w:rPr>
              <w:t> 营企业的投资收益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2,731,289.17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617,014.29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11" w:right="8"/>
              <w:jc w:val="left"/>
              <w:rPr>
                <w:rFonts w:ascii="宋体" w:hAnsi="宋体" w:cs="宋体" w:eastAsia="宋体" w:hint="default"/>
                <w:sz w:val="21"/>
                <w:szCs w:val="21"/>
              </w:rPr>
            </w:pPr>
            <w:r>
              <w:rPr>
                <w:rFonts w:ascii="宋体" w:hAnsi="宋体" w:cs="宋体" w:eastAsia="宋体" w:hint="default"/>
                <w:b/>
                <w:bCs/>
                <w:spacing w:val="-3"/>
                <w:sz w:val="21"/>
                <w:szCs w:val="21"/>
              </w:rPr>
              <w:t>二、营业利润（亏损以</w:t>
            </w:r>
            <w:r>
              <w:rPr>
                <w:rFonts w:ascii="Times New Roman" w:hAnsi="Times New Roman" w:cs="Times New Roman" w:eastAsia="Times New Roman" w:hint="default"/>
                <w:b/>
                <w:bCs/>
                <w:spacing w:val="-3"/>
                <w:sz w:val="21"/>
                <w:szCs w:val="21"/>
              </w:rPr>
              <w:t>“</w:t>
            </w:r>
            <w:r>
              <w:rPr>
                <w:rFonts w:ascii="宋体" w:hAnsi="宋体" w:cs="宋体" w:eastAsia="宋体" w:hint="default"/>
                <w:b/>
                <w:bCs/>
                <w:spacing w:val="-3"/>
                <w:sz w:val="21"/>
                <w:szCs w:val="21"/>
              </w:rPr>
              <w:t>－</w:t>
            </w:r>
            <w:r>
              <w:rPr>
                <w:rFonts w:ascii="Times New Roman" w:hAnsi="Times New Roman" w:cs="Times New Roman" w:eastAsia="Times New Roman" w:hint="default"/>
                <w:b/>
                <w:bCs/>
                <w:spacing w:val="-3"/>
                <w:sz w:val="21"/>
                <w:szCs w:val="21"/>
              </w:rPr>
              <w:t>”</w:t>
            </w:r>
            <w:r>
              <w:rPr>
                <w:rFonts w:ascii="宋体" w:hAnsi="宋体" w:cs="宋体" w:eastAsia="宋体" w:hint="default"/>
                <w:b/>
                <w:bCs/>
                <w:spacing w:val="-3"/>
                <w:sz w:val="21"/>
                <w:szCs w:val="21"/>
              </w:rPr>
              <w:t>号填</w:t>
            </w:r>
            <w:r>
              <w:rPr>
                <w:rFonts w:ascii="宋体" w:hAnsi="宋体" w:cs="宋体" w:eastAsia="宋体" w:hint="default"/>
                <w:b/>
                <w:bCs/>
                <w:spacing w:val="-103"/>
                <w:sz w:val="21"/>
                <w:szCs w:val="21"/>
              </w:rPr>
              <w:t> </w:t>
            </w:r>
            <w:r>
              <w:rPr>
                <w:rFonts w:ascii="宋体" w:hAnsi="宋体" w:cs="宋体" w:eastAsia="宋体" w:hint="default"/>
                <w:b/>
                <w:bCs/>
                <w:sz w:val="21"/>
                <w:szCs w:val="21"/>
              </w:rPr>
              <w:t>列）</w:t>
            </w:r>
            <w:r>
              <w:rPr>
                <w:rFonts w:ascii="宋体" w:hAnsi="宋体" w:cs="宋体" w:eastAsia="宋体" w:hint="default"/>
                <w:sz w:val="21"/>
                <w:szCs w:val="21"/>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64,187,115.23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39,015,109.53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6,897,323.17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11,044,478.91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pacing w:val="-3"/>
                <w:sz w:val="21"/>
                <w:szCs w:val="21"/>
              </w:rPr>
              <w:t>其中：非流动资产处置</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188,550.00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312,990.00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pacing w:val="-3"/>
                <w:sz w:val="21"/>
                <w:szCs w:val="21"/>
              </w:rPr>
              <w:t>其中：非流动资产处置</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11" w:right="9"/>
              <w:jc w:val="left"/>
              <w:rPr>
                <w:rFonts w:ascii="宋体" w:hAnsi="宋体" w:cs="宋体" w:eastAsia="宋体" w:hint="default"/>
                <w:sz w:val="21"/>
                <w:szCs w:val="21"/>
              </w:rPr>
            </w:pPr>
            <w:r>
              <w:rPr>
                <w:rFonts w:ascii="宋体" w:hAnsi="宋体" w:cs="宋体" w:eastAsia="宋体" w:hint="default"/>
                <w:b/>
                <w:bCs/>
                <w:spacing w:val="-3"/>
                <w:sz w:val="21"/>
                <w:szCs w:val="21"/>
              </w:rPr>
              <w:t>三、利润总额（亏损总额以</w:t>
            </w:r>
            <w:r>
              <w:rPr>
                <w:rFonts w:ascii="Times New Roman" w:hAnsi="Times New Roman" w:cs="Times New Roman" w:eastAsia="Times New Roman" w:hint="default"/>
                <w:b/>
                <w:bCs/>
                <w:spacing w:val="-3"/>
                <w:sz w:val="21"/>
                <w:szCs w:val="21"/>
              </w:rPr>
              <w:t>“</w:t>
            </w:r>
            <w:r>
              <w:rPr>
                <w:rFonts w:ascii="宋体" w:hAnsi="宋体" w:cs="宋体" w:eastAsia="宋体" w:hint="default"/>
                <w:b/>
                <w:bCs/>
                <w:spacing w:val="-3"/>
                <w:sz w:val="21"/>
                <w:szCs w:val="21"/>
              </w:rPr>
              <w:t>－</w:t>
            </w:r>
            <w:r>
              <w:rPr>
                <w:rFonts w:ascii="Times New Roman" w:hAnsi="Times New Roman" w:cs="Times New Roman" w:eastAsia="Times New Roman" w:hint="default"/>
                <w:b/>
                <w:bCs/>
                <w:spacing w:val="-3"/>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号填列）</w:t>
            </w:r>
            <w:r>
              <w:rPr>
                <w:rFonts w:ascii="宋体" w:hAnsi="宋体" w:cs="宋体" w:eastAsia="宋体" w:hint="default"/>
                <w:sz w:val="21"/>
                <w:szCs w:val="21"/>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70,895,888.40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49,746,598.44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6,856,375.25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3,636,596.70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11" w:right="8"/>
              <w:jc w:val="left"/>
              <w:rPr>
                <w:rFonts w:ascii="宋体" w:hAnsi="宋体" w:cs="宋体" w:eastAsia="宋体" w:hint="default"/>
                <w:sz w:val="21"/>
                <w:szCs w:val="21"/>
              </w:rPr>
            </w:pPr>
            <w:r>
              <w:rPr>
                <w:rFonts w:ascii="宋体" w:hAnsi="宋体" w:cs="宋体" w:eastAsia="宋体" w:hint="default"/>
                <w:b/>
                <w:bCs/>
                <w:spacing w:val="-3"/>
                <w:sz w:val="21"/>
                <w:szCs w:val="21"/>
              </w:rPr>
              <w:t>四、净利润（净亏损以</w:t>
            </w:r>
            <w:r>
              <w:rPr>
                <w:rFonts w:ascii="Times New Roman" w:hAnsi="Times New Roman" w:cs="Times New Roman" w:eastAsia="Times New Roman" w:hint="default"/>
                <w:b/>
                <w:bCs/>
                <w:spacing w:val="-3"/>
                <w:sz w:val="21"/>
                <w:szCs w:val="21"/>
              </w:rPr>
              <w:t>“</w:t>
            </w:r>
            <w:r>
              <w:rPr>
                <w:rFonts w:ascii="宋体" w:hAnsi="宋体" w:cs="宋体" w:eastAsia="宋体" w:hint="default"/>
                <w:b/>
                <w:bCs/>
                <w:spacing w:val="-3"/>
                <w:sz w:val="21"/>
                <w:szCs w:val="21"/>
              </w:rPr>
              <w:t>－</w:t>
            </w:r>
            <w:r>
              <w:rPr>
                <w:rFonts w:ascii="Times New Roman" w:hAnsi="Times New Roman" w:cs="Times New Roman" w:eastAsia="Times New Roman" w:hint="default"/>
                <w:b/>
                <w:bCs/>
                <w:spacing w:val="-3"/>
                <w:sz w:val="21"/>
                <w:szCs w:val="21"/>
              </w:rPr>
              <w:t>”</w:t>
            </w:r>
            <w:r>
              <w:rPr>
                <w:rFonts w:ascii="宋体" w:hAnsi="宋体" w:cs="宋体" w:eastAsia="宋体" w:hint="default"/>
                <w:b/>
                <w:bCs/>
                <w:spacing w:val="-3"/>
                <w:sz w:val="21"/>
                <w:szCs w:val="21"/>
              </w:rPr>
              <w:t>号填</w:t>
            </w:r>
            <w:r>
              <w:rPr>
                <w:rFonts w:ascii="宋体" w:hAnsi="宋体" w:cs="宋体" w:eastAsia="宋体" w:hint="default"/>
                <w:b/>
                <w:bCs/>
                <w:spacing w:val="-103"/>
                <w:sz w:val="21"/>
                <w:szCs w:val="21"/>
              </w:rPr>
              <w:t> </w:t>
            </w:r>
            <w:r>
              <w:rPr>
                <w:rFonts w:ascii="宋体" w:hAnsi="宋体" w:cs="宋体" w:eastAsia="宋体" w:hint="default"/>
                <w:b/>
                <w:bCs/>
                <w:sz w:val="21"/>
                <w:szCs w:val="21"/>
              </w:rPr>
              <w:t>列）</w:t>
            </w:r>
            <w:r>
              <w:rPr>
                <w:rFonts w:ascii="宋体" w:hAnsi="宋体" w:cs="宋体" w:eastAsia="宋体" w:hint="default"/>
                <w:sz w:val="21"/>
                <w:szCs w:val="21"/>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64,039,513.15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46,110,001.74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五、其他综合收益的税后净额</w:t>
            </w:r>
            <w:r>
              <w:rPr>
                <w:rFonts w:ascii="宋体" w:hAnsi="宋体" w:cs="宋体" w:eastAsia="宋体" w:hint="default"/>
                <w:sz w:val="21"/>
                <w:szCs w:val="21"/>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 w:firstLine="402"/>
              <w:jc w:val="left"/>
              <w:rPr>
                <w:rFonts w:ascii="宋体" w:hAnsi="宋体" w:cs="宋体" w:eastAsia="宋体" w:hint="default"/>
                <w:sz w:val="21"/>
                <w:szCs w:val="21"/>
              </w:rPr>
            </w:pPr>
            <w:r>
              <w:rPr>
                <w:rFonts w:ascii="宋体" w:hAnsi="宋体" w:cs="宋体" w:eastAsia="宋体" w:hint="default"/>
                <w:b/>
                <w:bCs/>
                <w:spacing w:val="-2"/>
                <w:sz w:val="21"/>
                <w:szCs w:val="21"/>
              </w:rPr>
              <w:t>（一）以后不能重分类进损</w:t>
            </w:r>
            <w:r>
              <w:rPr>
                <w:rFonts w:ascii="宋体" w:hAnsi="宋体" w:cs="宋体" w:eastAsia="宋体" w:hint="default"/>
                <w:b/>
                <w:bCs/>
                <w:w w:val="99"/>
                <w:sz w:val="21"/>
                <w:szCs w:val="21"/>
              </w:rPr>
              <w:t> </w:t>
            </w:r>
            <w:r>
              <w:rPr>
                <w:rFonts w:ascii="宋体" w:hAnsi="宋体" w:cs="宋体" w:eastAsia="宋体" w:hint="default"/>
                <w:b/>
                <w:bCs/>
                <w:sz w:val="21"/>
                <w:szCs w:val="21"/>
              </w:rPr>
              <w:t>益的其他综合收益</w:t>
            </w:r>
            <w:r>
              <w:rPr>
                <w:rFonts w:ascii="宋体" w:hAnsi="宋体" w:cs="宋体" w:eastAsia="宋体" w:hint="default"/>
                <w:sz w:val="21"/>
                <w:szCs w:val="21"/>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计划净负债或净资产的变动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6"/>
              <w:ind w:left="11" w:right="35" w:firstLine="105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权益法下在被投资 单位不能重分类进损益的其他 综合收益中享有的份额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firstLine="405"/>
              <w:jc w:val="left"/>
              <w:rPr>
                <w:rFonts w:ascii="宋体" w:hAnsi="宋体" w:cs="宋体" w:eastAsia="宋体" w:hint="default"/>
                <w:sz w:val="21"/>
                <w:szCs w:val="21"/>
              </w:rPr>
            </w:pPr>
            <w:r>
              <w:rPr>
                <w:rFonts w:ascii="宋体" w:hAnsi="宋体" w:cs="宋体" w:eastAsia="宋体" w:hint="default"/>
                <w:spacing w:val="-2"/>
                <w:sz w:val="21"/>
                <w:szCs w:val="21"/>
              </w:rPr>
              <w:t>（二）以后将重分类进损益</w:t>
            </w:r>
            <w:r>
              <w:rPr>
                <w:rFonts w:ascii="宋体" w:hAnsi="宋体" w:cs="宋体" w:eastAsia="宋体" w:hint="default"/>
                <w:sz w:val="21"/>
                <w:szCs w:val="21"/>
              </w:rPr>
              <w:t> 的其他综合收益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6"/>
              <w:ind w:left="11" w:right="35" w:firstLine="105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权益法下在被投资 单位以后将重分类进损益的其 他综合收益中享有的份额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6"/>
              <w:ind w:left="11" w:right="35" w:firstLine="105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 公允价值变动损益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6"/>
              <w:ind w:left="11" w:right="35" w:firstLine="105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持有至到期投资重 分类为可供出售金融资产损益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w:t>
            </w:r>
          </w:p>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的有效部分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w:t>
            </w:r>
          </w:p>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32"/>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六、综合收益总额</w:t>
            </w:r>
            <w:r>
              <w:rPr>
                <w:rFonts w:ascii="宋体" w:hAnsi="宋体" w:cs="宋体" w:eastAsia="宋体" w:hint="default"/>
                <w:sz w:val="21"/>
                <w:szCs w:val="21"/>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64,039,513.15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46,110,001.74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七、每股收益：</w:t>
            </w:r>
            <w:r>
              <w:rPr>
                <w:rFonts w:ascii="宋体" w:hAnsi="宋体" w:cs="宋体" w:eastAsia="宋体" w:hint="default"/>
                <w:sz w:val="21"/>
                <w:szCs w:val="21"/>
              </w:rPr>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0.51</w:t>
            </w: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5、合并现金流量表" w:id="111"/>
      <w:bookmarkEnd w:id="111"/>
      <w:r>
        <w:rPr/>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、合并现金流量表</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907" w:right="0"/>
              <w:jc w:val="left"/>
              <w:rPr>
                <w:rFonts w:ascii="宋体" w:hAnsi="宋体" w:cs="宋体" w:eastAsia="宋体" w:hint="default"/>
                <w:sz w:val="21"/>
                <w:szCs w:val="21"/>
              </w:rPr>
            </w:pPr>
            <w:r>
              <w:rPr>
                <w:rFonts w:ascii="宋体" w:hAnsi="宋体" w:cs="宋体" w:eastAsia="宋体" w:hint="default"/>
                <w:b/>
                <w:bCs/>
                <w:sz w:val="21"/>
                <w:szCs w:val="21"/>
              </w:rPr>
              <w:t>上期金额发生额</w:t>
            </w:r>
            <w:r>
              <w:rPr>
                <w:rFonts w:ascii="宋体" w:hAnsi="宋体" w:cs="宋体" w:eastAsia="宋体" w:hint="default"/>
                <w:sz w:val="21"/>
                <w:szCs w:val="21"/>
              </w:rPr>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28"/>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w:t>
            </w:r>
            <w:r>
              <w:rPr>
                <w:rFonts w:ascii="宋体" w:hAnsi="宋体" w:cs="宋体" w:eastAsia="宋体" w:hint="default"/>
                <w:sz w:val="21"/>
                <w:szCs w:val="21"/>
              </w:rPr>
              <w:t> 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56" w:right="0"/>
              <w:jc w:val="left"/>
              <w:rPr>
                <w:rFonts w:ascii="Times New Roman" w:hAnsi="Times New Roman" w:cs="Times New Roman" w:eastAsia="Times New Roman" w:hint="default"/>
                <w:sz w:val="21"/>
                <w:szCs w:val="21"/>
              </w:rPr>
            </w:pPr>
            <w:r>
              <w:rPr>
                <w:rFonts w:ascii="Times New Roman"/>
                <w:sz w:val="21"/>
              </w:rPr>
              <w:t>256,049,507.15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56" w:right="0"/>
              <w:jc w:val="left"/>
              <w:rPr>
                <w:rFonts w:ascii="Times New Roman" w:hAnsi="Times New Roman" w:cs="Times New Roman" w:eastAsia="Times New Roman" w:hint="default"/>
                <w:sz w:val="21"/>
                <w:szCs w:val="21"/>
              </w:rPr>
            </w:pPr>
            <w:r>
              <w:rPr>
                <w:rFonts w:ascii="Times New Roman"/>
                <w:sz w:val="21"/>
              </w:rPr>
              <w:t>216,582,459.76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90" w:firstLine="420"/>
              <w:jc w:val="left"/>
              <w:rPr>
                <w:rFonts w:ascii="宋体" w:hAnsi="宋体" w:cs="宋体" w:eastAsia="宋体" w:hint="default"/>
                <w:sz w:val="21"/>
                <w:szCs w:val="21"/>
              </w:rPr>
            </w:pPr>
            <w:r>
              <w:rPr>
                <w:rFonts w:ascii="宋体" w:hAnsi="宋体" w:cs="宋体" w:eastAsia="宋体" w:hint="default"/>
                <w:sz w:val="21"/>
                <w:szCs w:val="21"/>
              </w:rPr>
              <w:t>客户存款和同业存放款项 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90" w:firstLine="420"/>
              <w:jc w:val="left"/>
              <w:rPr>
                <w:rFonts w:ascii="宋体" w:hAnsi="宋体" w:cs="宋体" w:eastAsia="宋体" w:hint="default"/>
                <w:sz w:val="21"/>
                <w:szCs w:val="21"/>
              </w:rPr>
            </w:pPr>
            <w:r>
              <w:rPr>
                <w:rFonts w:ascii="宋体" w:hAnsi="宋体" w:cs="宋体" w:eastAsia="宋体" w:hint="default"/>
                <w:sz w:val="21"/>
                <w:szCs w:val="21"/>
              </w:rPr>
              <w:t>向其他金融机构拆入资金 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90" w:firstLine="420"/>
              <w:jc w:val="left"/>
              <w:rPr>
                <w:rFonts w:ascii="宋体" w:hAnsi="宋体" w:cs="宋体" w:eastAsia="宋体" w:hint="default"/>
                <w:sz w:val="21"/>
                <w:szCs w:val="21"/>
              </w:rPr>
            </w:pPr>
            <w:r>
              <w:rPr>
                <w:rFonts w:ascii="宋体" w:hAnsi="宋体" w:cs="宋体" w:eastAsia="宋体" w:hint="default"/>
                <w:sz w:val="21"/>
                <w:szCs w:val="21"/>
              </w:rPr>
              <w:t>收到原保险合同保费取得 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0" w:firstLine="420"/>
              <w:jc w:val="both"/>
              <w:rPr>
                <w:rFonts w:ascii="宋体" w:hAnsi="宋体" w:cs="宋体" w:eastAsia="宋体" w:hint="default"/>
                <w:sz w:val="21"/>
                <w:szCs w:val="21"/>
              </w:rPr>
            </w:pPr>
            <w:r>
              <w:rPr>
                <w:rFonts w:ascii="宋体" w:hAnsi="宋体" w:cs="宋体" w:eastAsia="宋体" w:hint="default"/>
                <w:sz w:val="21"/>
                <w:szCs w:val="21"/>
              </w:rPr>
              <w:t>处置以公允价值计量且其 变动计入当期损益的金融资产 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w:t>
            </w:r>
            <w:r>
              <w:rPr>
                <w:rFonts w:ascii="宋体" w:hAnsi="宋体" w:cs="宋体" w:eastAsia="宋体" w:hint="default"/>
                <w:sz w:val="21"/>
                <w:szCs w:val="21"/>
              </w:rPr>
              <w:t> 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197,743.61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0" w:firstLine="420"/>
              <w:jc w:val="left"/>
              <w:rPr>
                <w:rFonts w:ascii="宋体" w:hAnsi="宋体" w:cs="宋体" w:eastAsia="宋体" w:hint="default"/>
                <w:sz w:val="21"/>
                <w:szCs w:val="21"/>
              </w:rPr>
            </w:pPr>
            <w:r>
              <w:rPr>
                <w:rFonts w:ascii="宋体" w:hAnsi="宋体" w:cs="宋体" w:eastAsia="宋体" w:hint="default"/>
                <w:sz w:val="21"/>
                <w:szCs w:val="21"/>
              </w:rPr>
              <w:t>收到其他与经营活动有关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18,966,342.87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13,455,688.08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275,015,850.02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230,235,891.45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w:t>
            </w:r>
            <w:r>
              <w:rPr>
                <w:rFonts w:ascii="宋体" w:hAnsi="宋体" w:cs="宋体" w:eastAsia="宋体" w:hint="default"/>
                <w:sz w:val="21"/>
                <w:szCs w:val="21"/>
              </w:rPr>
              <w:t> 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99,216,574.05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69,310,470.85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0" w:firstLine="420"/>
              <w:jc w:val="left"/>
              <w:rPr>
                <w:rFonts w:ascii="宋体" w:hAnsi="宋体" w:cs="宋体" w:eastAsia="宋体" w:hint="default"/>
                <w:sz w:val="21"/>
                <w:szCs w:val="21"/>
              </w:rPr>
            </w:pPr>
            <w:r>
              <w:rPr>
                <w:rFonts w:ascii="宋体" w:hAnsi="宋体" w:cs="宋体" w:eastAsia="宋体" w:hint="default"/>
                <w:sz w:val="21"/>
                <w:szCs w:val="21"/>
              </w:rPr>
              <w:t>存放中央银行和同业款项 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0" w:firstLine="420"/>
              <w:jc w:val="left"/>
              <w:rPr>
                <w:rFonts w:ascii="宋体" w:hAnsi="宋体" w:cs="宋体" w:eastAsia="宋体" w:hint="default"/>
                <w:sz w:val="21"/>
                <w:szCs w:val="21"/>
              </w:rPr>
            </w:pPr>
            <w:r>
              <w:rPr>
                <w:rFonts w:ascii="宋体" w:hAnsi="宋体" w:cs="宋体" w:eastAsia="宋体" w:hint="default"/>
                <w:sz w:val="21"/>
                <w:szCs w:val="21"/>
              </w:rPr>
              <w:t>支付原保险合同赔付款项 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w:t>
            </w:r>
            <w:r>
              <w:rPr>
                <w:rFonts w:ascii="宋体" w:hAnsi="宋体" w:cs="宋体" w:eastAsia="宋体" w:hint="default"/>
                <w:sz w:val="21"/>
                <w:szCs w:val="21"/>
              </w:rPr>
              <w:t> 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0" w:firstLine="420"/>
              <w:jc w:val="left"/>
              <w:rPr>
                <w:rFonts w:ascii="宋体" w:hAnsi="宋体" w:cs="宋体" w:eastAsia="宋体" w:hint="default"/>
                <w:sz w:val="21"/>
                <w:szCs w:val="21"/>
              </w:rPr>
            </w:pPr>
            <w:r>
              <w:rPr>
                <w:rFonts w:ascii="宋体" w:hAnsi="宋体" w:cs="宋体" w:eastAsia="宋体" w:hint="default"/>
                <w:sz w:val="21"/>
                <w:szCs w:val="21"/>
              </w:rPr>
              <w:t>支付给职工以及为职工支 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87,206,564.03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70,343,411.44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18,778,218.10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16,133,074.98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0" w:firstLine="420"/>
              <w:jc w:val="left"/>
              <w:rPr>
                <w:rFonts w:ascii="宋体" w:hAnsi="宋体" w:cs="宋体" w:eastAsia="宋体" w:hint="default"/>
                <w:sz w:val="21"/>
                <w:szCs w:val="21"/>
              </w:rPr>
            </w:pPr>
            <w:r>
              <w:rPr>
                <w:rFonts w:ascii="宋体" w:hAnsi="宋体" w:cs="宋体" w:eastAsia="宋体" w:hint="default"/>
                <w:sz w:val="21"/>
                <w:szCs w:val="21"/>
              </w:rPr>
              <w:t>支付其他与经营活动有关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31,488,540.76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25,737,639.26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236,689,896.94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181,524,596.53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38,325,953.08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48,711,294.92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28"/>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1,080,175.37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w:t>
            </w:r>
            <w:r>
              <w:rPr>
                <w:rFonts w:ascii="宋体" w:hAnsi="宋体" w:cs="宋体" w:eastAsia="宋体" w:hint="default"/>
                <w:sz w:val="21"/>
                <w:szCs w:val="21"/>
              </w:rPr>
              <w:t> 其他长期资产收回的现金净额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0" w:firstLine="420"/>
              <w:jc w:val="left"/>
              <w:rPr>
                <w:rFonts w:ascii="宋体" w:hAnsi="宋体" w:cs="宋体" w:eastAsia="宋体" w:hint="default"/>
                <w:sz w:val="21"/>
                <w:szCs w:val="21"/>
              </w:rPr>
            </w:pPr>
            <w:r>
              <w:rPr>
                <w:rFonts w:ascii="宋体" w:hAnsi="宋体" w:cs="宋体" w:eastAsia="宋体" w:hint="default"/>
                <w:sz w:val="21"/>
                <w:szCs w:val="21"/>
              </w:rPr>
              <w:t>处置子公司及其他营业单 位收到的现金净额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0" w:firstLine="420"/>
              <w:jc w:val="left"/>
              <w:rPr>
                <w:rFonts w:ascii="宋体" w:hAnsi="宋体" w:cs="宋体" w:eastAsia="宋体" w:hint="default"/>
                <w:sz w:val="21"/>
                <w:szCs w:val="21"/>
              </w:rPr>
            </w:pPr>
            <w:r>
              <w:rPr>
                <w:rFonts w:ascii="宋体" w:hAnsi="宋体" w:cs="宋体" w:eastAsia="宋体" w:hint="default"/>
                <w:sz w:val="21"/>
                <w:szCs w:val="21"/>
              </w:rPr>
              <w:t>收到其他与投资活动有关 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1,080,175.37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w:t>
            </w:r>
            <w:r>
              <w:rPr>
                <w:rFonts w:ascii="宋体" w:hAnsi="宋体" w:cs="宋体" w:eastAsia="宋体" w:hint="default"/>
                <w:sz w:val="21"/>
                <w:szCs w:val="21"/>
              </w:rPr>
              <w:t> 其他长期资产支付的现金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45,061,852.59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25,324,784.76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96,748,300.00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0" w:firstLine="420"/>
              <w:jc w:val="left"/>
              <w:rPr>
                <w:rFonts w:ascii="宋体" w:hAnsi="宋体" w:cs="宋体" w:eastAsia="宋体" w:hint="default"/>
                <w:sz w:val="21"/>
                <w:szCs w:val="21"/>
              </w:rPr>
            </w:pPr>
            <w:r>
              <w:rPr>
                <w:rFonts w:ascii="宋体" w:hAnsi="宋体" w:cs="宋体" w:eastAsia="宋体" w:hint="default"/>
                <w:sz w:val="21"/>
                <w:szCs w:val="21"/>
              </w:rPr>
              <w:t>取得子公司及其他营业单 位支付的现金净额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0" w:firstLine="420"/>
              <w:jc w:val="left"/>
              <w:rPr>
                <w:rFonts w:ascii="宋体" w:hAnsi="宋体" w:cs="宋体" w:eastAsia="宋体" w:hint="default"/>
                <w:sz w:val="21"/>
                <w:szCs w:val="21"/>
              </w:rPr>
            </w:pPr>
            <w:r>
              <w:rPr>
                <w:rFonts w:ascii="宋体" w:hAnsi="宋体" w:cs="宋体" w:eastAsia="宋体" w:hint="default"/>
                <w:sz w:val="21"/>
                <w:szCs w:val="21"/>
              </w:rPr>
              <w:t>支付其他与投资活动有关 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141,810,152.59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25,324,784.76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-140,729,977.22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-25,324,784.76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28"/>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w:t>
            </w:r>
            <w:r>
              <w:rPr>
                <w:rFonts w:ascii="宋体" w:hAnsi="宋体" w:cs="宋体" w:eastAsia="宋体" w:hint="default"/>
                <w:sz w:val="21"/>
                <w:szCs w:val="21"/>
              </w:rPr>
              <w:t> 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0" w:firstLine="420"/>
              <w:jc w:val="left"/>
              <w:rPr>
                <w:rFonts w:ascii="宋体" w:hAnsi="宋体" w:cs="宋体" w:eastAsia="宋体" w:hint="default"/>
                <w:sz w:val="21"/>
                <w:szCs w:val="21"/>
              </w:rPr>
            </w:pPr>
            <w:r>
              <w:rPr>
                <w:rFonts w:ascii="宋体" w:hAnsi="宋体" w:cs="宋体" w:eastAsia="宋体" w:hint="default"/>
                <w:sz w:val="21"/>
                <w:szCs w:val="21"/>
              </w:rPr>
              <w:t>收到其他与筹资活动有关 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w:t>
            </w:r>
            <w:r>
              <w:rPr>
                <w:rFonts w:ascii="宋体" w:hAnsi="宋体" w:cs="宋体" w:eastAsia="宋体" w:hint="default"/>
                <w:sz w:val="21"/>
                <w:szCs w:val="21"/>
              </w:rPr>
              <w:t> 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9,785,973.35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11,554,890.68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w:t>
            </w:r>
            <w:r>
              <w:rPr>
                <w:rFonts w:ascii="宋体" w:hAnsi="宋体" w:cs="宋体" w:eastAsia="宋体" w:hint="default"/>
                <w:sz w:val="21"/>
                <w:szCs w:val="21"/>
              </w:rPr>
              <w:t> 东的股利、利润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0" w:firstLine="420"/>
              <w:jc w:val="left"/>
              <w:rPr>
                <w:rFonts w:ascii="宋体" w:hAnsi="宋体" w:cs="宋体" w:eastAsia="宋体" w:hint="default"/>
                <w:sz w:val="21"/>
                <w:szCs w:val="21"/>
              </w:rPr>
            </w:pPr>
            <w:r>
              <w:rPr>
                <w:rFonts w:ascii="宋体" w:hAnsi="宋体" w:cs="宋体" w:eastAsia="宋体" w:hint="default"/>
                <w:sz w:val="21"/>
                <w:szCs w:val="21"/>
              </w:rPr>
              <w:t>支付其他与筹资活动有关 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9,785,973.35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11,554,890.68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45,214,026.65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-11,554,890.68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b/>
                <w:bCs/>
                <w:w w:val="99"/>
                <w:sz w:val="21"/>
                <w:szCs w:val="21"/>
              </w:rPr>
              <w:t> </w:t>
            </w:r>
            <w:r>
              <w:rPr>
                <w:rFonts w:ascii="宋体" w:hAnsi="宋体" w:cs="宋体" w:eastAsia="宋体" w:hint="default"/>
                <w:b/>
                <w:bCs/>
                <w:sz w:val="21"/>
                <w:szCs w:val="21"/>
              </w:rPr>
              <w:t>物的影响</w:t>
            </w:r>
            <w:r>
              <w:rPr>
                <w:rFonts w:ascii="宋体" w:hAnsi="宋体" w:cs="宋体" w:eastAsia="宋体" w:hint="default"/>
                <w:sz w:val="21"/>
                <w:szCs w:val="21"/>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-1.39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spacing w:val="-3"/>
                <w:sz w:val="21"/>
                <w:szCs w:val="21"/>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-57,189,998.88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11,831,619.48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 w:firstLine="422"/>
              <w:jc w:val="left"/>
              <w:rPr>
                <w:rFonts w:ascii="宋体" w:hAnsi="宋体" w:cs="宋体" w:eastAsia="宋体" w:hint="default"/>
                <w:sz w:val="21"/>
                <w:szCs w:val="21"/>
              </w:rPr>
            </w:pPr>
            <w:r>
              <w:rPr>
                <w:rFonts w:ascii="宋体" w:hAnsi="宋体" w:cs="宋体" w:eastAsia="宋体" w:hint="default"/>
                <w:b/>
                <w:bCs/>
                <w:spacing w:val="-3"/>
                <w:sz w:val="21"/>
                <w:szCs w:val="21"/>
              </w:rPr>
              <w:t>加：期初现金及现金等价物</w:t>
            </w:r>
            <w:r>
              <w:rPr>
                <w:rFonts w:ascii="宋体" w:hAnsi="宋体" w:cs="宋体" w:eastAsia="宋体" w:hint="default"/>
                <w:b/>
                <w:bCs/>
                <w:w w:val="99"/>
                <w:sz w:val="21"/>
                <w:szCs w:val="21"/>
              </w:rPr>
              <w:t> </w:t>
            </w:r>
            <w:r>
              <w:rPr>
                <w:rFonts w:ascii="宋体" w:hAnsi="宋体" w:cs="宋体" w:eastAsia="宋体" w:hint="default"/>
                <w:b/>
                <w:bCs/>
                <w:sz w:val="21"/>
                <w:szCs w:val="21"/>
              </w:rPr>
              <w:t>余额</w:t>
            </w:r>
            <w:r>
              <w:rPr>
                <w:rFonts w:ascii="宋体" w:hAnsi="宋体" w:cs="宋体" w:eastAsia="宋体" w:hint="default"/>
                <w:sz w:val="21"/>
                <w:szCs w:val="21"/>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116,330,817.83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104,499,198.35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spacing w:val="-3"/>
                <w:sz w:val="21"/>
                <w:szCs w:val="21"/>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59,140,818.95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116,330,817.83</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980" w:right="980"/>
        </w:sectPr>
      </w:pPr>
    </w:p>
    <w:p>
      <w:pPr>
        <w:spacing w:line="240" w:lineRule="auto" w:before="5"/>
        <w:rPr>
          <w:rFonts w:ascii="Times New Roman" w:hAnsi="Times New Roman" w:cs="Times New Roman" w:eastAsia="Times New Roman" w:hint="default"/>
          <w:sz w:val="22"/>
          <w:szCs w:val="22"/>
        </w:rPr>
      </w:pPr>
    </w:p>
    <w:p>
      <w:pPr>
        <w:spacing w:before="26"/>
        <w:ind w:left="153" w:right="0" w:firstLine="0"/>
        <w:jc w:val="left"/>
        <w:rPr>
          <w:rFonts w:ascii="宋体" w:hAnsi="宋体" w:cs="宋体" w:eastAsia="宋体" w:hint="default"/>
          <w:sz w:val="24"/>
          <w:szCs w:val="24"/>
        </w:rPr>
      </w:pPr>
      <w:bookmarkStart w:name="6、母公司现金流量表" w:id="112"/>
      <w:bookmarkEnd w:id="112"/>
      <w:r>
        <w:rPr/>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、母公司现金流量表</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28"/>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w:t>
            </w:r>
            <w:r>
              <w:rPr>
                <w:rFonts w:ascii="宋体" w:hAnsi="宋体" w:cs="宋体" w:eastAsia="宋体" w:hint="default"/>
                <w:sz w:val="21"/>
                <w:szCs w:val="21"/>
              </w:rPr>
              <w:t> 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162,935,088.67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123,531,049.01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197,743.61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90" w:firstLine="420"/>
              <w:jc w:val="left"/>
              <w:rPr>
                <w:rFonts w:ascii="宋体" w:hAnsi="宋体" w:cs="宋体" w:eastAsia="宋体" w:hint="default"/>
                <w:sz w:val="21"/>
                <w:szCs w:val="21"/>
              </w:rPr>
            </w:pPr>
            <w:r>
              <w:rPr>
                <w:rFonts w:ascii="宋体" w:hAnsi="宋体" w:cs="宋体" w:eastAsia="宋体" w:hint="default"/>
                <w:sz w:val="21"/>
                <w:szCs w:val="21"/>
              </w:rPr>
              <w:t>收到其他与经营活动有关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7,090,087.78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13,090,046.57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170,025,176.45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136,818,839.19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w:t>
            </w:r>
            <w:r>
              <w:rPr>
                <w:rFonts w:ascii="宋体" w:hAnsi="宋体" w:cs="宋体" w:eastAsia="宋体" w:hint="default"/>
                <w:sz w:val="21"/>
                <w:szCs w:val="21"/>
              </w:rPr>
              <w:t> 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58,876,592.38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47,708,101.38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90" w:firstLine="420"/>
              <w:jc w:val="left"/>
              <w:rPr>
                <w:rFonts w:ascii="宋体" w:hAnsi="宋体" w:cs="宋体" w:eastAsia="宋体" w:hint="default"/>
                <w:sz w:val="21"/>
                <w:szCs w:val="21"/>
              </w:rPr>
            </w:pPr>
            <w:r>
              <w:rPr>
                <w:rFonts w:ascii="宋体" w:hAnsi="宋体" w:cs="宋体" w:eastAsia="宋体" w:hint="default"/>
                <w:sz w:val="21"/>
                <w:szCs w:val="21"/>
              </w:rPr>
              <w:t>支付给职工以及为职工支 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67,075,066.13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53,226,996.00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10,545,019.78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10,491,418.71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90" w:firstLine="420"/>
              <w:jc w:val="left"/>
              <w:rPr>
                <w:rFonts w:ascii="宋体" w:hAnsi="宋体" w:cs="宋体" w:eastAsia="宋体" w:hint="default"/>
                <w:sz w:val="21"/>
                <w:szCs w:val="21"/>
              </w:rPr>
            </w:pPr>
            <w:r>
              <w:rPr>
                <w:rFonts w:ascii="宋体" w:hAnsi="宋体" w:cs="宋体" w:eastAsia="宋体" w:hint="default"/>
                <w:sz w:val="21"/>
                <w:szCs w:val="21"/>
              </w:rPr>
              <w:t>支付其他与经营活动有关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16,054,070.70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15,461,430.85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152,550,748.99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126,887,946.94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17,474,427.46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9,930,892.25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28"/>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w:t>
            </w:r>
            <w:r>
              <w:rPr>
                <w:rFonts w:ascii="宋体" w:hAnsi="宋体" w:cs="宋体" w:eastAsia="宋体" w:hint="default"/>
                <w:sz w:val="21"/>
                <w:szCs w:val="21"/>
              </w:rPr>
              <w:t> 其他长期资产收回的现金净额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90" w:firstLine="420"/>
              <w:jc w:val="left"/>
              <w:rPr>
                <w:rFonts w:ascii="宋体" w:hAnsi="宋体" w:cs="宋体" w:eastAsia="宋体" w:hint="default"/>
                <w:sz w:val="21"/>
                <w:szCs w:val="21"/>
              </w:rPr>
            </w:pPr>
            <w:r>
              <w:rPr>
                <w:rFonts w:ascii="宋体" w:hAnsi="宋体" w:cs="宋体" w:eastAsia="宋体" w:hint="default"/>
                <w:sz w:val="21"/>
                <w:szCs w:val="21"/>
              </w:rPr>
              <w:t>处置子公司及其他营业单 位收到的现金净额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90" w:firstLine="420"/>
              <w:jc w:val="left"/>
              <w:rPr>
                <w:rFonts w:ascii="宋体" w:hAnsi="宋体" w:cs="宋体" w:eastAsia="宋体" w:hint="default"/>
                <w:sz w:val="21"/>
                <w:szCs w:val="21"/>
              </w:rPr>
            </w:pPr>
            <w:r>
              <w:rPr>
                <w:rFonts w:ascii="宋体" w:hAnsi="宋体" w:cs="宋体" w:eastAsia="宋体" w:hint="default"/>
                <w:sz w:val="21"/>
                <w:szCs w:val="21"/>
              </w:rPr>
              <w:t>收到其他与投资活动有关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40,548,705.23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7,945,436.29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40,548,705.23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7,945,436.29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w:t>
            </w:r>
            <w:r>
              <w:rPr>
                <w:rFonts w:ascii="宋体" w:hAnsi="宋体" w:cs="宋体" w:eastAsia="宋体" w:hint="default"/>
                <w:sz w:val="21"/>
                <w:szCs w:val="21"/>
              </w:rPr>
              <w:t> 其他长期资产支付的现金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26,585,112.57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23,114,335.65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90,629,300.00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28,800,000.00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90" w:firstLine="420"/>
              <w:jc w:val="left"/>
              <w:rPr>
                <w:rFonts w:ascii="宋体" w:hAnsi="宋体" w:cs="宋体" w:eastAsia="宋体" w:hint="default"/>
                <w:sz w:val="21"/>
                <w:szCs w:val="21"/>
              </w:rPr>
            </w:pPr>
            <w:r>
              <w:rPr>
                <w:rFonts w:ascii="宋体" w:hAnsi="宋体" w:cs="宋体" w:eastAsia="宋体" w:hint="default"/>
                <w:sz w:val="21"/>
                <w:szCs w:val="21"/>
              </w:rPr>
              <w:t>取得子公司及其他营业单 位支付的现金净额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10,007,910.00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90" w:firstLine="420"/>
              <w:jc w:val="left"/>
              <w:rPr>
                <w:rFonts w:ascii="宋体" w:hAnsi="宋体" w:cs="宋体" w:eastAsia="宋体" w:hint="default"/>
                <w:sz w:val="21"/>
                <w:szCs w:val="21"/>
              </w:rPr>
            </w:pPr>
            <w:r>
              <w:rPr>
                <w:rFonts w:ascii="宋体" w:hAnsi="宋体" w:cs="宋体" w:eastAsia="宋体" w:hint="default"/>
                <w:sz w:val="21"/>
                <w:szCs w:val="21"/>
              </w:rPr>
              <w:t>支付其他与投资活动有关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14,694,089.34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2,418,550.92</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141,916,411.91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54,332,886.57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-101,367,706.68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-46,387,450.28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28"/>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55,000,000.00</w:t>
            </w:r>
            <w:r>
              <w:rPr>
                <w:rFonts w:ascii="Times New Roman"/>
                <w:sz w:val="21"/>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0" w:firstLine="420"/>
              <w:jc w:val="left"/>
              <w:rPr>
                <w:rFonts w:ascii="宋体" w:hAnsi="宋体" w:cs="宋体" w:eastAsia="宋体" w:hint="default"/>
                <w:sz w:val="21"/>
                <w:szCs w:val="21"/>
              </w:rPr>
            </w:pPr>
            <w:r>
              <w:rPr>
                <w:rFonts w:ascii="宋体" w:hAnsi="宋体" w:cs="宋体" w:eastAsia="宋体" w:hint="default"/>
                <w:sz w:val="21"/>
                <w:szCs w:val="21"/>
              </w:rPr>
              <w:t>收到其他与筹资活动有关 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43,721,829.08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43,721,829.08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w:t>
            </w:r>
            <w:r>
              <w:rPr>
                <w:rFonts w:ascii="宋体" w:hAnsi="宋体" w:cs="宋体" w:eastAsia="宋体" w:hint="default"/>
                <w:sz w:val="21"/>
                <w:szCs w:val="21"/>
              </w:rPr>
              <w:t> 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9,785,973.35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11,554,890.68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0" w:firstLine="420"/>
              <w:jc w:val="left"/>
              <w:rPr>
                <w:rFonts w:ascii="宋体" w:hAnsi="宋体" w:cs="宋体" w:eastAsia="宋体" w:hint="default"/>
                <w:sz w:val="21"/>
                <w:szCs w:val="21"/>
              </w:rPr>
            </w:pPr>
            <w:r>
              <w:rPr>
                <w:rFonts w:ascii="宋体" w:hAnsi="宋体" w:cs="宋体" w:eastAsia="宋体" w:hint="default"/>
                <w:sz w:val="21"/>
                <w:szCs w:val="21"/>
              </w:rPr>
              <w:t>支付其他与筹资活动有关 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9,785,973.35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11,554,890.68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45,214,026.65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32,166,938.40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b/>
                <w:bCs/>
                <w:w w:val="99"/>
                <w:sz w:val="21"/>
                <w:szCs w:val="21"/>
              </w:rPr>
              <w:t> </w:t>
            </w:r>
            <w:r>
              <w:rPr>
                <w:rFonts w:ascii="宋体" w:hAnsi="宋体" w:cs="宋体" w:eastAsia="宋体" w:hint="default"/>
                <w:b/>
                <w:bCs/>
                <w:sz w:val="21"/>
                <w:szCs w:val="21"/>
              </w:rPr>
              <w:t>物的影响</w:t>
            </w:r>
            <w:r>
              <w:rPr>
                <w:rFonts w:ascii="宋体" w:hAnsi="宋体" w:cs="宋体" w:eastAsia="宋体" w:hint="default"/>
                <w:sz w:val="21"/>
                <w:szCs w:val="21"/>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spacing w:val="-3"/>
                <w:sz w:val="21"/>
                <w:szCs w:val="21"/>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-38,679,252.57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-4,289,619.63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 w:firstLine="422"/>
              <w:jc w:val="left"/>
              <w:rPr>
                <w:rFonts w:ascii="宋体" w:hAnsi="宋体" w:cs="宋体" w:eastAsia="宋体" w:hint="default"/>
                <w:sz w:val="21"/>
                <w:szCs w:val="21"/>
              </w:rPr>
            </w:pPr>
            <w:r>
              <w:rPr>
                <w:rFonts w:ascii="宋体" w:hAnsi="宋体" w:cs="宋体" w:eastAsia="宋体" w:hint="default"/>
                <w:b/>
                <w:bCs/>
                <w:spacing w:val="-3"/>
                <w:sz w:val="21"/>
                <w:szCs w:val="21"/>
              </w:rPr>
              <w:t>加：期初现金及现金等价物</w:t>
            </w:r>
            <w:r>
              <w:rPr>
                <w:rFonts w:ascii="宋体" w:hAnsi="宋体" w:cs="宋体" w:eastAsia="宋体" w:hint="default"/>
                <w:b/>
                <w:bCs/>
                <w:w w:val="99"/>
                <w:sz w:val="21"/>
                <w:szCs w:val="21"/>
              </w:rPr>
              <w:t> </w:t>
            </w:r>
            <w:r>
              <w:rPr>
                <w:rFonts w:ascii="宋体" w:hAnsi="宋体" w:cs="宋体" w:eastAsia="宋体" w:hint="default"/>
                <w:b/>
                <w:bCs/>
                <w:sz w:val="21"/>
                <w:szCs w:val="21"/>
              </w:rPr>
              <w:t>余额</w:t>
            </w:r>
            <w:r>
              <w:rPr>
                <w:rFonts w:ascii="宋体" w:hAnsi="宋体" w:cs="宋体" w:eastAsia="宋体" w:hint="default"/>
                <w:sz w:val="21"/>
                <w:szCs w:val="21"/>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81,874,993.53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86,164,613.16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spacing w:val="-3"/>
                <w:sz w:val="21"/>
                <w:szCs w:val="21"/>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43,195,740.96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81,874,993.53</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980" w:right="98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17"/>
          <w:szCs w:val="17"/>
        </w:rPr>
      </w:pPr>
    </w:p>
    <w:p>
      <w:pPr>
        <w:spacing w:before="26"/>
        <w:ind w:left="140" w:right="0" w:firstLine="0"/>
        <w:jc w:val="left"/>
        <w:rPr>
          <w:rFonts w:ascii="宋体" w:hAnsi="宋体" w:cs="宋体" w:eastAsia="宋体" w:hint="default"/>
          <w:sz w:val="24"/>
          <w:szCs w:val="24"/>
        </w:rPr>
      </w:pPr>
      <w:bookmarkStart w:name="7、合并所有者权益变动表" w:id="113"/>
      <w:bookmarkEnd w:id="113"/>
      <w:r>
        <w:rPr/>
      </w: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、合并所有者权益变动表</w:t>
      </w:r>
      <w:r>
        <w:rPr>
          <w:rFonts w:ascii="宋体" w:hAnsi="宋体" w:cs="宋体" w:eastAsia="宋体" w:hint="default"/>
          <w:sz w:val="24"/>
          <w:szCs w:val="24"/>
        </w:rPr>
      </w:r>
    </w:p>
    <w:p>
      <w:pPr>
        <w:spacing w:line="240" w:lineRule="auto" w:before="7"/>
        <w:rPr>
          <w:rFonts w:ascii="宋体" w:hAnsi="宋体" w:cs="宋体" w:eastAsia="宋体" w:hint="default"/>
          <w:b/>
          <w:bCs/>
          <w:sz w:val="25"/>
          <w:szCs w:val="25"/>
        </w:rPr>
      </w:pPr>
    </w:p>
    <w:p>
      <w:pPr>
        <w:pStyle w:val="BodyText"/>
        <w:spacing w:line="240" w:lineRule="auto"/>
        <w:ind w:left="620" w:right="0"/>
        <w:jc w:val="left"/>
      </w:pPr>
      <w:r>
        <w:rPr/>
        <w:t>本期金额</w:t>
      </w:r>
    </w:p>
    <w:p>
      <w:pPr>
        <w:pStyle w:val="BodyText"/>
        <w:spacing w:line="240" w:lineRule="auto" w:before="114"/>
        <w:ind w:left="0" w:right="136"/>
        <w:jc w:val="right"/>
      </w:pPr>
      <w:r>
        <w:rPr/>
        <w:t>单位：元</w:t>
      </w:r>
    </w:p>
    <w:p>
      <w:pPr>
        <w:spacing w:line="240" w:lineRule="auto" w:before="11"/>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231"/>
        <w:gridCol w:w="1275"/>
        <w:gridCol w:w="452"/>
        <w:gridCol w:w="452"/>
        <w:gridCol w:w="359"/>
        <w:gridCol w:w="1264"/>
        <w:gridCol w:w="755"/>
        <w:gridCol w:w="729"/>
        <w:gridCol w:w="544"/>
        <w:gridCol w:w="1265"/>
        <w:gridCol w:w="727"/>
        <w:gridCol w:w="1369"/>
        <w:gridCol w:w="1141"/>
        <w:gridCol w:w="1440"/>
      </w:tblGrid>
      <w:tr>
        <w:trPr>
          <w:trHeight w:val="402" w:hRule="exact"/>
        </w:trPr>
        <w:tc>
          <w:tcPr>
            <w:tcW w:w="2231" w:type="dxa"/>
            <w:vMerge w:val="restart"/>
            <w:tcBorders>
              <w:top w:val="single" w:sz="4" w:space="0" w:color="000000"/>
              <w:left w:val="single" w:sz="4" w:space="0" w:color="000000"/>
              <w:right w:val="single" w:sz="4" w:space="0" w:color="000000"/>
            </w:tcBorders>
            <w:shd w:val="clear" w:color="auto" w:fill="D2D2D2"/>
          </w:tcPr>
          <w:p>
            <w:pPr/>
          </w:p>
        </w:tc>
        <w:tc>
          <w:tcPr>
            <w:tcW w:w="1177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b/>
                <w:bCs/>
                <w:sz w:val="21"/>
                <w:szCs w:val="21"/>
              </w:rPr>
              <w:t>本期</w:t>
            </w:r>
            <w:r>
              <w:rPr>
                <w:rFonts w:ascii="宋体" w:hAnsi="宋体" w:cs="宋体" w:eastAsia="宋体" w:hint="default"/>
                <w:sz w:val="21"/>
                <w:szCs w:val="21"/>
              </w:rPr>
            </w:r>
          </w:p>
        </w:tc>
      </w:tr>
      <w:tr>
        <w:trPr>
          <w:trHeight w:val="402" w:hRule="exact"/>
        </w:trPr>
        <w:tc>
          <w:tcPr>
            <w:tcW w:w="2231" w:type="dxa"/>
            <w:vMerge/>
            <w:tcBorders>
              <w:left w:val="single" w:sz="4" w:space="0" w:color="000000"/>
              <w:right w:val="single" w:sz="4" w:space="0" w:color="000000"/>
            </w:tcBorders>
            <w:shd w:val="clear" w:color="auto" w:fill="D2D2D2"/>
          </w:tcPr>
          <w:p>
            <w:pPr/>
          </w:p>
        </w:tc>
        <w:tc>
          <w:tcPr>
            <w:tcW w:w="919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b/>
                <w:bCs/>
                <w:sz w:val="21"/>
                <w:szCs w:val="21"/>
              </w:rPr>
              <w:t>归属于母公司所有者权益</w:t>
            </w:r>
            <w:r>
              <w:rPr>
                <w:rFonts w:ascii="宋体" w:hAnsi="宋体" w:cs="宋体" w:eastAsia="宋体" w:hint="default"/>
                <w:sz w:val="21"/>
                <w:szCs w:val="21"/>
              </w:rPr>
            </w:r>
          </w:p>
        </w:tc>
        <w:tc>
          <w:tcPr>
            <w:tcW w:w="1141" w:type="dxa"/>
            <w:vMerge w:val="restart"/>
            <w:tcBorders>
              <w:top w:val="single" w:sz="4" w:space="0" w:color="000000"/>
              <w:left w:val="single" w:sz="4" w:space="0" w:color="000000"/>
              <w:right w:val="single" w:sz="4" w:space="0" w:color="000000"/>
            </w:tcBorders>
            <w:shd w:val="clear" w:color="auto" w:fill="D2D2D2"/>
          </w:tcPr>
          <w:p>
            <w:pPr/>
          </w:p>
        </w:tc>
        <w:tc>
          <w:tcPr>
            <w:tcW w:w="1440" w:type="dxa"/>
            <w:vMerge w:val="restart"/>
            <w:tcBorders>
              <w:top w:val="single" w:sz="4" w:space="0" w:color="000000"/>
              <w:left w:val="single" w:sz="4" w:space="0" w:color="000000"/>
              <w:right w:val="single" w:sz="4" w:space="0" w:color="000000"/>
            </w:tcBorders>
            <w:shd w:val="clear" w:color="auto" w:fill="D2D2D2"/>
          </w:tcPr>
          <w:p>
            <w:pPr/>
          </w:p>
        </w:tc>
      </w:tr>
      <w:tr>
        <w:trPr>
          <w:trHeight w:val="295" w:hRule="exact"/>
        </w:trPr>
        <w:tc>
          <w:tcPr>
            <w:tcW w:w="2231" w:type="dxa"/>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26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521" w:right="98" w:hanging="422"/>
              <w:jc w:val="left"/>
              <w:rPr>
                <w:rFonts w:ascii="宋体" w:hAnsi="宋体" w:cs="宋体" w:eastAsia="宋体" w:hint="default"/>
                <w:sz w:val="21"/>
                <w:szCs w:val="21"/>
              </w:rPr>
            </w:pPr>
            <w:r>
              <w:rPr>
                <w:rFonts w:ascii="宋体" w:hAnsi="宋体" w:cs="宋体" w:eastAsia="宋体" w:hint="default"/>
                <w:b/>
                <w:bCs/>
                <w:sz w:val="21"/>
                <w:szCs w:val="21"/>
              </w:rPr>
              <w:t>其他权益工</w:t>
            </w:r>
            <w:r>
              <w:rPr>
                <w:rFonts w:ascii="宋体" w:hAnsi="宋体" w:cs="宋体" w:eastAsia="宋体" w:hint="default"/>
                <w:b/>
                <w:bCs/>
                <w:w w:val="99"/>
                <w:sz w:val="21"/>
                <w:szCs w:val="21"/>
              </w:rPr>
              <w:t> </w:t>
            </w:r>
            <w:r>
              <w:rPr>
                <w:rFonts w:ascii="宋体" w:hAnsi="宋体" w:cs="宋体" w:eastAsia="宋体" w:hint="default"/>
                <w:b/>
                <w:bCs/>
                <w:sz w:val="21"/>
                <w:szCs w:val="21"/>
              </w:rPr>
              <w:t>具</w:t>
            </w:r>
            <w:r>
              <w:rPr>
                <w:rFonts w:ascii="宋体" w:hAnsi="宋体" w:cs="宋体" w:eastAsia="宋体" w:hint="default"/>
                <w:sz w:val="21"/>
                <w:szCs w:val="21"/>
              </w:rPr>
            </w:r>
          </w:p>
        </w:tc>
        <w:tc>
          <w:tcPr>
            <w:tcW w:w="1264" w:type="dxa"/>
            <w:vMerge w:val="restart"/>
            <w:tcBorders>
              <w:top w:val="single" w:sz="4" w:space="0" w:color="000000"/>
              <w:left w:val="single" w:sz="4" w:space="0" w:color="000000"/>
              <w:right w:val="single" w:sz="4" w:space="0" w:color="000000"/>
            </w:tcBorders>
            <w:shd w:val="clear" w:color="auto" w:fill="D2D2D2"/>
          </w:tcPr>
          <w:p>
            <w:pPr/>
          </w:p>
        </w:tc>
        <w:tc>
          <w:tcPr>
            <w:tcW w:w="755" w:type="dxa"/>
            <w:vMerge w:val="restart"/>
            <w:tcBorders>
              <w:top w:val="single" w:sz="4" w:space="0" w:color="000000"/>
              <w:left w:val="single" w:sz="4" w:space="0" w:color="000000"/>
              <w:right w:val="single" w:sz="4" w:space="0" w:color="000000"/>
            </w:tcBorders>
            <w:shd w:val="clear" w:color="auto" w:fill="D2D2D2"/>
          </w:tcPr>
          <w:p>
            <w:pPr/>
          </w:p>
        </w:tc>
        <w:tc>
          <w:tcPr>
            <w:tcW w:w="729" w:type="dxa"/>
            <w:vMerge w:val="restart"/>
            <w:tcBorders>
              <w:top w:val="single" w:sz="4" w:space="0" w:color="000000"/>
              <w:left w:val="single" w:sz="4" w:space="0" w:color="000000"/>
              <w:right w:val="single" w:sz="4" w:space="0" w:color="000000"/>
            </w:tcBorders>
            <w:shd w:val="clear" w:color="auto" w:fill="D2D2D2"/>
          </w:tcPr>
          <w:p>
            <w:pPr/>
          </w:p>
        </w:tc>
        <w:tc>
          <w:tcPr>
            <w:tcW w:w="544" w:type="dxa"/>
            <w:vMerge w:val="restart"/>
            <w:tcBorders>
              <w:top w:val="single" w:sz="4" w:space="0" w:color="000000"/>
              <w:left w:val="single" w:sz="4" w:space="0" w:color="000000"/>
              <w:right w:val="single" w:sz="4" w:space="0" w:color="000000"/>
            </w:tcBorders>
            <w:shd w:val="clear" w:color="auto" w:fill="D2D2D2"/>
          </w:tcPr>
          <w:p>
            <w:pPr/>
          </w:p>
        </w:tc>
        <w:tc>
          <w:tcPr>
            <w:tcW w:w="1265" w:type="dxa"/>
            <w:vMerge w:val="restart"/>
            <w:tcBorders>
              <w:top w:val="single" w:sz="4" w:space="0" w:color="000000"/>
              <w:left w:val="single" w:sz="4" w:space="0" w:color="000000"/>
              <w:right w:val="single" w:sz="4" w:space="0" w:color="000000"/>
            </w:tcBorders>
            <w:shd w:val="clear" w:color="auto" w:fill="D2D2D2"/>
          </w:tcPr>
          <w:p>
            <w:pPr/>
          </w:p>
        </w:tc>
        <w:tc>
          <w:tcPr>
            <w:tcW w:w="727"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141" w:type="dxa"/>
            <w:vMerge/>
            <w:tcBorders>
              <w:left w:val="single" w:sz="4" w:space="0" w:color="000000"/>
              <w:bottom w:val="nil" w:sz="6" w:space="0" w:color="auto"/>
              <w:right w:val="single" w:sz="4" w:space="0" w:color="000000"/>
            </w:tcBorders>
            <w:shd w:val="clear" w:color="auto" w:fill="D2D2D2"/>
          </w:tcPr>
          <w:p>
            <w:pPr/>
          </w:p>
        </w:tc>
        <w:tc>
          <w:tcPr>
            <w:tcW w:w="1440" w:type="dxa"/>
            <w:vMerge/>
            <w:tcBorders>
              <w:left w:val="single" w:sz="4" w:space="0" w:color="000000"/>
              <w:bottom w:val="nil" w:sz="6" w:space="0" w:color="auto"/>
              <w:right w:val="single" w:sz="4" w:space="0" w:color="000000"/>
            </w:tcBorders>
            <w:shd w:val="clear" w:color="auto" w:fill="D2D2D2"/>
          </w:tcPr>
          <w:p>
            <w:pPr/>
          </w:p>
        </w:tc>
      </w:tr>
      <w:tr>
        <w:trPr>
          <w:trHeight w:val="223" w:hRule="exact"/>
        </w:trPr>
        <w:tc>
          <w:tcPr>
            <w:tcW w:w="22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75" w:type="dxa"/>
            <w:vMerge/>
            <w:tcBorders>
              <w:left w:val="single" w:sz="4" w:space="0" w:color="000000"/>
              <w:right w:val="single" w:sz="4" w:space="0" w:color="000000"/>
            </w:tcBorders>
            <w:shd w:val="clear" w:color="auto" w:fill="D2D2D2"/>
          </w:tcPr>
          <w:p>
            <w:pPr/>
          </w:p>
        </w:tc>
        <w:tc>
          <w:tcPr>
            <w:tcW w:w="1264" w:type="dxa"/>
            <w:gridSpan w:val="3"/>
            <w:vMerge/>
            <w:tcBorders>
              <w:left w:val="single" w:sz="4" w:space="0" w:color="000000"/>
              <w:right w:val="single" w:sz="4" w:space="0" w:color="000000"/>
            </w:tcBorders>
            <w:shd w:val="clear" w:color="auto" w:fill="D2D2D2"/>
          </w:tcPr>
          <w:p>
            <w:pPr/>
          </w:p>
        </w:tc>
        <w:tc>
          <w:tcPr>
            <w:tcW w:w="1264" w:type="dxa"/>
            <w:vMerge/>
            <w:tcBorders>
              <w:left w:val="single" w:sz="4" w:space="0" w:color="000000"/>
              <w:right w:val="single" w:sz="4" w:space="0" w:color="000000"/>
            </w:tcBorders>
            <w:shd w:val="clear" w:color="auto" w:fill="D2D2D2"/>
          </w:tcPr>
          <w:p>
            <w:pPr/>
          </w:p>
        </w:tc>
        <w:tc>
          <w:tcPr>
            <w:tcW w:w="755" w:type="dxa"/>
            <w:vMerge/>
            <w:tcBorders>
              <w:left w:val="single" w:sz="4" w:space="0" w:color="000000"/>
              <w:bottom w:val="nil" w:sz="6" w:space="0" w:color="auto"/>
              <w:right w:val="single" w:sz="4" w:space="0" w:color="000000"/>
            </w:tcBorders>
            <w:shd w:val="clear" w:color="auto" w:fill="D2D2D2"/>
          </w:tcPr>
          <w:p>
            <w:pPr/>
          </w:p>
        </w:tc>
        <w:tc>
          <w:tcPr>
            <w:tcW w:w="729" w:type="dxa"/>
            <w:vMerge/>
            <w:tcBorders>
              <w:left w:val="single" w:sz="4" w:space="0" w:color="000000"/>
              <w:bottom w:val="nil" w:sz="6" w:space="0" w:color="auto"/>
              <w:right w:val="single" w:sz="4" w:space="0" w:color="000000"/>
            </w:tcBorders>
            <w:shd w:val="clear" w:color="auto" w:fill="D2D2D2"/>
          </w:tcPr>
          <w:p>
            <w:pPr/>
          </w:p>
        </w:tc>
        <w:tc>
          <w:tcPr>
            <w:tcW w:w="544" w:type="dxa"/>
            <w:vMerge/>
            <w:tcBorders>
              <w:left w:val="single" w:sz="4" w:space="0" w:color="000000"/>
              <w:bottom w:val="nil" w:sz="6" w:space="0" w:color="auto"/>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right w:val="single" w:sz="4" w:space="0" w:color="000000"/>
            </w:tcBorders>
            <w:shd w:val="clear" w:color="auto" w:fill="D2D2D2"/>
          </w:tcPr>
          <w:p>
            <w:pPr/>
          </w:p>
        </w:tc>
        <w:tc>
          <w:tcPr>
            <w:tcW w:w="1141"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48"/>
              <w:ind w:left="459" w:right="38" w:hanging="422"/>
              <w:jc w:val="left"/>
              <w:rPr>
                <w:rFonts w:ascii="宋体" w:hAnsi="宋体" w:cs="宋体" w:eastAsia="宋体" w:hint="default"/>
                <w:sz w:val="21"/>
                <w:szCs w:val="21"/>
              </w:rPr>
            </w:pPr>
            <w:r>
              <w:rPr>
                <w:rFonts w:ascii="宋体" w:hAnsi="宋体" w:cs="宋体" w:eastAsia="宋体" w:hint="default"/>
                <w:b/>
                <w:bCs/>
                <w:sz w:val="21"/>
                <w:szCs w:val="21"/>
              </w:rPr>
              <w:t>少数股东权</w:t>
            </w:r>
            <w:r>
              <w:rPr>
                <w:rFonts w:ascii="宋体" w:hAnsi="宋体" w:cs="宋体" w:eastAsia="宋体" w:hint="default"/>
                <w:b/>
                <w:bCs/>
                <w:w w:val="99"/>
                <w:sz w:val="21"/>
                <w:szCs w:val="21"/>
              </w:rPr>
              <w:t> </w:t>
            </w:r>
            <w:r>
              <w:rPr>
                <w:rFonts w:ascii="宋体" w:hAnsi="宋体" w:cs="宋体" w:eastAsia="宋体" w:hint="default"/>
                <w:b/>
                <w:bCs/>
                <w:sz w:val="21"/>
                <w:szCs w:val="21"/>
              </w:rPr>
              <w:t>益</w:t>
            </w:r>
            <w:r>
              <w:rPr>
                <w:rFonts w:ascii="宋体" w:hAnsi="宋体" w:cs="宋体" w:eastAsia="宋体" w:hint="default"/>
                <w:sz w:val="21"/>
                <w:szCs w:val="21"/>
              </w:rPr>
            </w:r>
          </w:p>
        </w:tc>
        <w:tc>
          <w:tcPr>
            <w:tcW w:w="144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48"/>
              <w:ind w:left="608" w:right="83" w:hanging="527"/>
              <w:jc w:val="left"/>
              <w:rPr>
                <w:rFonts w:ascii="宋体" w:hAnsi="宋体" w:cs="宋体" w:eastAsia="宋体" w:hint="default"/>
                <w:sz w:val="21"/>
                <w:szCs w:val="21"/>
              </w:rPr>
            </w:pPr>
            <w:r>
              <w:rPr>
                <w:rFonts w:ascii="宋体" w:hAnsi="宋体" w:cs="宋体" w:eastAsia="宋体" w:hint="default"/>
                <w:b/>
                <w:bCs/>
                <w:sz w:val="21"/>
                <w:szCs w:val="21"/>
              </w:rPr>
              <w:t>所有者权益合</w:t>
            </w:r>
            <w:r>
              <w:rPr>
                <w:rFonts w:ascii="宋体" w:hAnsi="宋体" w:cs="宋体" w:eastAsia="宋体" w:hint="default"/>
                <w:b/>
                <w:bCs/>
                <w:w w:val="99"/>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r>
      <w:tr>
        <w:trPr>
          <w:trHeight w:val="151" w:hRule="exact"/>
        </w:trPr>
        <w:tc>
          <w:tcPr>
            <w:tcW w:w="2231"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1264" w:type="dxa"/>
            <w:gridSpan w:val="3"/>
            <w:vMerge/>
            <w:tcBorders>
              <w:left w:val="single" w:sz="4" w:space="0" w:color="000000"/>
              <w:bottom w:val="single" w:sz="4" w:space="0" w:color="000000"/>
              <w:right w:val="single" w:sz="4" w:space="0" w:color="000000"/>
            </w:tcBorders>
            <w:shd w:val="clear" w:color="auto" w:fill="D2D2D2"/>
          </w:tcPr>
          <w:p>
            <w:pPr/>
          </w:p>
        </w:tc>
        <w:tc>
          <w:tcPr>
            <w:tcW w:w="1264" w:type="dxa"/>
            <w:vMerge/>
            <w:tcBorders>
              <w:left w:val="single" w:sz="4" w:space="0" w:color="000000"/>
              <w:bottom w:val="nil" w:sz="6" w:space="0" w:color="auto"/>
              <w:right w:val="single" w:sz="4" w:space="0" w:color="000000"/>
            </w:tcBorders>
            <w:shd w:val="clear" w:color="auto" w:fill="D2D2D2"/>
          </w:tcPr>
          <w:p>
            <w:pPr/>
          </w:p>
        </w:tc>
        <w:tc>
          <w:tcPr>
            <w:tcW w:w="75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61" w:right="53" w:hanging="106"/>
              <w:jc w:val="left"/>
              <w:rPr>
                <w:rFonts w:ascii="宋体" w:hAnsi="宋体" w:cs="宋体" w:eastAsia="宋体" w:hint="default"/>
                <w:sz w:val="21"/>
                <w:szCs w:val="21"/>
              </w:rPr>
            </w:pPr>
            <w:r>
              <w:rPr>
                <w:rFonts w:ascii="宋体" w:hAnsi="宋体" w:cs="宋体" w:eastAsia="宋体" w:hint="default"/>
                <w:b/>
                <w:bCs/>
                <w:sz w:val="21"/>
                <w:szCs w:val="21"/>
              </w:rPr>
              <w:t>减：库</w:t>
            </w:r>
            <w:r>
              <w:rPr>
                <w:rFonts w:ascii="宋体" w:hAnsi="宋体" w:cs="宋体" w:eastAsia="宋体" w:hint="default"/>
                <w:b/>
                <w:bCs/>
                <w:spacing w:val="1"/>
                <w:w w:val="99"/>
                <w:sz w:val="21"/>
                <w:szCs w:val="21"/>
              </w:rPr>
              <w:t> </w:t>
            </w:r>
            <w:r>
              <w:rPr>
                <w:rFonts w:ascii="宋体" w:hAnsi="宋体" w:cs="宋体" w:eastAsia="宋体" w:hint="default"/>
                <w:b/>
                <w:bCs/>
                <w:sz w:val="21"/>
                <w:szCs w:val="21"/>
              </w:rPr>
              <w:t>存股</w:t>
            </w:r>
            <w:r>
              <w:rPr>
                <w:rFonts w:ascii="宋体" w:hAnsi="宋体" w:cs="宋体" w:eastAsia="宋体" w:hint="default"/>
                <w:sz w:val="21"/>
                <w:szCs w:val="21"/>
              </w:rPr>
            </w:r>
          </w:p>
        </w:tc>
        <w:tc>
          <w:tcPr>
            <w:tcW w:w="729"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43" w:right="40"/>
              <w:jc w:val="left"/>
              <w:rPr>
                <w:rFonts w:ascii="宋体" w:hAnsi="宋体" w:cs="宋体" w:eastAsia="宋体" w:hint="default"/>
                <w:sz w:val="21"/>
                <w:szCs w:val="21"/>
              </w:rPr>
            </w:pPr>
            <w:r>
              <w:rPr>
                <w:rFonts w:ascii="宋体" w:hAnsi="宋体" w:cs="宋体" w:eastAsia="宋体" w:hint="default"/>
                <w:b/>
                <w:bCs/>
                <w:sz w:val="21"/>
                <w:szCs w:val="21"/>
              </w:rPr>
              <w:t>其他综</w:t>
            </w:r>
            <w:r>
              <w:rPr>
                <w:rFonts w:ascii="宋体" w:hAnsi="宋体" w:cs="宋体" w:eastAsia="宋体" w:hint="default"/>
                <w:b/>
                <w:bCs/>
                <w:spacing w:val="1"/>
                <w:w w:val="99"/>
                <w:sz w:val="21"/>
                <w:szCs w:val="21"/>
              </w:rPr>
              <w:t> </w:t>
            </w:r>
            <w:r>
              <w:rPr>
                <w:rFonts w:ascii="宋体" w:hAnsi="宋体" w:cs="宋体" w:eastAsia="宋体" w:hint="default"/>
                <w:b/>
                <w:bCs/>
                <w:sz w:val="21"/>
                <w:szCs w:val="21"/>
              </w:rPr>
              <w:t>合收益</w:t>
            </w:r>
            <w:r>
              <w:rPr>
                <w:rFonts w:ascii="宋体" w:hAnsi="宋体" w:cs="宋体" w:eastAsia="宋体" w:hint="default"/>
                <w:sz w:val="21"/>
                <w:szCs w:val="21"/>
              </w:rPr>
            </w:r>
          </w:p>
        </w:tc>
        <w:tc>
          <w:tcPr>
            <w:tcW w:w="54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56" w:right="53"/>
              <w:jc w:val="left"/>
              <w:rPr>
                <w:rFonts w:ascii="宋体" w:hAnsi="宋体" w:cs="宋体" w:eastAsia="宋体" w:hint="default"/>
                <w:sz w:val="21"/>
                <w:szCs w:val="21"/>
              </w:rPr>
            </w:pPr>
            <w:r>
              <w:rPr>
                <w:rFonts w:ascii="宋体" w:hAnsi="宋体" w:cs="宋体" w:eastAsia="宋体" w:hint="default"/>
                <w:b/>
                <w:bCs/>
                <w:sz w:val="21"/>
                <w:szCs w:val="21"/>
              </w:rPr>
              <w:t>专项</w:t>
            </w:r>
            <w:r>
              <w:rPr>
                <w:rFonts w:ascii="宋体" w:hAnsi="宋体" w:cs="宋体" w:eastAsia="宋体" w:hint="default"/>
                <w:b/>
                <w:bCs/>
                <w:spacing w:val="1"/>
                <w:w w:val="99"/>
                <w:sz w:val="21"/>
                <w:szCs w:val="21"/>
              </w:rPr>
              <w:t> </w:t>
            </w:r>
            <w:r>
              <w:rPr>
                <w:rFonts w:ascii="宋体" w:hAnsi="宋体" w:cs="宋体" w:eastAsia="宋体" w:hint="default"/>
                <w:b/>
                <w:bCs/>
                <w:sz w:val="21"/>
                <w:szCs w:val="21"/>
              </w:rPr>
              <w:t>储备</w:t>
            </w:r>
            <w:r>
              <w:rPr>
                <w:rFonts w:ascii="宋体" w:hAnsi="宋体" w:cs="宋体" w:eastAsia="宋体" w:hint="default"/>
                <w:sz w:val="21"/>
                <w:szCs w:val="21"/>
              </w:rPr>
            </w:r>
          </w:p>
        </w:tc>
        <w:tc>
          <w:tcPr>
            <w:tcW w:w="1265" w:type="dxa"/>
            <w:vMerge/>
            <w:tcBorders>
              <w:left w:val="single" w:sz="4" w:space="0" w:color="000000"/>
              <w:bottom w:val="nil" w:sz="6" w:space="0" w:color="auto"/>
              <w:right w:val="single" w:sz="4" w:space="0" w:color="000000"/>
            </w:tcBorders>
            <w:shd w:val="clear" w:color="auto" w:fill="D2D2D2"/>
          </w:tcPr>
          <w:p>
            <w:pPr/>
          </w:p>
        </w:tc>
        <w:tc>
          <w:tcPr>
            <w:tcW w:w="72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41" w:right="41"/>
              <w:jc w:val="left"/>
              <w:rPr>
                <w:rFonts w:ascii="宋体" w:hAnsi="宋体" w:cs="宋体" w:eastAsia="宋体" w:hint="default"/>
                <w:sz w:val="21"/>
                <w:szCs w:val="21"/>
              </w:rPr>
            </w:pPr>
            <w:r>
              <w:rPr>
                <w:rFonts w:ascii="宋体" w:hAnsi="宋体" w:cs="宋体" w:eastAsia="宋体" w:hint="default"/>
                <w:b/>
                <w:bCs/>
                <w:sz w:val="21"/>
                <w:szCs w:val="21"/>
              </w:rPr>
              <w:t>一般风</w:t>
            </w:r>
            <w:r>
              <w:rPr>
                <w:rFonts w:ascii="宋体" w:hAnsi="宋体" w:cs="宋体" w:eastAsia="宋体" w:hint="default"/>
                <w:b/>
                <w:bCs/>
                <w:spacing w:val="1"/>
                <w:w w:val="99"/>
                <w:sz w:val="21"/>
                <w:szCs w:val="21"/>
              </w:rPr>
              <w:t> </w:t>
            </w:r>
            <w:r>
              <w:rPr>
                <w:rFonts w:ascii="宋体" w:hAnsi="宋体" w:cs="宋体" w:eastAsia="宋体" w:hint="default"/>
                <w:b/>
                <w:bCs/>
                <w:sz w:val="21"/>
                <w:szCs w:val="21"/>
              </w:rPr>
              <w:t>险准备</w:t>
            </w:r>
            <w:r>
              <w:rPr>
                <w:rFonts w:ascii="宋体" w:hAnsi="宋体" w:cs="宋体" w:eastAsia="宋体" w:hint="default"/>
                <w:sz w:val="21"/>
                <w:szCs w:val="21"/>
              </w:rPr>
            </w:r>
          </w:p>
        </w:tc>
        <w:tc>
          <w:tcPr>
            <w:tcW w:w="1369" w:type="dxa"/>
            <w:vMerge/>
            <w:tcBorders>
              <w:left w:val="single" w:sz="4" w:space="0" w:color="000000"/>
              <w:bottom w:val="nil" w:sz="6" w:space="0" w:color="auto"/>
              <w:right w:val="single" w:sz="4" w:space="0" w:color="000000"/>
            </w:tcBorders>
            <w:shd w:val="clear" w:color="auto" w:fill="D2D2D2"/>
          </w:tcPr>
          <w:p>
            <w:pPr/>
          </w:p>
        </w:tc>
        <w:tc>
          <w:tcPr>
            <w:tcW w:w="1141" w:type="dxa"/>
            <w:vMerge/>
            <w:tcBorders>
              <w:left w:val="single" w:sz="4" w:space="0" w:color="000000"/>
              <w:right w:val="single" w:sz="4" w:space="0" w:color="000000"/>
            </w:tcBorders>
            <w:shd w:val="clear" w:color="auto" w:fill="D2D2D2"/>
          </w:tcPr>
          <w:p>
            <w:pPr/>
          </w:p>
        </w:tc>
        <w:tc>
          <w:tcPr>
            <w:tcW w:w="1440" w:type="dxa"/>
            <w:vMerge/>
            <w:tcBorders>
              <w:left w:val="single" w:sz="4" w:space="0" w:color="000000"/>
              <w:right w:val="single" w:sz="4" w:space="0" w:color="000000"/>
            </w:tcBorders>
            <w:shd w:val="clear" w:color="auto" w:fill="D2D2D2"/>
          </w:tcPr>
          <w:p>
            <w:pPr/>
          </w:p>
        </w:tc>
      </w:tr>
      <w:tr>
        <w:trPr>
          <w:trHeight w:val="204" w:hRule="exact"/>
        </w:trPr>
        <w:tc>
          <w:tcPr>
            <w:tcW w:w="2231" w:type="dxa"/>
            <w:vMerge w:val="restart"/>
            <w:tcBorders>
              <w:top w:val="nil" w:sz="6" w:space="0" w:color="auto"/>
              <w:left w:val="single" w:sz="4" w:space="0" w:color="000000"/>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427" w:right="0"/>
              <w:jc w:val="left"/>
              <w:rPr>
                <w:rFonts w:ascii="宋体" w:hAnsi="宋体" w:cs="宋体" w:eastAsia="宋体" w:hint="default"/>
                <w:sz w:val="21"/>
                <w:szCs w:val="21"/>
              </w:rPr>
            </w:pPr>
            <w:r>
              <w:rPr>
                <w:rFonts w:ascii="宋体" w:hAnsi="宋体" w:cs="宋体" w:eastAsia="宋体" w:hint="default"/>
                <w:b/>
                <w:bCs/>
                <w:sz w:val="21"/>
                <w:szCs w:val="21"/>
              </w:rPr>
              <w:t>股本</w:t>
            </w:r>
            <w:r>
              <w:rPr>
                <w:rFonts w:ascii="宋体" w:hAnsi="宋体" w:cs="宋体" w:eastAsia="宋体" w:hint="default"/>
                <w:sz w:val="21"/>
                <w:szCs w:val="21"/>
              </w:rPr>
            </w:r>
          </w:p>
        </w:tc>
        <w:tc>
          <w:tcPr>
            <w:tcW w:w="45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1"/>
              <w:ind w:left="116" w:right="114"/>
              <w:jc w:val="both"/>
              <w:rPr>
                <w:rFonts w:ascii="宋体" w:hAnsi="宋体" w:cs="宋体" w:eastAsia="宋体" w:hint="default"/>
                <w:sz w:val="21"/>
                <w:szCs w:val="21"/>
              </w:rPr>
            </w:pPr>
            <w:r>
              <w:rPr>
                <w:rFonts w:ascii="宋体" w:hAnsi="宋体" w:cs="宋体" w:eastAsia="宋体" w:hint="default"/>
                <w:b/>
                <w:bCs/>
                <w:sz w:val="21"/>
                <w:szCs w:val="21"/>
              </w:rPr>
              <w:t>优</w:t>
            </w:r>
            <w:r>
              <w:rPr>
                <w:rFonts w:ascii="宋体" w:hAnsi="宋体" w:cs="宋体" w:eastAsia="宋体" w:hint="default"/>
                <w:b/>
                <w:bCs/>
                <w:w w:val="99"/>
                <w:sz w:val="21"/>
                <w:szCs w:val="21"/>
              </w:rPr>
              <w:t> </w:t>
            </w:r>
            <w:r>
              <w:rPr>
                <w:rFonts w:ascii="宋体" w:hAnsi="宋体" w:cs="宋体" w:eastAsia="宋体" w:hint="default"/>
                <w:b/>
                <w:bCs/>
                <w:sz w:val="21"/>
                <w:szCs w:val="21"/>
              </w:rPr>
              <w:t>先</w:t>
            </w:r>
            <w:r>
              <w:rPr>
                <w:rFonts w:ascii="宋体" w:hAnsi="宋体" w:cs="宋体" w:eastAsia="宋体" w:hint="default"/>
                <w:b/>
                <w:bCs/>
                <w:w w:val="99"/>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tc>
        <w:tc>
          <w:tcPr>
            <w:tcW w:w="45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1"/>
              <w:ind w:left="115" w:right="115"/>
              <w:jc w:val="both"/>
              <w:rPr>
                <w:rFonts w:ascii="宋体" w:hAnsi="宋体" w:cs="宋体" w:eastAsia="宋体" w:hint="default"/>
                <w:sz w:val="21"/>
                <w:szCs w:val="21"/>
              </w:rPr>
            </w:pPr>
            <w:r>
              <w:rPr>
                <w:rFonts w:ascii="宋体" w:hAnsi="宋体" w:cs="宋体" w:eastAsia="宋体" w:hint="default"/>
                <w:b/>
                <w:bCs/>
                <w:sz w:val="21"/>
                <w:szCs w:val="21"/>
              </w:rPr>
              <w:t>永</w:t>
            </w:r>
            <w:r>
              <w:rPr>
                <w:rFonts w:ascii="宋体" w:hAnsi="宋体" w:cs="宋体" w:eastAsia="宋体" w:hint="default"/>
                <w:b/>
                <w:bCs/>
                <w:w w:val="99"/>
                <w:sz w:val="21"/>
                <w:szCs w:val="21"/>
              </w:rPr>
              <w:t> </w:t>
            </w:r>
            <w:r>
              <w:rPr>
                <w:rFonts w:ascii="宋体" w:hAnsi="宋体" w:cs="宋体" w:eastAsia="宋体" w:hint="default"/>
                <w:b/>
                <w:bCs/>
                <w:sz w:val="21"/>
                <w:szCs w:val="21"/>
              </w:rPr>
              <w:t>续</w:t>
            </w:r>
            <w:r>
              <w:rPr>
                <w:rFonts w:ascii="宋体" w:hAnsi="宋体" w:cs="宋体" w:eastAsia="宋体" w:hint="default"/>
                <w:b/>
                <w:bCs/>
                <w:w w:val="99"/>
                <w:sz w:val="21"/>
                <w:szCs w:val="21"/>
              </w:rPr>
              <w:t> </w:t>
            </w:r>
            <w:r>
              <w:rPr>
                <w:rFonts w:ascii="宋体" w:hAnsi="宋体" w:cs="宋体" w:eastAsia="宋体" w:hint="default"/>
                <w:b/>
                <w:bCs/>
                <w:sz w:val="21"/>
                <w:szCs w:val="21"/>
              </w:rPr>
              <w:t>债</w:t>
            </w:r>
            <w:r>
              <w:rPr>
                <w:rFonts w:ascii="宋体" w:hAnsi="宋体" w:cs="宋体" w:eastAsia="宋体" w:hint="default"/>
                <w:sz w:val="21"/>
                <w:szCs w:val="21"/>
              </w:rPr>
            </w:r>
          </w:p>
        </w:tc>
        <w:tc>
          <w:tcPr>
            <w:tcW w:w="35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205" w:right="0"/>
              <w:jc w:val="left"/>
              <w:rPr>
                <w:rFonts w:ascii="宋体" w:hAnsi="宋体" w:cs="宋体" w:eastAsia="宋体" w:hint="default"/>
                <w:sz w:val="21"/>
                <w:szCs w:val="21"/>
              </w:rPr>
            </w:pPr>
            <w:r>
              <w:rPr>
                <w:rFonts w:ascii="宋体" w:hAnsi="宋体" w:cs="宋体" w:eastAsia="宋体" w:hint="default"/>
                <w:b/>
                <w:bCs/>
                <w:sz w:val="21"/>
                <w:szCs w:val="21"/>
              </w:rPr>
              <w:t>资本公积</w:t>
            </w:r>
            <w:r>
              <w:rPr>
                <w:rFonts w:ascii="宋体" w:hAnsi="宋体" w:cs="宋体" w:eastAsia="宋体" w:hint="default"/>
                <w:sz w:val="21"/>
                <w:szCs w:val="21"/>
              </w:rPr>
            </w:r>
          </w:p>
        </w:tc>
        <w:tc>
          <w:tcPr>
            <w:tcW w:w="755" w:type="dxa"/>
            <w:vMerge/>
            <w:tcBorders>
              <w:left w:val="single" w:sz="4" w:space="0" w:color="000000"/>
              <w:right w:val="single" w:sz="4" w:space="0" w:color="000000"/>
            </w:tcBorders>
            <w:shd w:val="clear" w:color="auto" w:fill="D2D2D2"/>
          </w:tcPr>
          <w:p>
            <w:pPr/>
          </w:p>
        </w:tc>
        <w:tc>
          <w:tcPr>
            <w:tcW w:w="729" w:type="dxa"/>
            <w:vMerge/>
            <w:tcBorders>
              <w:left w:val="single" w:sz="4" w:space="0" w:color="000000"/>
              <w:right w:val="single" w:sz="4" w:space="0" w:color="000000"/>
            </w:tcBorders>
            <w:shd w:val="clear" w:color="auto" w:fill="D2D2D2"/>
          </w:tcPr>
          <w:p>
            <w:pPr/>
          </w:p>
        </w:tc>
        <w:tc>
          <w:tcPr>
            <w:tcW w:w="544" w:type="dxa"/>
            <w:vMerge/>
            <w:tcBorders>
              <w:left w:val="single" w:sz="4" w:space="0" w:color="000000"/>
              <w:right w:val="single" w:sz="4" w:space="0" w:color="000000"/>
            </w:tcBorders>
            <w:shd w:val="clear" w:color="auto" w:fill="D2D2D2"/>
          </w:tcPr>
          <w:p>
            <w:pPr/>
          </w:p>
        </w:tc>
        <w:tc>
          <w:tcPr>
            <w:tcW w:w="12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06" w:right="0"/>
              <w:jc w:val="left"/>
              <w:rPr>
                <w:rFonts w:ascii="宋体" w:hAnsi="宋体" w:cs="宋体" w:eastAsia="宋体" w:hint="default"/>
                <w:sz w:val="21"/>
                <w:szCs w:val="21"/>
              </w:rPr>
            </w:pPr>
            <w:r>
              <w:rPr>
                <w:rFonts w:ascii="宋体" w:hAnsi="宋体" w:cs="宋体" w:eastAsia="宋体" w:hint="default"/>
                <w:b/>
                <w:bCs/>
                <w:sz w:val="21"/>
                <w:szCs w:val="21"/>
              </w:rPr>
              <w:t>盈余公积</w:t>
            </w:r>
            <w:r>
              <w:rPr>
                <w:rFonts w:ascii="宋体" w:hAnsi="宋体" w:cs="宋体" w:eastAsia="宋体" w:hint="default"/>
                <w:sz w:val="21"/>
                <w:szCs w:val="21"/>
              </w:rPr>
            </w:r>
          </w:p>
        </w:tc>
        <w:tc>
          <w:tcPr>
            <w:tcW w:w="727" w:type="dxa"/>
            <w:vMerge/>
            <w:tcBorders>
              <w:left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53" w:right="0"/>
              <w:jc w:val="left"/>
              <w:rPr>
                <w:rFonts w:ascii="宋体" w:hAnsi="宋体" w:cs="宋体" w:eastAsia="宋体" w:hint="default"/>
                <w:sz w:val="21"/>
                <w:szCs w:val="21"/>
              </w:rPr>
            </w:pPr>
            <w:r>
              <w:rPr>
                <w:rFonts w:ascii="宋体" w:hAnsi="宋体" w:cs="宋体" w:eastAsia="宋体" w:hint="default"/>
                <w:b/>
                <w:bCs/>
                <w:sz w:val="21"/>
                <w:szCs w:val="21"/>
              </w:rPr>
              <w:t>未分配利润</w:t>
            </w:r>
            <w:r>
              <w:rPr>
                <w:rFonts w:ascii="宋体" w:hAnsi="宋体" w:cs="宋体" w:eastAsia="宋体" w:hint="default"/>
                <w:sz w:val="21"/>
                <w:szCs w:val="21"/>
              </w:rPr>
            </w:r>
          </w:p>
        </w:tc>
        <w:tc>
          <w:tcPr>
            <w:tcW w:w="1141" w:type="dxa"/>
            <w:vMerge/>
            <w:tcBorders>
              <w:left w:val="single" w:sz="4" w:space="0" w:color="000000"/>
              <w:right w:val="single" w:sz="4" w:space="0" w:color="000000"/>
            </w:tcBorders>
            <w:shd w:val="clear" w:color="auto" w:fill="D2D2D2"/>
          </w:tcPr>
          <w:p>
            <w:pPr/>
          </w:p>
        </w:tc>
        <w:tc>
          <w:tcPr>
            <w:tcW w:w="1440" w:type="dxa"/>
            <w:vMerge/>
            <w:tcBorders>
              <w:left w:val="single" w:sz="4" w:space="0" w:color="000000"/>
              <w:right w:val="single" w:sz="4" w:space="0" w:color="000000"/>
            </w:tcBorders>
            <w:shd w:val="clear" w:color="auto" w:fill="D2D2D2"/>
          </w:tcPr>
          <w:p>
            <w:pPr/>
          </w:p>
        </w:tc>
      </w:tr>
      <w:tr>
        <w:trPr>
          <w:trHeight w:val="168" w:hRule="exact"/>
        </w:trPr>
        <w:tc>
          <w:tcPr>
            <w:tcW w:w="2231"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452" w:type="dxa"/>
            <w:vMerge/>
            <w:tcBorders>
              <w:left w:val="single" w:sz="4" w:space="0" w:color="000000"/>
              <w:right w:val="single" w:sz="4" w:space="0" w:color="000000"/>
            </w:tcBorders>
            <w:shd w:val="clear" w:color="auto" w:fill="D2D2D2"/>
          </w:tcPr>
          <w:p>
            <w:pPr/>
          </w:p>
        </w:tc>
        <w:tc>
          <w:tcPr>
            <w:tcW w:w="452" w:type="dxa"/>
            <w:vMerge/>
            <w:tcBorders>
              <w:left w:val="single" w:sz="4" w:space="0" w:color="000000"/>
              <w:right w:val="single" w:sz="4" w:space="0" w:color="000000"/>
            </w:tcBorders>
            <w:shd w:val="clear" w:color="auto" w:fill="D2D2D2"/>
          </w:tcPr>
          <w:p>
            <w:pPr/>
          </w:p>
        </w:tc>
        <w:tc>
          <w:tcPr>
            <w:tcW w:w="359"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68" w:right="68"/>
              <w:jc w:val="left"/>
              <w:rPr>
                <w:rFonts w:ascii="宋体" w:hAnsi="宋体" w:cs="宋体" w:eastAsia="宋体" w:hint="default"/>
                <w:sz w:val="21"/>
                <w:szCs w:val="21"/>
              </w:rPr>
            </w:pPr>
            <w:r>
              <w:rPr>
                <w:rFonts w:ascii="宋体" w:hAnsi="宋体" w:cs="宋体" w:eastAsia="宋体" w:hint="default"/>
                <w:b/>
                <w:bCs/>
                <w:sz w:val="21"/>
                <w:szCs w:val="21"/>
              </w:rPr>
              <w:t>其</w:t>
            </w:r>
            <w:r>
              <w:rPr>
                <w:rFonts w:ascii="宋体" w:hAnsi="宋体" w:cs="宋体" w:eastAsia="宋体" w:hint="default"/>
                <w:b/>
                <w:bCs/>
                <w:w w:val="99"/>
                <w:sz w:val="21"/>
                <w:szCs w:val="21"/>
              </w:rPr>
              <w:t> </w:t>
            </w:r>
            <w:r>
              <w:rPr>
                <w:rFonts w:ascii="宋体" w:hAnsi="宋体" w:cs="宋体" w:eastAsia="宋体" w:hint="default"/>
                <w:b/>
                <w:bCs/>
                <w:sz w:val="21"/>
                <w:szCs w:val="21"/>
              </w:rPr>
              <w:t>他</w:t>
            </w:r>
            <w:r>
              <w:rPr>
                <w:rFonts w:ascii="宋体" w:hAnsi="宋体" w:cs="宋体" w:eastAsia="宋体" w:hint="default"/>
                <w:sz w:val="21"/>
                <w:szCs w:val="21"/>
              </w:rPr>
            </w:r>
          </w:p>
        </w:tc>
        <w:tc>
          <w:tcPr>
            <w:tcW w:w="1264" w:type="dxa"/>
            <w:vMerge/>
            <w:tcBorders>
              <w:left w:val="single" w:sz="4" w:space="0" w:color="000000"/>
              <w:bottom w:val="nil" w:sz="6" w:space="0" w:color="auto"/>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729" w:type="dxa"/>
            <w:vMerge/>
            <w:tcBorders>
              <w:left w:val="single" w:sz="4" w:space="0" w:color="000000"/>
              <w:right w:val="single" w:sz="4" w:space="0" w:color="000000"/>
            </w:tcBorders>
            <w:shd w:val="clear" w:color="auto" w:fill="D2D2D2"/>
          </w:tcPr>
          <w:p>
            <w:pPr/>
          </w:p>
        </w:tc>
        <w:tc>
          <w:tcPr>
            <w:tcW w:w="544" w:type="dxa"/>
            <w:vMerge/>
            <w:tcBorders>
              <w:left w:val="single" w:sz="4" w:space="0" w:color="000000"/>
              <w:right w:val="single" w:sz="4" w:space="0" w:color="000000"/>
            </w:tcBorders>
            <w:shd w:val="clear" w:color="auto" w:fill="D2D2D2"/>
          </w:tcPr>
          <w:p>
            <w:pPr/>
          </w:p>
        </w:tc>
        <w:tc>
          <w:tcPr>
            <w:tcW w:w="1265"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141" w:type="dxa"/>
            <w:vMerge/>
            <w:tcBorders>
              <w:left w:val="single" w:sz="4" w:space="0" w:color="000000"/>
              <w:bottom w:val="nil" w:sz="6" w:space="0" w:color="auto"/>
              <w:right w:val="single" w:sz="4" w:space="0" w:color="000000"/>
            </w:tcBorders>
            <w:shd w:val="clear" w:color="auto" w:fill="D2D2D2"/>
          </w:tcPr>
          <w:p>
            <w:pPr/>
          </w:p>
        </w:tc>
        <w:tc>
          <w:tcPr>
            <w:tcW w:w="1440"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2231" w:type="dxa"/>
            <w:vMerge/>
            <w:tcBorders>
              <w:left w:val="single" w:sz="4" w:space="0" w:color="000000"/>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
        </w:tc>
        <w:tc>
          <w:tcPr>
            <w:tcW w:w="452" w:type="dxa"/>
            <w:vMerge/>
            <w:tcBorders>
              <w:left w:val="single" w:sz="4" w:space="0" w:color="000000"/>
              <w:right w:val="single" w:sz="4" w:space="0" w:color="000000"/>
            </w:tcBorders>
            <w:shd w:val="clear" w:color="auto" w:fill="D2D2D2"/>
          </w:tcPr>
          <w:p>
            <w:pPr/>
          </w:p>
        </w:tc>
        <w:tc>
          <w:tcPr>
            <w:tcW w:w="452" w:type="dxa"/>
            <w:vMerge/>
            <w:tcBorders>
              <w:left w:val="single" w:sz="4" w:space="0" w:color="000000"/>
              <w:right w:val="single" w:sz="4" w:space="0" w:color="000000"/>
            </w:tcBorders>
            <w:shd w:val="clear" w:color="auto" w:fill="D2D2D2"/>
          </w:tcPr>
          <w:p>
            <w:pPr/>
          </w:p>
        </w:tc>
        <w:tc>
          <w:tcPr>
            <w:tcW w:w="359" w:type="dxa"/>
            <w:vMerge/>
            <w:tcBorders>
              <w:left w:val="single" w:sz="4" w:space="0" w:color="000000"/>
              <w:right w:val="single" w:sz="4" w:space="0" w:color="000000"/>
            </w:tcBorders>
            <w:shd w:val="clear" w:color="auto" w:fill="D2D2D2"/>
          </w:tcPr>
          <w:p>
            <w:pPr/>
          </w:p>
        </w:tc>
        <w:tc>
          <w:tcPr>
            <w:tcW w:w="1264" w:type="dxa"/>
            <w:vMerge w:val="restart"/>
            <w:tcBorders>
              <w:top w:val="nil" w:sz="6" w:space="0" w:color="auto"/>
              <w:left w:val="single" w:sz="4" w:space="0" w:color="000000"/>
              <w:right w:val="single" w:sz="4" w:space="0" w:color="000000"/>
            </w:tcBorders>
            <w:shd w:val="clear" w:color="auto" w:fill="D2D2D2"/>
          </w:tcPr>
          <w:p>
            <w:pPr/>
          </w:p>
        </w:tc>
        <w:tc>
          <w:tcPr>
            <w:tcW w:w="755" w:type="dxa"/>
            <w:vMerge/>
            <w:tcBorders>
              <w:left w:val="single" w:sz="4" w:space="0" w:color="000000"/>
              <w:bottom w:val="nil" w:sz="6" w:space="0" w:color="auto"/>
              <w:right w:val="single" w:sz="4" w:space="0" w:color="000000"/>
            </w:tcBorders>
            <w:shd w:val="clear" w:color="auto" w:fill="D2D2D2"/>
          </w:tcPr>
          <w:p>
            <w:pPr/>
          </w:p>
        </w:tc>
        <w:tc>
          <w:tcPr>
            <w:tcW w:w="729" w:type="dxa"/>
            <w:vMerge/>
            <w:tcBorders>
              <w:left w:val="single" w:sz="4" w:space="0" w:color="000000"/>
              <w:bottom w:val="nil" w:sz="6" w:space="0" w:color="auto"/>
              <w:right w:val="single" w:sz="4" w:space="0" w:color="000000"/>
            </w:tcBorders>
            <w:shd w:val="clear" w:color="auto" w:fill="D2D2D2"/>
          </w:tcPr>
          <w:p>
            <w:pPr/>
          </w:p>
        </w:tc>
        <w:tc>
          <w:tcPr>
            <w:tcW w:w="544" w:type="dxa"/>
            <w:vMerge/>
            <w:tcBorders>
              <w:left w:val="single" w:sz="4" w:space="0" w:color="000000"/>
              <w:bottom w:val="nil" w:sz="6" w:space="0" w:color="auto"/>
              <w:right w:val="single" w:sz="4" w:space="0" w:color="000000"/>
            </w:tcBorders>
            <w:shd w:val="clear" w:color="auto" w:fill="D2D2D2"/>
          </w:tcPr>
          <w:p>
            <w:pPr/>
          </w:p>
        </w:tc>
        <w:tc>
          <w:tcPr>
            <w:tcW w:w="1265" w:type="dxa"/>
            <w:vMerge w:val="restart"/>
            <w:tcBorders>
              <w:top w:val="nil" w:sz="6" w:space="0" w:color="auto"/>
              <w:left w:val="single" w:sz="4" w:space="0" w:color="000000"/>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
        </w:tc>
        <w:tc>
          <w:tcPr>
            <w:tcW w:w="1141" w:type="dxa"/>
            <w:vMerge w:val="restart"/>
            <w:tcBorders>
              <w:top w:val="nil" w:sz="6" w:space="0" w:color="auto"/>
              <w:left w:val="single" w:sz="4" w:space="0" w:color="000000"/>
              <w:right w:val="single" w:sz="4" w:space="0" w:color="000000"/>
            </w:tcBorders>
            <w:shd w:val="clear" w:color="auto" w:fill="D2D2D2"/>
          </w:tcPr>
          <w:p>
            <w:pPr/>
          </w:p>
        </w:tc>
        <w:tc>
          <w:tcPr>
            <w:tcW w:w="1440" w:type="dxa"/>
            <w:vMerge w:val="restart"/>
            <w:tcBorders>
              <w:top w:val="nil" w:sz="6" w:space="0" w:color="auto"/>
              <w:left w:val="single" w:sz="4" w:space="0" w:color="000000"/>
              <w:right w:val="single" w:sz="4" w:space="0" w:color="000000"/>
            </w:tcBorders>
            <w:shd w:val="clear" w:color="auto" w:fill="D2D2D2"/>
          </w:tcPr>
          <w:p>
            <w:pPr/>
          </w:p>
        </w:tc>
      </w:tr>
      <w:tr>
        <w:trPr>
          <w:trHeight w:val="356" w:hRule="exact"/>
        </w:trPr>
        <w:tc>
          <w:tcPr>
            <w:tcW w:w="2231"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452" w:type="dxa"/>
            <w:vMerge/>
            <w:tcBorders>
              <w:left w:val="single" w:sz="4" w:space="0" w:color="000000"/>
              <w:right w:val="single" w:sz="4" w:space="0" w:color="000000"/>
            </w:tcBorders>
            <w:shd w:val="clear" w:color="auto" w:fill="D2D2D2"/>
          </w:tcPr>
          <w:p>
            <w:pPr/>
          </w:p>
        </w:tc>
        <w:tc>
          <w:tcPr>
            <w:tcW w:w="452" w:type="dxa"/>
            <w:vMerge/>
            <w:tcBorders>
              <w:left w:val="single" w:sz="4" w:space="0" w:color="000000"/>
              <w:right w:val="single" w:sz="4" w:space="0" w:color="000000"/>
            </w:tcBorders>
            <w:shd w:val="clear" w:color="auto" w:fill="D2D2D2"/>
          </w:tcPr>
          <w:p>
            <w:pPr/>
          </w:p>
        </w:tc>
        <w:tc>
          <w:tcPr>
            <w:tcW w:w="359" w:type="dxa"/>
            <w:vMerge/>
            <w:tcBorders>
              <w:left w:val="single" w:sz="4" w:space="0" w:color="000000"/>
              <w:bottom w:val="nil" w:sz="6" w:space="0" w:color="auto"/>
              <w:right w:val="single" w:sz="4" w:space="0" w:color="000000"/>
            </w:tcBorders>
            <w:shd w:val="clear" w:color="auto" w:fill="D2D2D2"/>
          </w:tcPr>
          <w:p>
            <w:pPr/>
          </w:p>
        </w:tc>
        <w:tc>
          <w:tcPr>
            <w:tcW w:w="1264" w:type="dxa"/>
            <w:vMerge/>
            <w:tcBorders>
              <w:left w:val="single" w:sz="4" w:space="0" w:color="000000"/>
              <w:right w:val="single" w:sz="4" w:space="0" w:color="000000"/>
            </w:tcBorders>
            <w:shd w:val="clear" w:color="auto" w:fill="D2D2D2"/>
          </w:tcPr>
          <w:p>
            <w:pPr/>
          </w:p>
        </w:tc>
        <w:tc>
          <w:tcPr>
            <w:tcW w:w="755" w:type="dxa"/>
            <w:vMerge w:val="restart"/>
            <w:tcBorders>
              <w:top w:val="nil" w:sz="6" w:space="0" w:color="auto"/>
              <w:left w:val="single" w:sz="4" w:space="0" w:color="000000"/>
              <w:right w:val="single" w:sz="4" w:space="0" w:color="000000"/>
            </w:tcBorders>
            <w:shd w:val="clear" w:color="auto" w:fill="D2D2D2"/>
          </w:tcPr>
          <w:p>
            <w:pPr/>
          </w:p>
        </w:tc>
        <w:tc>
          <w:tcPr>
            <w:tcW w:w="729" w:type="dxa"/>
            <w:vMerge w:val="restart"/>
            <w:tcBorders>
              <w:top w:val="nil" w:sz="6" w:space="0" w:color="auto"/>
              <w:left w:val="single" w:sz="4" w:space="0" w:color="000000"/>
              <w:right w:val="single" w:sz="4" w:space="0" w:color="000000"/>
            </w:tcBorders>
            <w:shd w:val="clear" w:color="auto" w:fill="D2D2D2"/>
          </w:tcPr>
          <w:p>
            <w:pPr/>
          </w:p>
        </w:tc>
        <w:tc>
          <w:tcPr>
            <w:tcW w:w="544" w:type="dxa"/>
            <w:vMerge w:val="restart"/>
            <w:tcBorders>
              <w:top w:val="nil" w:sz="6" w:space="0" w:color="auto"/>
              <w:left w:val="single" w:sz="4" w:space="0" w:color="000000"/>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c>
          <w:tcPr>
            <w:tcW w:w="727" w:type="dxa"/>
            <w:vMerge w:val="restart"/>
            <w:tcBorders>
              <w:top w:val="nil" w:sz="6" w:space="0" w:color="auto"/>
              <w:left w:val="single" w:sz="4" w:space="0" w:color="000000"/>
              <w:right w:val="single" w:sz="4" w:space="0" w:color="000000"/>
            </w:tcBorders>
            <w:shd w:val="clear" w:color="auto" w:fill="D2D2D2"/>
          </w:tcPr>
          <w:p>
            <w:pPr/>
          </w:p>
        </w:tc>
        <w:tc>
          <w:tcPr>
            <w:tcW w:w="1369" w:type="dxa"/>
            <w:vMerge/>
            <w:tcBorders>
              <w:left w:val="single" w:sz="4" w:space="0" w:color="000000"/>
              <w:right w:val="single" w:sz="4" w:space="0" w:color="000000"/>
            </w:tcBorders>
            <w:shd w:val="clear" w:color="auto" w:fill="D2D2D2"/>
          </w:tcPr>
          <w:p>
            <w:pPr/>
          </w:p>
        </w:tc>
        <w:tc>
          <w:tcPr>
            <w:tcW w:w="1141" w:type="dxa"/>
            <w:vMerge/>
            <w:tcBorders>
              <w:left w:val="single" w:sz="4" w:space="0" w:color="000000"/>
              <w:right w:val="single" w:sz="4" w:space="0" w:color="000000"/>
            </w:tcBorders>
            <w:shd w:val="clear" w:color="auto" w:fill="D2D2D2"/>
          </w:tcPr>
          <w:p>
            <w:pPr/>
          </w:p>
        </w:tc>
        <w:tc>
          <w:tcPr>
            <w:tcW w:w="1440" w:type="dxa"/>
            <w:vMerge/>
            <w:tcBorders>
              <w:left w:val="single" w:sz="4" w:space="0" w:color="000000"/>
              <w:right w:val="single" w:sz="4" w:space="0" w:color="000000"/>
            </w:tcBorders>
            <w:shd w:val="clear" w:color="auto" w:fill="D2D2D2"/>
          </w:tcPr>
          <w:p>
            <w:pPr/>
          </w:p>
        </w:tc>
      </w:tr>
      <w:tr>
        <w:trPr>
          <w:trHeight w:val="161" w:hRule="exact"/>
        </w:trPr>
        <w:tc>
          <w:tcPr>
            <w:tcW w:w="2231"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452" w:type="dxa"/>
            <w:vMerge/>
            <w:tcBorders>
              <w:left w:val="single" w:sz="4" w:space="0" w:color="000000"/>
              <w:bottom w:val="single" w:sz="4" w:space="0" w:color="000000"/>
              <w:right w:val="single" w:sz="4" w:space="0" w:color="000000"/>
            </w:tcBorders>
            <w:shd w:val="clear" w:color="auto" w:fill="D2D2D2"/>
          </w:tcPr>
          <w:p>
            <w:pPr/>
          </w:p>
        </w:tc>
        <w:tc>
          <w:tcPr>
            <w:tcW w:w="452" w:type="dxa"/>
            <w:vMerge/>
            <w:tcBorders>
              <w:left w:val="single" w:sz="4" w:space="0" w:color="000000"/>
              <w:bottom w:val="single" w:sz="4" w:space="0" w:color="000000"/>
              <w:right w:val="single" w:sz="4" w:space="0" w:color="000000"/>
            </w:tcBorders>
            <w:shd w:val="clear" w:color="auto" w:fill="D2D2D2"/>
          </w:tcPr>
          <w:p>
            <w:pPr/>
          </w:p>
        </w:tc>
        <w:tc>
          <w:tcPr>
            <w:tcW w:w="3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4" w:type="dxa"/>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729" w:type="dxa"/>
            <w:vMerge/>
            <w:tcBorders>
              <w:left w:val="single" w:sz="4" w:space="0" w:color="000000"/>
              <w:bottom w:val="single" w:sz="4" w:space="0" w:color="000000"/>
              <w:right w:val="single" w:sz="4" w:space="0" w:color="000000"/>
            </w:tcBorders>
            <w:shd w:val="clear" w:color="auto" w:fill="D2D2D2"/>
          </w:tcPr>
          <w:p>
            <w:pPr/>
          </w:p>
        </w:tc>
        <w:tc>
          <w:tcPr>
            <w:tcW w:w="544" w:type="dxa"/>
            <w:vMerge/>
            <w:tcBorders>
              <w:left w:val="single" w:sz="4" w:space="0" w:color="000000"/>
              <w:bottom w:val="single" w:sz="4" w:space="0" w:color="000000"/>
              <w:right w:val="single" w:sz="4" w:space="0" w:color="000000"/>
            </w:tcBorders>
            <w:shd w:val="clear" w:color="auto" w:fill="D2D2D2"/>
          </w:tcPr>
          <w:p>
            <w:pPr/>
          </w:p>
        </w:tc>
        <w:tc>
          <w:tcPr>
            <w:tcW w:w="126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141" w:type="dxa"/>
            <w:vMerge/>
            <w:tcBorders>
              <w:left w:val="single" w:sz="4" w:space="0" w:color="000000"/>
              <w:bottom w:val="single" w:sz="4" w:space="0" w:color="000000"/>
              <w:right w:val="single" w:sz="4" w:space="0" w:color="000000"/>
            </w:tcBorders>
            <w:shd w:val="clear" w:color="auto" w:fill="D2D2D2"/>
          </w:tcPr>
          <w:p>
            <w:pPr/>
          </w:p>
        </w:tc>
        <w:tc>
          <w:tcPr>
            <w:tcW w:w="144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b/>
                <w:bCs/>
                <w:sz w:val="21"/>
                <w:szCs w:val="21"/>
              </w:rPr>
              <w:t>一、上年期末余额</w:t>
            </w:r>
            <w:r>
              <w:rPr>
                <w:rFonts w:ascii="宋体" w:hAnsi="宋体" w:cs="宋体" w:eastAsia="宋体" w:hint="default"/>
                <w:sz w:val="21"/>
                <w:szCs w:val="21"/>
              </w:rPr>
            </w:r>
          </w:p>
        </w:tc>
        <w:tc>
          <w:tcPr>
            <w:tcW w:w="1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90,000,000.00</w:t>
            </w: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29,880,245.78</w:t>
            </w: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13,794,398.76</w:t>
            </w: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21"/>
                <w:szCs w:val="21"/>
              </w:rPr>
            </w:pPr>
            <w:r>
              <w:rPr>
                <w:rFonts w:ascii="Times New Roman"/>
                <w:sz w:val="21"/>
              </w:rPr>
              <w:t>129,661,894.51</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775,076.70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87" w:right="0"/>
              <w:jc w:val="center"/>
              <w:rPr>
                <w:rFonts w:ascii="Times New Roman" w:hAnsi="Times New Roman" w:cs="Times New Roman" w:eastAsia="Times New Roman" w:hint="default"/>
                <w:sz w:val="21"/>
                <w:szCs w:val="21"/>
              </w:rPr>
            </w:pPr>
            <w:r>
              <w:rPr>
                <w:rFonts w:ascii="Times New Roman"/>
                <w:sz w:val="21"/>
              </w:rPr>
              <w:t>264,111,615.75</w:t>
            </w:r>
          </w:p>
        </w:tc>
      </w:tr>
      <w:tr>
        <w:trPr>
          <w:trHeight w:val="402"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08"/>
              <w:jc w:val="right"/>
              <w:rPr>
                <w:rFonts w:ascii="宋体" w:hAnsi="宋体" w:cs="宋体" w:eastAsia="宋体" w:hint="default"/>
                <w:sz w:val="21"/>
                <w:szCs w:val="21"/>
              </w:rPr>
            </w:pPr>
            <w:r>
              <w:rPr>
                <w:rFonts w:ascii="宋体" w:hAnsi="宋体" w:cs="宋体" w:eastAsia="宋体" w:hint="default"/>
                <w:sz w:val="21"/>
                <w:szCs w:val="21"/>
              </w:rPr>
              <w:t>加：会计政策变更</w:t>
            </w:r>
          </w:p>
        </w:tc>
        <w:tc>
          <w:tcPr>
            <w:tcW w:w="1275" w:type="dxa"/>
            <w:tcBorders>
              <w:top w:val="single" w:sz="4" w:space="0" w:color="000000"/>
              <w:left w:val="single" w:sz="13" w:space="0" w:color="D2D2D2"/>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08"/>
              <w:jc w:val="right"/>
              <w:rPr>
                <w:rFonts w:ascii="宋体" w:hAnsi="宋体" w:cs="宋体" w:eastAsia="宋体" w:hint="default"/>
                <w:sz w:val="21"/>
                <w:szCs w:val="21"/>
              </w:rPr>
            </w:pPr>
            <w:r>
              <w:rPr>
                <w:rFonts w:ascii="宋体" w:hAnsi="宋体" w:cs="宋体" w:eastAsia="宋体" w:hint="default"/>
                <w:sz w:val="21"/>
                <w:szCs w:val="21"/>
              </w:rPr>
              <w:t>前期差错更正</w:t>
            </w:r>
          </w:p>
        </w:tc>
        <w:tc>
          <w:tcPr>
            <w:tcW w:w="1275" w:type="dxa"/>
            <w:tcBorders>
              <w:top w:val="single" w:sz="4" w:space="0" w:color="000000"/>
              <w:left w:val="single" w:sz="13" w:space="0" w:color="D2D2D2"/>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851" w:right="0"/>
              <w:jc w:val="left"/>
              <w:rPr>
                <w:rFonts w:ascii="宋体" w:hAnsi="宋体" w:cs="宋体" w:eastAsia="宋体" w:hint="default"/>
                <w:sz w:val="21"/>
                <w:szCs w:val="21"/>
              </w:rPr>
            </w:pPr>
            <w:r>
              <w:rPr>
                <w:rFonts w:ascii="宋体" w:hAnsi="宋体" w:cs="宋体" w:eastAsia="宋体" w:hint="default"/>
                <w:sz w:val="21"/>
                <w:szCs w:val="21"/>
              </w:rPr>
              <w:t>同一控制下企</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业合并</w:t>
            </w:r>
          </w:p>
        </w:tc>
        <w:tc>
          <w:tcPr>
            <w:tcW w:w="1275" w:type="dxa"/>
            <w:tcBorders>
              <w:top w:val="single" w:sz="4" w:space="0" w:color="000000"/>
              <w:left w:val="single" w:sz="13" w:space="0" w:color="D2D2D2"/>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96"/>
              <w:jc w:val="center"/>
              <w:rPr>
                <w:rFonts w:ascii="宋体" w:hAnsi="宋体" w:cs="宋体" w:eastAsia="宋体" w:hint="default"/>
                <w:sz w:val="21"/>
                <w:szCs w:val="21"/>
              </w:rPr>
            </w:pPr>
            <w:r>
              <w:rPr>
                <w:rFonts w:ascii="宋体" w:hAnsi="宋体" w:cs="宋体" w:eastAsia="宋体" w:hint="default"/>
                <w:sz w:val="21"/>
                <w:szCs w:val="21"/>
              </w:rPr>
              <w:t>其他</w:t>
            </w:r>
          </w:p>
        </w:tc>
        <w:tc>
          <w:tcPr>
            <w:tcW w:w="1275" w:type="dxa"/>
            <w:tcBorders>
              <w:top w:val="single" w:sz="4" w:space="0" w:color="000000"/>
              <w:left w:val="single" w:sz="13" w:space="0" w:color="D2D2D2"/>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b/>
                <w:bCs/>
                <w:sz w:val="21"/>
                <w:szCs w:val="21"/>
              </w:rPr>
              <w:t>二、本年期初余额</w:t>
            </w:r>
            <w:r>
              <w:rPr>
                <w:rFonts w:ascii="宋体" w:hAnsi="宋体" w:cs="宋体" w:eastAsia="宋体" w:hint="default"/>
                <w:sz w:val="21"/>
                <w:szCs w:val="21"/>
              </w:rPr>
            </w:r>
          </w:p>
        </w:tc>
        <w:tc>
          <w:tcPr>
            <w:tcW w:w="1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90,000,000.00</w:t>
            </w: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29,880,245.78</w:t>
            </w: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13,794,398.76</w:t>
            </w: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21"/>
                <w:szCs w:val="21"/>
              </w:rPr>
            </w:pPr>
            <w:r>
              <w:rPr>
                <w:rFonts w:ascii="Times New Roman"/>
                <w:sz w:val="21"/>
              </w:rPr>
              <w:t>129,661,894.51</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775,076.70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87" w:right="0"/>
              <w:jc w:val="center"/>
              <w:rPr>
                <w:rFonts w:ascii="Times New Roman" w:hAnsi="Times New Roman" w:cs="Times New Roman" w:eastAsia="Times New Roman" w:hint="default"/>
                <w:sz w:val="21"/>
                <w:szCs w:val="21"/>
              </w:rPr>
            </w:pPr>
            <w:r>
              <w:rPr>
                <w:rFonts w:ascii="Times New Roman"/>
                <w:sz w:val="21"/>
              </w:rPr>
              <w:t>264,111,615.75</w:t>
            </w:r>
          </w:p>
        </w:tc>
      </w:tr>
      <w:tr>
        <w:trPr>
          <w:trHeight w:val="714"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b/>
                <w:bCs/>
                <w:sz w:val="21"/>
                <w:szCs w:val="21"/>
              </w:rPr>
              <w:t>三、本期增减变动金额</w:t>
            </w:r>
            <w:r>
              <w:rPr>
                <w:rFonts w:ascii="宋体" w:hAnsi="宋体" w:cs="宋体" w:eastAsia="宋体" w:hint="default"/>
                <w:sz w:val="21"/>
                <w:szCs w:val="21"/>
              </w:rPr>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b/>
                <w:bCs/>
                <w:sz w:val="21"/>
                <w:szCs w:val="21"/>
              </w:rPr>
              <w:t>（减少以</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1275" w:type="dxa"/>
            <w:tcBorders>
              <w:top w:val="single" w:sz="4" w:space="0" w:color="000000"/>
              <w:left w:val="single" w:sz="13" w:space="0" w:color="D2D2D2"/>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6,403,951.32</w:t>
            </w: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7" w:right="0"/>
              <w:jc w:val="center"/>
              <w:rPr>
                <w:rFonts w:ascii="Times New Roman" w:hAnsi="Times New Roman" w:cs="Times New Roman" w:eastAsia="Times New Roman" w:hint="default"/>
                <w:sz w:val="21"/>
                <w:szCs w:val="21"/>
              </w:rPr>
            </w:pPr>
            <w:r>
              <w:rPr>
                <w:rFonts w:ascii="Times New Roman"/>
                <w:sz w:val="21"/>
              </w:rPr>
              <w:t>31,465,792.04</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-68,358.40</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6" w:right="0"/>
              <w:jc w:val="center"/>
              <w:rPr>
                <w:rFonts w:ascii="Times New Roman" w:hAnsi="Times New Roman" w:cs="Times New Roman" w:eastAsia="Times New Roman" w:hint="default"/>
                <w:sz w:val="21"/>
                <w:szCs w:val="21"/>
              </w:rPr>
            </w:pPr>
            <w:r>
              <w:rPr>
                <w:rFonts w:ascii="Times New Roman"/>
                <w:sz w:val="21"/>
              </w:rPr>
              <w:t>37,801,384.96</w:t>
            </w:r>
          </w:p>
        </w:tc>
      </w:tr>
      <w:tr>
        <w:trPr>
          <w:trHeight w:val="402"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275" w:type="dxa"/>
            <w:tcBorders>
              <w:top w:val="single" w:sz="4" w:space="0" w:color="000000"/>
              <w:left w:val="single" w:sz="13" w:space="0" w:color="D2D2D2"/>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7" w:right="0"/>
              <w:jc w:val="center"/>
              <w:rPr>
                <w:rFonts w:ascii="Times New Roman" w:hAnsi="Times New Roman" w:cs="Times New Roman" w:eastAsia="Times New Roman" w:hint="default"/>
                <w:sz w:val="21"/>
                <w:szCs w:val="21"/>
              </w:rPr>
            </w:pPr>
            <w:r>
              <w:rPr>
                <w:rFonts w:ascii="Times New Roman"/>
                <w:sz w:val="21"/>
              </w:rPr>
              <w:t>46,169,543.67</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-68,358.40</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76" w:right="0"/>
              <w:jc w:val="center"/>
              <w:rPr>
                <w:rFonts w:ascii="Times New Roman" w:hAnsi="Times New Roman" w:cs="Times New Roman" w:eastAsia="Times New Roman" w:hint="default"/>
                <w:sz w:val="21"/>
                <w:szCs w:val="21"/>
              </w:rPr>
            </w:pPr>
            <w:r>
              <w:rPr>
                <w:rFonts w:ascii="Times New Roman"/>
                <w:sz w:val="21"/>
              </w:rPr>
              <w:t>46,101,185.27</w:t>
            </w:r>
          </w:p>
        </w:tc>
      </w:tr>
      <w:tr>
        <w:trPr>
          <w:trHeight w:val="714"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08"/>
              <w:jc w:val="left"/>
              <w:rPr>
                <w:rFonts w:ascii="宋体" w:hAnsi="宋体" w:cs="宋体" w:eastAsia="宋体" w:hint="default"/>
                <w:sz w:val="21"/>
                <w:szCs w:val="21"/>
              </w:rPr>
            </w:pPr>
            <w:r>
              <w:rPr>
                <w:rFonts w:ascii="宋体" w:hAnsi="宋体" w:cs="宋体" w:eastAsia="宋体" w:hint="default"/>
                <w:sz w:val="21"/>
                <w:szCs w:val="21"/>
              </w:rPr>
              <w:t>（二）所有者投入和减 少资本</w:t>
            </w:r>
          </w:p>
        </w:tc>
        <w:tc>
          <w:tcPr>
            <w:tcW w:w="1275" w:type="dxa"/>
            <w:tcBorders>
              <w:top w:val="single" w:sz="4" w:space="0" w:color="000000"/>
              <w:left w:val="single" w:sz="13" w:space="0" w:color="D2D2D2"/>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．股东投入的普通股</w:t>
            </w:r>
          </w:p>
        </w:tc>
        <w:tc>
          <w:tcPr>
            <w:tcW w:w="1275" w:type="dxa"/>
            <w:tcBorders>
              <w:top w:val="single" w:sz="4" w:space="0" w:color="000000"/>
              <w:left w:val="single" w:sz="13" w:space="0" w:color="D2D2D2"/>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8"/>
          <w:footerReference w:type="default" r:id="rId39"/>
          <w:pgSz w:w="16840" w:h="11910" w:orient="landscape"/>
          <w:pgMar w:header="867" w:footer="979" w:top="1060" w:bottom="1160" w:left="1300" w:right="1300"/>
          <w:pgNumType w:start="82"/>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254"/>
        <w:gridCol w:w="1264"/>
        <w:gridCol w:w="452"/>
        <w:gridCol w:w="452"/>
        <w:gridCol w:w="359"/>
        <w:gridCol w:w="1264"/>
        <w:gridCol w:w="755"/>
        <w:gridCol w:w="729"/>
        <w:gridCol w:w="544"/>
        <w:gridCol w:w="1265"/>
        <w:gridCol w:w="727"/>
        <w:gridCol w:w="1369"/>
        <w:gridCol w:w="1141"/>
        <w:gridCol w:w="1440"/>
      </w:tblGrid>
      <w:tr>
        <w:trPr>
          <w:trHeight w:val="729" w:hRule="exact"/>
        </w:trPr>
        <w:tc>
          <w:tcPr>
            <w:tcW w:w="225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22" w:right="2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．其他权益工具持有者 投入资本</w:t>
            </w:r>
          </w:p>
        </w:tc>
        <w:tc>
          <w:tcPr>
            <w:tcW w:w="1264" w:type="dxa"/>
            <w:tcBorders>
              <w:top w:val="single" w:sz="15" w:space="0" w:color="000000"/>
              <w:left w:val="single" w:sz="4" w:space="0" w:color="000000"/>
              <w:bottom w:val="single" w:sz="4" w:space="0" w:color="000000"/>
              <w:right w:val="single" w:sz="4" w:space="0" w:color="000000"/>
            </w:tcBorders>
          </w:tcPr>
          <w:p>
            <w:pPr/>
          </w:p>
        </w:tc>
        <w:tc>
          <w:tcPr>
            <w:tcW w:w="452" w:type="dxa"/>
            <w:tcBorders>
              <w:top w:val="single" w:sz="15" w:space="0" w:color="000000"/>
              <w:left w:val="single" w:sz="4" w:space="0" w:color="000000"/>
              <w:bottom w:val="single" w:sz="4" w:space="0" w:color="000000"/>
              <w:right w:val="single" w:sz="4" w:space="0" w:color="000000"/>
            </w:tcBorders>
          </w:tcPr>
          <w:p>
            <w:pPr/>
          </w:p>
        </w:tc>
        <w:tc>
          <w:tcPr>
            <w:tcW w:w="452" w:type="dxa"/>
            <w:tcBorders>
              <w:top w:val="single" w:sz="15" w:space="0" w:color="000000"/>
              <w:left w:val="single" w:sz="4" w:space="0" w:color="000000"/>
              <w:bottom w:val="single" w:sz="4" w:space="0" w:color="000000"/>
              <w:right w:val="single" w:sz="4" w:space="0" w:color="000000"/>
            </w:tcBorders>
          </w:tcPr>
          <w:p>
            <w:pPr/>
          </w:p>
        </w:tc>
        <w:tc>
          <w:tcPr>
            <w:tcW w:w="359" w:type="dxa"/>
            <w:tcBorders>
              <w:top w:val="single" w:sz="15" w:space="0" w:color="000000"/>
              <w:left w:val="single" w:sz="4" w:space="0" w:color="000000"/>
              <w:bottom w:val="single" w:sz="4" w:space="0" w:color="000000"/>
              <w:right w:val="single" w:sz="4" w:space="0" w:color="000000"/>
            </w:tcBorders>
          </w:tcPr>
          <w:p>
            <w:pPr/>
          </w:p>
        </w:tc>
        <w:tc>
          <w:tcPr>
            <w:tcW w:w="1264" w:type="dxa"/>
            <w:tcBorders>
              <w:top w:val="single" w:sz="15" w:space="0" w:color="000000"/>
              <w:left w:val="single" w:sz="4" w:space="0" w:color="000000"/>
              <w:bottom w:val="single" w:sz="4" w:space="0" w:color="000000"/>
              <w:right w:val="single" w:sz="4" w:space="0" w:color="000000"/>
            </w:tcBorders>
          </w:tcPr>
          <w:p>
            <w:pPr/>
          </w:p>
        </w:tc>
        <w:tc>
          <w:tcPr>
            <w:tcW w:w="755" w:type="dxa"/>
            <w:tcBorders>
              <w:top w:val="single" w:sz="15" w:space="0" w:color="000000"/>
              <w:left w:val="single" w:sz="4" w:space="0" w:color="000000"/>
              <w:bottom w:val="single" w:sz="4" w:space="0" w:color="000000"/>
              <w:right w:val="single" w:sz="4" w:space="0" w:color="000000"/>
            </w:tcBorders>
          </w:tcPr>
          <w:p>
            <w:pPr/>
          </w:p>
        </w:tc>
        <w:tc>
          <w:tcPr>
            <w:tcW w:w="729" w:type="dxa"/>
            <w:tcBorders>
              <w:top w:val="single" w:sz="15" w:space="0" w:color="000000"/>
              <w:left w:val="single" w:sz="4" w:space="0" w:color="000000"/>
              <w:bottom w:val="single" w:sz="4" w:space="0" w:color="000000"/>
              <w:right w:val="single" w:sz="4" w:space="0" w:color="000000"/>
            </w:tcBorders>
          </w:tcPr>
          <w:p>
            <w:pPr/>
          </w:p>
        </w:tc>
        <w:tc>
          <w:tcPr>
            <w:tcW w:w="544" w:type="dxa"/>
            <w:tcBorders>
              <w:top w:val="single" w:sz="15" w:space="0" w:color="000000"/>
              <w:left w:val="single" w:sz="4" w:space="0" w:color="000000"/>
              <w:bottom w:val="single" w:sz="4" w:space="0" w:color="000000"/>
              <w:right w:val="single" w:sz="4" w:space="0" w:color="000000"/>
            </w:tcBorders>
          </w:tcPr>
          <w:p>
            <w:pPr/>
          </w:p>
        </w:tc>
        <w:tc>
          <w:tcPr>
            <w:tcW w:w="1265" w:type="dxa"/>
            <w:tcBorders>
              <w:top w:val="single" w:sz="15" w:space="0" w:color="000000"/>
              <w:left w:val="single" w:sz="4" w:space="0" w:color="000000"/>
              <w:bottom w:val="single" w:sz="4" w:space="0" w:color="000000"/>
              <w:right w:val="single" w:sz="4" w:space="0" w:color="000000"/>
            </w:tcBorders>
          </w:tcPr>
          <w:p>
            <w:pPr/>
          </w:p>
        </w:tc>
        <w:tc>
          <w:tcPr>
            <w:tcW w:w="727" w:type="dxa"/>
            <w:tcBorders>
              <w:top w:val="single" w:sz="15" w:space="0" w:color="000000"/>
              <w:left w:val="single" w:sz="4" w:space="0" w:color="000000"/>
              <w:bottom w:val="single" w:sz="4" w:space="0" w:color="000000"/>
              <w:right w:val="single" w:sz="4" w:space="0" w:color="000000"/>
            </w:tcBorders>
          </w:tcPr>
          <w:p>
            <w:pPr/>
          </w:p>
        </w:tc>
        <w:tc>
          <w:tcPr>
            <w:tcW w:w="1369" w:type="dxa"/>
            <w:tcBorders>
              <w:top w:val="single" w:sz="15" w:space="0" w:color="000000"/>
              <w:left w:val="single" w:sz="4" w:space="0" w:color="000000"/>
              <w:bottom w:val="single" w:sz="4" w:space="0" w:color="000000"/>
              <w:right w:val="single" w:sz="4" w:space="0" w:color="000000"/>
            </w:tcBorders>
          </w:tcPr>
          <w:p>
            <w:pPr/>
          </w:p>
        </w:tc>
        <w:tc>
          <w:tcPr>
            <w:tcW w:w="1141" w:type="dxa"/>
            <w:tcBorders>
              <w:top w:val="single" w:sz="15" w:space="0" w:color="000000"/>
              <w:left w:val="single" w:sz="4" w:space="0" w:color="000000"/>
              <w:bottom w:val="single" w:sz="4" w:space="0" w:color="000000"/>
              <w:right w:val="single" w:sz="4" w:space="0" w:color="000000"/>
            </w:tcBorders>
          </w:tcPr>
          <w:p>
            <w:pPr/>
          </w:p>
        </w:tc>
        <w:tc>
          <w:tcPr>
            <w:tcW w:w="1440" w:type="dxa"/>
            <w:tcBorders>
              <w:top w:val="single" w:sz="15" w:space="0" w:color="000000"/>
              <w:left w:val="single" w:sz="4" w:space="0" w:color="000000"/>
              <w:bottom w:val="single" w:sz="4" w:space="0" w:color="000000"/>
              <w:right w:val="single" w:sz="4" w:space="0" w:color="000000"/>
            </w:tcBorders>
          </w:tcPr>
          <w:p>
            <w:pPr/>
          </w:p>
        </w:tc>
      </w:tr>
      <w:tr>
        <w:trPr>
          <w:trHeight w:val="714"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22" w:right="2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．股份支付计入所有者 权益的金额</w:t>
            </w:r>
          </w:p>
        </w:tc>
        <w:tc>
          <w:tcPr>
            <w:tcW w:w="1264"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4"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264"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6,403,951.32</w:t>
            </w: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7" w:right="0"/>
              <w:jc w:val="center"/>
              <w:rPr>
                <w:rFonts w:ascii="Times New Roman" w:hAnsi="Times New Roman" w:cs="Times New Roman" w:eastAsia="Times New Roman" w:hint="default"/>
                <w:sz w:val="21"/>
                <w:szCs w:val="21"/>
              </w:rPr>
            </w:pPr>
            <w:r>
              <w:rPr>
                <w:rFonts w:ascii="Times New Roman"/>
                <w:sz w:val="21"/>
              </w:rPr>
              <w:t>-14,703,751.63</w:t>
            </w: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-8,299,800.31</w:t>
            </w: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264"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6,403,951.32</w:t>
            </w: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41" w:right="0"/>
              <w:jc w:val="center"/>
              <w:rPr>
                <w:rFonts w:ascii="Times New Roman" w:hAnsi="Times New Roman" w:cs="Times New Roman" w:eastAsia="Times New Roman" w:hint="default"/>
                <w:sz w:val="21"/>
                <w:szCs w:val="21"/>
              </w:rPr>
            </w:pPr>
            <w:r>
              <w:rPr>
                <w:rFonts w:ascii="Times New Roman"/>
                <w:sz w:val="21"/>
              </w:rPr>
              <w:t>-6,403,951.32</w:t>
            </w: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264"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22" w:right="15"/>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 的分配</w:t>
            </w:r>
          </w:p>
        </w:tc>
        <w:tc>
          <w:tcPr>
            <w:tcW w:w="1264"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41" w:right="0"/>
              <w:jc w:val="center"/>
              <w:rPr>
                <w:rFonts w:ascii="Times New Roman" w:hAnsi="Times New Roman" w:cs="Times New Roman" w:eastAsia="Times New Roman" w:hint="default"/>
                <w:sz w:val="21"/>
                <w:szCs w:val="21"/>
              </w:rPr>
            </w:pPr>
            <w:r>
              <w:rPr>
                <w:rFonts w:ascii="Times New Roman"/>
                <w:sz w:val="21"/>
              </w:rPr>
              <w:t>-8,299,800.31</w:t>
            </w: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-8,299,800.31</w:t>
            </w: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4"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（四）所有者权益内部 结转</w:t>
            </w:r>
          </w:p>
        </w:tc>
        <w:tc>
          <w:tcPr>
            <w:tcW w:w="1264"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264"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264"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264"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4"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264"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264"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264"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264"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b/>
                <w:bCs/>
                <w:sz w:val="21"/>
                <w:szCs w:val="21"/>
              </w:rPr>
              <w:t>四、本期期末余额</w:t>
            </w:r>
            <w:r>
              <w:rPr>
                <w:rFonts w:ascii="宋体" w:hAnsi="宋体" w:cs="宋体" w:eastAsia="宋体" w:hint="default"/>
                <w:sz w:val="21"/>
                <w:szCs w:val="21"/>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90,000,000.00</w:t>
            </w: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29,880,245.78</w:t>
            </w: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20,198,350.08</w:t>
            </w: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161,127,686.55</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63" w:right="0"/>
              <w:jc w:val="left"/>
              <w:rPr>
                <w:rFonts w:ascii="Times New Roman" w:hAnsi="Times New Roman" w:cs="Times New Roman" w:eastAsia="Times New Roman" w:hint="default"/>
                <w:sz w:val="21"/>
                <w:szCs w:val="21"/>
              </w:rPr>
            </w:pPr>
            <w:r>
              <w:rPr>
                <w:rFonts w:ascii="Times New Roman"/>
                <w:sz w:val="21"/>
              </w:rPr>
              <w:t>706,718.30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301,913,000.71</w:t>
            </w:r>
          </w:p>
        </w:tc>
      </w:tr>
    </w:tbl>
    <w:p>
      <w:pPr>
        <w:pStyle w:val="BodyText"/>
        <w:spacing w:line="240" w:lineRule="auto" w:before="81"/>
        <w:ind w:left="620" w:right="0"/>
        <w:jc w:val="left"/>
      </w:pPr>
      <w:r>
        <w:rPr/>
        <w:t>上期金额</w:t>
      </w:r>
    </w:p>
    <w:p>
      <w:pPr>
        <w:spacing w:after="0" w:line="240" w:lineRule="auto"/>
        <w:jc w:val="left"/>
        <w:sectPr>
          <w:pgSz w:w="16840" w:h="11910" w:orient="landscape"/>
          <w:pgMar w:header="867" w:footer="979" w:top="1060" w:bottom="1160" w:left="1300" w:right="1300"/>
        </w:sectPr>
      </w:pPr>
    </w:p>
    <w:p>
      <w:pPr>
        <w:pStyle w:val="BodyText"/>
        <w:spacing w:line="240" w:lineRule="auto" w:before="29"/>
        <w:ind w:left="0" w:right="136"/>
        <w:jc w:val="right"/>
      </w:pPr>
      <w:r>
        <w:rPr/>
        <w:pict>
          <v:group style="position:absolute;margin-left:70.5pt;margin-top:2.265625pt;width:701pt;height:.1pt;mso-position-horizontal-relative:page;mso-position-vertical-relative:paragraph;z-index:-741256" coordorigin="1410,45" coordsize="14020,2">
            <v:shape style="position:absolute;left:1410;top:45;width:14020;height:2" coordorigin="1410,45" coordsize="14020,0" path="m1410,45l15430,45e" filled="false" stroked="true" strokeweight=".72pt" strokecolor="#000000">
              <v:path arrowok="t"/>
            </v:shape>
            <w10:wrap type="none"/>
          </v:group>
        </w:pict>
      </w:r>
      <w:r>
        <w:rPr/>
        <w:t>单位：元</w:t>
      </w:r>
    </w:p>
    <w:p>
      <w:pPr>
        <w:spacing w:line="240" w:lineRule="auto" w:before="11"/>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231"/>
        <w:gridCol w:w="1275"/>
        <w:gridCol w:w="452"/>
        <w:gridCol w:w="452"/>
        <w:gridCol w:w="359"/>
        <w:gridCol w:w="1264"/>
        <w:gridCol w:w="755"/>
        <w:gridCol w:w="729"/>
        <w:gridCol w:w="544"/>
        <w:gridCol w:w="1265"/>
        <w:gridCol w:w="727"/>
        <w:gridCol w:w="1369"/>
        <w:gridCol w:w="1141"/>
        <w:gridCol w:w="1440"/>
      </w:tblGrid>
      <w:tr>
        <w:trPr>
          <w:trHeight w:val="402" w:hRule="exact"/>
        </w:trPr>
        <w:tc>
          <w:tcPr>
            <w:tcW w:w="2231" w:type="dxa"/>
            <w:vMerge w:val="restart"/>
            <w:tcBorders>
              <w:top w:val="single" w:sz="4" w:space="0" w:color="000000"/>
              <w:left w:val="single" w:sz="4" w:space="0" w:color="000000"/>
              <w:right w:val="single" w:sz="4" w:space="0" w:color="000000"/>
            </w:tcBorders>
            <w:shd w:val="clear" w:color="auto" w:fill="D2D2D2"/>
          </w:tcPr>
          <w:p>
            <w:pPr/>
          </w:p>
        </w:tc>
        <w:tc>
          <w:tcPr>
            <w:tcW w:w="1177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center"/>
              <w:rPr>
                <w:rFonts w:ascii="宋体" w:hAnsi="宋体" w:cs="宋体" w:eastAsia="宋体" w:hint="default"/>
                <w:sz w:val="21"/>
                <w:szCs w:val="21"/>
              </w:rPr>
            </w:pPr>
            <w:r>
              <w:rPr>
                <w:rFonts w:ascii="宋体" w:hAnsi="宋体" w:cs="宋体" w:eastAsia="宋体" w:hint="default"/>
                <w:b/>
                <w:bCs/>
                <w:sz w:val="21"/>
                <w:szCs w:val="21"/>
              </w:rPr>
              <w:t>上期</w:t>
            </w:r>
            <w:r>
              <w:rPr>
                <w:rFonts w:ascii="宋体" w:hAnsi="宋体" w:cs="宋体" w:eastAsia="宋体" w:hint="default"/>
                <w:sz w:val="21"/>
                <w:szCs w:val="21"/>
              </w:rPr>
            </w:r>
          </w:p>
        </w:tc>
      </w:tr>
      <w:tr>
        <w:trPr>
          <w:trHeight w:val="402" w:hRule="exact"/>
        </w:trPr>
        <w:tc>
          <w:tcPr>
            <w:tcW w:w="2231" w:type="dxa"/>
            <w:vMerge/>
            <w:tcBorders>
              <w:left w:val="single" w:sz="4" w:space="0" w:color="000000"/>
              <w:right w:val="single" w:sz="4" w:space="0" w:color="000000"/>
            </w:tcBorders>
            <w:shd w:val="clear" w:color="auto" w:fill="D2D2D2"/>
          </w:tcPr>
          <w:p>
            <w:pPr/>
          </w:p>
        </w:tc>
        <w:tc>
          <w:tcPr>
            <w:tcW w:w="919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b/>
                <w:bCs/>
                <w:sz w:val="21"/>
                <w:szCs w:val="21"/>
              </w:rPr>
              <w:t>归属于母公司所有者权益</w:t>
            </w:r>
            <w:r>
              <w:rPr>
                <w:rFonts w:ascii="宋体" w:hAnsi="宋体" w:cs="宋体" w:eastAsia="宋体" w:hint="default"/>
                <w:sz w:val="21"/>
                <w:szCs w:val="21"/>
              </w:rPr>
            </w:r>
          </w:p>
        </w:tc>
        <w:tc>
          <w:tcPr>
            <w:tcW w:w="1141" w:type="dxa"/>
            <w:vMerge w:val="restart"/>
            <w:tcBorders>
              <w:top w:val="single" w:sz="4" w:space="0" w:color="000000"/>
              <w:left w:val="single" w:sz="4" w:space="0" w:color="000000"/>
              <w:right w:val="single" w:sz="4" w:space="0" w:color="000000"/>
            </w:tcBorders>
            <w:shd w:val="clear" w:color="auto" w:fill="D2D2D2"/>
          </w:tcPr>
          <w:p>
            <w:pPr/>
          </w:p>
        </w:tc>
        <w:tc>
          <w:tcPr>
            <w:tcW w:w="1440" w:type="dxa"/>
            <w:vMerge w:val="restart"/>
            <w:tcBorders>
              <w:top w:val="single" w:sz="4" w:space="0" w:color="000000"/>
              <w:left w:val="single" w:sz="4" w:space="0" w:color="000000"/>
              <w:right w:val="single" w:sz="4" w:space="0" w:color="000000"/>
            </w:tcBorders>
            <w:shd w:val="clear" w:color="auto" w:fill="D2D2D2"/>
          </w:tcPr>
          <w:p>
            <w:pPr/>
          </w:p>
        </w:tc>
      </w:tr>
      <w:tr>
        <w:trPr>
          <w:trHeight w:val="295" w:hRule="exact"/>
        </w:trPr>
        <w:tc>
          <w:tcPr>
            <w:tcW w:w="2231" w:type="dxa"/>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26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521" w:right="98" w:hanging="422"/>
              <w:jc w:val="left"/>
              <w:rPr>
                <w:rFonts w:ascii="宋体" w:hAnsi="宋体" w:cs="宋体" w:eastAsia="宋体" w:hint="default"/>
                <w:sz w:val="21"/>
                <w:szCs w:val="21"/>
              </w:rPr>
            </w:pPr>
            <w:r>
              <w:rPr>
                <w:rFonts w:ascii="宋体" w:hAnsi="宋体" w:cs="宋体" w:eastAsia="宋体" w:hint="default"/>
                <w:b/>
                <w:bCs/>
                <w:sz w:val="21"/>
                <w:szCs w:val="21"/>
              </w:rPr>
              <w:t>其他权益工</w:t>
            </w:r>
            <w:r>
              <w:rPr>
                <w:rFonts w:ascii="宋体" w:hAnsi="宋体" w:cs="宋体" w:eastAsia="宋体" w:hint="default"/>
                <w:b/>
                <w:bCs/>
                <w:w w:val="99"/>
                <w:sz w:val="21"/>
                <w:szCs w:val="21"/>
              </w:rPr>
              <w:t> </w:t>
            </w:r>
            <w:r>
              <w:rPr>
                <w:rFonts w:ascii="宋体" w:hAnsi="宋体" w:cs="宋体" w:eastAsia="宋体" w:hint="default"/>
                <w:b/>
                <w:bCs/>
                <w:sz w:val="21"/>
                <w:szCs w:val="21"/>
              </w:rPr>
              <w:t>具</w:t>
            </w:r>
            <w:r>
              <w:rPr>
                <w:rFonts w:ascii="宋体" w:hAnsi="宋体" w:cs="宋体" w:eastAsia="宋体" w:hint="default"/>
                <w:sz w:val="21"/>
                <w:szCs w:val="21"/>
              </w:rPr>
            </w:r>
          </w:p>
        </w:tc>
        <w:tc>
          <w:tcPr>
            <w:tcW w:w="1264" w:type="dxa"/>
            <w:vMerge w:val="restart"/>
            <w:tcBorders>
              <w:top w:val="single" w:sz="4" w:space="0" w:color="000000"/>
              <w:left w:val="single" w:sz="4" w:space="0" w:color="000000"/>
              <w:right w:val="single" w:sz="4" w:space="0" w:color="000000"/>
            </w:tcBorders>
            <w:shd w:val="clear" w:color="auto" w:fill="D2D2D2"/>
          </w:tcPr>
          <w:p>
            <w:pPr/>
          </w:p>
        </w:tc>
        <w:tc>
          <w:tcPr>
            <w:tcW w:w="755" w:type="dxa"/>
            <w:vMerge w:val="restart"/>
            <w:tcBorders>
              <w:top w:val="single" w:sz="4" w:space="0" w:color="000000"/>
              <w:left w:val="single" w:sz="4" w:space="0" w:color="000000"/>
              <w:right w:val="single" w:sz="4" w:space="0" w:color="000000"/>
            </w:tcBorders>
            <w:shd w:val="clear" w:color="auto" w:fill="D2D2D2"/>
          </w:tcPr>
          <w:p>
            <w:pPr/>
          </w:p>
        </w:tc>
        <w:tc>
          <w:tcPr>
            <w:tcW w:w="729" w:type="dxa"/>
            <w:vMerge w:val="restart"/>
            <w:tcBorders>
              <w:top w:val="single" w:sz="4" w:space="0" w:color="000000"/>
              <w:left w:val="single" w:sz="4" w:space="0" w:color="000000"/>
              <w:right w:val="single" w:sz="4" w:space="0" w:color="000000"/>
            </w:tcBorders>
            <w:shd w:val="clear" w:color="auto" w:fill="D2D2D2"/>
          </w:tcPr>
          <w:p>
            <w:pPr/>
          </w:p>
        </w:tc>
        <w:tc>
          <w:tcPr>
            <w:tcW w:w="544" w:type="dxa"/>
            <w:vMerge w:val="restart"/>
            <w:tcBorders>
              <w:top w:val="single" w:sz="4" w:space="0" w:color="000000"/>
              <w:left w:val="single" w:sz="4" w:space="0" w:color="000000"/>
              <w:right w:val="single" w:sz="4" w:space="0" w:color="000000"/>
            </w:tcBorders>
            <w:shd w:val="clear" w:color="auto" w:fill="D2D2D2"/>
          </w:tcPr>
          <w:p>
            <w:pPr/>
          </w:p>
        </w:tc>
        <w:tc>
          <w:tcPr>
            <w:tcW w:w="1265" w:type="dxa"/>
            <w:vMerge w:val="restart"/>
            <w:tcBorders>
              <w:top w:val="single" w:sz="4" w:space="0" w:color="000000"/>
              <w:left w:val="single" w:sz="4" w:space="0" w:color="000000"/>
              <w:right w:val="single" w:sz="4" w:space="0" w:color="000000"/>
            </w:tcBorders>
            <w:shd w:val="clear" w:color="auto" w:fill="D2D2D2"/>
          </w:tcPr>
          <w:p>
            <w:pPr/>
          </w:p>
        </w:tc>
        <w:tc>
          <w:tcPr>
            <w:tcW w:w="727"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141" w:type="dxa"/>
            <w:vMerge/>
            <w:tcBorders>
              <w:left w:val="single" w:sz="4" w:space="0" w:color="000000"/>
              <w:bottom w:val="nil" w:sz="6" w:space="0" w:color="auto"/>
              <w:right w:val="single" w:sz="4" w:space="0" w:color="000000"/>
            </w:tcBorders>
            <w:shd w:val="clear" w:color="auto" w:fill="D2D2D2"/>
          </w:tcPr>
          <w:p>
            <w:pPr/>
          </w:p>
        </w:tc>
        <w:tc>
          <w:tcPr>
            <w:tcW w:w="1440" w:type="dxa"/>
            <w:vMerge/>
            <w:tcBorders>
              <w:left w:val="single" w:sz="4" w:space="0" w:color="000000"/>
              <w:bottom w:val="nil" w:sz="6" w:space="0" w:color="auto"/>
              <w:right w:val="single" w:sz="4" w:space="0" w:color="000000"/>
            </w:tcBorders>
            <w:shd w:val="clear" w:color="auto" w:fill="D2D2D2"/>
          </w:tcPr>
          <w:p>
            <w:pPr/>
          </w:p>
        </w:tc>
      </w:tr>
      <w:tr>
        <w:trPr>
          <w:trHeight w:val="223" w:hRule="exact"/>
        </w:trPr>
        <w:tc>
          <w:tcPr>
            <w:tcW w:w="22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75" w:type="dxa"/>
            <w:vMerge/>
            <w:tcBorders>
              <w:left w:val="single" w:sz="4" w:space="0" w:color="000000"/>
              <w:right w:val="single" w:sz="4" w:space="0" w:color="000000"/>
            </w:tcBorders>
            <w:shd w:val="clear" w:color="auto" w:fill="D2D2D2"/>
          </w:tcPr>
          <w:p>
            <w:pPr/>
          </w:p>
        </w:tc>
        <w:tc>
          <w:tcPr>
            <w:tcW w:w="1264" w:type="dxa"/>
            <w:gridSpan w:val="3"/>
            <w:vMerge/>
            <w:tcBorders>
              <w:left w:val="single" w:sz="4" w:space="0" w:color="000000"/>
              <w:right w:val="single" w:sz="4" w:space="0" w:color="000000"/>
            </w:tcBorders>
            <w:shd w:val="clear" w:color="auto" w:fill="D2D2D2"/>
          </w:tcPr>
          <w:p>
            <w:pPr/>
          </w:p>
        </w:tc>
        <w:tc>
          <w:tcPr>
            <w:tcW w:w="1264" w:type="dxa"/>
            <w:vMerge/>
            <w:tcBorders>
              <w:left w:val="single" w:sz="4" w:space="0" w:color="000000"/>
              <w:right w:val="single" w:sz="4" w:space="0" w:color="000000"/>
            </w:tcBorders>
            <w:shd w:val="clear" w:color="auto" w:fill="D2D2D2"/>
          </w:tcPr>
          <w:p>
            <w:pPr/>
          </w:p>
        </w:tc>
        <w:tc>
          <w:tcPr>
            <w:tcW w:w="755" w:type="dxa"/>
            <w:vMerge/>
            <w:tcBorders>
              <w:left w:val="single" w:sz="4" w:space="0" w:color="000000"/>
              <w:bottom w:val="nil" w:sz="6" w:space="0" w:color="auto"/>
              <w:right w:val="single" w:sz="4" w:space="0" w:color="000000"/>
            </w:tcBorders>
            <w:shd w:val="clear" w:color="auto" w:fill="D2D2D2"/>
          </w:tcPr>
          <w:p>
            <w:pPr/>
          </w:p>
        </w:tc>
        <w:tc>
          <w:tcPr>
            <w:tcW w:w="729" w:type="dxa"/>
            <w:vMerge/>
            <w:tcBorders>
              <w:left w:val="single" w:sz="4" w:space="0" w:color="000000"/>
              <w:bottom w:val="nil" w:sz="6" w:space="0" w:color="auto"/>
              <w:right w:val="single" w:sz="4" w:space="0" w:color="000000"/>
            </w:tcBorders>
            <w:shd w:val="clear" w:color="auto" w:fill="D2D2D2"/>
          </w:tcPr>
          <w:p>
            <w:pPr/>
          </w:p>
        </w:tc>
        <w:tc>
          <w:tcPr>
            <w:tcW w:w="544" w:type="dxa"/>
            <w:vMerge/>
            <w:tcBorders>
              <w:left w:val="single" w:sz="4" w:space="0" w:color="000000"/>
              <w:bottom w:val="nil" w:sz="6" w:space="0" w:color="auto"/>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right w:val="single" w:sz="4" w:space="0" w:color="000000"/>
            </w:tcBorders>
            <w:shd w:val="clear" w:color="auto" w:fill="D2D2D2"/>
          </w:tcPr>
          <w:p>
            <w:pPr/>
          </w:p>
        </w:tc>
        <w:tc>
          <w:tcPr>
            <w:tcW w:w="1141"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48"/>
              <w:ind w:left="459" w:right="38" w:hanging="422"/>
              <w:jc w:val="left"/>
              <w:rPr>
                <w:rFonts w:ascii="宋体" w:hAnsi="宋体" w:cs="宋体" w:eastAsia="宋体" w:hint="default"/>
                <w:sz w:val="21"/>
                <w:szCs w:val="21"/>
              </w:rPr>
            </w:pPr>
            <w:r>
              <w:rPr>
                <w:rFonts w:ascii="宋体" w:hAnsi="宋体" w:cs="宋体" w:eastAsia="宋体" w:hint="default"/>
                <w:b/>
                <w:bCs/>
                <w:sz w:val="21"/>
                <w:szCs w:val="21"/>
              </w:rPr>
              <w:t>少数股东权</w:t>
            </w:r>
            <w:r>
              <w:rPr>
                <w:rFonts w:ascii="宋体" w:hAnsi="宋体" w:cs="宋体" w:eastAsia="宋体" w:hint="default"/>
                <w:b/>
                <w:bCs/>
                <w:w w:val="99"/>
                <w:sz w:val="21"/>
                <w:szCs w:val="21"/>
              </w:rPr>
              <w:t> </w:t>
            </w:r>
            <w:r>
              <w:rPr>
                <w:rFonts w:ascii="宋体" w:hAnsi="宋体" w:cs="宋体" w:eastAsia="宋体" w:hint="default"/>
                <w:b/>
                <w:bCs/>
                <w:sz w:val="21"/>
                <w:szCs w:val="21"/>
              </w:rPr>
              <w:t>益</w:t>
            </w:r>
            <w:r>
              <w:rPr>
                <w:rFonts w:ascii="宋体" w:hAnsi="宋体" w:cs="宋体" w:eastAsia="宋体" w:hint="default"/>
                <w:sz w:val="21"/>
                <w:szCs w:val="21"/>
              </w:rPr>
            </w:r>
          </w:p>
        </w:tc>
        <w:tc>
          <w:tcPr>
            <w:tcW w:w="144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48"/>
              <w:ind w:left="608" w:right="83" w:hanging="527"/>
              <w:jc w:val="left"/>
              <w:rPr>
                <w:rFonts w:ascii="宋体" w:hAnsi="宋体" w:cs="宋体" w:eastAsia="宋体" w:hint="default"/>
                <w:sz w:val="21"/>
                <w:szCs w:val="21"/>
              </w:rPr>
            </w:pPr>
            <w:r>
              <w:rPr>
                <w:rFonts w:ascii="宋体" w:hAnsi="宋体" w:cs="宋体" w:eastAsia="宋体" w:hint="default"/>
                <w:b/>
                <w:bCs/>
                <w:sz w:val="21"/>
                <w:szCs w:val="21"/>
              </w:rPr>
              <w:t>所有者权益合</w:t>
            </w:r>
            <w:r>
              <w:rPr>
                <w:rFonts w:ascii="宋体" w:hAnsi="宋体" w:cs="宋体" w:eastAsia="宋体" w:hint="default"/>
                <w:b/>
                <w:bCs/>
                <w:w w:val="99"/>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r>
      <w:tr>
        <w:trPr>
          <w:trHeight w:val="151" w:hRule="exact"/>
        </w:trPr>
        <w:tc>
          <w:tcPr>
            <w:tcW w:w="2231"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1264" w:type="dxa"/>
            <w:gridSpan w:val="3"/>
            <w:vMerge/>
            <w:tcBorders>
              <w:left w:val="single" w:sz="4" w:space="0" w:color="000000"/>
              <w:bottom w:val="single" w:sz="4" w:space="0" w:color="000000"/>
              <w:right w:val="single" w:sz="4" w:space="0" w:color="000000"/>
            </w:tcBorders>
            <w:shd w:val="clear" w:color="auto" w:fill="D2D2D2"/>
          </w:tcPr>
          <w:p>
            <w:pPr/>
          </w:p>
        </w:tc>
        <w:tc>
          <w:tcPr>
            <w:tcW w:w="1264" w:type="dxa"/>
            <w:vMerge/>
            <w:tcBorders>
              <w:left w:val="single" w:sz="4" w:space="0" w:color="000000"/>
              <w:bottom w:val="nil" w:sz="6" w:space="0" w:color="auto"/>
              <w:right w:val="single" w:sz="4" w:space="0" w:color="000000"/>
            </w:tcBorders>
            <w:shd w:val="clear" w:color="auto" w:fill="D2D2D2"/>
          </w:tcPr>
          <w:p>
            <w:pPr/>
          </w:p>
        </w:tc>
        <w:tc>
          <w:tcPr>
            <w:tcW w:w="75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61" w:right="53" w:hanging="106"/>
              <w:jc w:val="left"/>
              <w:rPr>
                <w:rFonts w:ascii="宋体" w:hAnsi="宋体" w:cs="宋体" w:eastAsia="宋体" w:hint="default"/>
                <w:sz w:val="21"/>
                <w:szCs w:val="21"/>
              </w:rPr>
            </w:pPr>
            <w:r>
              <w:rPr>
                <w:rFonts w:ascii="宋体" w:hAnsi="宋体" w:cs="宋体" w:eastAsia="宋体" w:hint="default"/>
                <w:b/>
                <w:bCs/>
                <w:sz w:val="21"/>
                <w:szCs w:val="21"/>
              </w:rPr>
              <w:t>减：库</w:t>
            </w:r>
            <w:r>
              <w:rPr>
                <w:rFonts w:ascii="宋体" w:hAnsi="宋体" w:cs="宋体" w:eastAsia="宋体" w:hint="default"/>
                <w:b/>
                <w:bCs/>
                <w:spacing w:val="1"/>
                <w:w w:val="99"/>
                <w:sz w:val="21"/>
                <w:szCs w:val="21"/>
              </w:rPr>
              <w:t> </w:t>
            </w:r>
            <w:r>
              <w:rPr>
                <w:rFonts w:ascii="宋体" w:hAnsi="宋体" w:cs="宋体" w:eastAsia="宋体" w:hint="default"/>
                <w:b/>
                <w:bCs/>
                <w:sz w:val="21"/>
                <w:szCs w:val="21"/>
              </w:rPr>
              <w:t>存股</w:t>
            </w:r>
            <w:r>
              <w:rPr>
                <w:rFonts w:ascii="宋体" w:hAnsi="宋体" w:cs="宋体" w:eastAsia="宋体" w:hint="default"/>
                <w:sz w:val="21"/>
                <w:szCs w:val="21"/>
              </w:rPr>
            </w:r>
          </w:p>
        </w:tc>
        <w:tc>
          <w:tcPr>
            <w:tcW w:w="729"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43" w:right="40"/>
              <w:jc w:val="left"/>
              <w:rPr>
                <w:rFonts w:ascii="宋体" w:hAnsi="宋体" w:cs="宋体" w:eastAsia="宋体" w:hint="default"/>
                <w:sz w:val="21"/>
                <w:szCs w:val="21"/>
              </w:rPr>
            </w:pPr>
            <w:r>
              <w:rPr>
                <w:rFonts w:ascii="宋体" w:hAnsi="宋体" w:cs="宋体" w:eastAsia="宋体" w:hint="default"/>
                <w:b/>
                <w:bCs/>
                <w:sz w:val="21"/>
                <w:szCs w:val="21"/>
              </w:rPr>
              <w:t>其他综</w:t>
            </w:r>
            <w:r>
              <w:rPr>
                <w:rFonts w:ascii="宋体" w:hAnsi="宋体" w:cs="宋体" w:eastAsia="宋体" w:hint="default"/>
                <w:b/>
                <w:bCs/>
                <w:spacing w:val="1"/>
                <w:w w:val="99"/>
                <w:sz w:val="21"/>
                <w:szCs w:val="21"/>
              </w:rPr>
              <w:t> </w:t>
            </w:r>
            <w:r>
              <w:rPr>
                <w:rFonts w:ascii="宋体" w:hAnsi="宋体" w:cs="宋体" w:eastAsia="宋体" w:hint="default"/>
                <w:b/>
                <w:bCs/>
                <w:sz w:val="21"/>
                <w:szCs w:val="21"/>
              </w:rPr>
              <w:t>合收益</w:t>
            </w:r>
            <w:r>
              <w:rPr>
                <w:rFonts w:ascii="宋体" w:hAnsi="宋体" w:cs="宋体" w:eastAsia="宋体" w:hint="default"/>
                <w:sz w:val="21"/>
                <w:szCs w:val="21"/>
              </w:rPr>
            </w:r>
          </w:p>
        </w:tc>
        <w:tc>
          <w:tcPr>
            <w:tcW w:w="54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56" w:right="53"/>
              <w:jc w:val="left"/>
              <w:rPr>
                <w:rFonts w:ascii="宋体" w:hAnsi="宋体" w:cs="宋体" w:eastAsia="宋体" w:hint="default"/>
                <w:sz w:val="21"/>
                <w:szCs w:val="21"/>
              </w:rPr>
            </w:pPr>
            <w:r>
              <w:rPr>
                <w:rFonts w:ascii="宋体" w:hAnsi="宋体" w:cs="宋体" w:eastAsia="宋体" w:hint="default"/>
                <w:b/>
                <w:bCs/>
                <w:sz w:val="21"/>
                <w:szCs w:val="21"/>
              </w:rPr>
              <w:t>专项</w:t>
            </w:r>
            <w:r>
              <w:rPr>
                <w:rFonts w:ascii="宋体" w:hAnsi="宋体" w:cs="宋体" w:eastAsia="宋体" w:hint="default"/>
                <w:b/>
                <w:bCs/>
                <w:spacing w:val="1"/>
                <w:w w:val="99"/>
                <w:sz w:val="21"/>
                <w:szCs w:val="21"/>
              </w:rPr>
              <w:t> </w:t>
            </w:r>
            <w:r>
              <w:rPr>
                <w:rFonts w:ascii="宋体" w:hAnsi="宋体" w:cs="宋体" w:eastAsia="宋体" w:hint="default"/>
                <w:b/>
                <w:bCs/>
                <w:sz w:val="21"/>
                <w:szCs w:val="21"/>
              </w:rPr>
              <w:t>储备</w:t>
            </w:r>
            <w:r>
              <w:rPr>
                <w:rFonts w:ascii="宋体" w:hAnsi="宋体" w:cs="宋体" w:eastAsia="宋体" w:hint="default"/>
                <w:sz w:val="21"/>
                <w:szCs w:val="21"/>
              </w:rPr>
            </w:r>
          </w:p>
        </w:tc>
        <w:tc>
          <w:tcPr>
            <w:tcW w:w="1265" w:type="dxa"/>
            <w:vMerge/>
            <w:tcBorders>
              <w:left w:val="single" w:sz="4" w:space="0" w:color="000000"/>
              <w:bottom w:val="nil" w:sz="6" w:space="0" w:color="auto"/>
              <w:right w:val="single" w:sz="4" w:space="0" w:color="000000"/>
            </w:tcBorders>
            <w:shd w:val="clear" w:color="auto" w:fill="D2D2D2"/>
          </w:tcPr>
          <w:p>
            <w:pPr/>
          </w:p>
        </w:tc>
        <w:tc>
          <w:tcPr>
            <w:tcW w:w="72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41" w:right="41"/>
              <w:jc w:val="left"/>
              <w:rPr>
                <w:rFonts w:ascii="宋体" w:hAnsi="宋体" w:cs="宋体" w:eastAsia="宋体" w:hint="default"/>
                <w:sz w:val="21"/>
                <w:szCs w:val="21"/>
              </w:rPr>
            </w:pPr>
            <w:r>
              <w:rPr>
                <w:rFonts w:ascii="宋体" w:hAnsi="宋体" w:cs="宋体" w:eastAsia="宋体" w:hint="default"/>
                <w:b/>
                <w:bCs/>
                <w:sz w:val="21"/>
                <w:szCs w:val="21"/>
              </w:rPr>
              <w:t>一般风</w:t>
            </w:r>
            <w:r>
              <w:rPr>
                <w:rFonts w:ascii="宋体" w:hAnsi="宋体" w:cs="宋体" w:eastAsia="宋体" w:hint="default"/>
                <w:b/>
                <w:bCs/>
                <w:spacing w:val="1"/>
                <w:w w:val="99"/>
                <w:sz w:val="21"/>
                <w:szCs w:val="21"/>
              </w:rPr>
              <w:t> </w:t>
            </w:r>
            <w:r>
              <w:rPr>
                <w:rFonts w:ascii="宋体" w:hAnsi="宋体" w:cs="宋体" w:eastAsia="宋体" w:hint="default"/>
                <w:b/>
                <w:bCs/>
                <w:sz w:val="21"/>
                <w:szCs w:val="21"/>
              </w:rPr>
              <w:t>险准备</w:t>
            </w:r>
            <w:r>
              <w:rPr>
                <w:rFonts w:ascii="宋体" w:hAnsi="宋体" w:cs="宋体" w:eastAsia="宋体" w:hint="default"/>
                <w:sz w:val="21"/>
                <w:szCs w:val="21"/>
              </w:rPr>
            </w:r>
          </w:p>
        </w:tc>
        <w:tc>
          <w:tcPr>
            <w:tcW w:w="1369" w:type="dxa"/>
            <w:vMerge/>
            <w:tcBorders>
              <w:left w:val="single" w:sz="4" w:space="0" w:color="000000"/>
              <w:bottom w:val="nil" w:sz="6" w:space="0" w:color="auto"/>
              <w:right w:val="single" w:sz="4" w:space="0" w:color="000000"/>
            </w:tcBorders>
            <w:shd w:val="clear" w:color="auto" w:fill="D2D2D2"/>
          </w:tcPr>
          <w:p>
            <w:pPr/>
          </w:p>
        </w:tc>
        <w:tc>
          <w:tcPr>
            <w:tcW w:w="1141" w:type="dxa"/>
            <w:vMerge/>
            <w:tcBorders>
              <w:left w:val="single" w:sz="4" w:space="0" w:color="000000"/>
              <w:right w:val="single" w:sz="4" w:space="0" w:color="000000"/>
            </w:tcBorders>
            <w:shd w:val="clear" w:color="auto" w:fill="D2D2D2"/>
          </w:tcPr>
          <w:p>
            <w:pPr/>
          </w:p>
        </w:tc>
        <w:tc>
          <w:tcPr>
            <w:tcW w:w="1440" w:type="dxa"/>
            <w:vMerge/>
            <w:tcBorders>
              <w:left w:val="single" w:sz="4" w:space="0" w:color="000000"/>
              <w:right w:val="single" w:sz="4" w:space="0" w:color="000000"/>
            </w:tcBorders>
            <w:shd w:val="clear" w:color="auto" w:fill="D2D2D2"/>
          </w:tcPr>
          <w:p>
            <w:pPr/>
          </w:p>
        </w:tc>
      </w:tr>
      <w:tr>
        <w:trPr>
          <w:trHeight w:val="204" w:hRule="exact"/>
        </w:trPr>
        <w:tc>
          <w:tcPr>
            <w:tcW w:w="2231" w:type="dxa"/>
            <w:vMerge w:val="restart"/>
            <w:tcBorders>
              <w:top w:val="nil" w:sz="6" w:space="0" w:color="auto"/>
              <w:left w:val="single" w:sz="4" w:space="0" w:color="000000"/>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427" w:right="0"/>
              <w:jc w:val="left"/>
              <w:rPr>
                <w:rFonts w:ascii="宋体" w:hAnsi="宋体" w:cs="宋体" w:eastAsia="宋体" w:hint="default"/>
                <w:sz w:val="21"/>
                <w:szCs w:val="21"/>
              </w:rPr>
            </w:pPr>
            <w:r>
              <w:rPr>
                <w:rFonts w:ascii="宋体" w:hAnsi="宋体" w:cs="宋体" w:eastAsia="宋体" w:hint="default"/>
                <w:b/>
                <w:bCs/>
                <w:sz w:val="21"/>
                <w:szCs w:val="21"/>
              </w:rPr>
              <w:t>股本</w:t>
            </w:r>
            <w:r>
              <w:rPr>
                <w:rFonts w:ascii="宋体" w:hAnsi="宋体" w:cs="宋体" w:eastAsia="宋体" w:hint="default"/>
                <w:sz w:val="21"/>
                <w:szCs w:val="21"/>
              </w:rPr>
            </w:r>
          </w:p>
        </w:tc>
        <w:tc>
          <w:tcPr>
            <w:tcW w:w="45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1"/>
              <w:ind w:left="116" w:right="114"/>
              <w:jc w:val="both"/>
              <w:rPr>
                <w:rFonts w:ascii="宋体" w:hAnsi="宋体" w:cs="宋体" w:eastAsia="宋体" w:hint="default"/>
                <w:sz w:val="21"/>
                <w:szCs w:val="21"/>
              </w:rPr>
            </w:pPr>
            <w:r>
              <w:rPr>
                <w:rFonts w:ascii="宋体" w:hAnsi="宋体" w:cs="宋体" w:eastAsia="宋体" w:hint="default"/>
                <w:b/>
                <w:bCs/>
                <w:sz w:val="21"/>
                <w:szCs w:val="21"/>
              </w:rPr>
              <w:t>优</w:t>
            </w:r>
            <w:r>
              <w:rPr>
                <w:rFonts w:ascii="宋体" w:hAnsi="宋体" w:cs="宋体" w:eastAsia="宋体" w:hint="default"/>
                <w:b/>
                <w:bCs/>
                <w:w w:val="99"/>
                <w:sz w:val="21"/>
                <w:szCs w:val="21"/>
              </w:rPr>
              <w:t> </w:t>
            </w:r>
            <w:r>
              <w:rPr>
                <w:rFonts w:ascii="宋体" w:hAnsi="宋体" w:cs="宋体" w:eastAsia="宋体" w:hint="default"/>
                <w:b/>
                <w:bCs/>
                <w:sz w:val="21"/>
                <w:szCs w:val="21"/>
              </w:rPr>
              <w:t>先</w:t>
            </w:r>
            <w:r>
              <w:rPr>
                <w:rFonts w:ascii="宋体" w:hAnsi="宋体" w:cs="宋体" w:eastAsia="宋体" w:hint="default"/>
                <w:b/>
                <w:bCs/>
                <w:w w:val="99"/>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tc>
        <w:tc>
          <w:tcPr>
            <w:tcW w:w="45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1"/>
              <w:ind w:left="115" w:right="115"/>
              <w:jc w:val="both"/>
              <w:rPr>
                <w:rFonts w:ascii="宋体" w:hAnsi="宋体" w:cs="宋体" w:eastAsia="宋体" w:hint="default"/>
                <w:sz w:val="21"/>
                <w:szCs w:val="21"/>
              </w:rPr>
            </w:pPr>
            <w:r>
              <w:rPr>
                <w:rFonts w:ascii="宋体" w:hAnsi="宋体" w:cs="宋体" w:eastAsia="宋体" w:hint="default"/>
                <w:b/>
                <w:bCs/>
                <w:sz w:val="21"/>
                <w:szCs w:val="21"/>
              </w:rPr>
              <w:t>永</w:t>
            </w:r>
            <w:r>
              <w:rPr>
                <w:rFonts w:ascii="宋体" w:hAnsi="宋体" w:cs="宋体" w:eastAsia="宋体" w:hint="default"/>
                <w:b/>
                <w:bCs/>
                <w:w w:val="99"/>
                <w:sz w:val="21"/>
                <w:szCs w:val="21"/>
              </w:rPr>
              <w:t> </w:t>
            </w:r>
            <w:r>
              <w:rPr>
                <w:rFonts w:ascii="宋体" w:hAnsi="宋体" w:cs="宋体" w:eastAsia="宋体" w:hint="default"/>
                <w:b/>
                <w:bCs/>
                <w:sz w:val="21"/>
                <w:szCs w:val="21"/>
              </w:rPr>
              <w:t>续</w:t>
            </w:r>
            <w:r>
              <w:rPr>
                <w:rFonts w:ascii="宋体" w:hAnsi="宋体" w:cs="宋体" w:eastAsia="宋体" w:hint="default"/>
                <w:b/>
                <w:bCs/>
                <w:w w:val="99"/>
                <w:sz w:val="21"/>
                <w:szCs w:val="21"/>
              </w:rPr>
              <w:t> </w:t>
            </w:r>
            <w:r>
              <w:rPr>
                <w:rFonts w:ascii="宋体" w:hAnsi="宋体" w:cs="宋体" w:eastAsia="宋体" w:hint="default"/>
                <w:b/>
                <w:bCs/>
                <w:sz w:val="21"/>
                <w:szCs w:val="21"/>
              </w:rPr>
              <w:t>债</w:t>
            </w:r>
            <w:r>
              <w:rPr>
                <w:rFonts w:ascii="宋体" w:hAnsi="宋体" w:cs="宋体" w:eastAsia="宋体" w:hint="default"/>
                <w:sz w:val="21"/>
                <w:szCs w:val="21"/>
              </w:rPr>
            </w:r>
          </w:p>
        </w:tc>
        <w:tc>
          <w:tcPr>
            <w:tcW w:w="35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205" w:right="0"/>
              <w:jc w:val="left"/>
              <w:rPr>
                <w:rFonts w:ascii="宋体" w:hAnsi="宋体" w:cs="宋体" w:eastAsia="宋体" w:hint="default"/>
                <w:sz w:val="21"/>
                <w:szCs w:val="21"/>
              </w:rPr>
            </w:pPr>
            <w:r>
              <w:rPr>
                <w:rFonts w:ascii="宋体" w:hAnsi="宋体" w:cs="宋体" w:eastAsia="宋体" w:hint="default"/>
                <w:b/>
                <w:bCs/>
                <w:sz w:val="21"/>
                <w:szCs w:val="21"/>
              </w:rPr>
              <w:t>资本公积</w:t>
            </w:r>
            <w:r>
              <w:rPr>
                <w:rFonts w:ascii="宋体" w:hAnsi="宋体" w:cs="宋体" w:eastAsia="宋体" w:hint="default"/>
                <w:sz w:val="21"/>
                <w:szCs w:val="21"/>
              </w:rPr>
            </w:r>
          </w:p>
        </w:tc>
        <w:tc>
          <w:tcPr>
            <w:tcW w:w="755" w:type="dxa"/>
            <w:vMerge/>
            <w:tcBorders>
              <w:left w:val="single" w:sz="4" w:space="0" w:color="000000"/>
              <w:right w:val="single" w:sz="4" w:space="0" w:color="000000"/>
            </w:tcBorders>
            <w:shd w:val="clear" w:color="auto" w:fill="D2D2D2"/>
          </w:tcPr>
          <w:p>
            <w:pPr/>
          </w:p>
        </w:tc>
        <w:tc>
          <w:tcPr>
            <w:tcW w:w="729" w:type="dxa"/>
            <w:vMerge/>
            <w:tcBorders>
              <w:left w:val="single" w:sz="4" w:space="0" w:color="000000"/>
              <w:right w:val="single" w:sz="4" w:space="0" w:color="000000"/>
            </w:tcBorders>
            <w:shd w:val="clear" w:color="auto" w:fill="D2D2D2"/>
          </w:tcPr>
          <w:p>
            <w:pPr/>
          </w:p>
        </w:tc>
        <w:tc>
          <w:tcPr>
            <w:tcW w:w="544" w:type="dxa"/>
            <w:vMerge/>
            <w:tcBorders>
              <w:left w:val="single" w:sz="4" w:space="0" w:color="000000"/>
              <w:right w:val="single" w:sz="4" w:space="0" w:color="000000"/>
            </w:tcBorders>
            <w:shd w:val="clear" w:color="auto" w:fill="D2D2D2"/>
          </w:tcPr>
          <w:p>
            <w:pPr/>
          </w:p>
        </w:tc>
        <w:tc>
          <w:tcPr>
            <w:tcW w:w="12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06" w:right="0"/>
              <w:jc w:val="left"/>
              <w:rPr>
                <w:rFonts w:ascii="宋体" w:hAnsi="宋体" w:cs="宋体" w:eastAsia="宋体" w:hint="default"/>
                <w:sz w:val="21"/>
                <w:szCs w:val="21"/>
              </w:rPr>
            </w:pPr>
            <w:r>
              <w:rPr>
                <w:rFonts w:ascii="宋体" w:hAnsi="宋体" w:cs="宋体" w:eastAsia="宋体" w:hint="default"/>
                <w:b/>
                <w:bCs/>
                <w:sz w:val="21"/>
                <w:szCs w:val="21"/>
              </w:rPr>
              <w:t>盈余公积</w:t>
            </w:r>
            <w:r>
              <w:rPr>
                <w:rFonts w:ascii="宋体" w:hAnsi="宋体" w:cs="宋体" w:eastAsia="宋体" w:hint="default"/>
                <w:sz w:val="21"/>
                <w:szCs w:val="21"/>
              </w:rPr>
            </w:r>
          </w:p>
        </w:tc>
        <w:tc>
          <w:tcPr>
            <w:tcW w:w="727" w:type="dxa"/>
            <w:vMerge/>
            <w:tcBorders>
              <w:left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53" w:right="0"/>
              <w:jc w:val="left"/>
              <w:rPr>
                <w:rFonts w:ascii="宋体" w:hAnsi="宋体" w:cs="宋体" w:eastAsia="宋体" w:hint="default"/>
                <w:sz w:val="21"/>
                <w:szCs w:val="21"/>
              </w:rPr>
            </w:pPr>
            <w:r>
              <w:rPr>
                <w:rFonts w:ascii="宋体" w:hAnsi="宋体" w:cs="宋体" w:eastAsia="宋体" w:hint="default"/>
                <w:b/>
                <w:bCs/>
                <w:sz w:val="21"/>
                <w:szCs w:val="21"/>
              </w:rPr>
              <w:t>未分配利润</w:t>
            </w:r>
            <w:r>
              <w:rPr>
                <w:rFonts w:ascii="宋体" w:hAnsi="宋体" w:cs="宋体" w:eastAsia="宋体" w:hint="default"/>
                <w:sz w:val="21"/>
                <w:szCs w:val="21"/>
              </w:rPr>
            </w:r>
          </w:p>
        </w:tc>
        <w:tc>
          <w:tcPr>
            <w:tcW w:w="1141" w:type="dxa"/>
            <w:vMerge/>
            <w:tcBorders>
              <w:left w:val="single" w:sz="4" w:space="0" w:color="000000"/>
              <w:right w:val="single" w:sz="4" w:space="0" w:color="000000"/>
            </w:tcBorders>
            <w:shd w:val="clear" w:color="auto" w:fill="D2D2D2"/>
          </w:tcPr>
          <w:p>
            <w:pPr/>
          </w:p>
        </w:tc>
        <w:tc>
          <w:tcPr>
            <w:tcW w:w="1440" w:type="dxa"/>
            <w:vMerge/>
            <w:tcBorders>
              <w:left w:val="single" w:sz="4" w:space="0" w:color="000000"/>
              <w:right w:val="single" w:sz="4" w:space="0" w:color="000000"/>
            </w:tcBorders>
            <w:shd w:val="clear" w:color="auto" w:fill="D2D2D2"/>
          </w:tcPr>
          <w:p>
            <w:pPr/>
          </w:p>
        </w:tc>
      </w:tr>
      <w:tr>
        <w:trPr>
          <w:trHeight w:val="168" w:hRule="exact"/>
        </w:trPr>
        <w:tc>
          <w:tcPr>
            <w:tcW w:w="2231"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452" w:type="dxa"/>
            <w:vMerge/>
            <w:tcBorders>
              <w:left w:val="single" w:sz="4" w:space="0" w:color="000000"/>
              <w:right w:val="single" w:sz="4" w:space="0" w:color="000000"/>
            </w:tcBorders>
            <w:shd w:val="clear" w:color="auto" w:fill="D2D2D2"/>
          </w:tcPr>
          <w:p>
            <w:pPr/>
          </w:p>
        </w:tc>
        <w:tc>
          <w:tcPr>
            <w:tcW w:w="452" w:type="dxa"/>
            <w:vMerge/>
            <w:tcBorders>
              <w:left w:val="single" w:sz="4" w:space="0" w:color="000000"/>
              <w:right w:val="single" w:sz="4" w:space="0" w:color="000000"/>
            </w:tcBorders>
            <w:shd w:val="clear" w:color="auto" w:fill="D2D2D2"/>
          </w:tcPr>
          <w:p>
            <w:pPr/>
          </w:p>
        </w:tc>
        <w:tc>
          <w:tcPr>
            <w:tcW w:w="359"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68" w:right="68"/>
              <w:jc w:val="left"/>
              <w:rPr>
                <w:rFonts w:ascii="宋体" w:hAnsi="宋体" w:cs="宋体" w:eastAsia="宋体" w:hint="default"/>
                <w:sz w:val="21"/>
                <w:szCs w:val="21"/>
              </w:rPr>
            </w:pPr>
            <w:r>
              <w:rPr>
                <w:rFonts w:ascii="宋体" w:hAnsi="宋体" w:cs="宋体" w:eastAsia="宋体" w:hint="default"/>
                <w:b/>
                <w:bCs/>
                <w:sz w:val="21"/>
                <w:szCs w:val="21"/>
              </w:rPr>
              <w:t>其</w:t>
            </w:r>
            <w:r>
              <w:rPr>
                <w:rFonts w:ascii="宋体" w:hAnsi="宋体" w:cs="宋体" w:eastAsia="宋体" w:hint="default"/>
                <w:b/>
                <w:bCs/>
                <w:w w:val="99"/>
                <w:sz w:val="21"/>
                <w:szCs w:val="21"/>
              </w:rPr>
              <w:t> </w:t>
            </w:r>
            <w:r>
              <w:rPr>
                <w:rFonts w:ascii="宋体" w:hAnsi="宋体" w:cs="宋体" w:eastAsia="宋体" w:hint="default"/>
                <w:b/>
                <w:bCs/>
                <w:sz w:val="21"/>
                <w:szCs w:val="21"/>
              </w:rPr>
              <w:t>他</w:t>
            </w:r>
            <w:r>
              <w:rPr>
                <w:rFonts w:ascii="宋体" w:hAnsi="宋体" w:cs="宋体" w:eastAsia="宋体" w:hint="default"/>
                <w:sz w:val="21"/>
                <w:szCs w:val="21"/>
              </w:rPr>
            </w:r>
          </w:p>
        </w:tc>
        <w:tc>
          <w:tcPr>
            <w:tcW w:w="1264" w:type="dxa"/>
            <w:vMerge/>
            <w:tcBorders>
              <w:left w:val="single" w:sz="4" w:space="0" w:color="000000"/>
              <w:bottom w:val="nil" w:sz="6" w:space="0" w:color="auto"/>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729" w:type="dxa"/>
            <w:vMerge/>
            <w:tcBorders>
              <w:left w:val="single" w:sz="4" w:space="0" w:color="000000"/>
              <w:right w:val="single" w:sz="4" w:space="0" w:color="000000"/>
            </w:tcBorders>
            <w:shd w:val="clear" w:color="auto" w:fill="D2D2D2"/>
          </w:tcPr>
          <w:p>
            <w:pPr/>
          </w:p>
        </w:tc>
        <w:tc>
          <w:tcPr>
            <w:tcW w:w="544" w:type="dxa"/>
            <w:vMerge/>
            <w:tcBorders>
              <w:left w:val="single" w:sz="4" w:space="0" w:color="000000"/>
              <w:right w:val="single" w:sz="4" w:space="0" w:color="000000"/>
            </w:tcBorders>
            <w:shd w:val="clear" w:color="auto" w:fill="D2D2D2"/>
          </w:tcPr>
          <w:p>
            <w:pPr/>
          </w:p>
        </w:tc>
        <w:tc>
          <w:tcPr>
            <w:tcW w:w="1265"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141" w:type="dxa"/>
            <w:vMerge/>
            <w:tcBorders>
              <w:left w:val="single" w:sz="4" w:space="0" w:color="000000"/>
              <w:bottom w:val="nil" w:sz="6" w:space="0" w:color="auto"/>
              <w:right w:val="single" w:sz="4" w:space="0" w:color="000000"/>
            </w:tcBorders>
            <w:shd w:val="clear" w:color="auto" w:fill="D2D2D2"/>
          </w:tcPr>
          <w:p>
            <w:pPr/>
          </w:p>
        </w:tc>
        <w:tc>
          <w:tcPr>
            <w:tcW w:w="1440"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2231" w:type="dxa"/>
            <w:vMerge/>
            <w:tcBorders>
              <w:left w:val="single" w:sz="4" w:space="0" w:color="000000"/>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
        </w:tc>
        <w:tc>
          <w:tcPr>
            <w:tcW w:w="452" w:type="dxa"/>
            <w:vMerge/>
            <w:tcBorders>
              <w:left w:val="single" w:sz="4" w:space="0" w:color="000000"/>
              <w:right w:val="single" w:sz="4" w:space="0" w:color="000000"/>
            </w:tcBorders>
            <w:shd w:val="clear" w:color="auto" w:fill="D2D2D2"/>
          </w:tcPr>
          <w:p>
            <w:pPr/>
          </w:p>
        </w:tc>
        <w:tc>
          <w:tcPr>
            <w:tcW w:w="452" w:type="dxa"/>
            <w:vMerge/>
            <w:tcBorders>
              <w:left w:val="single" w:sz="4" w:space="0" w:color="000000"/>
              <w:right w:val="single" w:sz="4" w:space="0" w:color="000000"/>
            </w:tcBorders>
            <w:shd w:val="clear" w:color="auto" w:fill="D2D2D2"/>
          </w:tcPr>
          <w:p>
            <w:pPr/>
          </w:p>
        </w:tc>
        <w:tc>
          <w:tcPr>
            <w:tcW w:w="359" w:type="dxa"/>
            <w:vMerge/>
            <w:tcBorders>
              <w:left w:val="single" w:sz="4" w:space="0" w:color="000000"/>
              <w:right w:val="single" w:sz="4" w:space="0" w:color="000000"/>
            </w:tcBorders>
            <w:shd w:val="clear" w:color="auto" w:fill="D2D2D2"/>
          </w:tcPr>
          <w:p>
            <w:pPr/>
          </w:p>
        </w:tc>
        <w:tc>
          <w:tcPr>
            <w:tcW w:w="1264" w:type="dxa"/>
            <w:vMerge w:val="restart"/>
            <w:tcBorders>
              <w:top w:val="nil" w:sz="6" w:space="0" w:color="auto"/>
              <w:left w:val="single" w:sz="4" w:space="0" w:color="000000"/>
              <w:right w:val="single" w:sz="4" w:space="0" w:color="000000"/>
            </w:tcBorders>
            <w:shd w:val="clear" w:color="auto" w:fill="D2D2D2"/>
          </w:tcPr>
          <w:p>
            <w:pPr/>
          </w:p>
        </w:tc>
        <w:tc>
          <w:tcPr>
            <w:tcW w:w="755" w:type="dxa"/>
            <w:vMerge/>
            <w:tcBorders>
              <w:left w:val="single" w:sz="4" w:space="0" w:color="000000"/>
              <w:bottom w:val="nil" w:sz="6" w:space="0" w:color="auto"/>
              <w:right w:val="single" w:sz="4" w:space="0" w:color="000000"/>
            </w:tcBorders>
            <w:shd w:val="clear" w:color="auto" w:fill="D2D2D2"/>
          </w:tcPr>
          <w:p>
            <w:pPr/>
          </w:p>
        </w:tc>
        <w:tc>
          <w:tcPr>
            <w:tcW w:w="729" w:type="dxa"/>
            <w:vMerge/>
            <w:tcBorders>
              <w:left w:val="single" w:sz="4" w:space="0" w:color="000000"/>
              <w:bottom w:val="nil" w:sz="6" w:space="0" w:color="auto"/>
              <w:right w:val="single" w:sz="4" w:space="0" w:color="000000"/>
            </w:tcBorders>
            <w:shd w:val="clear" w:color="auto" w:fill="D2D2D2"/>
          </w:tcPr>
          <w:p>
            <w:pPr/>
          </w:p>
        </w:tc>
        <w:tc>
          <w:tcPr>
            <w:tcW w:w="544" w:type="dxa"/>
            <w:vMerge/>
            <w:tcBorders>
              <w:left w:val="single" w:sz="4" w:space="0" w:color="000000"/>
              <w:bottom w:val="nil" w:sz="6" w:space="0" w:color="auto"/>
              <w:right w:val="single" w:sz="4" w:space="0" w:color="000000"/>
            </w:tcBorders>
            <w:shd w:val="clear" w:color="auto" w:fill="D2D2D2"/>
          </w:tcPr>
          <w:p>
            <w:pPr/>
          </w:p>
        </w:tc>
        <w:tc>
          <w:tcPr>
            <w:tcW w:w="1265" w:type="dxa"/>
            <w:vMerge w:val="restart"/>
            <w:tcBorders>
              <w:top w:val="nil" w:sz="6" w:space="0" w:color="auto"/>
              <w:left w:val="single" w:sz="4" w:space="0" w:color="000000"/>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
        </w:tc>
        <w:tc>
          <w:tcPr>
            <w:tcW w:w="1141" w:type="dxa"/>
            <w:vMerge w:val="restart"/>
            <w:tcBorders>
              <w:top w:val="nil" w:sz="6" w:space="0" w:color="auto"/>
              <w:left w:val="single" w:sz="4" w:space="0" w:color="000000"/>
              <w:right w:val="single" w:sz="4" w:space="0" w:color="000000"/>
            </w:tcBorders>
            <w:shd w:val="clear" w:color="auto" w:fill="D2D2D2"/>
          </w:tcPr>
          <w:p>
            <w:pPr/>
          </w:p>
        </w:tc>
        <w:tc>
          <w:tcPr>
            <w:tcW w:w="1440" w:type="dxa"/>
            <w:vMerge w:val="restart"/>
            <w:tcBorders>
              <w:top w:val="nil" w:sz="6" w:space="0" w:color="auto"/>
              <w:left w:val="single" w:sz="4" w:space="0" w:color="000000"/>
              <w:right w:val="single" w:sz="4" w:space="0" w:color="000000"/>
            </w:tcBorders>
            <w:shd w:val="clear" w:color="auto" w:fill="D2D2D2"/>
          </w:tcPr>
          <w:p>
            <w:pPr/>
          </w:p>
        </w:tc>
      </w:tr>
      <w:tr>
        <w:trPr>
          <w:trHeight w:val="356" w:hRule="exact"/>
        </w:trPr>
        <w:tc>
          <w:tcPr>
            <w:tcW w:w="2231"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452" w:type="dxa"/>
            <w:vMerge/>
            <w:tcBorders>
              <w:left w:val="single" w:sz="4" w:space="0" w:color="000000"/>
              <w:right w:val="single" w:sz="4" w:space="0" w:color="000000"/>
            </w:tcBorders>
            <w:shd w:val="clear" w:color="auto" w:fill="D2D2D2"/>
          </w:tcPr>
          <w:p>
            <w:pPr/>
          </w:p>
        </w:tc>
        <w:tc>
          <w:tcPr>
            <w:tcW w:w="452" w:type="dxa"/>
            <w:vMerge/>
            <w:tcBorders>
              <w:left w:val="single" w:sz="4" w:space="0" w:color="000000"/>
              <w:right w:val="single" w:sz="4" w:space="0" w:color="000000"/>
            </w:tcBorders>
            <w:shd w:val="clear" w:color="auto" w:fill="D2D2D2"/>
          </w:tcPr>
          <w:p>
            <w:pPr/>
          </w:p>
        </w:tc>
        <w:tc>
          <w:tcPr>
            <w:tcW w:w="359" w:type="dxa"/>
            <w:vMerge/>
            <w:tcBorders>
              <w:left w:val="single" w:sz="4" w:space="0" w:color="000000"/>
              <w:bottom w:val="nil" w:sz="6" w:space="0" w:color="auto"/>
              <w:right w:val="single" w:sz="4" w:space="0" w:color="000000"/>
            </w:tcBorders>
            <w:shd w:val="clear" w:color="auto" w:fill="D2D2D2"/>
          </w:tcPr>
          <w:p>
            <w:pPr/>
          </w:p>
        </w:tc>
        <w:tc>
          <w:tcPr>
            <w:tcW w:w="1264" w:type="dxa"/>
            <w:vMerge/>
            <w:tcBorders>
              <w:left w:val="single" w:sz="4" w:space="0" w:color="000000"/>
              <w:right w:val="single" w:sz="4" w:space="0" w:color="000000"/>
            </w:tcBorders>
            <w:shd w:val="clear" w:color="auto" w:fill="D2D2D2"/>
          </w:tcPr>
          <w:p>
            <w:pPr/>
          </w:p>
        </w:tc>
        <w:tc>
          <w:tcPr>
            <w:tcW w:w="755" w:type="dxa"/>
            <w:vMerge w:val="restart"/>
            <w:tcBorders>
              <w:top w:val="nil" w:sz="6" w:space="0" w:color="auto"/>
              <w:left w:val="single" w:sz="4" w:space="0" w:color="000000"/>
              <w:right w:val="single" w:sz="4" w:space="0" w:color="000000"/>
            </w:tcBorders>
            <w:shd w:val="clear" w:color="auto" w:fill="D2D2D2"/>
          </w:tcPr>
          <w:p>
            <w:pPr/>
          </w:p>
        </w:tc>
        <w:tc>
          <w:tcPr>
            <w:tcW w:w="729" w:type="dxa"/>
            <w:vMerge w:val="restart"/>
            <w:tcBorders>
              <w:top w:val="nil" w:sz="6" w:space="0" w:color="auto"/>
              <w:left w:val="single" w:sz="4" w:space="0" w:color="000000"/>
              <w:right w:val="single" w:sz="4" w:space="0" w:color="000000"/>
            </w:tcBorders>
            <w:shd w:val="clear" w:color="auto" w:fill="D2D2D2"/>
          </w:tcPr>
          <w:p>
            <w:pPr/>
          </w:p>
        </w:tc>
        <w:tc>
          <w:tcPr>
            <w:tcW w:w="544" w:type="dxa"/>
            <w:vMerge w:val="restart"/>
            <w:tcBorders>
              <w:top w:val="nil" w:sz="6" w:space="0" w:color="auto"/>
              <w:left w:val="single" w:sz="4" w:space="0" w:color="000000"/>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c>
          <w:tcPr>
            <w:tcW w:w="727" w:type="dxa"/>
            <w:vMerge w:val="restart"/>
            <w:tcBorders>
              <w:top w:val="nil" w:sz="6" w:space="0" w:color="auto"/>
              <w:left w:val="single" w:sz="4" w:space="0" w:color="000000"/>
              <w:right w:val="single" w:sz="4" w:space="0" w:color="000000"/>
            </w:tcBorders>
            <w:shd w:val="clear" w:color="auto" w:fill="D2D2D2"/>
          </w:tcPr>
          <w:p>
            <w:pPr/>
          </w:p>
        </w:tc>
        <w:tc>
          <w:tcPr>
            <w:tcW w:w="1369" w:type="dxa"/>
            <w:vMerge/>
            <w:tcBorders>
              <w:left w:val="single" w:sz="4" w:space="0" w:color="000000"/>
              <w:right w:val="single" w:sz="4" w:space="0" w:color="000000"/>
            </w:tcBorders>
            <w:shd w:val="clear" w:color="auto" w:fill="D2D2D2"/>
          </w:tcPr>
          <w:p>
            <w:pPr/>
          </w:p>
        </w:tc>
        <w:tc>
          <w:tcPr>
            <w:tcW w:w="1141" w:type="dxa"/>
            <w:vMerge/>
            <w:tcBorders>
              <w:left w:val="single" w:sz="4" w:space="0" w:color="000000"/>
              <w:right w:val="single" w:sz="4" w:space="0" w:color="000000"/>
            </w:tcBorders>
            <w:shd w:val="clear" w:color="auto" w:fill="D2D2D2"/>
          </w:tcPr>
          <w:p>
            <w:pPr/>
          </w:p>
        </w:tc>
        <w:tc>
          <w:tcPr>
            <w:tcW w:w="1440" w:type="dxa"/>
            <w:vMerge/>
            <w:tcBorders>
              <w:left w:val="single" w:sz="4" w:space="0" w:color="000000"/>
              <w:right w:val="single" w:sz="4" w:space="0" w:color="000000"/>
            </w:tcBorders>
            <w:shd w:val="clear" w:color="auto" w:fill="D2D2D2"/>
          </w:tcPr>
          <w:p>
            <w:pPr/>
          </w:p>
        </w:tc>
      </w:tr>
      <w:tr>
        <w:trPr>
          <w:trHeight w:val="161" w:hRule="exact"/>
        </w:trPr>
        <w:tc>
          <w:tcPr>
            <w:tcW w:w="2231"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452" w:type="dxa"/>
            <w:vMerge/>
            <w:tcBorders>
              <w:left w:val="single" w:sz="4" w:space="0" w:color="000000"/>
              <w:bottom w:val="single" w:sz="4" w:space="0" w:color="000000"/>
              <w:right w:val="single" w:sz="4" w:space="0" w:color="000000"/>
            </w:tcBorders>
            <w:shd w:val="clear" w:color="auto" w:fill="D2D2D2"/>
          </w:tcPr>
          <w:p>
            <w:pPr/>
          </w:p>
        </w:tc>
        <w:tc>
          <w:tcPr>
            <w:tcW w:w="452" w:type="dxa"/>
            <w:vMerge/>
            <w:tcBorders>
              <w:left w:val="single" w:sz="4" w:space="0" w:color="000000"/>
              <w:bottom w:val="single" w:sz="4" w:space="0" w:color="000000"/>
              <w:right w:val="single" w:sz="4" w:space="0" w:color="000000"/>
            </w:tcBorders>
            <w:shd w:val="clear" w:color="auto" w:fill="D2D2D2"/>
          </w:tcPr>
          <w:p>
            <w:pPr/>
          </w:p>
        </w:tc>
        <w:tc>
          <w:tcPr>
            <w:tcW w:w="3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4" w:type="dxa"/>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729" w:type="dxa"/>
            <w:vMerge/>
            <w:tcBorders>
              <w:left w:val="single" w:sz="4" w:space="0" w:color="000000"/>
              <w:bottom w:val="single" w:sz="4" w:space="0" w:color="000000"/>
              <w:right w:val="single" w:sz="4" w:space="0" w:color="000000"/>
            </w:tcBorders>
            <w:shd w:val="clear" w:color="auto" w:fill="D2D2D2"/>
          </w:tcPr>
          <w:p>
            <w:pPr/>
          </w:p>
        </w:tc>
        <w:tc>
          <w:tcPr>
            <w:tcW w:w="544" w:type="dxa"/>
            <w:vMerge/>
            <w:tcBorders>
              <w:left w:val="single" w:sz="4" w:space="0" w:color="000000"/>
              <w:bottom w:val="single" w:sz="4" w:space="0" w:color="000000"/>
              <w:right w:val="single" w:sz="4" w:space="0" w:color="000000"/>
            </w:tcBorders>
            <w:shd w:val="clear" w:color="auto" w:fill="D2D2D2"/>
          </w:tcPr>
          <w:p>
            <w:pPr/>
          </w:p>
        </w:tc>
        <w:tc>
          <w:tcPr>
            <w:tcW w:w="126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141" w:type="dxa"/>
            <w:vMerge/>
            <w:tcBorders>
              <w:left w:val="single" w:sz="4" w:space="0" w:color="000000"/>
              <w:bottom w:val="single" w:sz="4" w:space="0" w:color="000000"/>
              <w:right w:val="single" w:sz="4" w:space="0" w:color="000000"/>
            </w:tcBorders>
            <w:shd w:val="clear" w:color="auto" w:fill="D2D2D2"/>
          </w:tcPr>
          <w:p>
            <w:pPr/>
          </w:p>
        </w:tc>
        <w:tc>
          <w:tcPr>
            <w:tcW w:w="144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b/>
                <w:bCs/>
                <w:sz w:val="21"/>
                <w:szCs w:val="21"/>
              </w:rPr>
              <w:t>一、上年期末余额</w:t>
            </w:r>
            <w:r>
              <w:rPr>
                <w:rFonts w:ascii="宋体" w:hAnsi="宋体" w:cs="宋体" w:eastAsia="宋体" w:hint="default"/>
                <w:sz w:val="21"/>
                <w:szCs w:val="21"/>
              </w:rPr>
            </w:r>
          </w:p>
        </w:tc>
        <w:tc>
          <w:tcPr>
            <w:tcW w:w="1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90,000,000.00</w:t>
            </w: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29,880,245.78</w:t>
            </w: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9,183,398.59</w:t>
            </w: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21"/>
                <w:szCs w:val="21"/>
              </w:rPr>
            </w:pPr>
            <w:r>
              <w:rPr>
                <w:rFonts w:ascii="Times New Roman"/>
                <w:sz w:val="21"/>
              </w:rPr>
              <w:t>100,970,867.51</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525,017.78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72" w:right="0"/>
              <w:jc w:val="center"/>
              <w:rPr>
                <w:rFonts w:ascii="Times New Roman" w:hAnsi="Times New Roman" w:cs="Times New Roman" w:eastAsia="Times New Roman" w:hint="default"/>
                <w:sz w:val="21"/>
                <w:szCs w:val="21"/>
              </w:rPr>
            </w:pPr>
            <w:r>
              <w:rPr>
                <w:rFonts w:ascii="Times New Roman"/>
                <w:sz w:val="21"/>
              </w:rPr>
              <w:t>230,559,529.66</w:t>
            </w:r>
          </w:p>
        </w:tc>
      </w:tr>
      <w:tr>
        <w:trPr>
          <w:trHeight w:val="402"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08"/>
              <w:jc w:val="right"/>
              <w:rPr>
                <w:rFonts w:ascii="宋体" w:hAnsi="宋体" w:cs="宋体" w:eastAsia="宋体" w:hint="default"/>
                <w:sz w:val="21"/>
                <w:szCs w:val="21"/>
              </w:rPr>
            </w:pPr>
            <w:r>
              <w:rPr>
                <w:rFonts w:ascii="宋体" w:hAnsi="宋体" w:cs="宋体" w:eastAsia="宋体" w:hint="default"/>
                <w:sz w:val="21"/>
                <w:szCs w:val="21"/>
              </w:rPr>
              <w:t>加：会计政策变更</w:t>
            </w:r>
          </w:p>
        </w:tc>
        <w:tc>
          <w:tcPr>
            <w:tcW w:w="1275" w:type="dxa"/>
            <w:tcBorders>
              <w:top w:val="single" w:sz="4" w:space="0" w:color="000000"/>
              <w:left w:val="single" w:sz="13" w:space="0" w:color="D2D2D2"/>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08"/>
              <w:jc w:val="right"/>
              <w:rPr>
                <w:rFonts w:ascii="宋体" w:hAnsi="宋体" w:cs="宋体" w:eastAsia="宋体" w:hint="default"/>
                <w:sz w:val="21"/>
                <w:szCs w:val="21"/>
              </w:rPr>
            </w:pPr>
            <w:r>
              <w:rPr>
                <w:rFonts w:ascii="宋体" w:hAnsi="宋体" w:cs="宋体" w:eastAsia="宋体" w:hint="default"/>
                <w:sz w:val="21"/>
                <w:szCs w:val="21"/>
              </w:rPr>
              <w:t>前期差错更正</w:t>
            </w:r>
          </w:p>
        </w:tc>
        <w:tc>
          <w:tcPr>
            <w:tcW w:w="1275" w:type="dxa"/>
            <w:tcBorders>
              <w:top w:val="single" w:sz="4" w:space="0" w:color="000000"/>
              <w:left w:val="single" w:sz="13" w:space="0" w:color="D2D2D2"/>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851" w:right="0"/>
              <w:jc w:val="left"/>
              <w:rPr>
                <w:rFonts w:ascii="宋体" w:hAnsi="宋体" w:cs="宋体" w:eastAsia="宋体" w:hint="default"/>
                <w:sz w:val="21"/>
                <w:szCs w:val="21"/>
              </w:rPr>
            </w:pPr>
            <w:r>
              <w:rPr>
                <w:rFonts w:ascii="宋体" w:hAnsi="宋体" w:cs="宋体" w:eastAsia="宋体" w:hint="default"/>
                <w:sz w:val="21"/>
                <w:szCs w:val="21"/>
              </w:rPr>
              <w:t>同一控制下企</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业合并</w:t>
            </w:r>
          </w:p>
        </w:tc>
        <w:tc>
          <w:tcPr>
            <w:tcW w:w="1275" w:type="dxa"/>
            <w:tcBorders>
              <w:top w:val="single" w:sz="4" w:space="0" w:color="000000"/>
              <w:left w:val="single" w:sz="13" w:space="0" w:color="D2D2D2"/>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96"/>
              <w:jc w:val="center"/>
              <w:rPr>
                <w:rFonts w:ascii="宋体" w:hAnsi="宋体" w:cs="宋体" w:eastAsia="宋体" w:hint="default"/>
                <w:sz w:val="21"/>
                <w:szCs w:val="21"/>
              </w:rPr>
            </w:pPr>
            <w:r>
              <w:rPr>
                <w:rFonts w:ascii="宋体" w:hAnsi="宋体" w:cs="宋体" w:eastAsia="宋体" w:hint="default"/>
                <w:sz w:val="21"/>
                <w:szCs w:val="21"/>
              </w:rPr>
              <w:t>其他</w:t>
            </w:r>
          </w:p>
        </w:tc>
        <w:tc>
          <w:tcPr>
            <w:tcW w:w="1275" w:type="dxa"/>
            <w:tcBorders>
              <w:top w:val="single" w:sz="4" w:space="0" w:color="000000"/>
              <w:left w:val="single" w:sz="13" w:space="0" w:color="D2D2D2"/>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b/>
                <w:bCs/>
                <w:sz w:val="21"/>
                <w:szCs w:val="21"/>
              </w:rPr>
              <w:t>二、本年期初余额</w:t>
            </w:r>
            <w:r>
              <w:rPr>
                <w:rFonts w:ascii="宋体" w:hAnsi="宋体" w:cs="宋体" w:eastAsia="宋体" w:hint="default"/>
                <w:sz w:val="21"/>
                <w:szCs w:val="21"/>
              </w:rPr>
            </w:r>
          </w:p>
        </w:tc>
        <w:tc>
          <w:tcPr>
            <w:tcW w:w="1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90,000,000.00</w:t>
            </w: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29,880,245.78</w:t>
            </w: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9,183,398.59</w:t>
            </w: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21"/>
                <w:szCs w:val="21"/>
              </w:rPr>
            </w:pPr>
            <w:r>
              <w:rPr>
                <w:rFonts w:ascii="Times New Roman"/>
                <w:sz w:val="21"/>
              </w:rPr>
              <w:t>100,970,867.51</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525,017.78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72" w:right="0"/>
              <w:jc w:val="center"/>
              <w:rPr>
                <w:rFonts w:ascii="Times New Roman" w:hAnsi="Times New Roman" w:cs="Times New Roman" w:eastAsia="Times New Roman" w:hint="default"/>
                <w:sz w:val="21"/>
                <w:szCs w:val="21"/>
              </w:rPr>
            </w:pPr>
            <w:r>
              <w:rPr>
                <w:rFonts w:ascii="Times New Roman"/>
                <w:sz w:val="21"/>
              </w:rPr>
              <w:t>230,559,529.66</w:t>
            </w:r>
          </w:p>
        </w:tc>
      </w:tr>
      <w:tr>
        <w:trPr>
          <w:trHeight w:val="714"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b/>
                <w:bCs/>
                <w:sz w:val="21"/>
                <w:szCs w:val="21"/>
              </w:rPr>
              <w:t>三、本期增减变动金额</w:t>
            </w:r>
            <w:r>
              <w:rPr>
                <w:rFonts w:ascii="宋体" w:hAnsi="宋体" w:cs="宋体" w:eastAsia="宋体" w:hint="default"/>
                <w:sz w:val="21"/>
                <w:szCs w:val="21"/>
              </w:rPr>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b/>
                <w:bCs/>
                <w:sz w:val="21"/>
                <w:szCs w:val="21"/>
              </w:rPr>
              <w:t>（减少以</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1275" w:type="dxa"/>
            <w:tcBorders>
              <w:top w:val="single" w:sz="4" w:space="0" w:color="000000"/>
              <w:left w:val="single" w:sz="13" w:space="0" w:color="D2D2D2"/>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4,611,000.17</w:t>
            </w: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7" w:right="0"/>
              <w:jc w:val="center"/>
              <w:rPr>
                <w:rFonts w:ascii="Times New Roman" w:hAnsi="Times New Roman" w:cs="Times New Roman" w:eastAsia="Times New Roman" w:hint="default"/>
                <w:sz w:val="21"/>
                <w:szCs w:val="21"/>
              </w:rPr>
            </w:pPr>
            <w:r>
              <w:rPr>
                <w:rFonts w:ascii="Times New Roman"/>
                <w:sz w:val="21"/>
              </w:rPr>
              <w:t>28,691,027.00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250,058.92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6" w:right="0"/>
              <w:jc w:val="center"/>
              <w:rPr>
                <w:rFonts w:ascii="Times New Roman" w:hAnsi="Times New Roman" w:cs="Times New Roman" w:eastAsia="Times New Roman" w:hint="default"/>
                <w:sz w:val="21"/>
                <w:szCs w:val="21"/>
              </w:rPr>
            </w:pPr>
            <w:r>
              <w:rPr>
                <w:rFonts w:ascii="Times New Roman"/>
                <w:sz w:val="21"/>
              </w:rPr>
              <w:t>33,552,086.09</w:t>
            </w:r>
          </w:p>
        </w:tc>
      </w:tr>
      <w:tr>
        <w:trPr>
          <w:trHeight w:val="402"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275" w:type="dxa"/>
            <w:tcBorders>
              <w:top w:val="single" w:sz="4" w:space="0" w:color="000000"/>
              <w:left w:val="single" w:sz="13" w:space="0" w:color="D2D2D2"/>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7" w:right="0"/>
              <w:jc w:val="center"/>
              <w:rPr>
                <w:rFonts w:ascii="Times New Roman" w:hAnsi="Times New Roman" w:cs="Times New Roman" w:eastAsia="Times New Roman" w:hint="default"/>
                <w:sz w:val="21"/>
                <w:szCs w:val="21"/>
              </w:rPr>
            </w:pPr>
            <w:r>
              <w:rPr>
                <w:rFonts w:ascii="Times New Roman"/>
                <w:sz w:val="21"/>
              </w:rPr>
              <w:t>44,873,935.32</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250,058.92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76" w:right="0"/>
              <w:jc w:val="center"/>
              <w:rPr>
                <w:rFonts w:ascii="Times New Roman" w:hAnsi="Times New Roman" w:cs="Times New Roman" w:eastAsia="Times New Roman" w:hint="default"/>
                <w:sz w:val="21"/>
                <w:szCs w:val="21"/>
              </w:rPr>
            </w:pPr>
            <w:r>
              <w:rPr>
                <w:rFonts w:ascii="Times New Roman"/>
                <w:sz w:val="21"/>
              </w:rPr>
              <w:t>45,123,994.24</w:t>
            </w:r>
          </w:p>
        </w:tc>
      </w:tr>
      <w:tr>
        <w:trPr>
          <w:trHeight w:val="714"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08"/>
              <w:jc w:val="left"/>
              <w:rPr>
                <w:rFonts w:ascii="宋体" w:hAnsi="宋体" w:cs="宋体" w:eastAsia="宋体" w:hint="default"/>
                <w:sz w:val="21"/>
                <w:szCs w:val="21"/>
              </w:rPr>
            </w:pPr>
            <w:r>
              <w:rPr>
                <w:rFonts w:ascii="宋体" w:hAnsi="宋体" w:cs="宋体" w:eastAsia="宋体" w:hint="default"/>
                <w:sz w:val="21"/>
                <w:szCs w:val="21"/>
              </w:rPr>
              <w:t>（二）所有者投入和减 少资本</w:t>
            </w:r>
          </w:p>
        </w:tc>
        <w:tc>
          <w:tcPr>
            <w:tcW w:w="1275" w:type="dxa"/>
            <w:tcBorders>
              <w:top w:val="single" w:sz="4" w:space="0" w:color="000000"/>
              <w:left w:val="single" w:sz="13" w:space="0" w:color="D2D2D2"/>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．股东投入的普通股</w:t>
            </w:r>
          </w:p>
        </w:tc>
        <w:tc>
          <w:tcPr>
            <w:tcW w:w="1275" w:type="dxa"/>
            <w:tcBorders>
              <w:top w:val="single" w:sz="4" w:space="0" w:color="000000"/>
              <w:left w:val="single" w:sz="13" w:space="0" w:color="D2D2D2"/>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7"/>
              <w:ind w:left="11" w:right="9"/>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．其他权益工具持有者 投入资本</w:t>
            </w:r>
          </w:p>
        </w:tc>
        <w:tc>
          <w:tcPr>
            <w:tcW w:w="1275" w:type="dxa"/>
            <w:tcBorders>
              <w:top w:val="single" w:sz="4" w:space="0" w:color="000000"/>
              <w:left w:val="single" w:sz="13" w:space="0" w:color="D2D2D2"/>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7"/>
              <w:ind w:left="11" w:right="9"/>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．股份支付计入所有者 权益的金额</w:t>
            </w:r>
          </w:p>
        </w:tc>
        <w:tc>
          <w:tcPr>
            <w:tcW w:w="1275" w:type="dxa"/>
            <w:tcBorders>
              <w:top w:val="single" w:sz="4" w:space="0" w:color="000000"/>
              <w:left w:val="single" w:sz="13" w:space="0" w:color="D2D2D2"/>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1300"/>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254"/>
        <w:gridCol w:w="1264"/>
        <w:gridCol w:w="452"/>
        <w:gridCol w:w="452"/>
        <w:gridCol w:w="359"/>
        <w:gridCol w:w="1264"/>
        <w:gridCol w:w="755"/>
        <w:gridCol w:w="729"/>
        <w:gridCol w:w="544"/>
        <w:gridCol w:w="1265"/>
        <w:gridCol w:w="727"/>
        <w:gridCol w:w="1369"/>
        <w:gridCol w:w="1141"/>
        <w:gridCol w:w="1440"/>
      </w:tblGrid>
      <w:tr>
        <w:trPr>
          <w:trHeight w:val="416" w:hRule="exact"/>
        </w:trPr>
        <w:tc>
          <w:tcPr>
            <w:tcW w:w="225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4" w:type="dxa"/>
            <w:tcBorders>
              <w:top w:val="single" w:sz="15" w:space="0" w:color="000000"/>
              <w:left w:val="single" w:sz="4" w:space="0" w:color="000000"/>
              <w:bottom w:val="single" w:sz="4" w:space="0" w:color="000000"/>
              <w:right w:val="single" w:sz="4" w:space="0" w:color="000000"/>
            </w:tcBorders>
          </w:tcPr>
          <w:p>
            <w:pPr/>
          </w:p>
        </w:tc>
        <w:tc>
          <w:tcPr>
            <w:tcW w:w="452" w:type="dxa"/>
            <w:tcBorders>
              <w:top w:val="single" w:sz="15" w:space="0" w:color="000000"/>
              <w:left w:val="single" w:sz="4" w:space="0" w:color="000000"/>
              <w:bottom w:val="single" w:sz="4" w:space="0" w:color="000000"/>
              <w:right w:val="single" w:sz="4" w:space="0" w:color="000000"/>
            </w:tcBorders>
          </w:tcPr>
          <w:p>
            <w:pPr/>
          </w:p>
        </w:tc>
        <w:tc>
          <w:tcPr>
            <w:tcW w:w="452" w:type="dxa"/>
            <w:tcBorders>
              <w:top w:val="single" w:sz="15" w:space="0" w:color="000000"/>
              <w:left w:val="single" w:sz="4" w:space="0" w:color="000000"/>
              <w:bottom w:val="single" w:sz="4" w:space="0" w:color="000000"/>
              <w:right w:val="single" w:sz="4" w:space="0" w:color="000000"/>
            </w:tcBorders>
          </w:tcPr>
          <w:p>
            <w:pPr/>
          </w:p>
        </w:tc>
        <w:tc>
          <w:tcPr>
            <w:tcW w:w="359" w:type="dxa"/>
            <w:tcBorders>
              <w:top w:val="single" w:sz="15" w:space="0" w:color="000000"/>
              <w:left w:val="single" w:sz="4" w:space="0" w:color="000000"/>
              <w:bottom w:val="single" w:sz="4" w:space="0" w:color="000000"/>
              <w:right w:val="single" w:sz="4" w:space="0" w:color="000000"/>
            </w:tcBorders>
          </w:tcPr>
          <w:p>
            <w:pPr/>
          </w:p>
        </w:tc>
        <w:tc>
          <w:tcPr>
            <w:tcW w:w="1264" w:type="dxa"/>
            <w:tcBorders>
              <w:top w:val="single" w:sz="15" w:space="0" w:color="000000"/>
              <w:left w:val="single" w:sz="4" w:space="0" w:color="000000"/>
              <w:bottom w:val="single" w:sz="4" w:space="0" w:color="000000"/>
              <w:right w:val="single" w:sz="4" w:space="0" w:color="000000"/>
            </w:tcBorders>
          </w:tcPr>
          <w:p>
            <w:pPr/>
          </w:p>
        </w:tc>
        <w:tc>
          <w:tcPr>
            <w:tcW w:w="755" w:type="dxa"/>
            <w:tcBorders>
              <w:top w:val="single" w:sz="15" w:space="0" w:color="000000"/>
              <w:left w:val="single" w:sz="4" w:space="0" w:color="000000"/>
              <w:bottom w:val="single" w:sz="4" w:space="0" w:color="000000"/>
              <w:right w:val="single" w:sz="4" w:space="0" w:color="000000"/>
            </w:tcBorders>
          </w:tcPr>
          <w:p>
            <w:pPr/>
          </w:p>
        </w:tc>
        <w:tc>
          <w:tcPr>
            <w:tcW w:w="729" w:type="dxa"/>
            <w:tcBorders>
              <w:top w:val="single" w:sz="15" w:space="0" w:color="000000"/>
              <w:left w:val="single" w:sz="4" w:space="0" w:color="000000"/>
              <w:bottom w:val="single" w:sz="4" w:space="0" w:color="000000"/>
              <w:right w:val="single" w:sz="4" w:space="0" w:color="000000"/>
            </w:tcBorders>
          </w:tcPr>
          <w:p>
            <w:pPr/>
          </w:p>
        </w:tc>
        <w:tc>
          <w:tcPr>
            <w:tcW w:w="544" w:type="dxa"/>
            <w:tcBorders>
              <w:top w:val="single" w:sz="15" w:space="0" w:color="000000"/>
              <w:left w:val="single" w:sz="4" w:space="0" w:color="000000"/>
              <w:bottom w:val="single" w:sz="4" w:space="0" w:color="000000"/>
              <w:right w:val="single" w:sz="4" w:space="0" w:color="000000"/>
            </w:tcBorders>
          </w:tcPr>
          <w:p>
            <w:pPr/>
          </w:p>
        </w:tc>
        <w:tc>
          <w:tcPr>
            <w:tcW w:w="1265" w:type="dxa"/>
            <w:tcBorders>
              <w:top w:val="single" w:sz="15" w:space="0" w:color="000000"/>
              <w:left w:val="single" w:sz="4" w:space="0" w:color="000000"/>
              <w:bottom w:val="single" w:sz="4" w:space="0" w:color="000000"/>
              <w:right w:val="single" w:sz="4" w:space="0" w:color="000000"/>
            </w:tcBorders>
          </w:tcPr>
          <w:p>
            <w:pPr/>
          </w:p>
        </w:tc>
        <w:tc>
          <w:tcPr>
            <w:tcW w:w="727" w:type="dxa"/>
            <w:tcBorders>
              <w:top w:val="single" w:sz="15" w:space="0" w:color="000000"/>
              <w:left w:val="single" w:sz="4" w:space="0" w:color="000000"/>
              <w:bottom w:val="single" w:sz="4" w:space="0" w:color="000000"/>
              <w:right w:val="single" w:sz="4" w:space="0" w:color="000000"/>
            </w:tcBorders>
          </w:tcPr>
          <w:p>
            <w:pPr/>
          </w:p>
        </w:tc>
        <w:tc>
          <w:tcPr>
            <w:tcW w:w="1369" w:type="dxa"/>
            <w:tcBorders>
              <w:top w:val="single" w:sz="15" w:space="0" w:color="000000"/>
              <w:left w:val="single" w:sz="4" w:space="0" w:color="000000"/>
              <w:bottom w:val="single" w:sz="4" w:space="0" w:color="000000"/>
              <w:right w:val="single" w:sz="4" w:space="0" w:color="000000"/>
            </w:tcBorders>
          </w:tcPr>
          <w:p>
            <w:pPr/>
          </w:p>
        </w:tc>
        <w:tc>
          <w:tcPr>
            <w:tcW w:w="1141" w:type="dxa"/>
            <w:tcBorders>
              <w:top w:val="single" w:sz="15" w:space="0" w:color="000000"/>
              <w:left w:val="single" w:sz="4" w:space="0" w:color="000000"/>
              <w:bottom w:val="single" w:sz="4" w:space="0" w:color="000000"/>
              <w:right w:val="single" w:sz="4" w:space="0" w:color="000000"/>
            </w:tcBorders>
          </w:tcPr>
          <w:p>
            <w:pPr/>
          </w:p>
        </w:tc>
        <w:tc>
          <w:tcPr>
            <w:tcW w:w="1440"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264"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4,611,000.17</w:t>
            </w: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7" w:right="0"/>
              <w:jc w:val="center"/>
              <w:rPr>
                <w:rFonts w:ascii="Times New Roman" w:hAnsi="Times New Roman" w:cs="Times New Roman" w:eastAsia="Times New Roman" w:hint="default"/>
                <w:sz w:val="21"/>
                <w:szCs w:val="21"/>
              </w:rPr>
            </w:pPr>
            <w:r>
              <w:rPr>
                <w:rFonts w:ascii="Times New Roman"/>
                <w:sz w:val="21"/>
              </w:rPr>
              <w:t>-16,182,908.32</w:t>
            </w: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5" w:right="0"/>
              <w:jc w:val="center"/>
              <w:rPr>
                <w:rFonts w:ascii="Times New Roman" w:hAnsi="Times New Roman" w:cs="Times New Roman" w:eastAsia="Times New Roman" w:hint="default"/>
                <w:sz w:val="21"/>
                <w:szCs w:val="21"/>
              </w:rPr>
            </w:pPr>
            <w:r>
              <w:rPr>
                <w:rFonts w:ascii="Times New Roman"/>
                <w:sz w:val="21"/>
              </w:rPr>
              <w:t>-11,571,908.15</w:t>
            </w: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264"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4,611,000.17</w:t>
            </w: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50" w:right="0"/>
              <w:jc w:val="center"/>
              <w:rPr>
                <w:rFonts w:ascii="Times New Roman" w:hAnsi="Times New Roman" w:cs="Times New Roman" w:eastAsia="Times New Roman" w:hint="default"/>
                <w:sz w:val="21"/>
                <w:szCs w:val="21"/>
              </w:rPr>
            </w:pPr>
            <w:r>
              <w:rPr>
                <w:rFonts w:ascii="Times New Roman"/>
                <w:sz w:val="21"/>
              </w:rPr>
              <w:t>-4,611,000.17</w:t>
            </w: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264"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22" w:right="15"/>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 的分配</w:t>
            </w:r>
          </w:p>
        </w:tc>
        <w:tc>
          <w:tcPr>
            <w:tcW w:w="1264"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6" w:right="0"/>
              <w:jc w:val="center"/>
              <w:rPr>
                <w:rFonts w:ascii="Times New Roman" w:hAnsi="Times New Roman" w:cs="Times New Roman" w:eastAsia="Times New Roman" w:hint="default"/>
                <w:sz w:val="21"/>
                <w:szCs w:val="21"/>
              </w:rPr>
            </w:pPr>
            <w:r>
              <w:rPr>
                <w:rFonts w:ascii="Times New Roman"/>
                <w:sz w:val="21"/>
              </w:rPr>
              <w:t>-11,571,908.15</w:t>
            </w: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5" w:right="0"/>
              <w:jc w:val="center"/>
              <w:rPr>
                <w:rFonts w:ascii="Times New Roman" w:hAnsi="Times New Roman" w:cs="Times New Roman" w:eastAsia="Times New Roman" w:hint="default"/>
                <w:sz w:val="21"/>
                <w:szCs w:val="21"/>
              </w:rPr>
            </w:pPr>
            <w:r>
              <w:rPr>
                <w:rFonts w:ascii="Times New Roman"/>
                <w:sz w:val="21"/>
              </w:rPr>
              <w:t>-11,571,908.15</w:t>
            </w: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4"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（四）所有者权益内部 结转</w:t>
            </w:r>
          </w:p>
        </w:tc>
        <w:tc>
          <w:tcPr>
            <w:tcW w:w="1264"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w:t>
            </w:r>
          </w:p>
          <w:p>
            <w:pPr>
              <w:pStyle w:val="TableParagraph"/>
              <w:spacing w:line="240" w:lineRule="auto" w:before="23"/>
              <w:ind w:left="22"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264"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264"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264"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4"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264"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264"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264"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264"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b/>
                <w:bCs/>
                <w:sz w:val="21"/>
                <w:szCs w:val="21"/>
              </w:rPr>
              <w:t>四、本期期末余额</w:t>
            </w:r>
            <w:r>
              <w:rPr>
                <w:rFonts w:ascii="宋体" w:hAnsi="宋体" w:cs="宋体" w:eastAsia="宋体" w:hint="default"/>
                <w:sz w:val="21"/>
                <w:szCs w:val="21"/>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90,000,000.00</w:t>
            </w:r>
          </w:p>
        </w:tc>
        <w:tc>
          <w:tcPr>
            <w:tcW w:w="45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29,880,245.78</w:t>
            </w:r>
          </w:p>
        </w:tc>
        <w:tc>
          <w:tcPr>
            <w:tcW w:w="755" w:type="dxa"/>
            <w:tcBorders>
              <w:top w:val="single" w:sz="4" w:space="0" w:color="000000"/>
              <w:left w:val="single" w:sz="4" w:space="0" w:color="000000"/>
              <w:bottom w:val="single" w:sz="4" w:space="0" w:color="000000"/>
              <w:right w:val="single" w:sz="4" w:space="0" w:color="000000"/>
            </w:tcBorders>
          </w:tcPr>
          <w:p>
            <w:pPr/>
          </w:p>
        </w:tc>
        <w:tc>
          <w:tcPr>
            <w:tcW w:w="729"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13,794,398.76</w:t>
            </w:r>
          </w:p>
        </w:tc>
        <w:tc>
          <w:tcPr>
            <w:tcW w:w="7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129,661,894.51</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63" w:right="0"/>
              <w:jc w:val="left"/>
              <w:rPr>
                <w:rFonts w:ascii="Times New Roman" w:hAnsi="Times New Roman" w:cs="Times New Roman" w:eastAsia="Times New Roman" w:hint="default"/>
                <w:sz w:val="21"/>
                <w:szCs w:val="21"/>
              </w:rPr>
            </w:pPr>
            <w:r>
              <w:rPr>
                <w:rFonts w:ascii="Times New Roman"/>
                <w:sz w:val="21"/>
              </w:rPr>
              <w:t>775,076.70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7" w:right="0"/>
              <w:jc w:val="center"/>
              <w:rPr>
                <w:rFonts w:ascii="Times New Roman" w:hAnsi="Times New Roman" w:cs="Times New Roman" w:eastAsia="Times New Roman" w:hint="default"/>
                <w:sz w:val="21"/>
                <w:szCs w:val="21"/>
              </w:rPr>
            </w:pPr>
            <w:r>
              <w:rPr>
                <w:rFonts w:ascii="Times New Roman"/>
                <w:sz w:val="21"/>
              </w:rPr>
              <w:t>264,111,615.75</w:t>
            </w:r>
          </w:p>
        </w:tc>
      </w:tr>
    </w:tbl>
    <w:p>
      <w:pPr>
        <w:spacing w:line="240" w:lineRule="auto" w:before="2"/>
        <w:rPr>
          <w:rFonts w:ascii="宋体" w:hAnsi="宋体" w:cs="宋体" w:eastAsia="宋体" w:hint="default"/>
          <w:sz w:val="18"/>
          <w:szCs w:val="18"/>
        </w:rPr>
      </w:pPr>
    </w:p>
    <w:p>
      <w:pPr>
        <w:spacing w:before="26"/>
        <w:ind w:left="140" w:right="0" w:firstLine="0"/>
        <w:jc w:val="left"/>
        <w:rPr>
          <w:rFonts w:ascii="宋体" w:hAnsi="宋体" w:cs="宋体" w:eastAsia="宋体" w:hint="default"/>
          <w:sz w:val="24"/>
          <w:szCs w:val="24"/>
        </w:rPr>
      </w:pPr>
      <w:bookmarkStart w:name="8、母公司所有者权益变动表" w:id="114"/>
      <w:bookmarkEnd w:id="114"/>
      <w:r>
        <w:rPr/>
      </w:r>
      <w:r>
        <w:rPr>
          <w:rFonts w:ascii="Times New Roman" w:hAnsi="Times New Roman" w:cs="Times New Roman" w:eastAsia="Times New Roman" w:hint="default"/>
          <w:b/>
          <w:bCs/>
          <w:sz w:val="24"/>
          <w:szCs w:val="24"/>
        </w:rPr>
        <w:t>8</w:t>
      </w:r>
      <w:r>
        <w:rPr>
          <w:rFonts w:ascii="宋体" w:hAnsi="宋体" w:cs="宋体" w:eastAsia="宋体" w:hint="default"/>
          <w:b/>
          <w:bCs/>
          <w:sz w:val="24"/>
          <w:szCs w:val="24"/>
        </w:rPr>
        <w:t>、母公司所有者权益变动表</w:t>
      </w:r>
      <w:r>
        <w:rPr>
          <w:rFonts w:ascii="宋体" w:hAnsi="宋体" w:cs="宋体" w:eastAsia="宋体" w:hint="default"/>
          <w:sz w:val="24"/>
          <w:szCs w:val="24"/>
        </w:rPr>
      </w:r>
    </w:p>
    <w:p>
      <w:pPr>
        <w:spacing w:line="240" w:lineRule="auto" w:before="6"/>
        <w:rPr>
          <w:rFonts w:ascii="宋体" w:hAnsi="宋体" w:cs="宋体" w:eastAsia="宋体" w:hint="default"/>
          <w:b/>
          <w:bCs/>
          <w:sz w:val="25"/>
          <w:szCs w:val="25"/>
        </w:rPr>
      </w:pPr>
    </w:p>
    <w:p>
      <w:pPr>
        <w:pStyle w:val="BodyText"/>
        <w:spacing w:line="240" w:lineRule="auto"/>
        <w:ind w:left="620" w:right="0"/>
        <w:jc w:val="left"/>
      </w:pPr>
      <w:r>
        <w:rPr/>
        <w:t>本期金额</w:t>
      </w:r>
    </w:p>
    <w:p>
      <w:pPr>
        <w:pStyle w:val="BodyText"/>
        <w:spacing w:line="240" w:lineRule="auto" w:before="115"/>
        <w:ind w:left="0" w:right="136"/>
        <w:jc w:val="right"/>
      </w:pPr>
      <w:r>
        <w:rPr/>
        <w:t>单位：元</w:t>
      </w:r>
    </w:p>
    <w:p>
      <w:pPr>
        <w:spacing w:after="0" w:line="240" w:lineRule="auto"/>
        <w:jc w:val="right"/>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3172"/>
        <w:gridCol w:w="1276"/>
        <w:gridCol w:w="562"/>
        <w:gridCol w:w="562"/>
        <w:gridCol w:w="415"/>
        <w:gridCol w:w="1264"/>
        <w:gridCol w:w="922"/>
        <w:gridCol w:w="1004"/>
        <w:gridCol w:w="710"/>
        <w:gridCol w:w="1264"/>
        <w:gridCol w:w="1369"/>
        <w:gridCol w:w="1484"/>
      </w:tblGrid>
      <w:tr>
        <w:trPr>
          <w:trHeight w:val="412" w:hRule="exact"/>
        </w:trPr>
        <w:tc>
          <w:tcPr>
            <w:tcW w:w="3172" w:type="dxa"/>
            <w:vMerge w:val="restart"/>
            <w:tcBorders>
              <w:top w:val="single" w:sz="15" w:space="0" w:color="000000"/>
              <w:left w:val="single" w:sz="4" w:space="0" w:color="000000"/>
              <w:right w:val="single" w:sz="4" w:space="0" w:color="000000"/>
            </w:tcBorders>
            <w:shd w:val="clear" w:color="auto" w:fill="D2D2D2"/>
          </w:tcPr>
          <w:p>
            <w:pPr/>
          </w:p>
        </w:tc>
        <w:tc>
          <w:tcPr>
            <w:tcW w:w="10831" w:type="dxa"/>
            <w:gridSpan w:val="11"/>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3" w:right="0"/>
              <w:jc w:val="center"/>
              <w:rPr>
                <w:rFonts w:ascii="宋体" w:hAnsi="宋体" w:cs="宋体" w:eastAsia="宋体" w:hint="default"/>
                <w:sz w:val="21"/>
                <w:szCs w:val="21"/>
              </w:rPr>
            </w:pPr>
            <w:r>
              <w:rPr>
                <w:rFonts w:ascii="宋体" w:hAnsi="宋体" w:cs="宋体" w:eastAsia="宋体" w:hint="default"/>
                <w:b/>
                <w:bCs/>
                <w:sz w:val="21"/>
                <w:szCs w:val="21"/>
              </w:rPr>
              <w:t>本期</w:t>
            </w:r>
            <w:r>
              <w:rPr>
                <w:rFonts w:ascii="宋体" w:hAnsi="宋体" w:cs="宋体" w:eastAsia="宋体" w:hint="default"/>
                <w:sz w:val="21"/>
                <w:szCs w:val="21"/>
              </w:rPr>
            </w:r>
          </w:p>
        </w:tc>
      </w:tr>
      <w:tr>
        <w:trPr>
          <w:trHeight w:val="189" w:hRule="exact"/>
        </w:trPr>
        <w:tc>
          <w:tcPr>
            <w:tcW w:w="3172"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53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1"/>
              <w:ind w:left="131" w:right="0"/>
              <w:jc w:val="left"/>
              <w:rPr>
                <w:rFonts w:ascii="宋体" w:hAnsi="宋体" w:cs="宋体" w:eastAsia="宋体" w:hint="default"/>
                <w:sz w:val="21"/>
                <w:szCs w:val="21"/>
              </w:rPr>
            </w:pPr>
            <w:r>
              <w:rPr>
                <w:rFonts w:ascii="宋体" w:hAnsi="宋体" w:cs="宋体" w:eastAsia="宋体" w:hint="default"/>
                <w:b/>
                <w:bCs/>
                <w:sz w:val="21"/>
                <w:szCs w:val="21"/>
              </w:rPr>
              <w:t>其他权益工具</w:t>
            </w:r>
            <w:r>
              <w:rPr>
                <w:rFonts w:ascii="宋体" w:hAnsi="宋体" w:cs="宋体" w:eastAsia="宋体" w:hint="default"/>
                <w:sz w:val="21"/>
                <w:szCs w:val="21"/>
              </w:rPr>
            </w:r>
          </w:p>
        </w:tc>
        <w:tc>
          <w:tcPr>
            <w:tcW w:w="1264" w:type="dxa"/>
            <w:vMerge w:val="restart"/>
            <w:tcBorders>
              <w:top w:val="single" w:sz="4" w:space="0" w:color="000000"/>
              <w:left w:val="single" w:sz="4" w:space="0" w:color="000000"/>
              <w:right w:val="single" w:sz="4" w:space="0" w:color="000000"/>
            </w:tcBorders>
            <w:shd w:val="clear" w:color="auto" w:fill="D2D2D2"/>
          </w:tcPr>
          <w:p>
            <w:pPr/>
          </w:p>
        </w:tc>
        <w:tc>
          <w:tcPr>
            <w:tcW w:w="9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4"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4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6" w:hRule="exact"/>
        </w:trPr>
        <w:tc>
          <w:tcPr>
            <w:tcW w:w="31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76" w:type="dxa"/>
            <w:vMerge/>
            <w:tcBorders>
              <w:left w:val="single" w:sz="4" w:space="0" w:color="000000"/>
              <w:bottom w:val="single" w:sz="14" w:space="0" w:color="FFFFFF"/>
              <w:right w:val="single" w:sz="4" w:space="0" w:color="000000"/>
            </w:tcBorders>
            <w:shd w:val="clear" w:color="auto" w:fill="D2D2D2"/>
          </w:tcPr>
          <w:p>
            <w:pPr/>
          </w:p>
        </w:tc>
        <w:tc>
          <w:tcPr>
            <w:tcW w:w="1538" w:type="dxa"/>
            <w:gridSpan w:val="3"/>
            <w:vMerge/>
            <w:tcBorders>
              <w:left w:val="single" w:sz="4" w:space="0" w:color="000000"/>
              <w:bottom w:val="single" w:sz="14" w:space="0" w:color="FFFFFF"/>
              <w:right w:val="single" w:sz="4" w:space="0" w:color="000000"/>
            </w:tcBorders>
            <w:shd w:val="clear" w:color="auto" w:fill="D2D2D2"/>
          </w:tcPr>
          <w:p>
            <w:pPr/>
          </w:p>
        </w:tc>
        <w:tc>
          <w:tcPr>
            <w:tcW w:w="1264" w:type="dxa"/>
            <w:vMerge/>
            <w:tcBorders>
              <w:left w:val="single" w:sz="4" w:space="0" w:color="000000"/>
              <w:bottom w:val="single" w:sz="14" w:space="0" w:color="FFFFFF"/>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7"/>
              <w:ind w:left="350" w:right="30" w:hanging="316"/>
              <w:jc w:val="left"/>
              <w:rPr>
                <w:rFonts w:ascii="宋体" w:hAnsi="宋体" w:cs="宋体" w:eastAsia="宋体" w:hint="default"/>
                <w:sz w:val="21"/>
                <w:szCs w:val="21"/>
              </w:rPr>
            </w:pPr>
            <w:r>
              <w:rPr>
                <w:rFonts w:ascii="宋体" w:hAnsi="宋体" w:cs="宋体" w:eastAsia="宋体" w:hint="default"/>
                <w:b/>
                <w:bCs/>
                <w:sz w:val="21"/>
                <w:szCs w:val="21"/>
              </w:rPr>
              <w:t>减：库存</w:t>
            </w:r>
            <w:r>
              <w:rPr>
                <w:rFonts w:ascii="宋体" w:hAnsi="宋体" w:cs="宋体" w:eastAsia="宋体" w:hint="default"/>
                <w:b/>
                <w:bCs/>
                <w:spacing w:val="1"/>
                <w:w w:val="99"/>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tc>
        <w:tc>
          <w:tcPr>
            <w:tcW w:w="100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7"/>
              <w:ind w:left="286" w:right="72" w:hanging="212"/>
              <w:jc w:val="left"/>
              <w:rPr>
                <w:rFonts w:ascii="宋体" w:hAnsi="宋体" w:cs="宋体" w:eastAsia="宋体" w:hint="default"/>
                <w:sz w:val="21"/>
                <w:szCs w:val="21"/>
              </w:rPr>
            </w:pPr>
            <w:r>
              <w:rPr>
                <w:rFonts w:ascii="宋体" w:hAnsi="宋体" w:cs="宋体" w:eastAsia="宋体" w:hint="default"/>
                <w:b/>
                <w:bCs/>
                <w:sz w:val="21"/>
                <w:szCs w:val="21"/>
              </w:rPr>
              <w:t>其他综合</w:t>
            </w:r>
            <w:r>
              <w:rPr>
                <w:rFonts w:ascii="宋体" w:hAnsi="宋体" w:cs="宋体" w:eastAsia="宋体" w:hint="default"/>
                <w:b/>
                <w:bCs/>
                <w:spacing w:val="1"/>
                <w:w w:val="99"/>
                <w:sz w:val="21"/>
                <w:szCs w:val="21"/>
              </w:rPr>
              <w:t> </w:t>
            </w:r>
            <w:r>
              <w:rPr>
                <w:rFonts w:ascii="宋体" w:hAnsi="宋体" w:cs="宋体" w:eastAsia="宋体" w:hint="default"/>
                <w:b/>
                <w:bCs/>
                <w:sz w:val="21"/>
                <w:szCs w:val="21"/>
              </w:rPr>
              <w:t>收益</w:t>
            </w:r>
            <w:r>
              <w:rPr>
                <w:rFonts w:ascii="宋体" w:hAnsi="宋体" w:cs="宋体" w:eastAsia="宋体" w:hint="default"/>
                <w:sz w:val="21"/>
                <w:szCs w:val="21"/>
              </w:rPr>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7"/>
              <w:ind w:left="244" w:right="30" w:hanging="210"/>
              <w:jc w:val="left"/>
              <w:rPr>
                <w:rFonts w:ascii="宋体" w:hAnsi="宋体" w:cs="宋体" w:eastAsia="宋体" w:hint="default"/>
                <w:sz w:val="21"/>
                <w:szCs w:val="21"/>
              </w:rPr>
            </w:pPr>
            <w:r>
              <w:rPr>
                <w:rFonts w:ascii="宋体" w:hAnsi="宋体" w:cs="宋体" w:eastAsia="宋体" w:hint="default"/>
                <w:b/>
                <w:bCs/>
                <w:sz w:val="21"/>
                <w:szCs w:val="21"/>
              </w:rPr>
              <w:t>专项储</w:t>
            </w:r>
            <w:r>
              <w:rPr>
                <w:rFonts w:ascii="宋体" w:hAnsi="宋体" w:cs="宋体" w:eastAsia="宋体" w:hint="default"/>
                <w:b/>
                <w:bCs/>
                <w:spacing w:val="1"/>
                <w:w w:val="99"/>
                <w:sz w:val="21"/>
                <w:szCs w:val="21"/>
              </w:rPr>
              <w:t> </w:t>
            </w:r>
            <w:r>
              <w:rPr>
                <w:rFonts w:ascii="宋体" w:hAnsi="宋体" w:cs="宋体" w:eastAsia="宋体" w:hint="default"/>
                <w:b/>
                <w:bCs/>
                <w:sz w:val="21"/>
                <w:szCs w:val="21"/>
              </w:rPr>
              <w:t>备</w:t>
            </w:r>
            <w:r>
              <w:rPr>
                <w:rFonts w:ascii="宋体" w:hAnsi="宋体" w:cs="宋体" w:eastAsia="宋体" w:hint="default"/>
                <w:sz w:val="21"/>
                <w:szCs w:val="21"/>
              </w:rPr>
            </w:r>
          </w:p>
        </w:tc>
        <w:tc>
          <w:tcPr>
            <w:tcW w:w="1264"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48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7"/>
              <w:ind w:left="630" w:right="105" w:hanging="527"/>
              <w:jc w:val="left"/>
              <w:rPr>
                <w:rFonts w:ascii="宋体" w:hAnsi="宋体" w:cs="宋体" w:eastAsia="宋体" w:hint="default"/>
                <w:sz w:val="21"/>
                <w:szCs w:val="21"/>
              </w:rPr>
            </w:pPr>
            <w:r>
              <w:rPr>
                <w:rFonts w:ascii="宋体" w:hAnsi="宋体" w:cs="宋体" w:eastAsia="宋体" w:hint="default"/>
                <w:b/>
                <w:bCs/>
                <w:sz w:val="21"/>
                <w:szCs w:val="21"/>
              </w:rPr>
              <w:t>所有者权益合</w:t>
            </w:r>
            <w:r>
              <w:rPr>
                <w:rFonts w:ascii="宋体" w:hAnsi="宋体" w:cs="宋体" w:eastAsia="宋体" w:hint="default"/>
                <w:b/>
                <w:bCs/>
                <w:w w:val="99"/>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r>
      <w:tr>
        <w:trPr>
          <w:trHeight w:val="182" w:hRule="exact"/>
        </w:trPr>
        <w:tc>
          <w:tcPr>
            <w:tcW w:w="3172"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ind w:left="428" w:right="0"/>
              <w:jc w:val="left"/>
              <w:rPr>
                <w:rFonts w:ascii="宋体" w:hAnsi="宋体" w:cs="宋体" w:eastAsia="宋体" w:hint="default"/>
                <w:sz w:val="21"/>
                <w:szCs w:val="21"/>
              </w:rPr>
            </w:pPr>
            <w:r>
              <w:rPr>
                <w:rFonts w:ascii="宋体" w:hAnsi="宋体" w:cs="宋体" w:eastAsia="宋体" w:hint="default"/>
                <w:b/>
                <w:bCs/>
                <w:sz w:val="21"/>
                <w:szCs w:val="21"/>
              </w:rPr>
              <w:t>股本</w:t>
            </w:r>
            <w:r>
              <w:rPr>
                <w:rFonts w:ascii="宋体" w:hAnsi="宋体" w:cs="宋体" w:eastAsia="宋体" w:hint="default"/>
                <w:sz w:val="21"/>
                <w:szCs w:val="21"/>
              </w:rPr>
            </w:r>
          </w:p>
        </w:tc>
        <w:tc>
          <w:tcPr>
            <w:tcW w:w="562" w:type="dxa"/>
            <w:vMerge w:val="restart"/>
            <w:tcBorders>
              <w:top w:val="single" w:sz="14" w:space="0" w:color="FFFFFF"/>
              <w:left w:val="single" w:sz="4" w:space="0" w:color="000000"/>
              <w:right w:val="single" w:sz="4" w:space="0" w:color="000000"/>
            </w:tcBorders>
            <w:shd w:val="clear" w:color="auto" w:fill="D2D2D2"/>
          </w:tcPr>
          <w:p>
            <w:pPr>
              <w:pStyle w:val="TableParagraph"/>
              <w:spacing w:line="273" w:lineRule="auto" w:before="44"/>
              <w:ind w:left="170" w:right="62" w:hanging="106"/>
              <w:jc w:val="left"/>
              <w:rPr>
                <w:rFonts w:ascii="宋体" w:hAnsi="宋体" w:cs="宋体" w:eastAsia="宋体" w:hint="default"/>
                <w:sz w:val="21"/>
                <w:szCs w:val="21"/>
              </w:rPr>
            </w:pPr>
            <w:r>
              <w:rPr>
                <w:rFonts w:ascii="宋体" w:hAnsi="宋体" w:cs="宋体" w:eastAsia="宋体" w:hint="default"/>
                <w:b/>
                <w:bCs/>
                <w:sz w:val="21"/>
                <w:szCs w:val="21"/>
              </w:rPr>
              <w:t>优先</w:t>
            </w:r>
            <w:r>
              <w:rPr>
                <w:rFonts w:ascii="宋体" w:hAnsi="宋体" w:cs="宋体" w:eastAsia="宋体" w:hint="default"/>
                <w:b/>
                <w:bCs/>
                <w:spacing w:val="1"/>
                <w:w w:val="99"/>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tc>
        <w:tc>
          <w:tcPr>
            <w:tcW w:w="562" w:type="dxa"/>
            <w:vMerge w:val="restart"/>
            <w:tcBorders>
              <w:top w:val="single" w:sz="14" w:space="0" w:color="FFFFFF"/>
              <w:left w:val="single" w:sz="4" w:space="0" w:color="000000"/>
              <w:right w:val="single" w:sz="4" w:space="0" w:color="000000"/>
            </w:tcBorders>
            <w:shd w:val="clear" w:color="auto" w:fill="D2D2D2"/>
          </w:tcPr>
          <w:p>
            <w:pPr>
              <w:pStyle w:val="TableParagraph"/>
              <w:spacing w:line="273" w:lineRule="auto" w:before="44"/>
              <w:ind w:left="170" w:right="62" w:hanging="106"/>
              <w:jc w:val="left"/>
              <w:rPr>
                <w:rFonts w:ascii="宋体" w:hAnsi="宋体" w:cs="宋体" w:eastAsia="宋体" w:hint="default"/>
                <w:sz w:val="21"/>
                <w:szCs w:val="21"/>
              </w:rPr>
            </w:pPr>
            <w:r>
              <w:rPr>
                <w:rFonts w:ascii="宋体" w:hAnsi="宋体" w:cs="宋体" w:eastAsia="宋体" w:hint="default"/>
                <w:b/>
                <w:bCs/>
                <w:sz w:val="21"/>
                <w:szCs w:val="21"/>
              </w:rPr>
              <w:t>永续</w:t>
            </w:r>
            <w:r>
              <w:rPr>
                <w:rFonts w:ascii="宋体" w:hAnsi="宋体" w:cs="宋体" w:eastAsia="宋体" w:hint="default"/>
                <w:b/>
                <w:bCs/>
                <w:spacing w:val="1"/>
                <w:w w:val="99"/>
                <w:sz w:val="21"/>
                <w:szCs w:val="21"/>
              </w:rPr>
              <w:t> </w:t>
            </w:r>
            <w:r>
              <w:rPr>
                <w:rFonts w:ascii="宋体" w:hAnsi="宋体" w:cs="宋体" w:eastAsia="宋体" w:hint="default"/>
                <w:b/>
                <w:bCs/>
                <w:sz w:val="21"/>
                <w:szCs w:val="21"/>
              </w:rPr>
              <w:t>债</w:t>
            </w:r>
            <w:r>
              <w:rPr>
                <w:rFonts w:ascii="宋体" w:hAnsi="宋体" w:cs="宋体" w:eastAsia="宋体" w:hint="default"/>
                <w:sz w:val="21"/>
                <w:szCs w:val="21"/>
              </w:rPr>
            </w:r>
          </w:p>
        </w:tc>
        <w:tc>
          <w:tcPr>
            <w:tcW w:w="415" w:type="dxa"/>
            <w:vMerge w:val="restart"/>
            <w:tcBorders>
              <w:top w:val="single" w:sz="14" w:space="0" w:color="FFFFFF"/>
              <w:left w:val="single" w:sz="4" w:space="0" w:color="000000"/>
              <w:right w:val="single" w:sz="4" w:space="0" w:color="000000"/>
            </w:tcBorders>
            <w:shd w:val="clear" w:color="auto" w:fill="D2D2D2"/>
          </w:tcPr>
          <w:p>
            <w:pPr>
              <w:pStyle w:val="TableParagraph"/>
              <w:spacing w:line="273" w:lineRule="auto" w:before="44"/>
              <w:ind w:left="96" w:right="97"/>
              <w:jc w:val="left"/>
              <w:rPr>
                <w:rFonts w:ascii="宋体" w:hAnsi="宋体" w:cs="宋体" w:eastAsia="宋体" w:hint="default"/>
                <w:sz w:val="21"/>
                <w:szCs w:val="21"/>
              </w:rPr>
            </w:pPr>
            <w:r>
              <w:rPr>
                <w:rFonts w:ascii="宋体" w:hAnsi="宋体" w:cs="宋体" w:eastAsia="宋体" w:hint="default"/>
                <w:b/>
                <w:bCs/>
                <w:sz w:val="21"/>
                <w:szCs w:val="21"/>
              </w:rPr>
              <w:t>其</w:t>
            </w:r>
            <w:r>
              <w:rPr>
                <w:rFonts w:ascii="宋体" w:hAnsi="宋体" w:cs="宋体" w:eastAsia="宋体" w:hint="default"/>
                <w:b/>
                <w:bCs/>
                <w:w w:val="99"/>
                <w:sz w:val="21"/>
                <w:szCs w:val="21"/>
              </w:rPr>
              <w:t> </w:t>
            </w:r>
            <w:r>
              <w:rPr>
                <w:rFonts w:ascii="宋体" w:hAnsi="宋体" w:cs="宋体" w:eastAsia="宋体" w:hint="default"/>
                <w:b/>
                <w:bCs/>
                <w:sz w:val="21"/>
                <w:szCs w:val="21"/>
              </w:rPr>
              <w:t>他</w:t>
            </w:r>
            <w:r>
              <w:rPr>
                <w:rFonts w:ascii="宋体" w:hAnsi="宋体" w:cs="宋体" w:eastAsia="宋体" w:hint="default"/>
                <w:sz w:val="21"/>
                <w:szCs w:val="21"/>
              </w:rPr>
            </w:r>
          </w:p>
        </w:tc>
        <w:tc>
          <w:tcPr>
            <w:tcW w:w="1264"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b/>
                <w:bCs/>
                <w:sz w:val="21"/>
                <w:szCs w:val="21"/>
              </w:rPr>
              <w:t>资本公积</w:t>
            </w:r>
            <w:r>
              <w:rPr>
                <w:rFonts w:ascii="宋体" w:hAnsi="宋体" w:cs="宋体" w:eastAsia="宋体" w:hint="default"/>
                <w:sz w:val="21"/>
                <w:szCs w:val="21"/>
              </w:rPr>
            </w:r>
          </w:p>
        </w:tc>
        <w:tc>
          <w:tcPr>
            <w:tcW w:w="922" w:type="dxa"/>
            <w:vMerge/>
            <w:tcBorders>
              <w:left w:val="single" w:sz="4" w:space="0" w:color="000000"/>
              <w:right w:val="single" w:sz="4" w:space="0" w:color="000000"/>
            </w:tcBorders>
            <w:shd w:val="clear" w:color="auto" w:fill="D2D2D2"/>
          </w:tcPr>
          <w:p>
            <w:pPr/>
          </w:p>
        </w:tc>
        <w:tc>
          <w:tcPr>
            <w:tcW w:w="1004"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2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7"/>
              <w:ind w:left="205" w:right="0"/>
              <w:jc w:val="left"/>
              <w:rPr>
                <w:rFonts w:ascii="宋体" w:hAnsi="宋体" w:cs="宋体" w:eastAsia="宋体" w:hint="default"/>
                <w:sz w:val="21"/>
                <w:szCs w:val="21"/>
              </w:rPr>
            </w:pPr>
            <w:r>
              <w:rPr>
                <w:rFonts w:ascii="宋体" w:hAnsi="宋体" w:cs="宋体" w:eastAsia="宋体" w:hint="default"/>
                <w:b/>
                <w:bCs/>
                <w:sz w:val="21"/>
                <w:szCs w:val="21"/>
              </w:rPr>
              <w:t>盈余公积</w:t>
            </w:r>
            <w:r>
              <w:rPr>
                <w:rFonts w:ascii="宋体" w:hAnsi="宋体" w:cs="宋体" w:eastAsia="宋体" w:hint="default"/>
                <w:sz w:val="21"/>
                <w:szCs w:val="21"/>
              </w:rPr>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7"/>
              <w:ind w:left="153" w:right="0"/>
              <w:jc w:val="left"/>
              <w:rPr>
                <w:rFonts w:ascii="宋体" w:hAnsi="宋体" w:cs="宋体" w:eastAsia="宋体" w:hint="default"/>
                <w:sz w:val="21"/>
                <w:szCs w:val="21"/>
              </w:rPr>
            </w:pPr>
            <w:r>
              <w:rPr>
                <w:rFonts w:ascii="宋体" w:hAnsi="宋体" w:cs="宋体" w:eastAsia="宋体" w:hint="default"/>
                <w:b/>
                <w:bCs/>
                <w:sz w:val="21"/>
                <w:szCs w:val="21"/>
              </w:rPr>
              <w:t>未分配利润</w:t>
            </w:r>
            <w:r>
              <w:rPr>
                <w:rFonts w:ascii="宋体" w:hAnsi="宋体" w:cs="宋体" w:eastAsia="宋体" w:hint="default"/>
                <w:sz w:val="21"/>
                <w:szCs w:val="21"/>
              </w:rPr>
            </w:r>
          </w:p>
        </w:tc>
        <w:tc>
          <w:tcPr>
            <w:tcW w:w="1484" w:type="dxa"/>
            <w:vMerge/>
            <w:tcBorders>
              <w:left w:val="single" w:sz="4" w:space="0" w:color="000000"/>
              <w:right w:val="single" w:sz="4" w:space="0" w:color="000000"/>
            </w:tcBorders>
            <w:shd w:val="clear" w:color="auto" w:fill="D2D2D2"/>
          </w:tcPr>
          <w:p>
            <w:pPr/>
          </w:p>
        </w:tc>
      </w:tr>
      <w:tr>
        <w:trPr>
          <w:trHeight w:val="200" w:hRule="exact"/>
        </w:trPr>
        <w:tc>
          <w:tcPr>
            <w:tcW w:w="3172"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1264" w:type="dxa"/>
            <w:vMerge/>
            <w:tcBorders>
              <w:left w:val="single" w:sz="4" w:space="0" w:color="000000"/>
              <w:bottom w:val="nil" w:sz="6" w:space="0" w:color="auto"/>
              <w:right w:val="single" w:sz="4" w:space="0" w:color="000000"/>
            </w:tcBorders>
            <w:shd w:val="clear" w:color="auto" w:fill="D2D2D2"/>
          </w:tcPr>
          <w:p>
            <w:pPr/>
          </w:p>
        </w:tc>
        <w:tc>
          <w:tcPr>
            <w:tcW w:w="922" w:type="dxa"/>
            <w:vMerge/>
            <w:tcBorders>
              <w:left w:val="single" w:sz="4" w:space="0" w:color="000000"/>
              <w:right w:val="single" w:sz="4" w:space="0" w:color="000000"/>
            </w:tcBorders>
            <w:shd w:val="clear" w:color="auto" w:fill="D2D2D2"/>
          </w:tcPr>
          <w:p>
            <w:pPr/>
          </w:p>
        </w:tc>
        <w:tc>
          <w:tcPr>
            <w:tcW w:w="1004"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264"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484" w:type="dxa"/>
            <w:vMerge/>
            <w:tcBorders>
              <w:left w:val="single" w:sz="4" w:space="0" w:color="000000"/>
              <w:right w:val="single" w:sz="4" w:space="0" w:color="000000"/>
            </w:tcBorders>
            <w:shd w:val="clear" w:color="auto" w:fill="D2D2D2"/>
          </w:tcPr>
          <w:p>
            <w:pPr/>
          </w:p>
        </w:tc>
      </w:tr>
      <w:tr>
        <w:trPr>
          <w:trHeight w:val="156" w:hRule="exact"/>
        </w:trPr>
        <w:tc>
          <w:tcPr>
            <w:tcW w:w="3172"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1264" w:type="dxa"/>
            <w:vMerge w:val="restart"/>
            <w:tcBorders>
              <w:top w:val="nil" w:sz="6" w:space="0" w:color="auto"/>
              <w:left w:val="single" w:sz="4" w:space="0" w:color="000000"/>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c>
          <w:tcPr>
            <w:tcW w:w="1004"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264" w:type="dxa"/>
            <w:vMerge w:val="restart"/>
            <w:tcBorders>
              <w:top w:val="nil" w:sz="6" w:space="0" w:color="auto"/>
              <w:left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
        </w:tc>
        <w:tc>
          <w:tcPr>
            <w:tcW w:w="1484"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3172"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415" w:type="dxa"/>
            <w:vMerge/>
            <w:tcBorders>
              <w:left w:val="single" w:sz="4" w:space="0" w:color="000000"/>
              <w:bottom w:val="single" w:sz="4" w:space="0" w:color="000000"/>
              <w:right w:val="single" w:sz="4" w:space="0" w:color="000000"/>
            </w:tcBorders>
            <w:shd w:val="clear" w:color="auto" w:fill="D2D2D2"/>
          </w:tcPr>
          <w:p>
            <w:pPr/>
          </w:p>
        </w:tc>
        <w:tc>
          <w:tcPr>
            <w:tcW w:w="1264" w:type="dxa"/>
            <w:vMerge/>
            <w:tcBorders>
              <w:left w:val="single" w:sz="4" w:space="0" w:color="000000"/>
              <w:bottom w:val="single" w:sz="4" w:space="0" w:color="000000"/>
              <w:right w:val="single" w:sz="4" w:space="0" w:color="000000"/>
            </w:tcBorders>
            <w:shd w:val="clear" w:color="auto" w:fill="D2D2D2"/>
          </w:tcPr>
          <w:p>
            <w:pPr/>
          </w:p>
        </w:tc>
        <w:tc>
          <w:tcPr>
            <w:tcW w:w="9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4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一、上年期末余额</w:t>
            </w:r>
            <w:r>
              <w:rPr>
                <w:rFonts w:ascii="宋体" w:hAnsi="宋体" w:cs="宋体" w:eastAsia="宋体" w:hint="default"/>
                <w:sz w:val="21"/>
                <w:szCs w:val="21"/>
              </w:rPr>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90,000,000.00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30,325,381.10</w:t>
            </w: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13,794,398.76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108,977,680.77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243,097,460.63</w:t>
            </w:r>
          </w:p>
        </w:tc>
      </w:tr>
      <w:tr>
        <w:trPr>
          <w:trHeight w:val="402"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276" w:type="dxa"/>
            <w:tcBorders>
              <w:top w:val="single" w:sz="4" w:space="0" w:color="000000"/>
              <w:left w:val="single" w:sz="13" w:space="0" w:color="D2D2D2"/>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276" w:type="dxa"/>
            <w:tcBorders>
              <w:top w:val="single" w:sz="4" w:space="0" w:color="000000"/>
              <w:left w:val="single" w:sz="13" w:space="0" w:color="D2D2D2"/>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76" w:type="dxa"/>
            <w:tcBorders>
              <w:top w:val="single" w:sz="4" w:space="0" w:color="000000"/>
              <w:left w:val="single" w:sz="13" w:space="0" w:color="D2D2D2"/>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二、本年期初余额</w:t>
            </w:r>
            <w:r>
              <w:rPr>
                <w:rFonts w:ascii="宋体" w:hAnsi="宋体" w:cs="宋体" w:eastAsia="宋体" w:hint="default"/>
                <w:sz w:val="21"/>
                <w:szCs w:val="21"/>
              </w:rPr>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90,000,000.00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30,325,381.10</w:t>
            </w: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13,794,398.76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108,977,680.77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243,097,460.63</w:t>
            </w:r>
          </w:p>
        </w:tc>
      </w:tr>
      <w:tr>
        <w:trPr>
          <w:trHeight w:val="71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三、本期增减变动金额（减少以</w:t>
            </w:r>
            <w:r>
              <w:rPr>
                <w:rFonts w:ascii="宋体" w:hAnsi="宋体" w:cs="宋体" w:eastAsia="宋体" w:hint="default"/>
                <w:sz w:val="21"/>
                <w:szCs w:val="21"/>
              </w:rPr>
            </w:r>
          </w:p>
          <w:p>
            <w:pPr>
              <w:pStyle w:val="TableParagraph"/>
              <w:spacing w:line="240" w:lineRule="auto" w:before="38"/>
              <w:ind w:left="1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1276" w:type="dxa"/>
            <w:tcBorders>
              <w:top w:val="single" w:sz="4" w:space="0" w:color="000000"/>
              <w:left w:val="single" w:sz="13" w:space="0" w:color="D2D2D2"/>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6,403,951.32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49,335,761.52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55,739,712.84</w:t>
            </w:r>
          </w:p>
        </w:tc>
      </w:tr>
      <w:tr>
        <w:trPr>
          <w:trHeight w:val="402"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276" w:type="dxa"/>
            <w:tcBorders>
              <w:top w:val="single" w:sz="4" w:space="0" w:color="000000"/>
              <w:left w:val="single" w:sz="13" w:space="0" w:color="D2D2D2"/>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64,039,513.15</w:t>
            </w:r>
            <w:r>
              <w:rPr>
                <w:rFonts w:ascii="Times New Roman"/>
                <w:sz w:val="21"/>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64,039,513.15</w:t>
            </w:r>
          </w:p>
        </w:tc>
      </w:tr>
      <w:tr>
        <w:trPr>
          <w:trHeight w:val="402"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（二）所有者投入和减少资本</w:t>
            </w:r>
          </w:p>
        </w:tc>
        <w:tc>
          <w:tcPr>
            <w:tcW w:w="1276" w:type="dxa"/>
            <w:tcBorders>
              <w:top w:val="single" w:sz="4" w:space="0" w:color="000000"/>
              <w:left w:val="single" w:sz="13" w:space="0" w:color="D2D2D2"/>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．股东投入的普通股</w:t>
            </w:r>
          </w:p>
        </w:tc>
        <w:tc>
          <w:tcPr>
            <w:tcW w:w="1276" w:type="dxa"/>
            <w:tcBorders>
              <w:top w:val="single" w:sz="4" w:space="0" w:color="000000"/>
              <w:left w:val="single" w:sz="13" w:space="0" w:color="D2D2D2"/>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．其他权益工具持有者投入资本</w:t>
            </w:r>
          </w:p>
        </w:tc>
        <w:tc>
          <w:tcPr>
            <w:tcW w:w="1276" w:type="dxa"/>
            <w:tcBorders>
              <w:top w:val="single" w:sz="4" w:space="0" w:color="000000"/>
              <w:left w:val="single" w:sz="13" w:space="0" w:color="D2D2D2"/>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11" w:right="104"/>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．股份支付计入所有者权益的金 额</w:t>
            </w:r>
          </w:p>
        </w:tc>
        <w:tc>
          <w:tcPr>
            <w:tcW w:w="1276" w:type="dxa"/>
            <w:tcBorders>
              <w:top w:val="single" w:sz="4" w:space="0" w:color="000000"/>
              <w:left w:val="single" w:sz="13" w:space="0" w:color="D2D2D2"/>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76" w:type="dxa"/>
            <w:tcBorders>
              <w:top w:val="single" w:sz="4" w:space="0" w:color="000000"/>
              <w:left w:val="single" w:sz="13" w:space="0" w:color="D2D2D2"/>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276" w:type="dxa"/>
            <w:tcBorders>
              <w:top w:val="single" w:sz="4" w:space="0" w:color="000000"/>
              <w:left w:val="single" w:sz="13" w:space="0" w:color="D2D2D2"/>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6,403,951.32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-14,703,751.63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-8,299,800.31</w:t>
            </w:r>
          </w:p>
        </w:tc>
      </w:tr>
      <w:tr>
        <w:trPr>
          <w:trHeight w:val="402"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276" w:type="dxa"/>
            <w:tcBorders>
              <w:top w:val="single" w:sz="4" w:space="0" w:color="000000"/>
              <w:left w:val="single" w:sz="13" w:space="0" w:color="D2D2D2"/>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6,403,951.32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-6,403,951.32</w:t>
            </w: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．对所有者（或股东）的分配</w:t>
            </w:r>
          </w:p>
        </w:tc>
        <w:tc>
          <w:tcPr>
            <w:tcW w:w="1276" w:type="dxa"/>
            <w:tcBorders>
              <w:top w:val="single" w:sz="4" w:space="0" w:color="000000"/>
              <w:left w:val="single" w:sz="13" w:space="0" w:color="D2D2D2"/>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-8,299,800.31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-8,299,800.31</w:t>
            </w:r>
          </w:p>
        </w:tc>
      </w:tr>
      <w:tr>
        <w:trPr>
          <w:trHeight w:val="402"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276" w:type="dxa"/>
            <w:tcBorders>
              <w:top w:val="single" w:sz="4" w:space="0" w:color="000000"/>
              <w:left w:val="single" w:sz="13" w:space="0" w:color="D2D2D2"/>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（四）所有者权益内部结转</w:t>
            </w:r>
          </w:p>
        </w:tc>
        <w:tc>
          <w:tcPr>
            <w:tcW w:w="1276" w:type="dxa"/>
            <w:tcBorders>
              <w:top w:val="single" w:sz="4" w:space="0" w:color="000000"/>
              <w:left w:val="single" w:sz="13" w:space="0" w:color="D2D2D2"/>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．资本公积转增资本（或股本）</w:t>
            </w:r>
          </w:p>
        </w:tc>
        <w:tc>
          <w:tcPr>
            <w:tcW w:w="1276" w:type="dxa"/>
            <w:tcBorders>
              <w:top w:val="single" w:sz="4" w:space="0" w:color="000000"/>
              <w:left w:val="single" w:sz="13" w:space="0" w:color="D2D2D2"/>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195"/>
        <w:gridCol w:w="1265"/>
        <w:gridCol w:w="562"/>
        <w:gridCol w:w="562"/>
        <w:gridCol w:w="415"/>
        <w:gridCol w:w="1264"/>
        <w:gridCol w:w="922"/>
        <w:gridCol w:w="1004"/>
        <w:gridCol w:w="710"/>
        <w:gridCol w:w="1264"/>
        <w:gridCol w:w="1369"/>
        <w:gridCol w:w="1484"/>
      </w:tblGrid>
      <w:tr>
        <w:trPr>
          <w:trHeight w:val="416" w:hRule="exact"/>
        </w:trPr>
        <w:tc>
          <w:tcPr>
            <w:tcW w:w="319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．盈余公积转增资本（或股本）</w:t>
            </w:r>
          </w:p>
        </w:tc>
        <w:tc>
          <w:tcPr>
            <w:tcW w:w="1265" w:type="dxa"/>
            <w:tcBorders>
              <w:top w:val="single" w:sz="15" w:space="0" w:color="000000"/>
              <w:left w:val="single" w:sz="4" w:space="0" w:color="000000"/>
              <w:bottom w:val="single" w:sz="4" w:space="0" w:color="000000"/>
              <w:right w:val="single" w:sz="4" w:space="0" w:color="000000"/>
            </w:tcBorders>
          </w:tcPr>
          <w:p>
            <w:pPr/>
          </w:p>
        </w:tc>
        <w:tc>
          <w:tcPr>
            <w:tcW w:w="562" w:type="dxa"/>
            <w:tcBorders>
              <w:top w:val="single" w:sz="15" w:space="0" w:color="000000"/>
              <w:left w:val="single" w:sz="4" w:space="0" w:color="000000"/>
              <w:bottom w:val="single" w:sz="4" w:space="0" w:color="000000"/>
              <w:right w:val="single" w:sz="4" w:space="0" w:color="000000"/>
            </w:tcBorders>
          </w:tcPr>
          <w:p>
            <w:pPr/>
          </w:p>
        </w:tc>
        <w:tc>
          <w:tcPr>
            <w:tcW w:w="562" w:type="dxa"/>
            <w:tcBorders>
              <w:top w:val="single" w:sz="15" w:space="0" w:color="000000"/>
              <w:left w:val="single" w:sz="4" w:space="0" w:color="000000"/>
              <w:bottom w:val="single" w:sz="4" w:space="0" w:color="000000"/>
              <w:right w:val="single" w:sz="4" w:space="0" w:color="000000"/>
            </w:tcBorders>
          </w:tcPr>
          <w:p>
            <w:pPr/>
          </w:p>
        </w:tc>
        <w:tc>
          <w:tcPr>
            <w:tcW w:w="415" w:type="dxa"/>
            <w:tcBorders>
              <w:top w:val="single" w:sz="15" w:space="0" w:color="000000"/>
              <w:left w:val="single" w:sz="4" w:space="0" w:color="000000"/>
              <w:bottom w:val="single" w:sz="4" w:space="0" w:color="000000"/>
              <w:right w:val="single" w:sz="4" w:space="0" w:color="000000"/>
            </w:tcBorders>
          </w:tcPr>
          <w:p>
            <w:pPr/>
          </w:p>
        </w:tc>
        <w:tc>
          <w:tcPr>
            <w:tcW w:w="1264" w:type="dxa"/>
            <w:tcBorders>
              <w:top w:val="single" w:sz="15" w:space="0" w:color="000000"/>
              <w:left w:val="single" w:sz="4" w:space="0" w:color="000000"/>
              <w:bottom w:val="single" w:sz="4" w:space="0" w:color="000000"/>
              <w:right w:val="single" w:sz="4" w:space="0" w:color="000000"/>
            </w:tcBorders>
          </w:tcPr>
          <w:p>
            <w:pPr/>
          </w:p>
        </w:tc>
        <w:tc>
          <w:tcPr>
            <w:tcW w:w="922" w:type="dxa"/>
            <w:tcBorders>
              <w:top w:val="single" w:sz="15" w:space="0" w:color="000000"/>
              <w:left w:val="single" w:sz="4" w:space="0" w:color="000000"/>
              <w:bottom w:val="single" w:sz="4" w:space="0" w:color="000000"/>
              <w:right w:val="single" w:sz="4" w:space="0" w:color="000000"/>
            </w:tcBorders>
          </w:tcPr>
          <w:p>
            <w:pPr/>
          </w:p>
        </w:tc>
        <w:tc>
          <w:tcPr>
            <w:tcW w:w="1004" w:type="dxa"/>
            <w:tcBorders>
              <w:top w:val="single" w:sz="15" w:space="0" w:color="000000"/>
              <w:left w:val="single" w:sz="4" w:space="0" w:color="000000"/>
              <w:bottom w:val="single" w:sz="4" w:space="0" w:color="000000"/>
              <w:right w:val="single" w:sz="4" w:space="0" w:color="000000"/>
            </w:tcBorders>
          </w:tcPr>
          <w:p>
            <w:pPr/>
          </w:p>
        </w:tc>
        <w:tc>
          <w:tcPr>
            <w:tcW w:w="710" w:type="dxa"/>
            <w:tcBorders>
              <w:top w:val="single" w:sz="15" w:space="0" w:color="000000"/>
              <w:left w:val="single" w:sz="4" w:space="0" w:color="000000"/>
              <w:bottom w:val="single" w:sz="4" w:space="0" w:color="000000"/>
              <w:right w:val="single" w:sz="4" w:space="0" w:color="000000"/>
            </w:tcBorders>
          </w:tcPr>
          <w:p>
            <w:pPr/>
          </w:p>
        </w:tc>
        <w:tc>
          <w:tcPr>
            <w:tcW w:w="1264" w:type="dxa"/>
            <w:tcBorders>
              <w:top w:val="single" w:sz="15" w:space="0" w:color="000000"/>
              <w:left w:val="single" w:sz="4" w:space="0" w:color="000000"/>
              <w:bottom w:val="single" w:sz="4" w:space="0" w:color="000000"/>
              <w:right w:val="single" w:sz="4" w:space="0" w:color="000000"/>
            </w:tcBorders>
          </w:tcPr>
          <w:p>
            <w:pPr/>
          </w:p>
        </w:tc>
        <w:tc>
          <w:tcPr>
            <w:tcW w:w="1369" w:type="dxa"/>
            <w:tcBorders>
              <w:top w:val="single" w:sz="15" w:space="0" w:color="000000"/>
              <w:left w:val="single" w:sz="4" w:space="0" w:color="000000"/>
              <w:bottom w:val="single" w:sz="4" w:space="0" w:color="000000"/>
              <w:right w:val="single" w:sz="4" w:space="0" w:color="000000"/>
            </w:tcBorders>
          </w:tcPr>
          <w:p>
            <w:pPr/>
          </w:p>
        </w:tc>
        <w:tc>
          <w:tcPr>
            <w:tcW w:w="1484"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2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2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2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2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2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b/>
                <w:bCs/>
                <w:sz w:val="21"/>
                <w:szCs w:val="21"/>
              </w:rPr>
              <w:t>四、本期期末余额</w:t>
            </w:r>
            <w:r>
              <w:rPr>
                <w:rFonts w:ascii="宋体" w:hAnsi="宋体" w:cs="宋体" w:eastAsia="宋体" w:hint="default"/>
                <w:sz w:val="21"/>
                <w:szCs w:val="21"/>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5" w:right="0"/>
              <w:jc w:val="left"/>
              <w:rPr>
                <w:rFonts w:ascii="Times New Roman" w:hAnsi="Times New Roman" w:cs="Times New Roman" w:eastAsia="Times New Roman" w:hint="default"/>
                <w:sz w:val="21"/>
                <w:szCs w:val="21"/>
              </w:rPr>
            </w:pPr>
            <w:r>
              <w:rPr>
                <w:rFonts w:ascii="Times New Roman"/>
                <w:sz w:val="21"/>
              </w:rPr>
              <w:t>90,000,000.00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30,325,381.10</w:t>
            </w: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20,198,350.08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5" w:right="0"/>
              <w:jc w:val="left"/>
              <w:rPr>
                <w:rFonts w:ascii="Times New Roman" w:hAnsi="Times New Roman" w:cs="Times New Roman" w:eastAsia="Times New Roman" w:hint="default"/>
                <w:sz w:val="21"/>
                <w:szCs w:val="21"/>
              </w:rPr>
            </w:pPr>
            <w:r>
              <w:rPr>
                <w:rFonts w:ascii="Times New Roman"/>
                <w:sz w:val="21"/>
              </w:rPr>
              <w:t>158,313,442.29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8" w:right="0"/>
              <w:jc w:val="left"/>
              <w:rPr>
                <w:rFonts w:ascii="Times New Roman" w:hAnsi="Times New Roman" w:cs="Times New Roman" w:eastAsia="Times New Roman" w:hint="default"/>
                <w:sz w:val="21"/>
                <w:szCs w:val="21"/>
              </w:rPr>
            </w:pPr>
            <w:r>
              <w:rPr>
                <w:rFonts w:ascii="Times New Roman"/>
                <w:sz w:val="21"/>
              </w:rPr>
              <w:t>298,837,173.47</w:t>
            </w:r>
          </w:p>
        </w:tc>
      </w:tr>
    </w:tbl>
    <w:p>
      <w:pPr>
        <w:pStyle w:val="BodyText"/>
        <w:spacing w:line="240" w:lineRule="auto" w:before="81"/>
        <w:ind w:left="620" w:right="0"/>
        <w:jc w:val="left"/>
      </w:pPr>
      <w:r>
        <w:rPr/>
        <w:t>上期金额</w:t>
      </w:r>
    </w:p>
    <w:p>
      <w:pPr>
        <w:pStyle w:val="BodyText"/>
        <w:spacing w:line="240" w:lineRule="auto" w:before="116"/>
        <w:ind w:left="0" w:right="136"/>
        <w:jc w:val="right"/>
      </w:pPr>
      <w:r>
        <w:rPr/>
        <w:t>单位：元</w:t>
      </w:r>
    </w:p>
    <w:p>
      <w:pPr>
        <w:spacing w:line="240" w:lineRule="auto" w:before="11"/>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3172"/>
        <w:gridCol w:w="1276"/>
        <w:gridCol w:w="562"/>
        <w:gridCol w:w="562"/>
        <w:gridCol w:w="415"/>
        <w:gridCol w:w="1264"/>
        <w:gridCol w:w="922"/>
        <w:gridCol w:w="1004"/>
        <w:gridCol w:w="710"/>
        <w:gridCol w:w="1264"/>
        <w:gridCol w:w="1369"/>
        <w:gridCol w:w="1484"/>
      </w:tblGrid>
      <w:tr>
        <w:trPr>
          <w:trHeight w:val="402" w:hRule="exact"/>
        </w:trPr>
        <w:tc>
          <w:tcPr>
            <w:tcW w:w="3172" w:type="dxa"/>
            <w:vMerge w:val="restart"/>
            <w:tcBorders>
              <w:top w:val="single" w:sz="4" w:space="0" w:color="000000"/>
              <w:left w:val="single" w:sz="4" w:space="0" w:color="000000"/>
              <w:right w:val="single" w:sz="4" w:space="0" w:color="000000"/>
            </w:tcBorders>
            <w:shd w:val="clear" w:color="auto" w:fill="D2D2D2"/>
          </w:tcPr>
          <w:p>
            <w:pPr/>
          </w:p>
        </w:tc>
        <w:tc>
          <w:tcPr>
            <w:tcW w:w="108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3" w:right="0"/>
              <w:jc w:val="center"/>
              <w:rPr>
                <w:rFonts w:ascii="宋体" w:hAnsi="宋体" w:cs="宋体" w:eastAsia="宋体" w:hint="default"/>
                <w:sz w:val="21"/>
                <w:szCs w:val="21"/>
              </w:rPr>
            </w:pPr>
            <w:r>
              <w:rPr>
                <w:rFonts w:ascii="宋体" w:hAnsi="宋体" w:cs="宋体" w:eastAsia="宋体" w:hint="default"/>
                <w:b/>
                <w:bCs/>
                <w:sz w:val="21"/>
                <w:szCs w:val="21"/>
              </w:rPr>
              <w:t>上期</w:t>
            </w:r>
            <w:r>
              <w:rPr>
                <w:rFonts w:ascii="宋体" w:hAnsi="宋体" w:cs="宋体" w:eastAsia="宋体" w:hint="default"/>
                <w:sz w:val="21"/>
                <w:szCs w:val="21"/>
              </w:rPr>
            </w:r>
          </w:p>
        </w:tc>
      </w:tr>
      <w:tr>
        <w:trPr>
          <w:trHeight w:val="184" w:hRule="exact"/>
        </w:trPr>
        <w:tc>
          <w:tcPr>
            <w:tcW w:w="3172"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53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31" w:right="0"/>
              <w:jc w:val="left"/>
              <w:rPr>
                <w:rFonts w:ascii="宋体" w:hAnsi="宋体" w:cs="宋体" w:eastAsia="宋体" w:hint="default"/>
                <w:sz w:val="21"/>
                <w:szCs w:val="21"/>
              </w:rPr>
            </w:pPr>
            <w:r>
              <w:rPr>
                <w:rFonts w:ascii="宋体" w:hAnsi="宋体" w:cs="宋体" w:eastAsia="宋体" w:hint="default"/>
                <w:b/>
                <w:bCs/>
                <w:sz w:val="21"/>
                <w:szCs w:val="21"/>
              </w:rPr>
              <w:t>其他权益工具</w:t>
            </w:r>
            <w:r>
              <w:rPr>
                <w:rFonts w:ascii="宋体" w:hAnsi="宋体" w:cs="宋体" w:eastAsia="宋体" w:hint="default"/>
                <w:sz w:val="21"/>
                <w:szCs w:val="21"/>
              </w:rPr>
            </w:r>
          </w:p>
        </w:tc>
        <w:tc>
          <w:tcPr>
            <w:tcW w:w="1264" w:type="dxa"/>
            <w:vMerge w:val="restart"/>
            <w:tcBorders>
              <w:top w:val="single" w:sz="4" w:space="0" w:color="000000"/>
              <w:left w:val="single" w:sz="4" w:space="0" w:color="000000"/>
              <w:right w:val="single" w:sz="4" w:space="0" w:color="000000"/>
            </w:tcBorders>
            <w:shd w:val="clear" w:color="auto" w:fill="D2D2D2"/>
          </w:tcPr>
          <w:p>
            <w:pPr/>
          </w:p>
        </w:tc>
        <w:tc>
          <w:tcPr>
            <w:tcW w:w="9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4"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4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31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76" w:type="dxa"/>
            <w:vMerge/>
            <w:tcBorders>
              <w:left w:val="single" w:sz="4" w:space="0" w:color="000000"/>
              <w:bottom w:val="nil" w:sz="6" w:space="0" w:color="auto"/>
              <w:right w:val="single" w:sz="4" w:space="0" w:color="000000"/>
            </w:tcBorders>
            <w:shd w:val="clear" w:color="auto" w:fill="D2D2D2"/>
          </w:tcPr>
          <w:p>
            <w:pPr/>
          </w:p>
        </w:tc>
        <w:tc>
          <w:tcPr>
            <w:tcW w:w="1538" w:type="dxa"/>
            <w:gridSpan w:val="3"/>
            <w:vMerge/>
            <w:tcBorders>
              <w:left w:val="single" w:sz="4" w:space="0" w:color="000000"/>
              <w:bottom w:val="single" w:sz="4" w:space="0" w:color="000000"/>
              <w:right w:val="single" w:sz="4" w:space="0" w:color="000000"/>
            </w:tcBorders>
            <w:shd w:val="clear" w:color="auto" w:fill="D2D2D2"/>
          </w:tcPr>
          <w:p>
            <w:pPr/>
          </w:p>
        </w:tc>
        <w:tc>
          <w:tcPr>
            <w:tcW w:w="1264" w:type="dxa"/>
            <w:vMerge/>
            <w:tcBorders>
              <w:left w:val="single" w:sz="4" w:space="0" w:color="000000"/>
              <w:bottom w:val="nil" w:sz="6" w:space="0" w:color="auto"/>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7"/>
              <w:ind w:left="350" w:right="30" w:hanging="316"/>
              <w:jc w:val="left"/>
              <w:rPr>
                <w:rFonts w:ascii="宋体" w:hAnsi="宋体" w:cs="宋体" w:eastAsia="宋体" w:hint="default"/>
                <w:sz w:val="21"/>
                <w:szCs w:val="21"/>
              </w:rPr>
            </w:pPr>
            <w:r>
              <w:rPr>
                <w:rFonts w:ascii="宋体" w:hAnsi="宋体" w:cs="宋体" w:eastAsia="宋体" w:hint="default"/>
                <w:b/>
                <w:bCs/>
                <w:sz w:val="21"/>
                <w:szCs w:val="21"/>
              </w:rPr>
              <w:t>减：库存</w:t>
            </w:r>
            <w:r>
              <w:rPr>
                <w:rFonts w:ascii="宋体" w:hAnsi="宋体" w:cs="宋体" w:eastAsia="宋体" w:hint="default"/>
                <w:b/>
                <w:bCs/>
                <w:spacing w:val="1"/>
                <w:w w:val="99"/>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tc>
        <w:tc>
          <w:tcPr>
            <w:tcW w:w="100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7"/>
              <w:ind w:left="286" w:right="72" w:hanging="212"/>
              <w:jc w:val="left"/>
              <w:rPr>
                <w:rFonts w:ascii="宋体" w:hAnsi="宋体" w:cs="宋体" w:eastAsia="宋体" w:hint="default"/>
                <w:sz w:val="21"/>
                <w:szCs w:val="21"/>
              </w:rPr>
            </w:pPr>
            <w:r>
              <w:rPr>
                <w:rFonts w:ascii="宋体" w:hAnsi="宋体" w:cs="宋体" w:eastAsia="宋体" w:hint="default"/>
                <w:b/>
                <w:bCs/>
                <w:sz w:val="21"/>
                <w:szCs w:val="21"/>
              </w:rPr>
              <w:t>其他综合</w:t>
            </w:r>
            <w:r>
              <w:rPr>
                <w:rFonts w:ascii="宋体" w:hAnsi="宋体" w:cs="宋体" w:eastAsia="宋体" w:hint="default"/>
                <w:b/>
                <w:bCs/>
                <w:spacing w:val="1"/>
                <w:w w:val="99"/>
                <w:sz w:val="21"/>
                <w:szCs w:val="21"/>
              </w:rPr>
              <w:t> </w:t>
            </w:r>
            <w:r>
              <w:rPr>
                <w:rFonts w:ascii="宋体" w:hAnsi="宋体" w:cs="宋体" w:eastAsia="宋体" w:hint="default"/>
                <w:b/>
                <w:bCs/>
                <w:sz w:val="21"/>
                <w:szCs w:val="21"/>
              </w:rPr>
              <w:t>收益</w:t>
            </w:r>
            <w:r>
              <w:rPr>
                <w:rFonts w:ascii="宋体" w:hAnsi="宋体" w:cs="宋体" w:eastAsia="宋体" w:hint="default"/>
                <w:sz w:val="21"/>
                <w:szCs w:val="21"/>
              </w:rPr>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7"/>
              <w:ind w:left="244" w:right="30" w:hanging="210"/>
              <w:jc w:val="left"/>
              <w:rPr>
                <w:rFonts w:ascii="宋体" w:hAnsi="宋体" w:cs="宋体" w:eastAsia="宋体" w:hint="default"/>
                <w:sz w:val="21"/>
                <w:szCs w:val="21"/>
              </w:rPr>
            </w:pPr>
            <w:r>
              <w:rPr>
                <w:rFonts w:ascii="宋体" w:hAnsi="宋体" w:cs="宋体" w:eastAsia="宋体" w:hint="default"/>
                <w:b/>
                <w:bCs/>
                <w:sz w:val="21"/>
                <w:szCs w:val="21"/>
              </w:rPr>
              <w:t>专项储</w:t>
            </w:r>
            <w:r>
              <w:rPr>
                <w:rFonts w:ascii="宋体" w:hAnsi="宋体" w:cs="宋体" w:eastAsia="宋体" w:hint="default"/>
                <w:b/>
                <w:bCs/>
                <w:spacing w:val="1"/>
                <w:w w:val="99"/>
                <w:sz w:val="21"/>
                <w:szCs w:val="21"/>
              </w:rPr>
              <w:t> </w:t>
            </w:r>
            <w:r>
              <w:rPr>
                <w:rFonts w:ascii="宋体" w:hAnsi="宋体" w:cs="宋体" w:eastAsia="宋体" w:hint="default"/>
                <w:b/>
                <w:bCs/>
                <w:sz w:val="21"/>
                <w:szCs w:val="21"/>
              </w:rPr>
              <w:t>备</w:t>
            </w:r>
            <w:r>
              <w:rPr>
                <w:rFonts w:ascii="宋体" w:hAnsi="宋体" w:cs="宋体" w:eastAsia="宋体" w:hint="default"/>
                <w:sz w:val="21"/>
                <w:szCs w:val="21"/>
              </w:rPr>
            </w:r>
          </w:p>
        </w:tc>
        <w:tc>
          <w:tcPr>
            <w:tcW w:w="1264"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48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7"/>
              <w:ind w:left="630" w:right="105" w:hanging="527"/>
              <w:jc w:val="left"/>
              <w:rPr>
                <w:rFonts w:ascii="宋体" w:hAnsi="宋体" w:cs="宋体" w:eastAsia="宋体" w:hint="default"/>
                <w:sz w:val="21"/>
                <w:szCs w:val="21"/>
              </w:rPr>
            </w:pPr>
            <w:r>
              <w:rPr>
                <w:rFonts w:ascii="宋体" w:hAnsi="宋体" w:cs="宋体" w:eastAsia="宋体" w:hint="default"/>
                <w:b/>
                <w:bCs/>
                <w:sz w:val="21"/>
                <w:szCs w:val="21"/>
              </w:rPr>
              <w:t>所有者权益合</w:t>
            </w:r>
            <w:r>
              <w:rPr>
                <w:rFonts w:ascii="宋体" w:hAnsi="宋体" w:cs="宋体" w:eastAsia="宋体" w:hint="default"/>
                <w:b/>
                <w:bCs/>
                <w:w w:val="99"/>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r>
      <w:tr>
        <w:trPr>
          <w:trHeight w:val="179" w:hRule="exact"/>
        </w:trPr>
        <w:tc>
          <w:tcPr>
            <w:tcW w:w="3172"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4"/>
              <w:ind w:left="428" w:right="0"/>
              <w:jc w:val="left"/>
              <w:rPr>
                <w:rFonts w:ascii="宋体" w:hAnsi="宋体" w:cs="宋体" w:eastAsia="宋体" w:hint="default"/>
                <w:sz w:val="21"/>
                <w:szCs w:val="21"/>
              </w:rPr>
            </w:pPr>
            <w:r>
              <w:rPr>
                <w:rFonts w:ascii="宋体" w:hAnsi="宋体" w:cs="宋体" w:eastAsia="宋体" w:hint="default"/>
                <w:b/>
                <w:bCs/>
                <w:sz w:val="21"/>
                <w:szCs w:val="21"/>
              </w:rPr>
              <w:t>股本</w:t>
            </w:r>
            <w:r>
              <w:rPr>
                <w:rFonts w:ascii="宋体" w:hAnsi="宋体" w:cs="宋体" w:eastAsia="宋体" w:hint="default"/>
                <w:sz w:val="21"/>
                <w:szCs w:val="21"/>
              </w:rPr>
            </w: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55"/>
              <w:ind w:left="170" w:right="62" w:hanging="106"/>
              <w:jc w:val="left"/>
              <w:rPr>
                <w:rFonts w:ascii="宋体" w:hAnsi="宋体" w:cs="宋体" w:eastAsia="宋体" w:hint="default"/>
                <w:sz w:val="21"/>
                <w:szCs w:val="21"/>
              </w:rPr>
            </w:pPr>
            <w:r>
              <w:rPr>
                <w:rFonts w:ascii="宋体" w:hAnsi="宋体" w:cs="宋体" w:eastAsia="宋体" w:hint="default"/>
                <w:b/>
                <w:bCs/>
                <w:sz w:val="21"/>
                <w:szCs w:val="21"/>
              </w:rPr>
              <w:t>优先</w:t>
            </w:r>
            <w:r>
              <w:rPr>
                <w:rFonts w:ascii="宋体" w:hAnsi="宋体" w:cs="宋体" w:eastAsia="宋体" w:hint="default"/>
                <w:b/>
                <w:bCs/>
                <w:spacing w:val="1"/>
                <w:w w:val="99"/>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55"/>
              <w:ind w:left="170" w:right="62" w:hanging="106"/>
              <w:jc w:val="left"/>
              <w:rPr>
                <w:rFonts w:ascii="宋体" w:hAnsi="宋体" w:cs="宋体" w:eastAsia="宋体" w:hint="default"/>
                <w:sz w:val="21"/>
                <w:szCs w:val="21"/>
              </w:rPr>
            </w:pPr>
            <w:r>
              <w:rPr>
                <w:rFonts w:ascii="宋体" w:hAnsi="宋体" w:cs="宋体" w:eastAsia="宋体" w:hint="default"/>
                <w:b/>
                <w:bCs/>
                <w:sz w:val="21"/>
                <w:szCs w:val="21"/>
              </w:rPr>
              <w:t>永续</w:t>
            </w:r>
            <w:r>
              <w:rPr>
                <w:rFonts w:ascii="宋体" w:hAnsi="宋体" w:cs="宋体" w:eastAsia="宋体" w:hint="default"/>
                <w:b/>
                <w:bCs/>
                <w:spacing w:val="1"/>
                <w:w w:val="99"/>
                <w:sz w:val="21"/>
                <w:szCs w:val="21"/>
              </w:rPr>
              <w:t> </w:t>
            </w:r>
            <w:r>
              <w:rPr>
                <w:rFonts w:ascii="宋体" w:hAnsi="宋体" w:cs="宋体" w:eastAsia="宋体" w:hint="default"/>
                <w:b/>
                <w:bCs/>
                <w:sz w:val="21"/>
                <w:szCs w:val="21"/>
              </w:rPr>
              <w:t>债</w:t>
            </w:r>
            <w:r>
              <w:rPr>
                <w:rFonts w:ascii="宋体" w:hAnsi="宋体" w:cs="宋体" w:eastAsia="宋体" w:hint="default"/>
                <w:sz w:val="21"/>
                <w:szCs w:val="21"/>
              </w:rPr>
            </w:r>
          </w:p>
        </w:tc>
        <w:tc>
          <w:tcPr>
            <w:tcW w:w="41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55"/>
              <w:ind w:left="96" w:right="97"/>
              <w:jc w:val="left"/>
              <w:rPr>
                <w:rFonts w:ascii="宋体" w:hAnsi="宋体" w:cs="宋体" w:eastAsia="宋体" w:hint="default"/>
                <w:sz w:val="21"/>
                <w:szCs w:val="21"/>
              </w:rPr>
            </w:pPr>
            <w:r>
              <w:rPr>
                <w:rFonts w:ascii="宋体" w:hAnsi="宋体" w:cs="宋体" w:eastAsia="宋体" w:hint="default"/>
                <w:b/>
                <w:bCs/>
                <w:sz w:val="21"/>
                <w:szCs w:val="21"/>
              </w:rPr>
              <w:t>其</w:t>
            </w:r>
            <w:r>
              <w:rPr>
                <w:rFonts w:ascii="宋体" w:hAnsi="宋体" w:cs="宋体" w:eastAsia="宋体" w:hint="default"/>
                <w:b/>
                <w:bCs/>
                <w:w w:val="99"/>
                <w:sz w:val="21"/>
                <w:szCs w:val="21"/>
              </w:rPr>
              <w:t> </w:t>
            </w:r>
            <w:r>
              <w:rPr>
                <w:rFonts w:ascii="宋体" w:hAnsi="宋体" w:cs="宋体" w:eastAsia="宋体" w:hint="default"/>
                <w:b/>
                <w:bCs/>
                <w:sz w:val="21"/>
                <w:szCs w:val="21"/>
              </w:rPr>
              <w:t>他</w:t>
            </w:r>
            <w:r>
              <w:rPr>
                <w:rFonts w:ascii="宋体" w:hAnsi="宋体" w:cs="宋体" w:eastAsia="宋体" w:hint="default"/>
                <w:sz w:val="21"/>
                <w:szCs w:val="21"/>
              </w:rPr>
            </w:r>
          </w:p>
        </w:tc>
        <w:tc>
          <w:tcPr>
            <w:tcW w:w="12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4"/>
              <w:ind w:left="205" w:right="0"/>
              <w:jc w:val="left"/>
              <w:rPr>
                <w:rFonts w:ascii="宋体" w:hAnsi="宋体" w:cs="宋体" w:eastAsia="宋体" w:hint="default"/>
                <w:sz w:val="21"/>
                <w:szCs w:val="21"/>
              </w:rPr>
            </w:pPr>
            <w:r>
              <w:rPr>
                <w:rFonts w:ascii="宋体" w:hAnsi="宋体" w:cs="宋体" w:eastAsia="宋体" w:hint="default"/>
                <w:b/>
                <w:bCs/>
                <w:sz w:val="21"/>
                <w:szCs w:val="21"/>
              </w:rPr>
              <w:t>资本公积</w:t>
            </w:r>
            <w:r>
              <w:rPr>
                <w:rFonts w:ascii="宋体" w:hAnsi="宋体" w:cs="宋体" w:eastAsia="宋体" w:hint="default"/>
                <w:sz w:val="21"/>
                <w:szCs w:val="21"/>
              </w:rPr>
            </w:r>
          </w:p>
        </w:tc>
        <w:tc>
          <w:tcPr>
            <w:tcW w:w="922" w:type="dxa"/>
            <w:vMerge/>
            <w:tcBorders>
              <w:left w:val="single" w:sz="4" w:space="0" w:color="000000"/>
              <w:right w:val="single" w:sz="4" w:space="0" w:color="000000"/>
            </w:tcBorders>
            <w:shd w:val="clear" w:color="auto" w:fill="D2D2D2"/>
          </w:tcPr>
          <w:p>
            <w:pPr/>
          </w:p>
        </w:tc>
        <w:tc>
          <w:tcPr>
            <w:tcW w:w="1004"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2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4"/>
              <w:ind w:left="205" w:right="0"/>
              <w:jc w:val="left"/>
              <w:rPr>
                <w:rFonts w:ascii="宋体" w:hAnsi="宋体" w:cs="宋体" w:eastAsia="宋体" w:hint="default"/>
                <w:sz w:val="21"/>
                <w:szCs w:val="21"/>
              </w:rPr>
            </w:pPr>
            <w:r>
              <w:rPr>
                <w:rFonts w:ascii="宋体" w:hAnsi="宋体" w:cs="宋体" w:eastAsia="宋体" w:hint="default"/>
                <w:b/>
                <w:bCs/>
                <w:sz w:val="21"/>
                <w:szCs w:val="21"/>
              </w:rPr>
              <w:t>盈余公积</w:t>
            </w:r>
            <w:r>
              <w:rPr>
                <w:rFonts w:ascii="宋体" w:hAnsi="宋体" w:cs="宋体" w:eastAsia="宋体" w:hint="default"/>
                <w:sz w:val="21"/>
                <w:szCs w:val="21"/>
              </w:rPr>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4"/>
              <w:ind w:left="153" w:right="0"/>
              <w:jc w:val="left"/>
              <w:rPr>
                <w:rFonts w:ascii="宋体" w:hAnsi="宋体" w:cs="宋体" w:eastAsia="宋体" w:hint="default"/>
                <w:sz w:val="21"/>
                <w:szCs w:val="21"/>
              </w:rPr>
            </w:pPr>
            <w:r>
              <w:rPr>
                <w:rFonts w:ascii="宋体" w:hAnsi="宋体" w:cs="宋体" w:eastAsia="宋体" w:hint="default"/>
                <w:b/>
                <w:bCs/>
                <w:sz w:val="21"/>
                <w:szCs w:val="21"/>
              </w:rPr>
              <w:t>未分配利润</w:t>
            </w:r>
            <w:r>
              <w:rPr>
                <w:rFonts w:ascii="宋体" w:hAnsi="宋体" w:cs="宋体" w:eastAsia="宋体" w:hint="default"/>
                <w:sz w:val="21"/>
                <w:szCs w:val="21"/>
              </w:rPr>
            </w:r>
          </w:p>
        </w:tc>
        <w:tc>
          <w:tcPr>
            <w:tcW w:w="1484" w:type="dxa"/>
            <w:vMerge/>
            <w:tcBorders>
              <w:left w:val="single" w:sz="4" w:space="0" w:color="000000"/>
              <w:right w:val="single" w:sz="4" w:space="0" w:color="000000"/>
            </w:tcBorders>
            <w:shd w:val="clear" w:color="auto" w:fill="D2D2D2"/>
          </w:tcPr>
          <w:p>
            <w:pPr/>
          </w:p>
        </w:tc>
      </w:tr>
      <w:tr>
        <w:trPr>
          <w:trHeight w:val="202" w:hRule="exact"/>
        </w:trPr>
        <w:tc>
          <w:tcPr>
            <w:tcW w:w="3172"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1264" w:type="dxa"/>
            <w:vMerge/>
            <w:tcBorders>
              <w:left w:val="single" w:sz="4" w:space="0" w:color="000000"/>
              <w:bottom w:val="nil" w:sz="6" w:space="0" w:color="auto"/>
              <w:right w:val="single" w:sz="4" w:space="0" w:color="000000"/>
            </w:tcBorders>
            <w:shd w:val="clear" w:color="auto" w:fill="D2D2D2"/>
          </w:tcPr>
          <w:p>
            <w:pPr/>
          </w:p>
        </w:tc>
        <w:tc>
          <w:tcPr>
            <w:tcW w:w="922" w:type="dxa"/>
            <w:vMerge/>
            <w:tcBorders>
              <w:left w:val="single" w:sz="4" w:space="0" w:color="000000"/>
              <w:right w:val="single" w:sz="4" w:space="0" w:color="000000"/>
            </w:tcBorders>
            <w:shd w:val="clear" w:color="auto" w:fill="D2D2D2"/>
          </w:tcPr>
          <w:p>
            <w:pPr/>
          </w:p>
        </w:tc>
        <w:tc>
          <w:tcPr>
            <w:tcW w:w="1004"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264"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484" w:type="dxa"/>
            <w:vMerge/>
            <w:tcBorders>
              <w:left w:val="single" w:sz="4" w:space="0" w:color="000000"/>
              <w:right w:val="single" w:sz="4" w:space="0" w:color="000000"/>
            </w:tcBorders>
            <w:shd w:val="clear" w:color="auto" w:fill="D2D2D2"/>
          </w:tcPr>
          <w:p>
            <w:pPr/>
          </w:p>
        </w:tc>
      </w:tr>
      <w:tr>
        <w:trPr>
          <w:trHeight w:val="156" w:hRule="exact"/>
        </w:trPr>
        <w:tc>
          <w:tcPr>
            <w:tcW w:w="3172"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1264" w:type="dxa"/>
            <w:vMerge w:val="restart"/>
            <w:tcBorders>
              <w:top w:val="nil" w:sz="6" w:space="0" w:color="auto"/>
              <w:left w:val="single" w:sz="4" w:space="0" w:color="000000"/>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c>
          <w:tcPr>
            <w:tcW w:w="1004"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264" w:type="dxa"/>
            <w:vMerge w:val="restart"/>
            <w:tcBorders>
              <w:top w:val="nil" w:sz="6" w:space="0" w:color="auto"/>
              <w:left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
        </w:tc>
        <w:tc>
          <w:tcPr>
            <w:tcW w:w="1484"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3172"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415" w:type="dxa"/>
            <w:vMerge/>
            <w:tcBorders>
              <w:left w:val="single" w:sz="4" w:space="0" w:color="000000"/>
              <w:bottom w:val="single" w:sz="4" w:space="0" w:color="000000"/>
              <w:right w:val="single" w:sz="4" w:space="0" w:color="000000"/>
            </w:tcBorders>
            <w:shd w:val="clear" w:color="auto" w:fill="D2D2D2"/>
          </w:tcPr>
          <w:p>
            <w:pPr/>
          </w:p>
        </w:tc>
        <w:tc>
          <w:tcPr>
            <w:tcW w:w="1264" w:type="dxa"/>
            <w:vMerge/>
            <w:tcBorders>
              <w:left w:val="single" w:sz="4" w:space="0" w:color="000000"/>
              <w:bottom w:val="single" w:sz="4" w:space="0" w:color="000000"/>
              <w:right w:val="single" w:sz="4" w:space="0" w:color="000000"/>
            </w:tcBorders>
            <w:shd w:val="clear" w:color="auto" w:fill="D2D2D2"/>
          </w:tcPr>
          <w:p>
            <w:pPr/>
          </w:p>
        </w:tc>
        <w:tc>
          <w:tcPr>
            <w:tcW w:w="9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4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b/>
                <w:bCs/>
                <w:sz w:val="21"/>
                <w:szCs w:val="21"/>
              </w:rPr>
              <w:t>一、上年期末余额</w:t>
            </w:r>
            <w:r>
              <w:rPr>
                <w:rFonts w:ascii="宋体" w:hAnsi="宋体" w:cs="宋体" w:eastAsia="宋体" w:hint="default"/>
                <w:sz w:val="21"/>
                <w:szCs w:val="21"/>
              </w:rPr>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90,000,000.00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30,325,381.10</w:t>
            </w: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9,183,398.59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79,050,587.35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208,559,367.04</w:t>
            </w:r>
          </w:p>
        </w:tc>
      </w:tr>
      <w:tr>
        <w:trPr>
          <w:trHeight w:val="402"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276" w:type="dxa"/>
            <w:tcBorders>
              <w:top w:val="single" w:sz="4" w:space="0" w:color="000000"/>
              <w:left w:val="single" w:sz="13" w:space="0" w:color="D2D2D2"/>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851"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276" w:type="dxa"/>
            <w:tcBorders>
              <w:top w:val="single" w:sz="4" w:space="0" w:color="000000"/>
              <w:left w:val="single" w:sz="13" w:space="0" w:color="D2D2D2"/>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85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76" w:type="dxa"/>
            <w:tcBorders>
              <w:top w:val="single" w:sz="4" w:space="0" w:color="000000"/>
              <w:left w:val="single" w:sz="13" w:space="0" w:color="D2D2D2"/>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b/>
                <w:bCs/>
                <w:sz w:val="21"/>
                <w:szCs w:val="21"/>
              </w:rPr>
              <w:t>二、本年期初余额</w:t>
            </w:r>
            <w:r>
              <w:rPr>
                <w:rFonts w:ascii="宋体" w:hAnsi="宋体" w:cs="宋体" w:eastAsia="宋体" w:hint="default"/>
                <w:sz w:val="21"/>
                <w:szCs w:val="21"/>
              </w:rPr>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90,000,000.00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30,325,381.10</w:t>
            </w: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9,183,398.59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79,050,587.35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208,559,367.04</w:t>
            </w:r>
          </w:p>
        </w:tc>
      </w:tr>
      <w:tr>
        <w:trPr>
          <w:trHeight w:val="71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b/>
                <w:bCs/>
                <w:sz w:val="21"/>
                <w:szCs w:val="21"/>
              </w:rPr>
              <w:t>三、本期增减变动金额（减少以</w:t>
            </w:r>
            <w:r>
              <w:rPr>
                <w:rFonts w:ascii="宋体" w:hAnsi="宋体" w:cs="宋体" w:eastAsia="宋体" w:hint="default"/>
                <w:sz w:val="21"/>
                <w:szCs w:val="21"/>
              </w:rPr>
            </w:r>
          </w:p>
          <w:p>
            <w:pPr>
              <w:pStyle w:val="TableParagraph"/>
              <w:spacing w:line="240" w:lineRule="auto" w:before="37"/>
              <w:ind w:left="1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1276" w:type="dxa"/>
            <w:tcBorders>
              <w:top w:val="single" w:sz="4" w:space="0" w:color="000000"/>
              <w:left w:val="single" w:sz="13" w:space="0" w:color="D2D2D2"/>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4,611,000.17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29,927,093.42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34,538,093.59</w:t>
            </w:r>
          </w:p>
        </w:tc>
      </w:tr>
      <w:tr>
        <w:trPr>
          <w:trHeight w:val="402"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276" w:type="dxa"/>
            <w:tcBorders>
              <w:top w:val="single" w:sz="4" w:space="0" w:color="000000"/>
              <w:left w:val="single" w:sz="13" w:space="0" w:color="D2D2D2"/>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46,110,001.74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46,110,001.74</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（二）所有者投入和减少资本</w:t>
            </w:r>
          </w:p>
        </w:tc>
        <w:tc>
          <w:tcPr>
            <w:tcW w:w="1276" w:type="dxa"/>
            <w:tcBorders>
              <w:top w:val="single" w:sz="4" w:space="0" w:color="000000"/>
              <w:left w:val="single" w:sz="13" w:space="0" w:color="D2D2D2"/>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195"/>
        <w:gridCol w:w="1265"/>
        <w:gridCol w:w="562"/>
        <w:gridCol w:w="562"/>
        <w:gridCol w:w="415"/>
        <w:gridCol w:w="1264"/>
        <w:gridCol w:w="922"/>
        <w:gridCol w:w="1004"/>
        <w:gridCol w:w="710"/>
        <w:gridCol w:w="1264"/>
        <w:gridCol w:w="1369"/>
        <w:gridCol w:w="1484"/>
      </w:tblGrid>
      <w:tr>
        <w:trPr>
          <w:trHeight w:val="416" w:hRule="exact"/>
        </w:trPr>
        <w:tc>
          <w:tcPr>
            <w:tcW w:w="319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．股东投入的普通股</w:t>
            </w:r>
          </w:p>
        </w:tc>
        <w:tc>
          <w:tcPr>
            <w:tcW w:w="1265" w:type="dxa"/>
            <w:tcBorders>
              <w:top w:val="single" w:sz="15" w:space="0" w:color="000000"/>
              <w:left w:val="single" w:sz="4" w:space="0" w:color="000000"/>
              <w:bottom w:val="single" w:sz="4" w:space="0" w:color="000000"/>
              <w:right w:val="single" w:sz="4" w:space="0" w:color="000000"/>
            </w:tcBorders>
          </w:tcPr>
          <w:p>
            <w:pPr/>
          </w:p>
        </w:tc>
        <w:tc>
          <w:tcPr>
            <w:tcW w:w="562" w:type="dxa"/>
            <w:tcBorders>
              <w:top w:val="single" w:sz="15" w:space="0" w:color="000000"/>
              <w:left w:val="single" w:sz="4" w:space="0" w:color="000000"/>
              <w:bottom w:val="single" w:sz="4" w:space="0" w:color="000000"/>
              <w:right w:val="single" w:sz="4" w:space="0" w:color="000000"/>
            </w:tcBorders>
          </w:tcPr>
          <w:p>
            <w:pPr/>
          </w:p>
        </w:tc>
        <w:tc>
          <w:tcPr>
            <w:tcW w:w="562" w:type="dxa"/>
            <w:tcBorders>
              <w:top w:val="single" w:sz="15" w:space="0" w:color="000000"/>
              <w:left w:val="single" w:sz="4" w:space="0" w:color="000000"/>
              <w:bottom w:val="single" w:sz="4" w:space="0" w:color="000000"/>
              <w:right w:val="single" w:sz="4" w:space="0" w:color="000000"/>
            </w:tcBorders>
          </w:tcPr>
          <w:p>
            <w:pPr/>
          </w:p>
        </w:tc>
        <w:tc>
          <w:tcPr>
            <w:tcW w:w="415" w:type="dxa"/>
            <w:tcBorders>
              <w:top w:val="single" w:sz="15" w:space="0" w:color="000000"/>
              <w:left w:val="single" w:sz="4" w:space="0" w:color="000000"/>
              <w:bottom w:val="single" w:sz="4" w:space="0" w:color="000000"/>
              <w:right w:val="single" w:sz="4" w:space="0" w:color="000000"/>
            </w:tcBorders>
          </w:tcPr>
          <w:p>
            <w:pPr/>
          </w:p>
        </w:tc>
        <w:tc>
          <w:tcPr>
            <w:tcW w:w="1264" w:type="dxa"/>
            <w:tcBorders>
              <w:top w:val="single" w:sz="15" w:space="0" w:color="000000"/>
              <w:left w:val="single" w:sz="4" w:space="0" w:color="000000"/>
              <w:bottom w:val="single" w:sz="4" w:space="0" w:color="000000"/>
              <w:right w:val="single" w:sz="4" w:space="0" w:color="000000"/>
            </w:tcBorders>
          </w:tcPr>
          <w:p>
            <w:pPr/>
          </w:p>
        </w:tc>
        <w:tc>
          <w:tcPr>
            <w:tcW w:w="922" w:type="dxa"/>
            <w:tcBorders>
              <w:top w:val="single" w:sz="15" w:space="0" w:color="000000"/>
              <w:left w:val="single" w:sz="4" w:space="0" w:color="000000"/>
              <w:bottom w:val="single" w:sz="4" w:space="0" w:color="000000"/>
              <w:right w:val="single" w:sz="4" w:space="0" w:color="000000"/>
            </w:tcBorders>
          </w:tcPr>
          <w:p>
            <w:pPr/>
          </w:p>
        </w:tc>
        <w:tc>
          <w:tcPr>
            <w:tcW w:w="1004" w:type="dxa"/>
            <w:tcBorders>
              <w:top w:val="single" w:sz="15" w:space="0" w:color="000000"/>
              <w:left w:val="single" w:sz="4" w:space="0" w:color="000000"/>
              <w:bottom w:val="single" w:sz="4" w:space="0" w:color="000000"/>
              <w:right w:val="single" w:sz="4" w:space="0" w:color="000000"/>
            </w:tcBorders>
          </w:tcPr>
          <w:p>
            <w:pPr/>
          </w:p>
        </w:tc>
        <w:tc>
          <w:tcPr>
            <w:tcW w:w="710" w:type="dxa"/>
            <w:tcBorders>
              <w:top w:val="single" w:sz="15" w:space="0" w:color="000000"/>
              <w:left w:val="single" w:sz="4" w:space="0" w:color="000000"/>
              <w:bottom w:val="single" w:sz="4" w:space="0" w:color="000000"/>
              <w:right w:val="single" w:sz="4" w:space="0" w:color="000000"/>
            </w:tcBorders>
          </w:tcPr>
          <w:p>
            <w:pPr/>
          </w:p>
        </w:tc>
        <w:tc>
          <w:tcPr>
            <w:tcW w:w="1264" w:type="dxa"/>
            <w:tcBorders>
              <w:top w:val="single" w:sz="15" w:space="0" w:color="000000"/>
              <w:left w:val="single" w:sz="4" w:space="0" w:color="000000"/>
              <w:bottom w:val="single" w:sz="4" w:space="0" w:color="000000"/>
              <w:right w:val="single" w:sz="4" w:space="0" w:color="000000"/>
            </w:tcBorders>
          </w:tcPr>
          <w:p>
            <w:pPr/>
          </w:p>
        </w:tc>
        <w:tc>
          <w:tcPr>
            <w:tcW w:w="1369" w:type="dxa"/>
            <w:tcBorders>
              <w:top w:val="single" w:sz="15" w:space="0" w:color="000000"/>
              <w:left w:val="single" w:sz="4" w:space="0" w:color="000000"/>
              <w:bottom w:val="single" w:sz="4" w:space="0" w:color="000000"/>
              <w:right w:val="single" w:sz="4" w:space="0" w:color="000000"/>
            </w:tcBorders>
          </w:tcPr>
          <w:p>
            <w:pPr/>
          </w:p>
        </w:tc>
        <w:tc>
          <w:tcPr>
            <w:tcW w:w="1484"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．其他权益工具持有者投入资本</w:t>
            </w:r>
          </w:p>
        </w:tc>
        <w:tc>
          <w:tcPr>
            <w:tcW w:w="12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22" w:right="116"/>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．股份支付计入所有者权益的金 额</w:t>
            </w:r>
          </w:p>
        </w:tc>
        <w:tc>
          <w:tcPr>
            <w:tcW w:w="12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2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4,611,000.17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-16,182,908.32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-11,571,908.15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2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4,611,000.17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-4,611,000.17</w:t>
            </w: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．对所有者（或股东）的分配</w:t>
            </w:r>
          </w:p>
        </w:tc>
        <w:tc>
          <w:tcPr>
            <w:tcW w:w="12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-11,571,908.15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-11,571,908.15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2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（四）所有者权益内部结转</w:t>
            </w:r>
          </w:p>
        </w:tc>
        <w:tc>
          <w:tcPr>
            <w:tcW w:w="12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．资本公积转增资本（或股本）</w:t>
            </w:r>
          </w:p>
        </w:tc>
        <w:tc>
          <w:tcPr>
            <w:tcW w:w="12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．盈余公积转增资本（或股本）</w:t>
            </w:r>
          </w:p>
        </w:tc>
        <w:tc>
          <w:tcPr>
            <w:tcW w:w="12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2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2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2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2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2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b/>
                <w:bCs/>
                <w:sz w:val="21"/>
                <w:szCs w:val="21"/>
              </w:rPr>
              <w:t>四、本期期末余额</w:t>
            </w:r>
            <w:r>
              <w:rPr>
                <w:rFonts w:ascii="宋体" w:hAnsi="宋体" w:cs="宋体" w:eastAsia="宋体" w:hint="default"/>
                <w:sz w:val="21"/>
                <w:szCs w:val="21"/>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5" w:right="0"/>
              <w:jc w:val="left"/>
              <w:rPr>
                <w:rFonts w:ascii="Times New Roman" w:hAnsi="Times New Roman" w:cs="Times New Roman" w:eastAsia="Times New Roman" w:hint="default"/>
                <w:sz w:val="21"/>
                <w:szCs w:val="21"/>
              </w:rPr>
            </w:pPr>
            <w:r>
              <w:rPr>
                <w:rFonts w:ascii="Times New Roman"/>
                <w:sz w:val="21"/>
              </w:rPr>
              <w:t>90,000,000.00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30,325,381.10</w:t>
            </w:r>
          </w:p>
        </w:tc>
        <w:tc>
          <w:tcPr>
            <w:tcW w:w="92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13,794,398.76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108,977,680.77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243,097,460.63</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67" w:footer="979" w:top="106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spacing w:before="26"/>
        <w:ind w:left="153" w:right="0" w:firstLine="0"/>
        <w:jc w:val="left"/>
        <w:rPr>
          <w:rFonts w:ascii="宋体" w:hAnsi="宋体" w:cs="宋体" w:eastAsia="宋体" w:hint="default"/>
          <w:sz w:val="24"/>
          <w:szCs w:val="24"/>
        </w:rPr>
      </w:pPr>
      <w:bookmarkStart w:name="三、公司基本情况" w:id="115"/>
      <w:bookmarkEnd w:id="115"/>
      <w:r>
        <w:rPr/>
      </w:r>
      <w:r>
        <w:rPr>
          <w:rFonts w:ascii="宋体" w:hAnsi="宋体" w:cs="宋体" w:eastAsia="宋体" w:hint="default"/>
          <w:b/>
          <w:bCs/>
          <w:sz w:val="24"/>
          <w:szCs w:val="24"/>
        </w:rPr>
        <w:t>三、公司基本情况</w:t>
      </w:r>
      <w:r>
        <w:rPr>
          <w:rFonts w:ascii="宋体" w:hAnsi="宋体" w:cs="宋体" w:eastAsia="宋体" w:hint="default"/>
          <w:sz w:val="24"/>
          <w:szCs w:val="24"/>
        </w:rPr>
      </w:r>
    </w:p>
    <w:p>
      <w:pPr>
        <w:spacing w:line="240" w:lineRule="auto" w:before="12"/>
        <w:rPr>
          <w:rFonts w:ascii="宋体" w:hAnsi="宋体" w:cs="宋体" w:eastAsia="宋体" w:hint="default"/>
          <w:b/>
          <w:bCs/>
          <w:sz w:val="28"/>
          <w:szCs w:val="28"/>
        </w:rPr>
      </w:pPr>
    </w:p>
    <w:p>
      <w:pPr>
        <w:pStyle w:val="BodyText"/>
        <w:spacing w:line="388" w:lineRule="auto" w:before="0"/>
        <w:ind w:left="633" w:right="1741" w:firstLine="2"/>
        <w:jc w:val="left"/>
      </w:pPr>
      <w:r>
        <w:rPr>
          <w:rFonts w:ascii="宋体" w:hAnsi="宋体" w:cs="宋体" w:eastAsia="宋体" w:hint="default"/>
          <w:b/>
          <w:bCs/>
        </w:rPr>
        <w:t>1</w:t>
      </w:r>
      <w:r>
        <w:rPr>
          <w:rFonts w:ascii="宋体" w:hAnsi="宋体" w:cs="宋体" w:eastAsia="宋体" w:hint="default"/>
          <w:b/>
          <w:bCs/>
        </w:rPr>
        <w:t>、公司简介</w:t>
      </w:r>
      <w:r>
        <w:rPr>
          <w:rFonts w:ascii="宋体" w:hAnsi="宋体" w:cs="宋体" w:eastAsia="宋体" w:hint="default"/>
          <w:b/>
          <w:bCs/>
          <w:w w:val="99"/>
        </w:rPr>
        <w:t> </w:t>
      </w:r>
      <w:r>
        <w:rPr>
          <w:spacing w:val="-4"/>
        </w:rPr>
        <w:t>公司名称：北京中文在线数字出版股份有限公司（以下简称“本公司”）</w:t>
      </w:r>
      <w:r>
        <w:rPr>
          <w:spacing w:val="-112"/>
        </w:rPr>
        <w:t> </w:t>
      </w:r>
      <w:r>
        <w:rPr>
          <w:spacing w:val="-112"/>
        </w:rPr>
      </w:r>
      <w:r>
        <w:rPr/>
        <w:t>注册地址：北京市东城区安定门东大街</w:t>
      </w:r>
      <w:r>
        <w:rPr>
          <w:spacing w:val="-61"/>
        </w:rPr>
        <w:t> </w:t>
      </w:r>
      <w:r>
        <w:rPr>
          <w:rFonts w:ascii="宋体" w:hAnsi="宋体" w:cs="宋体" w:eastAsia="宋体" w:hint="default"/>
        </w:rPr>
        <w:t>28</w:t>
      </w:r>
      <w:r>
        <w:rPr>
          <w:rFonts w:ascii="宋体" w:hAnsi="宋体" w:cs="宋体" w:eastAsia="宋体" w:hint="default"/>
          <w:spacing w:val="-61"/>
        </w:rPr>
        <w:t> </w:t>
      </w:r>
      <w:r>
        <w:rPr/>
        <w:t>号</w:t>
      </w:r>
      <w:r>
        <w:rPr>
          <w:spacing w:val="-61"/>
        </w:rPr>
        <w:t> </w:t>
      </w:r>
      <w:r>
        <w:rPr>
          <w:rFonts w:ascii="宋体" w:hAnsi="宋体" w:cs="宋体" w:eastAsia="宋体" w:hint="default"/>
        </w:rPr>
        <w:t>2</w:t>
      </w:r>
      <w:r>
        <w:rPr>
          <w:rFonts w:ascii="宋体" w:hAnsi="宋体" w:cs="宋体" w:eastAsia="宋体" w:hint="default"/>
          <w:spacing w:val="-61"/>
        </w:rPr>
        <w:t> </w:t>
      </w:r>
      <w:r>
        <w:rPr/>
        <w:t>号楼</w:t>
      </w:r>
      <w:r>
        <w:rPr>
          <w:spacing w:val="-61"/>
        </w:rPr>
        <w:t> </w:t>
      </w:r>
      <w:r>
        <w:rPr>
          <w:rFonts w:ascii="宋体" w:hAnsi="宋体" w:cs="宋体" w:eastAsia="宋体" w:hint="default"/>
        </w:rPr>
        <w:t>9</w:t>
      </w:r>
      <w:r>
        <w:rPr>
          <w:rFonts w:ascii="宋体" w:hAnsi="宋体" w:cs="宋体" w:eastAsia="宋体" w:hint="default"/>
          <w:spacing w:val="-61"/>
        </w:rPr>
        <w:t> </w:t>
      </w:r>
      <w:r>
        <w:rPr/>
        <w:t>层</w:t>
      </w:r>
      <w:r>
        <w:rPr>
          <w:spacing w:val="-61"/>
        </w:rPr>
        <w:t> </w:t>
      </w:r>
      <w:r>
        <w:rPr>
          <w:rFonts w:ascii="宋体" w:hAnsi="宋体" w:cs="宋体" w:eastAsia="宋体" w:hint="default"/>
        </w:rPr>
        <w:t>905</w:t>
      </w:r>
      <w:r>
        <w:rPr>
          <w:rFonts w:ascii="宋体" w:hAnsi="宋体" w:cs="宋体" w:eastAsia="宋体" w:hint="default"/>
          <w:spacing w:val="-61"/>
        </w:rPr>
        <w:t> </w:t>
      </w:r>
      <w:r>
        <w:rPr/>
        <w:t>号</w:t>
      </w:r>
    </w:p>
    <w:p>
      <w:pPr>
        <w:pStyle w:val="BodyText"/>
        <w:spacing w:line="240" w:lineRule="auto" w:before="46"/>
        <w:ind w:left="633" w:right="0"/>
        <w:jc w:val="left"/>
      </w:pPr>
      <w:r>
        <w:rPr/>
        <w:t>总部地址：北京市东城区安定门东大街</w:t>
      </w:r>
      <w:r>
        <w:rPr>
          <w:spacing w:val="-61"/>
        </w:rPr>
        <w:t> </w:t>
      </w:r>
      <w:r>
        <w:rPr>
          <w:rFonts w:ascii="宋体" w:hAnsi="宋体" w:cs="宋体" w:eastAsia="宋体" w:hint="default"/>
        </w:rPr>
        <w:t>28</w:t>
      </w:r>
      <w:r>
        <w:rPr>
          <w:rFonts w:ascii="宋体" w:hAnsi="宋体" w:cs="宋体" w:eastAsia="宋体" w:hint="default"/>
          <w:spacing w:val="-61"/>
        </w:rPr>
        <w:t> </w:t>
      </w:r>
      <w:r>
        <w:rPr/>
        <w:t>号</w:t>
      </w:r>
      <w:r>
        <w:rPr>
          <w:spacing w:val="-61"/>
        </w:rPr>
        <w:t> </w:t>
      </w:r>
      <w:r>
        <w:rPr>
          <w:rFonts w:ascii="宋体" w:hAnsi="宋体" w:cs="宋体" w:eastAsia="宋体" w:hint="default"/>
        </w:rPr>
        <w:t>2</w:t>
      </w:r>
      <w:r>
        <w:rPr>
          <w:rFonts w:ascii="宋体" w:hAnsi="宋体" w:cs="宋体" w:eastAsia="宋体" w:hint="default"/>
          <w:spacing w:val="-61"/>
        </w:rPr>
        <w:t> </w:t>
      </w:r>
      <w:r>
        <w:rPr/>
        <w:t>号楼</w:t>
      </w:r>
      <w:r>
        <w:rPr>
          <w:spacing w:val="-61"/>
        </w:rPr>
        <w:t> </w:t>
      </w:r>
      <w:r>
        <w:rPr>
          <w:rFonts w:ascii="宋体" w:hAnsi="宋体" w:cs="宋体" w:eastAsia="宋体" w:hint="default"/>
        </w:rPr>
        <w:t>9</w:t>
      </w:r>
      <w:r>
        <w:rPr>
          <w:rFonts w:ascii="宋体" w:hAnsi="宋体" w:cs="宋体" w:eastAsia="宋体" w:hint="default"/>
          <w:spacing w:val="-61"/>
        </w:rPr>
        <w:t> </w:t>
      </w:r>
      <w:r>
        <w:rPr/>
        <w:t>层</w:t>
      </w:r>
      <w:r>
        <w:rPr>
          <w:spacing w:val="-61"/>
        </w:rPr>
        <w:t> </w:t>
      </w:r>
      <w:r>
        <w:rPr>
          <w:rFonts w:ascii="宋体" w:hAnsi="宋体" w:cs="宋体" w:eastAsia="宋体" w:hint="default"/>
        </w:rPr>
        <w:t>905</w:t>
      </w:r>
      <w:r>
        <w:rPr>
          <w:rFonts w:ascii="宋体" w:hAnsi="宋体" w:cs="宋体" w:eastAsia="宋体" w:hint="default"/>
          <w:spacing w:val="-61"/>
        </w:rPr>
        <w:t> </w:t>
      </w:r>
      <w:r>
        <w:rPr/>
        <w:t>号</w:t>
      </w:r>
    </w:p>
    <w:p>
      <w:pPr>
        <w:spacing w:line="388" w:lineRule="auto" w:before="193"/>
        <w:ind w:left="633" w:right="6175" w:firstLine="0"/>
        <w:jc w:val="left"/>
        <w:rPr>
          <w:rFonts w:ascii="宋体" w:hAnsi="宋体" w:cs="宋体" w:eastAsia="宋体" w:hint="default"/>
          <w:sz w:val="24"/>
          <w:szCs w:val="24"/>
        </w:rPr>
      </w:pPr>
      <w:r>
        <w:rPr>
          <w:rFonts w:ascii="宋体" w:hAnsi="宋体" w:cs="宋体" w:eastAsia="宋体" w:hint="default"/>
          <w:sz w:val="24"/>
          <w:szCs w:val="24"/>
        </w:rPr>
        <w:t>注册资本：人民币</w:t>
      </w:r>
      <w:r>
        <w:rPr>
          <w:rFonts w:ascii="宋体" w:hAnsi="宋体" w:cs="宋体" w:eastAsia="宋体" w:hint="default"/>
          <w:spacing w:val="-61"/>
          <w:sz w:val="24"/>
          <w:szCs w:val="24"/>
        </w:rPr>
        <w:t> </w:t>
      </w:r>
      <w:r>
        <w:rPr>
          <w:rFonts w:ascii="宋体" w:hAnsi="宋体" w:cs="宋体" w:eastAsia="宋体" w:hint="default"/>
          <w:sz w:val="24"/>
          <w:szCs w:val="24"/>
        </w:rPr>
        <w:t>9,000</w:t>
      </w:r>
      <w:r>
        <w:rPr>
          <w:rFonts w:ascii="宋体" w:hAnsi="宋体" w:cs="宋体" w:eastAsia="宋体" w:hint="default"/>
          <w:spacing w:val="-61"/>
          <w:sz w:val="24"/>
          <w:szCs w:val="24"/>
        </w:rPr>
        <w:t> </w:t>
      </w:r>
      <w:r>
        <w:rPr>
          <w:rFonts w:ascii="宋体" w:hAnsi="宋体" w:cs="宋体" w:eastAsia="宋体" w:hint="default"/>
          <w:sz w:val="24"/>
          <w:szCs w:val="24"/>
        </w:rPr>
        <w:t>万元 法定代表人：童之磊 </w:t>
      </w:r>
      <w:r>
        <w:rPr>
          <w:rFonts w:ascii="宋体" w:hAnsi="宋体" w:cs="宋体" w:eastAsia="宋体" w:hint="default"/>
          <w:b/>
          <w:bCs/>
          <w:sz w:val="24"/>
          <w:szCs w:val="24"/>
        </w:rPr>
        <w:t>2</w:t>
      </w:r>
      <w:r>
        <w:rPr>
          <w:rFonts w:ascii="宋体" w:hAnsi="宋体" w:cs="宋体" w:eastAsia="宋体" w:hint="default"/>
          <w:b/>
          <w:bCs/>
          <w:sz w:val="24"/>
          <w:szCs w:val="24"/>
        </w:rPr>
        <w:t>、业务性质及主要经营活动</w:t>
      </w:r>
      <w:r>
        <w:rPr>
          <w:rFonts w:ascii="宋体" w:hAnsi="宋体" w:cs="宋体" w:eastAsia="宋体" w:hint="default"/>
          <w:b/>
          <w:bCs/>
          <w:w w:val="99"/>
          <w:sz w:val="24"/>
          <w:szCs w:val="24"/>
        </w:rPr>
        <w:t> </w:t>
      </w:r>
      <w:r>
        <w:rPr>
          <w:rFonts w:ascii="宋体" w:hAnsi="宋体" w:cs="宋体" w:eastAsia="宋体" w:hint="default"/>
          <w:sz w:val="24"/>
          <w:szCs w:val="24"/>
        </w:rPr>
        <w:t>业务性质：数字出版</w:t>
      </w:r>
    </w:p>
    <w:p>
      <w:pPr>
        <w:pStyle w:val="BodyText"/>
        <w:spacing w:line="357" w:lineRule="auto" w:before="43"/>
        <w:ind w:left="154" w:right="172" w:firstLine="480"/>
        <w:jc w:val="left"/>
      </w:pPr>
      <w:r>
        <w:rPr/>
        <w:t>主要经营活动：本公司以出版机构、作家为正版数字内容来源，进行内容的聚合和管 理，面向手机、手持终端、互联网等出版媒体提供数字阅读产品；为数字出版和发行机构提 供运营服务；通过版权衍生产品等方式提供数字内容增值服务。</w:t>
      </w:r>
    </w:p>
    <w:p>
      <w:pPr>
        <w:spacing w:before="77"/>
        <w:ind w:left="636" w:right="0" w:firstLine="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、财务报告批准</w:t>
      </w:r>
      <w:r>
        <w:rPr>
          <w:rFonts w:ascii="宋体" w:hAnsi="宋体" w:cs="宋体" w:eastAsia="宋体" w:hint="default"/>
          <w:sz w:val="24"/>
          <w:szCs w:val="24"/>
        </w:rPr>
      </w:r>
    </w:p>
    <w:p>
      <w:pPr>
        <w:pStyle w:val="BodyText"/>
        <w:spacing w:line="388" w:lineRule="auto" w:before="194"/>
        <w:ind w:left="633" w:right="173"/>
        <w:jc w:val="left"/>
      </w:pPr>
      <w:r>
        <w:rPr/>
        <w:t>本财务报告经公司董事会于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日决议批准报出。 本公司合并财务报表范围包括： 北京中文在线数字出版股份有限公司、北京中文在线文化传媒有限公司、上海中文在线</w:t>
      </w:r>
    </w:p>
    <w:p>
      <w:pPr>
        <w:pStyle w:val="BodyText"/>
        <w:spacing w:line="357" w:lineRule="auto" w:before="5"/>
        <w:ind w:right="173"/>
        <w:jc w:val="left"/>
      </w:pPr>
      <w:r>
        <w:rPr/>
        <w:t>文化发展有限公司、杭州中文在线信息科技有限公司、北京中文在线教育科技发展有限公 司、广州市四月天信息科技有限公司、湖北中文在线数字出版有限公司、中文在线教育集团 有限公司共</w:t>
      </w:r>
      <w:r>
        <w:rPr>
          <w:spacing w:val="-60"/>
        </w:rPr>
        <w:t> </w:t>
      </w:r>
      <w:r>
        <w:rPr>
          <w:rFonts w:ascii="宋体" w:hAnsi="宋体" w:cs="宋体" w:eastAsia="宋体" w:hint="default"/>
        </w:rPr>
        <w:t>8</w:t>
      </w:r>
      <w:r>
        <w:rPr>
          <w:rFonts w:ascii="宋体" w:hAnsi="宋体" w:cs="宋体" w:eastAsia="宋体" w:hint="default"/>
          <w:spacing w:val="-60"/>
        </w:rPr>
        <w:t> </w:t>
      </w:r>
      <w:r>
        <w:rPr/>
        <w:t>家公司。与上年相比，本年因投资新设增加中文在线教育集团有限公司、北京 汤圆和它的小伙伴们科技有限公司。</w:t>
      </w:r>
    </w:p>
    <w:p>
      <w:pPr>
        <w:pStyle w:val="BodyText"/>
        <w:spacing w:line="326" w:lineRule="auto" w:before="74"/>
        <w:ind w:right="352" w:firstLine="480"/>
        <w:jc w:val="left"/>
      </w:pPr>
      <w:r>
        <w:rPr/>
        <w:t>本期的合并财务报表范围及其变化情况，并与</w:t>
      </w:r>
      <w:r>
        <w:rPr>
          <w:rFonts w:ascii="Calibri" w:hAnsi="Calibri" w:cs="Calibri" w:eastAsia="Calibri" w:hint="default"/>
        </w:rPr>
        <w:t>“</w:t>
      </w:r>
      <w:r>
        <w:rPr/>
        <w:t>本附注八、合并范围的变更</w:t>
      </w:r>
      <w:r>
        <w:rPr>
          <w:rFonts w:ascii="Calibri" w:hAnsi="Calibri" w:cs="Calibri" w:eastAsia="Calibri" w:hint="default"/>
        </w:rPr>
        <w:t>”</w:t>
      </w:r>
      <w:r>
        <w:rPr/>
        <w:t>、</w:t>
      </w:r>
      <w:r>
        <w:rPr>
          <w:rFonts w:ascii="Calibri" w:hAnsi="Calibri" w:cs="Calibri" w:eastAsia="Calibri" w:hint="default"/>
        </w:rPr>
        <w:t>“</w:t>
      </w:r>
      <w:r>
        <w:rPr/>
        <w:t>本附注 九、在其他主体中的权益</w:t>
      </w:r>
      <w:r>
        <w:rPr>
          <w:rFonts w:ascii="Calibri" w:hAnsi="Calibri" w:cs="Calibri" w:eastAsia="Calibri" w:hint="default"/>
        </w:rPr>
        <w:t>”</w:t>
      </w:r>
      <w:r>
        <w:rPr/>
        <w:t>。</w:t>
      </w:r>
    </w:p>
    <w:p>
      <w:pPr>
        <w:spacing w:line="240" w:lineRule="auto" w:before="3"/>
        <w:rPr>
          <w:rFonts w:ascii="宋体" w:hAnsi="宋体" w:cs="宋体" w:eastAsia="宋体" w:hint="default"/>
          <w:sz w:val="18"/>
          <w:szCs w:val="18"/>
        </w:rPr>
      </w:pPr>
    </w:p>
    <w:p>
      <w:pPr>
        <w:spacing w:before="0"/>
        <w:ind w:left="153" w:right="0" w:firstLine="0"/>
        <w:jc w:val="left"/>
        <w:rPr>
          <w:rFonts w:ascii="宋体" w:hAnsi="宋体" w:cs="宋体" w:eastAsia="宋体" w:hint="default"/>
          <w:sz w:val="24"/>
          <w:szCs w:val="24"/>
        </w:rPr>
      </w:pPr>
      <w:bookmarkStart w:name="四、财务报表的编制基础" w:id="116"/>
      <w:bookmarkEnd w:id="116"/>
      <w:r>
        <w:rPr/>
      </w:r>
      <w:r>
        <w:rPr>
          <w:rFonts w:ascii="宋体" w:hAnsi="宋体" w:cs="宋体" w:eastAsia="宋体" w:hint="default"/>
          <w:b/>
          <w:bCs/>
          <w:sz w:val="24"/>
          <w:szCs w:val="24"/>
        </w:rPr>
        <w:t>四、财务报表的编制基础</w:t>
      </w:r>
      <w:r>
        <w:rPr>
          <w:rFonts w:ascii="宋体" w:hAnsi="宋体" w:cs="宋体" w:eastAsia="宋体" w:hint="default"/>
          <w:sz w:val="24"/>
          <w:szCs w:val="24"/>
        </w:rPr>
      </w:r>
    </w:p>
    <w:p>
      <w:pPr>
        <w:spacing w:line="240" w:lineRule="auto" w:before="12"/>
        <w:rPr>
          <w:rFonts w:ascii="宋体" w:hAnsi="宋体" w:cs="宋体" w:eastAsia="宋体" w:hint="default"/>
          <w:b/>
          <w:bCs/>
          <w:sz w:val="22"/>
          <w:szCs w:val="22"/>
        </w:rPr>
      </w:pPr>
    </w:p>
    <w:p>
      <w:pPr>
        <w:spacing w:before="0"/>
        <w:ind w:left="153" w:right="0" w:firstLine="0"/>
        <w:jc w:val="left"/>
        <w:rPr>
          <w:rFonts w:ascii="宋体" w:hAnsi="宋体" w:cs="宋体" w:eastAsia="宋体" w:hint="default"/>
          <w:sz w:val="24"/>
          <w:szCs w:val="24"/>
        </w:rPr>
      </w:pPr>
      <w:bookmarkStart w:name="1、编制基础" w:id="117"/>
      <w:bookmarkEnd w:id="117"/>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、编制基础</w:t>
      </w:r>
      <w:r>
        <w:rPr>
          <w:rFonts w:ascii="宋体" w:hAnsi="宋体" w:cs="宋体" w:eastAsia="宋体" w:hint="default"/>
          <w:sz w:val="24"/>
          <w:szCs w:val="24"/>
        </w:rPr>
      </w:r>
    </w:p>
    <w:p>
      <w:pPr>
        <w:spacing w:line="240" w:lineRule="auto" w:before="5"/>
        <w:rPr>
          <w:rFonts w:ascii="宋体" w:hAnsi="宋体" w:cs="宋体" w:eastAsia="宋体" w:hint="default"/>
          <w:b/>
          <w:bCs/>
          <w:sz w:val="27"/>
          <w:szCs w:val="27"/>
        </w:rPr>
      </w:pPr>
    </w:p>
    <w:p>
      <w:pPr>
        <w:pStyle w:val="BodyText"/>
        <w:spacing w:line="240" w:lineRule="auto" w:before="0"/>
        <w:ind w:left="634" w:right="0"/>
        <w:jc w:val="left"/>
      </w:pPr>
      <w:r>
        <w:rPr/>
        <w:t>本公司财务报表以持续经营为基础，根据实际发生的交易和事项，按照财政部颁布的</w:t>
      </w:r>
    </w:p>
    <w:p>
      <w:pPr>
        <w:pStyle w:val="BodyText"/>
        <w:spacing w:line="240" w:lineRule="auto" w:before="154"/>
        <w:ind w:left="154" w:right="0"/>
        <w:jc w:val="left"/>
      </w:pPr>
      <w:r>
        <w:rPr/>
        <w:t>《企业会计准则》及相关规定，并基于本节</w:t>
      </w:r>
      <w:r>
        <w:rPr>
          <w:rFonts w:ascii="Calibri" w:hAnsi="Calibri" w:cs="Calibri" w:eastAsia="Calibri" w:hint="default"/>
        </w:rPr>
        <w:t>“</w:t>
      </w:r>
      <w:r>
        <w:rPr/>
        <w:t>五</w:t>
      </w:r>
      <w:r>
        <w:rPr>
          <w:rFonts w:ascii="Calibri" w:hAnsi="Calibri" w:cs="Calibri" w:eastAsia="Calibri" w:hint="default"/>
        </w:rPr>
        <w:t>”</w:t>
      </w:r>
      <w:r>
        <w:rPr/>
        <w:t>重要会计政策及会计估计</w:t>
      </w:r>
      <w:r>
        <w:rPr>
          <w:rFonts w:ascii="Calibri" w:hAnsi="Calibri" w:cs="Calibri" w:eastAsia="Calibri" w:hint="default"/>
        </w:rPr>
        <w:t>”</w:t>
      </w:r>
      <w:r>
        <w:rPr/>
        <w:t>所述会计政策和会</w:t>
      </w:r>
    </w:p>
    <w:p>
      <w:pPr>
        <w:spacing w:after="0" w:line="240" w:lineRule="auto"/>
        <w:jc w:val="left"/>
        <w:sectPr>
          <w:headerReference w:type="default" r:id="rId40"/>
          <w:footerReference w:type="default" r:id="rId41"/>
          <w:pgSz w:w="11910" w:h="16840"/>
          <w:pgMar w:header="877" w:footer="979" w:top="1100" w:bottom="1160" w:left="980" w:right="980"/>
          <w:pgNumType w:start="89"/>
        </w:sectPr>
      </w:pPr>
    </w:p>
    <w:p>
      <w:pPr>
        <w:spacing w:line="240" w:lineRule="auto" w:before="9"/>
        <w:rPr>
          <w:rFonts w:ascii="宋体" w:hAnsi="宋体" w:cs="宋体" w:eastAsia="宋体" w:hint="default"/>
          <w:sz w:val="25"/>
          <w:szCs w:val="25"/>
        </w:rPr>
      </w:pPr>
    </w:p>
    <w:p>
      <w:pPr>
        <w:pStyle w:val="BodyText"/>
        <w:spacing w:line="240" w:lineRule="auto"/>
        <w:ind w:right="0"/>
        <w:jc w:val="left"/>
      </w:pPr>
      <w:r>
        <w:rPr/>
        <w:t>计估计编制。</w:t>
      </w:r>
    </w:p>
    <w:p>
      <w:pPr>
        <w:spacing w:line="240" w:lineRule="auto" w:before="8"/>
        <w:rPr>
          <w:rFonts w:ascii="宋体" w:hAnsi="宋体" w:cs="宋体" w:eastAsia="宋体" w:hint="default"/>
          <w:sz w:val="28"/>
          <w:szCs w:val="28"/>
        </w:rPr>
      </w:pPr>
    </w:p>
    <w:p>
      <w:pPr>
        <w:spacing w:before="0"/>
        <w:ind w:left="153" w:right="0" w:firstLine="0"/>
        <w:jc w:val="left"/>
        <w:rPr>
          <w:rFonts w:ascii="宋体" w:hAnsi="宋体" w:cs="宋体" w:eastAsia="宋体" w:hint="default"/>
          <w:sz w:val="24"/>
          <w:szCs w:val="24"/>
        </w:rPr>
      </w:pPr>
      <w:bookmarkStart w:name="2、持续经营" w:id="118"/>
      <w:bookmarkEnd w:id="118"/>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、持续经营</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pStyle w:val="BodyText"/>
        <w:spacing w:line="357" w:lineRule="auto" w:before="0"/>
        <w:ind w:left="154" w:right="172" w:firstLine="480"/>
        <w:jc w:val="left"/>
      </w:pPr>
      <w:r>
        <w:rPr/>
        <w:t>本公司有近期获利经营的历史且有财务资源支持，以持续经营为基础编制财务报表是合 理的。</w:t>
      </w:r>
    </w:p>
    <w:p>
      <w:pPr>
        <w:spacing w:line="240" w:lineRule="auto" w:before="9"/>
        <w:rPr>
          <w:rFonts w:ascii="宋体" w:hAnsi="宋体" w:cs="宋体" w:eastAsia="宋体" w:hint="default"/>
          <w:sz w:val="19"/>
          <w:szCs w:val="19"/>
        </w:rPr>
      </w:pPr>
    </w:p>
    <w:p>
      <w:pPr>
        <w:spacing w:before="0"/>
        <w:ind w:left="154" w:right="0" w:firstLine="0"/>
        <w:jc w:val="left"/>
        <w:rPr>
          <w:rFonts w:ascii="宋体" w:hAnsi="宋体" w:cs="宋体" w:eastAsia="宋体" w:hint="default"/>
          <w:sz w:val="24"/>
          <w:szCs w:val="24"/>
        </w:rPr>
      </w:pPr>
      <w:bookmarkStart w:name="五、重要会计政策及会计估计" w:id="119"/>
      <w:bookmarkEnd w:id="119"/>
      <w:r>
        <w:rPr/>
      </w:r>
      <w:r>
        <w:rPr>
          <w:rFonts w:ascii="宋体" w:hAnsi="宋体" w:cs="宋体" w:eastAsia="宋体" w:hint="default"/>
          <w:b/>
          <w:bCs/>
          <w:sz w:val="24"/>
          <w:szCs w:val="24"/>
        </w:rPr>
        <w:t>五、重要会计政策及会计估计</w:t>
      </w:r>
      <w:r>
        <w:rPr>
          <w:rFonts w:ascii="宋体" w:hAnsi="宋体" w:cs="宋体" w:eastAsia="宋体" w:hint="default"/>
          <w:sz w:val="24"/>
          <w:szCs w:val="24"/>
        </w:rPr>
      </w:r>
    </w:p>
    <w:p>
      <w:pPr>
        <w:spacing w:line="240" w:lineRule="auto" w:before="12"/>
        <w:rPr>
          <w:rFonts w:ascii="宋体" w:hAnsi="宋体" w:cs="宋体" w:eastAsia="宋体" w:hint="default"/>
          <w:b/>
          <w:bCs/>
          <w:sz w:val="28"/>
          <w:szCs w:val="28"/>
        </w:rPr>
      </w:pPr>
    </w:p>
    <w:p>
      <w:pPr>
        <w:pStyle w:val="BodyText"/>
        <w:spacing w:line="386" w:lineRule="auto" w:before="0"/>
        <w:ind w:left="634" w:right="172"/>
        <w:jc w:val="left"/>
      </w:pPr>
      <w:r>
        <w:rPr/>
        <w:t>具体会计政策和会计估计提示： 本公司根据实际生产经营特点制定的具体会计政策和会计估计包括应收款项坏账准备的</w:t>
      </w:r>
    </w:p>
    <w:p>
      <w:pPr>
        <w:pStyle w:val="BodyText"/>
        <w:spacing w:line="240" w:lineRule="auto" w:before="8"/>
        <w:ind w:left="154" w:right="0"/>
        <w:jc w:val="left"/>
      </w:pPr>
      <w:r>
        <w:rPr/>
        <w:t>确认和计量、固定资产分类及折旧方法、无形资产</w:t>
      </w:r>
      <w:r>
        <w:rPr>
          <w:rFonts w:ascii="宋体" w:hAnsi="宋体" w:cs="宋体" w:eastAsia="宋体" w:hint="default"/>
        </w:rPr>
        <w:t>-</w:t>
      </w:r>
      <w:r>
        <w:rPr/>
        <w:t>版权摊销方法、收入确认等。</w:t>
      </w:r>
    </w:p>
    <w:p>
      <w:pPr>
        <w:spacing w:line="670" w:lineRule="atLeast" w:before="38"/>
        <w:ind w:left="633" w:right="413" w:hanging="480"/>
        <w:jc w:val="left"/>
        <w:rPr>
          <w:rFonts w:ascii="宋体" w:hAnsi="宋体" w:cs="宋体" w:eastAsia="宋体" w:hint="default"/>
          <w:sz w:val="24"/>
          <w:szCs w:val="24"/>
        </w:rPr>
      </w:pPr>
      <w:bookmarkStart w:name="1、遵循企业会计准则的声明" w:id="120"/>
      <w:bookmarkEnd w:id="120"/>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、遵循企业会计准则的声明</w:t>
      </w:r>
      <w:r>
        <w:rPr>
          <w:rFonts w:ascii="宋体" w:hAnsi="宋体" w:cs="宋体" w:eastAsia="宋体" w:hint="default"/>
          <w:b/>
          <w:bCs/>
          <w:w w:val="99"/>
          <w:sz w:val="24"/>
          <w:szCs w:val="24"/>
        </w:rPr>
        <w:t> </w:t>
      </w:r>
      <w:r>
        <w:rPr>
          <w:rFonts w:ascii="宋体" w:hAnsi="宋体" w:cs="宋体" w:eastAsia="宋体" w:hint="default"/>
          <w:sz w:val="24"/>
          <w:szCs w:val="24"/>
        </w:rPr>
        <w:t>本公司编制的财务报表符合企业会计准则的要求，真实完整地反映了本公司的财务状</w:t>
      </w:r>
    </w:p>
    <w:p>
      <w:pPr>
        <w:pStyle w:val="BodyText"/>
        <w:spacing w:line="240" w:lineRule="auto" w:before="155"/>
        <w:ind w:right="0"/>
        <w:jc w:val="left"/>
      </w:pPr>
      <w:r>
        <w:rPr/>
        <w:t>况、经营成果和现金流量等有关信息。</w:t>
      </w:r>
    </w:p>
    <w:p>
      <w:pPr>
        <w:spacing w:line="240" w:lineRule="auto" w:before="9"/>
        <w:rPr>
          <w:rFonts w:ascii="宋体" w:hAnsi="宋体" w:cs="宋体" w:eastAsia="宋体" w:hint="default"/>
          <w:sz w:val="28"/>
          <w:szCs w:val="28"/>
        </w:rPr>
      </w:pPr>
    </w:p>
    <w:p>
      <w:pPr>
        <w:spacing w:before="0"/>
        <w:ind w:left="154" w:right="0" w:firstLine="0"/>
        <w:jc w:val="left"/>
        <w:rPr>
          <w:rFonts w:ascii="宋体" w:hAnsi="宋体" w:cs="宋体" w:eastAsia="宋体" w:hint="default"/>
          <w:sz w:val="24"/>
          <w:szCs w:val="24"/>
        </w:rPr>
      </w:pPr>
      <w:bookmarkStart w:name="2、会计期间" w:id="121"/>
      <w:bookmarkEnd w:id="121"/>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、会计期间</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pStyle w:val="BodyText"/>
        <w:spacing w:line="240" w:lineRule="auto" w:before="0"/>
        <w:ind w:left="634" w:right="0"/>
        <w:jc w:val="left"/>
      </w:pPr>
      <w:r>
        <w:rPr/>
        <w:t>本公司的会计期间为公历</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日至</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p>
    <w:p>
      <w:pPr>
        <w:spacing w:line="240" w:lineRule="auto" w:before="8"/>
        <w:rPr>
          <w:rFonts w:ascii="宋体" w:hAnsi="宋体" w:cs="宋体" w:eastAsia="宋体" w:hint="default"/>
          <w:sz w:val="28"/>
          <w:szCs w:val="28"/>
        </w:rPr>
      </w:pPr>
    </w:p>
    <w:p>
      <w:pPr>
        <w:spacing w:before="0"/>
        <w:ind w:left="153" w:right="0" w:firstLine="0"/>
        <w:jc w:val="left"/>
        <w:rPr>
          <w:rFonts w:ascii="宋体" w:hAnsi="宋体" w:cs="宋体" w:eastAsia="宋体" w:hint="default"/>
          <w:sz w:val="24"/>
          <w:szCs w:val="24"/>
        </w:rPr>
      </w:pPr>
      <w:bookmarkStart w:name="3、营业周期" w:id="122"/>
      <w:bookmarkEnd w:id="122"/>
      <w:r>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、营业周期</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pStyle w:val="BodyText"/>
        <w:spacing w:line="240" w:lineRule="auto" w:before="0"/>
        <w:ind w:left="634" w:right="0"/>
        <w:jc w:val="left"/>
      </w:pPr>
      <w:r>
        <w:rPr/>
        <w:t>本公司以</w:t>
      </w:r>
      <w:r>
        <w:rPr>
          <w:spacing w:val="-60"/>
        </w:rPr>
        <w:t> </w:t>
      </w:r>
      <w:r>
        <w:rPr>
          <w:rFonts w:ascii="宋体" w:hAnsi="宋体" w:cs="宋体" w:eastAsia="宋体" w:hint="default"/>
        </w:rPr>
        <w:t>12</w:t>
      </w:r>
      <w:r>
        <w:rPr>
          <w:rFonts w:ascii="宋体" w:hAnsi="宋体" w:cs="宋体" w:eastAsia="宋体" w:hint="default"/>
          <w:spacing w:val="-60"/>
        </w:rPr>
        <w:t> </w:t>
      </w:r>
      <w:r>
        <w:rPr/>
        <w:t>个月作为一个营业周期。</w:t>
      </w:r>
    </w:p>
    <w:p>
      <w:pPr>
        <w:spacing w:line="240" w:lineRule="auto" w:before="8"/>
        <w:rPr>
          <w:rFonts w:ascii="宋体" w:hAnsi="宋体" w:cs="宋体" w:eastAsia="宋体" w:hint="default"/>
          <w:sz w:val="28"/>
          <w:szCs w:val="28"/>
        </w:rPr>
      </w:pPr>
    </w:p>
    <w:p>
      <w:pPr>
        <w:spacing w:before="0"/>
        <w:ind w:left="154" w:right="0" w:firstLine="0"/>
        <w:jc w:val="left"/>
        <w:rPr>
          <w:rFonts w:ascii="宋体" w:hAnsi="宋体" w:cs="宋体" w:eastAsia="宋体" w:hint="default"/>
          <w:sz w:val="24"/>
          <w:szCs w:val="24"/>
        </w:rPr>
      </w:pPr>
      <w:bookmarkStart w:name="4、记账本位币" w:id="123"/>
      <w:bookmarkEnd w:id="123"/>
      <w:r>
        <w:rPr/>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、记账本位币</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pStyle w:val="BodyText"/>
        <w:spacing w:line="240" w:lineRule="auto" w:before="0"/>
        <w:ind w:left="633" w:right="0"/>
        <w:jc w:val="left"/>
      </w:pPr>
      <w:r>
        <w:rPr/>
        <w:t>本公司以人民币为记账本位币。</w:t>
      </w:r>
    </w:p>
    <w:p>
      <w:pPr>
        <w:spacing w:line="670" w:lineRule="atLeast" w:before="37"/>
        <w:ind w:left="633" w:right="173" w:hanging="480"/>
        <w:jc w:val="left"/>
        <w:rPr>
          <w:rFonts w:ascii="宋体" w:hAnsi="宋体" w:cs="宋体" w:eastAsia="宋体" w:hint="default"/>
          <w:sz w:val="24"/>
          <w:szCs w:val="24"/>
        </w:rPr>
      </w:pPr>
      <w:bookmarkStart w:name="5、同一控制下和非同一控制下企业合并的会计处理方法" w:id="124"/>
      <w:bookmarkEnd w:id="124"/>
      <w:r>
        <w:rPr/>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、同一控制下和非同一控制下企业合并的会计处理方法</w:t>
      </w:r>
      <w:r>
        <w:rPr>
          <w:rFonts w:ascii="宋体" w:hAnsi="宋体" w:cs="宋体" w:eastAsia="宋体" w:hint="default"/>
          <w:b/>
          <w:bCs/>
          <w:w w:val="99"/>
          <w:sz w:val="24"/>
          <w:szCs w:val="24"/>
        </w:rPr>
        <w:t> </w:t>
      </w:r>
      <w:r>
        <w:rPr>
          <w:rFonts w:ascii="宋体" w:hAnsi="宋体" w:cs="宋体" w:eastAsia="宋体" w:hint="default"/>
          <w:sz w:val="24"/>
          <w:szCs w:val="24"/>
        </w:rPr>
        <w:t>本公司作为合并方，在同一控制下企业合并中取得的资产和负债，在合并日按被合并方</w:t>
      </w:r>
    </w:p>
    <w:p>
      <w:pPr>
        <w:pStyle w:val="BodyText"/>
        <w:spacing w:line="360" w:lineRule="auto" w:before="154"/>
        <w:ind w:right="173"/>
        <w:jc w:val="left"/>
      </w:pPr>
      <w:r>
        <w:rPr/>
        <w:t>在最终控制方合并报表中的账面价值计量。取得的净资产账面价值与支付的合并对价账面价 值的差额，调整资本公积；资本公积不足冲减的，调整留存收益。</w:t>
      </w:r>
    </w:p>
    <w:p>
      <w:pPr>
        <w:pStyle w:val="BodyText"/>
        <w:spacing w:line="357" w:lineRule="auto" w:before="72"/>
        <w:ind w:right="173" w:firstLine="480"/>
        <w:jc w:val="left"/>
      </w:pPr>
      <w:r>
        <w:rPr/>
        <w:t>在非同一控制下企业合并中取得的被购买方可辨认资产、负债及或有负债在收购日以公 允价值计量。合并成本为本公司在购买日为取得对被购买方的控制权而支付的现金或非现金</w:t>
      </w:r>
    </w:p>
    <w:p>
      <w:pPr>
        <w:spacing w:after="0" w:line="357" w:lineRule="auto"/>
        <w:jc w:val="left"/>
        <w:sectPr>
          <w:pgSz w:w="11910" w:h="16840"/>
          <w:pgMar w:header="877" w:footer="979" w:top="1100" w:bottom="1160" w:left="980" w:right="980"/>
        </w:sectPr>
      </w:pPr>
    </w:p>
    <w:p>
      <w:pPr>
        <w:spacing w:line="240" w:lineRule="auto" w:before="7"/>
        <w:rPr>
          <w:rFonts w:ascii="宋体" w:hAnsi="宋体" w:cs="宋体" w:eastAsia="宋体" w:hint="default"/>
          <w:sz w:val="25"/>
          <w:szCs w:val="25"/>
        </w:rPr>
      </w:pPr>
    </w:p>
    <w:p>
      <w:pPr>
        <w:pStyle w:val="BodyText"/>
        <w:spacing w:line="357" w:lineRule="auto"/>
        <w:ind w:right="173"/>
        <w:jc w:val="left"/>
      </w:pPr>
      <w:r>
        <w:rPr/>
        <w:t>资产、发行或承担的负债、发行的权益性证券等的公允价值以及在企业合并中发生的各项直 接相关费用之和（通过多次交易分步实现的企业合并，其合并成本为每一单项交易的成本之 和）。合并成本大于合并中取得的被购买方可辨认净资产公允价值份额的差额，确认为商 誉；合并成本小于合并中取得的被购买方可辨认净资产公允价值份额的，首先对合并中取得 的各项可辨认资产、负债及或有负债的公允价值、以及合并对价的非现金资产或发行的权益 性证券等的公允价值进行复核，经复核后，合并成本仍小于合并中取得的被购买方可辨认净 资产公允价值份额的，将其差额计入合并当期营业外收入。</w:t>
      </w:r>
    </w:p>
    <w:p>
      <w:pPr>
        <w:spacing w:line="240" w:lineRule="auto" w:before="9"/>
        <w:rPr>
          <w:rFonts w:ascii="宋体" w:hAnsi="宋体" w:cs="宋体" w:eastAsia="宋体" w:hint="default"/>
          <w:sz w:val="19"/>
          <w:szCs w:val="19"/>
        </w:rPr>
      </w:pPr>
    </w:p>
    <w:p>
      <w:pPr>
        <w:spacing w:before="0"/>
        <w:ind w:left="153" w:right="0" w:firstLine="0"/>
        <w:jc w:val="left"/>
        <w:rPr>
          <w:rFonts w:ascii="宋体" w:hAnsi="宋体" w:cs="宋体" w:eastAsia="宋体" w:hint="default"/>
          <w:sz w:val="24"/>
          <w:szCs w:val="24"/>
        </w:rPr>
      </w:pPr>
      <w:bookmarkStart w:name="6、合并财务报表的编制方法" w:id="125"/>
      <w:bookmarkEnd w:id="125"/>
      <w:r>
        <w:rPr/>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、合并财务报表的编制方法</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pStyle w:val="BodyText"/>
        <w:spacing w:line="386" w:lineRule="auto" w:before="0"/>
        <w:ind w:left="633" w:right="173"/>
        <w:jc w:val="left"/>
      </w:pPr>
      <w:r>
        <w:rPr/>
        <w:t>本公司将所有控制的子公司纳入合并财务报表范围。 在编制合并财务报表时，子公司与本公司采用的会计政策或会计期间不一致的，按照本</w:t>
      </w:r>
    </w:p>
    <w:p>
      <w:pPr>
        <w:pStyle w:val="BodyText"/>
        <w:spacing w:line="388" w:lineRule="auto" w:before="8"/>
        <w:ind w:left="633" w:right="173" w:hanging="480"/>
        <w:jc w:val="left"/>
      </w:pPr>
      <w:r>
        <w:rPr/>
        <w:t>公司的会计政策或会计期间对子公司财务报表进行必要的调整。 合并范围内的所有重大内部交易、往来余额及未实现利润在合并报表编制时予以抵销。</w:t>
      </w:r>
    </w:p>
    <w:p>
      <w:pPr>
        <w:pStyle w:val="BodyText"/>
        <w:spacing w:line="343" w:lineRule="auto" w:before="5"/>
        <w:ind w:right="173"/>
        <w:jc w:val="left"/>
      </w:pPr>
      <w:r>
        <w:rPr/>
        <w:t>子公司的所有者权益中不属于母公司的份额以及当期净损益、其他综合收益及综合收益总额 中属于少数股东权益的份额，分别在合并财务报表</w:t>
      </w:r>
      <w:r>
        <w:rPr>
          <w:rFonts w:ascii="Calibri" w:hAnsi="Calibri" w:cs="Calibri" w:eastAsia="Calibri" w:hint="default"/>
        </w:rPr>
        <w:t>“</w:t>
      </w:r>
      <w:r>
        <w:rPr/>
        <w:t>少数股东权益、少数股东损益、归属于 少数股东的其他综合收益及归属于少数股东的综合收益总额</w:t>
      </w:r>
      <w:r>
        <w:rPr>
          <w:rFonts w:ascii="Calibri" w:hAnsi="Calibri" w:cs="Calibri" w:eastAsia="Calibri" w:hint="default"/>
        </w:rPr>
        <w:t>”</w:t>
      </w:r>
      <w:r>
        <w:rPr/>
        <w:t>项目列示。</w:t>
      </w:r>
    </w:p>
    <w:p>
      <w:pPr>
        <w:pStyle w:val="BodyText"/>
        <w:spacing w:line="357" w:lineRule="auto" w:before="35"/>
        <w:ind w:left="154" w:right="189" w:firstLine="480"/>
        <w:jc w:val="both"/>
      </w:pPr>
      <w:r>
        <w:rPr/>
        <w:t>对于同一控制下企业合并取得的子公司，其经营成果和现金流量自合并当期期初纳入合 并财务报表。编制比较合并财务报表时，对上年财务报表的相关项目进行调整，视同合并后 形成的报告主体自最终控制方开始控制时点起一直存在。</w:t>
      </w:r>
    </w:p>
    <w:p>
      <w:pPr>
        <w:pStyle w:val="BodyText"/>
        <w:spacing w:line="357" w:lineRule="auto" w:before="74"/>
        <w:ind w:left="154" w:right="190" w:firstLine="480"/>
        <w:jc w:val="both"/>
      </w:pPr>
      <w:r>
        <w:rPr/>
        <w:t>对于非同一控制下企业合并取得子公司，经营成果和现金流量自本公司取得控制权之日 起纳入合并财务报表。在编制合并财务报表时，以购买日确定的各项可辨认资产、负债及或 有负债的公允价值为基础对子公司的财务报表进行调整。</w:t>
      </w:r>
    </w:p>
    <w:p>
      <w:pPr>
        <w:pStyle w:val="BodyText"/>
        <w:spacing w:line="357" w:lineRule="auto" w:before="76"/>
        <w:ind w:left="154" w:right="172" w:firstLine="480"/>
        <w:jc w:val="left"/>
      </w:pPr>
      <w:r>
        <w:rPr/>
        <w:t>本公司在不丧失控制权的情况下部分处置对子公司的长期股权投资，在合并财务报表 中，处置价款与处置长期股权投资相对应享有子公司自购买日或合并日开始持续计算的净资 产份额之间的差额，调整资本溢价或股本溢价，资本公积不足冲减的，调整留存收益。</w:t>
      </w:r>
    </w:p>
    <w:p>
      <w:pPr>
        <w:pStyle w:val="BodyText"/>
        <w:spacing w:line="357" w:lineRule="auto" w:before="74"/>
        <w:ind w:right="190" w:firstLine="480"/>
        <w:jc w:val="both"/>
      </w:pPr>
      <w:r>
        <w:rPr/>
        <w:t>本公司因处置部分股权投资等原因丧失了对被投资方的控制权的，在编制合并财务报表 时，对于剩余股权，按照其在丧失控制权日的公允价值进行重新计量。处置股权取得的对价 与剩余股权公允价值之和，减去按原持股比例计算应享有原有子公司自购买日或合并日开始 持续计算的净资产的份额之间的差额，计入丧失控制权当期的投资损益，同时冲减商誉。与</w:t>
      </w:r>
    </w:p>
    <w:p>
      <w:pPr>
        <w:spacing w:after="0" w:line="357" w:lineRule="auto"/>
        <w:jc w:val="both"/>
        <w:sectPr>
          <w:pgSz w:w="11910" w:h="16840"/>
          <w:pgMar w:header="877" w:footer="979" w:top="1100" w:bottom="1160" w:left="980" w:right="980"/>
        </w:sectPr>
      </w:pPr>
    </w:p>
    <w:p>
      <w:pPr>
        <w:spacing w:line="240" w:lineRule="auto" w:before="9"/>
        <w:rPr>
          <w:rFonts w:ascii="宋体" w:hAnsi="宋体" w:cs="宋体" w:eastAsia="宋体" w:hint="default"/>
          <w:sz w:val="25"/>
          <w:szCs w:val="25"/>
        </w:rPr>
      </w:pPr>
    </w:p>
    <w:p>
      <w:pPr>
        <w:pStyle w:val="BodyText"/>
        <w:spacing w:line="240" w:lineRule="auto"/>
        <w:ind w:right="0"/>
        <w:jc w:val="left"/>
      </w:pPr>
      <w:r>
        <w:rPr/>
        <w:t>原有子公司股权投资相关的其他综合收益等，在丧失控制权时转为当期投资损益</w:t>
      </w:r>
      <w:r>
        <w:rPr>
          <w:spacing w:val="1"/>
        </w:rPr>
        <w:t> </w:t>
      </w:r>
      <w:r>
        <w:rPr/>
        <w:t>。</w:t>
      </w:r>
    </w:p>
    <w:p>
      <w:pPr>
        <w:spacing w:line="240" w:lineRule="auto" w:before="8"/>
        <w:rPr>
          <w:rFonts w:ascii="宋体" w:hAnsi="宋体" w:cs="宋体" w:eastAsia="宋体" w:hint="default"/>
          <w:sz w:val="28"/>
          <w:szCs w:val="28"/>
        </w:rPr>
      </w:pPr>
    </w:p>
    <w:p>
      <w:pPr>
        <w:spacing w:line="501" w:lineRule="auto" w:before="0"/>
        <w:ind w:left="633" w:right="5452" w:hanging="480"/>
        <w:jc w:val="left"/>
        <w:rPr>
          <w:rFonts w:ascii="宋体" w:hAnsi="宋体" w:cs="宋体" w:eastAsia="宋体" w:hint="default"/>
          <w:sz w:val="24"/>
          <w:szCs w:val="24"/>
        </w:rPr>
      </w:pPr>
      <w:bookmarkStart w:name="7、合营安排分类及共同经营会计处理方法" w:id="126"/>
      <w:bookmarkEnd w:id="126"/>
      <w:r>
        <w:rPr/>
      </w:r>
      <w:r>
        <w:rPr>
          <w:rFonts w:ascii="Times New Roman" w:hAnsi="Times New Roman" w:cs="Times New Roman" w:eastAsia="Times New Roman" w:hint="default"/>
          <w:b/>
          <w:bCs/>
          <w:w w:val="95"/>
          <w:sz w:val="24"/>
          <w:szCs w:val="24"/>
        </w:rPr>
        <w:t>7</w:t>
      </w:r>
      <w:r>
        <w:rPr>
          <w:rFonts w:ascii="宋体" w:hAnsi="宋体" w:cs="宋体" w:eastAsia="宋体" w:hint="default"/>
          <w:b/>
          <w:bCs/>
          <w:w w:val="95"/>
          <w:sz w:val="24"/>
          <w:szCs w:val="24"/>
        </w:rPr>
        <w:t>、合营安排分类及共同经营会计处理方法</w:t>
      </w:r>
      <w:r>
        <w:rPr>
          <w:rFonts w:ascii="宋体" w:hAnsi="宋体" w:cs="宋体" w:eastAsia="宋体" w:hint="default"/>
          <w:b/>
          <w:bCs/>
          <w:spacing w:val="91"/>
          <w:w w:val="95"/>
          <w:sz w:val="24"/>
          <w:szCs w:val="24"/>
        </w:rPr>
        <w:t> </w:t>
      </w:r>
      <w:r>
        <w:rPr>
          <w:rFonts w:ascii="宋体" w:hAnsi="宋体" w:cs="宋体" w:eastAsia="宋体" w:hint="default"/>
          <w:sz w:val="24"/>
          <w:szCs w:val="24"/>
        </w:rPr>
        <w:t>无。</w:t>
      </w:r>
    </w:p>
    <w:p>
      <w:pPr>
        <w:spacing w:before="113"/>
        <w:ind w:left="153" w:right="0" w:firstLine="0"/>
        <w:jc w:val="left"/>
        <w:rPr>
          <w:rFonts w:ascii="宋体" w:hAnsi="宋体" w:cs="宋体" w:eastAsia="宋体" w:hint="default"/>
          <w:sz w:val="24"/>
          <w:szCs w:val="24"/>
        </w:rPr>
      </w:pPr>
      <w:bookmarkStart w:name="8、现金及现金等价物的确定标准" w:id="127"/>
      <w:bookmarkEnd w:id="127"/>
      <w:r>
        <w:rPr/>
      </w:r>
      <w:r>
        <w:rPr>
          <w:rFonts w:ascii="Times New Roman" w:hAnsi="Times New Roman" w:cs="Times New Roman" w:eastAsia="Times New Roman" w:hint="default"/>
          <w:b/>
          <w:bCs/>
          <w:sz w:val="24"/>
          <w:szCs w:val="24"/>
        </w:rPr>
        <w:t>8</w:t>
      </w:r>
      <w:r>
        <w:rPr>
          <w:rFonts w:ascii="宋体" w:hAnsi="宋体" w:cs="宋体" w:eastAsia="宋体" w:hint="default"/>
          <w:b/>
          <w:bCs/>
          <w:sz w:val="24"/>
          <w:szCs w:val="24"/>
        </w:rPr>
        <w:t>、现金及现金等价物的确定标准</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pStyle w:val="BodyText"/>
        <w:spacing w:line="357" w:lineRule="auto" w:before="0"/>
        <w:ind w:right="191" w:firstLine="480"/>
        <w:jc w:val="both"/>
      </w:pPr>
      <w:r>
        <w:rPr/>
        <w:t>本公司现金流量表之现金指库存现金以及可以随时用于支付的存款。现金流量表之现金 等价物指持有期限不超过</w:t>
      </w:r>
      <w:r>
        <w:rPr>
          <w:spacing w:val="-60"/>
        </w:rPr>
        <w:t> </w:t>
      </w:r>
      <w:r>
        <w:rPr>
          <w:rFonts w:ascii="宋体" w:hAnsi="宋体" w:cs="宋体" w:eastAsia="宋体" w:hint="default"/>
        </w:rPr>
        <w:t>3</w:t>
      </w:r>
      <w:r>
        <w:rPr>
          <w:rFonts w:ascii="宋体" w:hAnsi="宋体" w:cs="宋体" w:eastAsia="宋体" w:hint="default"/>
          <w:spacing w:val="-60"/>
        </w:rPr>
        <w:t> </w:t>
      </w:r>
      <w:r>
        <w:rPr/>
        <w:t>个月、流动性强、易于转换为已知金额现金且价值变动风险很小 的投资。</w:t>
      </w:r>
    </w:p>
    <w:p>
      <w:pPr>
        <w:spacing w:line="240" w:lineRule="auto" w:before="9"/>
        <w:rPr>
          <w:rFonts w:ascii="宋体" w:hAnsi="宋体" w:cs="宋体" w:eastAsia="宋体" w:hint="default"/>
          <w:sz w:val="19"/>
          <w:szCs w:val="19"/>
        </w:rPr>
      </w:pPr>
    </w:p>
    <w:p>
      <w:pPr>
        <w:spacing w:before="0"/>
        <w:ind w:left="153" w:right="0" w:firstLine="0"/>
        <w:jc w:val="left"/>
        <w:rPr>
          <w:rFonts w:ascii="宋体" w:hAnsi="宋体" w:cs="宋体" w:eastAsia="宋体" w:hint="default"/>
          <w:sz w:val="24"/>
          <w:szCs w:val="24"/>
        </w:rPr>
      </w:pPr>
      <w:bookmarkStart w:name="9、外币业务和外币报表折算" w:id="128"/>
      <w:bookmarkEnd w:id="128"/>
      <w:r>
        <w:rPr/>
      </w:r>
      <w:r>
        <w:rPr>
          <w:rFonts w:ascii="Times New Roman" w:hAnsi="Times New Roman" w:cs="Times New Roman" w:eastAsia="Times New Roman" w:hint="default"/>
          <w:b/>
          <w:bCs/>
          <w:sz w:val="24"/>
          <w:szCs w:val="24"/>
        </w:rPr>
        <w:t>9</w:t>
      </w:r>
      <w:r>
        <w:rPr>
          <w:rFonts w:ascii="宋体" w:hAnsi="宋体" w:cs="宋体" w:eastAsia="宋体" w:hint="default"/>
          <w:b/>
          <w:bCs/>
          <w:sz w:val="24"/>
          <w:szCs w:val="24"/>
        </w:rPr>
        <w:t>、外币业务和外币报表折算</w:t>
      </w:r>
      <w:r>
        <w:rPr>
          <w:rFonts w:ascii="宋体" w:hAnsi="宋体" w:cs="宋体" w:eastAsia="宋体" w:hint="default"/>
          <w:sz w:val="24"/>
          <w:szCs w:val="24"/>
        </w:rPr>
      </w:r>
    </w:p>
    <w:p>
      <w:pPr>
        <w:spacing w:line="240" w:lineRule="auto" w:before="5"/>
        <w:rPr>
          <w:rFonts w:ascii="宋体" w:hAnsi="宋体" w:cs="宋体" w:eastAsia="宋体" w:hint="default"/>
          <w:b/>
          <w:bCs/>
          <w:sz w:val="21"/>
          <w:szCs w:val="21"/>
        </w:rPr>
      </w:pPr>
    </w:p>
    <w:p>
      <w:pPr>
        <w:pStyle w:val="BodyText"/>
        <w:spacing w:line="240" w:lineRule="auto" w:before="0"/>
        <w:ind w:left="164" w:right="0"/>
        <w:jc w:val="left"/>
      </w:pPr>
      <w:r>
        <w:rPr/>
        <w:t>（</w:t>
      </w:r>
      <w:r>
        <w:rPr>
          <w:rFonts w:ascii="Times New Roman" w:hAnsi="Times New Roman" w:cs="Times New Roman" w:eastAsia="Times New Roman" w:hint="default"/>
        </w:rPr>
        <w:t>1</w:t>
      </w:r>
      <w:r>
        <w:rPr/>
        <w:t>）外币交易</w:t>
      </w:r>
    </w:p>
    <w:p>
      <w:pPr>
        <w:pStyle w:val="BodyText"/>
        <w:spacing w:line="357" w:lineRule="auto" w:before="99"/>
        <w:ind w:right="189" w:firstLine="480"/>
        <w:jc w:val="both"/>
      </w:pPr>
      <w:r>
        <w:rPr/>
        <w:t>本公司外币交易按交易发生日的即期汇率将外币金额折算为人民币金额。于资产负债表 日，外币货币性项目采用资产负债表日的即期汇率折算为人民币，所产生的折算差额除了为 购建或生产符合资本化条件的资产而借入的外币专门借款产生的汇兑差额按资本化的原则处 理外，直接计入当期损益。以公允价值计量的外币非货币性项目，采用公允价值确定日的即 期汇率折算为人民币，所产生的折算差额，作为公允价值变动直接计入当期损益。以历史成 本计量的外币非货币性项目，仍采用交易发生日的即期汇率折算，不改变其人民币金额。</w:t>
      </w:r>
    </w:p>
    <w:p>
      <w:pPr>
        <w:pStyle w:val="BodyText"/>
        <w:spacing w:line="312" w:lineRule="auto" w:before="196"/>
        <w:ind w:left="633" w:right="173" w:hanging="470"/>
        <w:jc w:val="left"/>
      </w:pPr>
      <w:r>
        <w:rPr/>
        <w:t>（</w:t>
      </w:r>
      <w:r>
        <w:rPr>
          <w:rFonts w:ascii="Times New Roman" w:hAnsi="Times New Roman" w:cs="Times New Roman" w:eastAsia="Times New Roman" w:hint="default"/>
        </w:rPr>
        <w:t>2</w:t>
      </w:r>
      <w:r>
        <w:rPr/>
        <w:t>）外币财务报表的折算 外币资产负债表中资产、负债类项目采用资产负债表日的即期汇率折算；所有者权益类</w:t>
      </w:r>
    </w:p>
    <w:p>
      <w:pPr>
        <w:pStyle w:val="BodyText"/>
        <w:spacing w:line="348" w:lineRule="auto" w:before="80"/>
        <w:ind w:right="189"/>
        <w:jc w:val="both"/>
      </w:pPr>
      <w:r>
        <w:rPr/>
        <w:t>项目除</w:t>
      </w:r>
      <w:r>
        <w:rPr>
          <w:rFonts w:ascii="Calibri" w:hAnsi="Calibri" w:cs="Calibri" w:eastAsia="Calibri" w:hint="default"/>
        </w:rPr>
        <w:t>“</w:t>
      </w:r>
      <w:r>
        <w:rPr/>
        <w:t>未分配利润</w:t>
      </w:r>
      <w:r>
        <w:rPr>
          <w:rFonts w:ascii="Calibri" w:hAnsi="Calibri" w:cs="Calibri" w:eastAsia="Calibri" w:hint="default"/>
        </w:rPr>
        <w:t>”</w:t>
      </w:r>
      <w:r>
        <w:rPr/>
        <w:t>外，均按业务发生时的即期汇率折算；利润表中的收入与费用项目，采 用交易发生日的即期汇率折算。上述折算产生的外币报表折算差额，在所有者权益项目下单 独列示。外币现金流量采用现金流量发生日的即期汇率折算。汇率变动对现金的影响额，在 现金流量表中单独列示。</w:t>
      </w:r>
    </w:p>
    <w:p>
      <w:pPr>
        <w:spacing w:line="240" w:lineRule="auto" w:before="5"/>
        <w:rPr>
          <w:rFonts w:ascii="宋体" w:hAnsi="宋体" w:cs="宋体" w:eastAsia="宋体" w:hint="default"/>
          <w:sz w:val="20"/>
          <w:szCs w:val="20"/>
        </w:rPr>
      </w:pPr>
    </w:p>
    <w:p>
      <w:pPr>
        <w:spacing w:before="0"/>
        <w:ind w:left="153" w:right="0" w:firstLine="0"/>
        <w:jc w:val="left"/>
        <w:rPr>
          <w:rFonts w:ascii="宋体" w:hAnsi="宋体" w:cs="宋体" w:eastAsia="宋体" w:hint="default"/>
          <w:sz w:val="24"/>
          <w:szCs w:val="24"/>
        </w:rPr>
      </w:pPr>
      <w:bookmarkStart w:name="10、金融工具" w:id="129"/>
      <w:bookmarkEnd w:id="129"/>
      <w:r>
        <w:rPr/>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、金融工具</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pStyle w:val="BodyText"/>
        <w:spacing w:line="240" w:lineRule="auto" w:before="0"/>
        <w:ind w:left="634" w:right="0"/>
        <w:jc w:val="left"/>
      </w:pPr>
      <w:r>
        <w:rPr/>
        <w:t>本公司成为金融工具合同的一方时确认一项金融资产或金融负债。</w:t>
      </w:r>
    </w:p>
    <w:p>
      <w:pPr>
        <w:pStyle w:val="BodyText"/>
        <w:spacing w:line="388" w:lineRule="auto" w:before="194"/>
        <w:ind w:left="634" w:right="5212"/>
        <w:jc w:val="left"/>
      </w:pPr>
      <w:r>
        <w:rPr/>
        <w:t>（</w:t>
      </w:r>
      <w:r>
        <w:rPr>
          <w:rFonts w:ascii="宋体" w:hAnsi="宋体" w:cs="宋体" w:eastAsia="宋体" w:hint="default"/>
        </w:rPr>
        <w:t>1</w:t>
      </w:r>
      <w:r>
        <w:rPr/>
        <w:t>）金融资产 </w:t>
      </w:r>
      <w:r>
        <w:rPr>
          <w:rFonts w:ascii="宋体" w:hAnsi="宋体" w:cs="宋体" w:eastAsia="宋体" w:hint="default"/>
        </w:rPr>
        <w:t>A.</w:t>
      </w:r>
      <w:r>
        <w:rPr/>
        <w:t>金融资产分类、确认依据和计量方法</w:t>
      </w:r>
    </w:p>
    <w:p>
      <w:pPr>
        <w:spacing w:after="0" w:line="388" w:lineRule="auto"/>
        <w:jc w:val="left"/>
        <w:sectPr>
          <w:pgSz w:w="11910" w:h="16840"/>
          <w:pgMar w:header="877" w:footer="979" w:top="1100" w:bottom="1160" w:left="980" w:right="980"/>
        </w:sectPr>
      </w:pPr>
    </w:p>
    <w:p>
      <w:pPr>
        <w:spacing w:line="240" w:lineRule="auto" w:before="7"/>
        <w:rPr>
          <w:rFonts w:ascii="宋体" w:hAnsi="宋体" w:cs="宋体" w:eastAsia="宋体" w:hint="default"/>
          <w:sz w:val="25"/>
          <w:szCs w:val="25"/>
        </w:rPr>
      </w:pPr>
    </w:p>
    <w:p>
      <w:pPr>
        <w:pStyle w:val="BodyText"/>
        <w:spacing w:line="357" w:lineRule="auto"/>
        <w:ind w:right="190" w:firstLine="480"/>
        <w:jc w:val="both"/>
      </w:pPr>
      <w:r>
        <w:rPr/>
        <w:t>本公司按投资目的和经济实质对拥有的金融资产分类为以公允价值计量且其变动计入当 期损益的金融资产、持有至到期投资、应收款项及可供出售金融资产。</w:t>
      </w:r>
    </w:p>
    <w:p>
      <w:pPr>
        <w:pStyle w:val="BodyText"/>
        <w:spacing w:line="357" w:lineRule="auto" w:before="74"/>
        <w:ind w:right="173" w:firstLine="480"/>
        <w:jc w:val="left"/>
      </w:pPr>
      <w:r>
        <w:rPr/>
        <w:t>以公允价值计量且其变动计入当期损益的金融资产，包括交易性金融资产和在初始确认 时指定为以公允价值计量且其变动计入当期损益的金融资产。对此类金融资产，采用公允价 值进行后续计量。公允价值变动计入公允价值变动损益；在资产持有期间所取得的利息或现 金股利，确认为投资收益；处置时，其公允价值与初始入账金额之间的差额确认为投资损 益，同时调整公允价值变动损益。</w:t>
      </w:r>
    </w:p>
    <w:p>
      <w:pPr>
        <w:pStyle w:val="BodyText"/>
        <w:spacing w:line="357" w:lineRule="auto" w:before="76"/>
        <w:ind w:right="190" w:firstLine="480"/>
        <w:jc w:val="both"/>
      </w:pPr>
      <w:r>
        <w:rPr/>
        <w:t>持有至到期投资，是指到期日固定、回收金额固定或可确定，且本公司有明确意图和能 力持有至到期的非衍生金融资产。持有至到期投资采用实际利率法，按照摊余成本进行后续 计量，其摊销或减值以及终止确认产生的利得或损失，均计入当期损益。</w:t>
      </w:r>
    </w:p>
    <w:p>
      <w:pPr>
        <w:pStyle w:val="BodyText"/>
        <w:spacing w:line="386" w:lineRule="auto" w:before="76"/>
        <w:ind w:left="633" w:right="173"/>
        <w:jc w:val="left"/>
      </w:pPr>
      <w:r>
        <w:rPr/>
        <w:t>应收款项，是指在活跃市场中没有报价，回收金额固定或可确定的非衍生金融资产。 可供出售金融资产，是指初始确认时即被指定为可供出售的非衍生金融资产，以及未被</w:t>
      </w:r>
    </w:p>
    <w:p>
      <w:pPr>
        <w:pStyle w:val="BodyText"/>
        <w:spacing w:line="357" w:lineRule="auto" w:before="7"/>
        <w:ind w:right="173"/>
        <w:jc w:val="left"/>
      </w:pPr>
      <w:r>
        <w:rPr/>
        <w:t>划分为其他类的金融资产</w:t>
      </w:r>
      <w:r>
        <w:rPr>
          <w:color w:val="FF0000"/>
        </w:rPr>
        <w:t>。</w:t>
      </w:r>
      <w:r>
        <w:rPr/>
        <w:t>这类资产中，在活跃市场中没有报价且其公允价值不能可靠计量</w:t>
      </w:r>
      <w:r>
        <w:rPr/>
        <w:t> 的权益工具投资以及与该权益工具挂钩并须通过交付该权益工具结算的衍生金融资产，按成 本进行后续计量；其他存在活跃市场报价或虽没有活跃市场报价但公允价值能够可靠计量 的，按公允价值计量，公允价值变动计入其他综合收益。对于此类金融资产采用公允价值进 行后续计量，除减值损失及外币货币性金融资产形成的汇兑损益外，可供出售金融资产公允 价值变动直接计入股东权益，待该金融资产终止确认时，原直接计入权益的公允价值变动累 计额转入当期损益。可供出售债务工具投资在持有期间按实际利率法计算的利息，以及被投 资单位宣告发放的与可供出售权益工具投资相关的现金股利，作为投资收益计入当期损益。 对于在活跃市场中没有报价且其公允价值不能可靠计量的权益工具投资，按成本计量。</w:t>
      </w:r>
    </w:p>
    <w:p>
      <w:pPr>
        <w:pStyle w:val="BodyText"/>
        <w:spacing w:line="386" w:lineRule="auto" w:before="77"/>
        <w:ind w:left="634" w:right="172"/>
        <w:jc w:val="left"/>
      </w:pPr>
      <w:r>
        <w:rPr>
          <w:rFonts w:ascii="宋体" w:hAnsi="宋体" w:cs="宋体" w:eastAsia="宋体" w:hint="default"/>
        </w:rPr>
        <w:t>B.</w:t>
      </w:r>
      <w:r>
        <w:rPr/>
        <w:t>金融资产转移的确认依据和计量方法 金融资产满足下列条件之一的，予以终止确认：①收取该金融资产现金流量的合同权利</w:t>
      </w:r>
    </w:p>
    <w:p>
      <w:pPr>
        <w:pStyle w:val="BodyText"/>
        <w:spacing w:line="357" w:lineRule="auto" w:before="7"/>
        <w:ind w:right="189"/>
        <w:jc w:val="both"/>
      </w:pPr>
      <w:r>
        <w:rPr/>
        <w:t>终止；②该金融资产已转移，且本公司将金融资产所有权上几乎所有的风险和报酬转移给转 入方；③该金融资产已转移，虽然本公司既没有转移也没有保留金融资产所有权上几乎所有 的风险和报酬，但是放弃了对该金融资产控制。</w:t>
      </w:r>
    </w:p>
    <w:p>
      <w:pPr>
        <w:pStyle w:val="BodyText"/>
        <w:spacing w:line="357" w:lineRule="auto" w:before="75"/>
        <w:ind w:left="154" w:right="190" w:firstLine="480"/>
        <w:jc w:val="both"/>
      </w:pPr>
      <w:r>
        <w:rPr/>
        <w:t>企业既没有转移也没有保留金融资产所有权上几乎所有的风险和报酬，且未放弃对该金 融资产控制的，则按照其继续涉入所转移金融资产的程度确认有关金融资产，并相应确认有 关负债。</w:t>
      </w:r>
    </w:p>
    <w:p>
      <w:pPr>
        <w:spacing w:after="0" w:line="357" w:lineRule="auto"/>
        <w:jc w:val="both"/>
        <w:sectPr>
          <w:pgSz w:w="11910" w:h="16840"/>
          <w:pgMar w:header="877" w:footer="979" w:top="1100" w:bottom="1160" w:left="980" w:right="980"/>
        </w:sectPr>
      </w:pPr>
    </w:p>
    <w:p>
      <w:pPr>
        <w:spacing w:line="240" w:lineRule="auto" w:before="7"/>
        <w:rPr>
          <w:rFonts w:ascii="宋体" w:hAnsi="宋体" w:cs="宋体" w:eastAsia="宋体" w:hint="default"/>
          <w:sz w:val="25"/>
          <w:szCs w:val="25"/>
        </w:rPr>
      </w:pPr>
    </w:p>
    <w:p>
      <w:pPr>
        <w:pStyle w:val="BodyText"/>
        <w:spacing w:line="357" w:lineRule="auto"/>
        <w:ind w:right="173" w:firstLine="480"/>
        <w:jc w:val="left"/>
      </w:pPr>
      <w:r>
        <w:rPr/>
        <w:t>金融资产整体转移满足终止确认条件的，将所转移金融资产的账面价值，与因转移而收 到的对价及原计入其他综合收益的公允价值变动累计额之和的差额计入当期损益。</w:t>
      </w:r>
    </w:p>
    <w:p>
      <w:pPr>
        <w:pStyle w:val="BodyText"/>
        <w:spacing w:line="357" w:lineRule="auto" w:before="74"/>
        <w:ind w:right="189" w:firstLine="480"/>
        <w:jc w:val="both"/>
      </w:pPr>
      <w:r>
        <w:rPr/>
        <w:t>金融资产部分转移满足终止确认条件的，将所转移金融资产整体的账面价值，在终止确 认部分和未终止确认部分之间，按照各自的相对公允价值进行分摊，并将因转移而收到的对 价及应分摊至终止确认部分的原计入其他综合收益的公允价值变动累计额之和，与分摊的前 述账面金额的差额计入当期损益。</w:t>
      </w:r>
    </w:p>
    <w:p>
      <w:pPr>
        <w:pStyle w:val="BodyText"/>
        <w:spacing w:line="386" w:lineRule="auto" w:before="77"/>
        <w:ind w:left="634" w:right="172"/>
        <w:jc w:val="left"/>
      </w:pPr>
      <w:r>
        <w:rPr>
          <w:rFonts w:ascii="宋体" w:hAnsi="宋体" w:cs="宋体" w:eastAsia="宋体" w:hint="default"/>
        </w:rPr>
        <w:t>C.</w:t>
      </w:r>
      <w:r>
        <w:rPr/>
        <w:t>金融资产减值的测试方法及会计处理方法 除以公允价值计量且其变动计入当期损益的金融资产外，本公司于资产负债表日对其他</w:t>
      </w:r>
    </w:p>
    <w:p>
      <w:pPr>
        <w:pStyle w:val="BodyText"/>
        <w:spacing w:line="357" w:lineRule="auto" w:before="7"/>
        <w:ind w:left="154" w:right="172"/>
        <w:jc w:val="left"/>
      </w:pPr>
      <w:r>
        <w:rPr/>
        <w:t>金融资产的账面价值进行检查，如果有客观证据表明某项金融资产发生减值的，计提减值准 备。</w:t>
      </w:r>
    </w:p>
    <w:p>
      <w:pPr>
        <w:pStyle w:val="BodyText"/>
        <w:spacing w:line="357" w:lineRule="auto" w:before="74"/>
        <w:ind w:right="173" w:firstLine="480"/>
        <w:jc w:val="left"/>
      </w:pPr>
      <w:r>
        <w:rPr/>
        <w:t>本公司对于活跃市场上有报价的股票投资、债券投资等可供出售金融资产，年末按照该 类资产活跃市场上的报价确认的公允价值，较按照取得该项资产时支付对价的公允价值及相 关交易费用之和确认的成本，下跌幅度达到或超过</w:t>
      </w:r>
      <w:r>
        <w:rPr>
          <w:spacing w:val="-60"/>
        </w:rPr>
        <w:t> </w:t>
      </w:r>
      <w:r>
        <w:rPr>
          <w:rFonts w:ascii="宋体" w:hAnsi="宋体" w:cs="宋体" w:eastAsia="宋体" w:hint="default"/>
        </w:rPr>
        <w:t>50%</w:t>
      </w:r>
      <w:r>
        <w:rPr/>
        <w:t>以上；并截至资产负债表日持续下跌 时间已经达到或超过</w:t>
      </w:r>
      <w:r>
        <w:rPr>
          <w:spacing w:val="-60"/>
        </w:rPr>
        <w:t> </w:t>
      </w:r>
      <w:r>
        <w:rPr>
          <w:rFonts w:ascii="宋体" w:hAnsi="宋体" w:cs="宋体" w:eastAsia="宋体" w:hint="default"/>
        </w:rPr>
        <w:t>12</w:t>
      </w:r>
      <w:r>
        <w:rPr>
          <w:rFonts w:ascii="宋体" w:hAnsi="宋体" w:cs="宋体" w:eastAsia="宋体" w:hint="default"/>
          <w:spacing w:val="-60"/>
        </w:rPr>
        <w:t> </w:t>
      </w:r>
      <w:r>
        <w:rPr/>
        <w:t>个月，本公司根据成本与年末公允价值的差额确认累积应计提的减 值准备。</w:t>
      </w:r>
    </w:p>
    <w:p>
      <w:pPr>
        <w:pStyle w:val="BodyText"/>
        <w:spacing w:line="357" w:lineRule="auto" w:before="76"/>
        <w:ind w:right="173" w:firstLine="480"/>
        <w:jc w:val="left"/>
      </w:pPr>
      <w:r>
        <w:rPr/>
        <w:t>以摊余成本计量的金融资产发生减值时，按预计未来现金流量</w:t>
      </w:r>
      <w:r>
        <w:rPr>
          <w:rFonts w:ascii="宋体" w:hAnsi="宋体" w:cs="宋体" w:eastAsia="宋体" w:hint="default"/>
        </w:rPr>
        <w:t>(</w:t>
      </w:r>
      <w:r>
        <w:rPr/>
        <w:t>不包括尚未发生的未来 信用损失</w:t>
      </w:r>
      <w:r>
        <w:rPr>
          <w:rFonts w:ascii="宋体" w:hAnsi="宋体" w:cs="宋体" w:eastAsia="宋体" w:hint="default"/>
        </w:rPr>
        <w:t>)</w:t>
      </w:r>
      <w:r>
        <w:rPr/>
        <w:t>现值低于账面价值的差额，计提减值准备。如果有客观证据表明该金融资产价值 已恢复，且客观上与确认该损失后发生的事项有关，原确认的减值损失予以转回，计入当期 损益。</w:t>
      </w:r>
    </w:p>
    <w:p>
      <w:pPr>
        <w:pStyle w:val="BodyText"/>
        <w:spacing w:line="357" w:lineRule="auto" w:before="74"/>
        <w:ind w:left="154" w:right="189" w:firstLine="480"/>
        <w:jc w:val="both"/>
      </w:pPr>
      <w:r>
        <w:rPr/>
        <w:t>当可供出售金融资产发生减值，原直接计入所有者权益的因公允价值下降形成的累计损 失予以转出并计入减值损失。对已确认减值损失的可供出售债务工具投资，在期后公允价值 上升且客观上与确认原减值损失后发生的事项有关的，原确认的减值损失予以转回并计入当 期损益。对已确认减值损失的可供出售权益工具投资，期后公允价值上升直接计入所有者权 益。</w:t>
      </w:r>
    </w:p>
    <w:p>
      <w:pPr>
        <w:pStyle w:val="BodyText"/>
        <w:spacing w:line="388" w:lineRule="auto" w:before="76"/>
        <w:ind w:left="634" w:right="5212"/>
        <w:jc w:val="left"/>
      </w:pPr>
      <w:r>
        <w:rPr>
          <w:rFonts w:ascii="宋体" w:hAnsi="宋体" w:cs="宋体" w:eastAsia="宋体" w:hint="default"/>
        </w:rPr>
        <w:t>(2)</w:t>
      </w:r>
      <w:r>
        <w:rPr/>
        <w:t>金融负债 </w:t>
      </w:r>
      <w:r>
        <w:rPr>
          <w:rFonts w:ascii="宋体" w:hAnsi="宋体" w:cs="宋体" w:eastAsia="宋体" w:hint="default"/>
        </w:rPr>
        <w:t>A.</w:t>
      </w:r>
      <w:r>
        <w:rPr/>
        <w:t>金融负债分类、确认依据和计量方法</w:t>
      </w:r>
    </w:p>
    <w:p>
      <w:pPr>
        <w:pStyle w:val="BodyText"/>
        <w:spacing w:line="357" w:lineRule="auto" w:before="44"/>
        <w:ind w:left="154" w:right="172" w:firstLine="480"/>
        <w:jc w:val="left"/>
      </w:pPr>
      <w:r>
        <w:rPr/>
        <w:t>本公司的金融负债于初始确认时分类为以公允价值计量且其变动计入当期损益的金融负 债和其他金融负债。</w:t>
      </w:r>
    </w:p>
    <w:p>
      <w:pPr>
        <w:pStyle w:val="BodyText"/>
        <w:spacing w:line="240" w:lineRule="auto" w:before="74"/>
        <w:ind w:left="634" w:right="0"/>
        <w:jc w:val="left"/>
      </w:pPr>
      <w:r>
        <w:rPr/>
        <w:t>以公允价值计量且其变动计入当期损益的金融负债，包括交易性金融负债和初始确认时</w:t>
      </w:r>
    </w:p>
    <w:p>
      <w:pPr>
        <w:spacing w:after="0" w:line="240" w:lineRule="auto"/>
        <w:jc w:val="left"/>
        <w:sectPr>
          <w:pgSz w:w="11910" w:h="16840"/>
          <w:pgMar w:header="877" w:footer="979" w:top="1100" w:bottom="1160" w:left="980" w:right="980"/>
        </w:sectPr>
      </w:pPr>
    </w:p>
    <w:p>
      <w:pPr>
        <w:spacing w:line="240" w:lineRule="auto" w:before="7"/>
        <w:rPr>
          <w:rFonts w:ascii="宋体" w:hAnsi="宋体" w:cs="宋体" w:eastAsia="宋体" w:hint="default"/>
          <w:sz w:val="25"/>
          <w:szCs w:val="25"/>
        </w:rPr>
      </w:pPr>
    </w:p>
    <w:p>
      <w:pPr>
        <w:pStyle w:val="BodyText"/>
        <w:spacing w:line="357" w:lineRule="auto"/>
        <w:ind w:right="173"/>
        <w:jc w:val="left"/>
      </w:pPr>
      <w:r>
        <w:rPr/>
        <w:t>指定为以公允价值计量且其变动计入当期损益的金融负债，按照公允价值进行后续计量，公 允价值变动形成的利得或损失以及与该金融负债相关的股利和利息支出计入当期损益。</w:t>
      </w:r>
    </w:p>
    <w:p>
      <w:pPr>
        <w:pStyle w:val="BodyText"/>
        <w:spacing w:line="388" w:lineRule="auto" w:before="76"/>
        <w:ind w:left="633" w:right="190"/>
        <w:jc w:val="left"/>
      </w:pPr>
      <w:r>
        <w:rPr/>
        <w:t>其他金融负债采用实际利率法，按照摊余成本进行后续计量。 </w:t>
      </w:r>
      <w:r>
        <w:rPr>
          <w:rFonts w:ascii="宋体" w:hAnsi="宋体" w:cs="宋体" w:eastAsia="宋体" w:hint="default"/>
        </w:rPr>
        <w:t>B.</w:t>
      </w:r>
      <w:r>
        <w:rPr/>
        <w:t>金融负债终止确认条件 当金融负债的现时义务全部或部分已经解除时，终止确认该金融负债或义务已解除的部</w:t>
      </w:r>
    </w:p>
    <w:p>
      <w:pPr>
        <w:pStyle w:val="BodyText"/>
        <w:spacing w:line="388" w:lineRule="auto" w:before="6"/>
        <w:ind w:left="633" w:right="173" w:hanging="480"/>
        <w:jc w:val="left"/>
      </w:pPr>
      <w:r>
        <w:rPr/>
        <w:t>分。终止确认部分的账面价值与支付的对价之间的差额，计入当期损益。 </w:t>
      </w:r>
      <w:r>
        <w:rPr>
          <w:rFonts w:ascii="宋体" w:hAnsi="宋体" w:cs="宋体" w:eastAsia="宋体" w:hint="default"/>
        </w:rPr>
        <w:t>C.</w:t>
      </w:r>
      <w:r>
        <w:rPr/>
        <w:t>金融资产和金融负债的公允价值确定方法 本公司金融资产和金融负债以主要市场的价格计量金融资产和金融负债的公允价值，不</w:t>
      </w:r>
    </w:p>
    <w:p>
      <w:pPr>
        <w:pStyle w:val="BodyText"/>
        <w:spacing w:line="357" w:lineRule="auto" w:before="5"/>
        <w:ind w:left="154" w:right="172"/>
        <w:jc w:val="left"/>
      </w:pPr>
      <w:r>
        <w:rPr/>
        <w:t>存在主要市场的，以最有利市场的价格计量金融资产和金融负债的公允价值，并且采用当时 适用并且有足够可利用数据和其他信息支持的估值技术。</w:t>
      </w:r>
    </w:p>
    <w:p>
      <w:pPr>
        <w:pStyle w:val="BodyText"/>
        <w:spacing w:line="357" w:lineRule="auto" w:before="74"/>
        <w:ind w:right="173" w:firstLine="480"/>
        <w:jc w:val="left"/>
      </w:pPr>
      <w:r>
        <w:rPr/>
        <w:t>公允价值，是指市场参与者在计量日发生的有序交易中，出售一项资产所能收到或者转 移一项负债所需支付的价格。</w:t>
      </w:r>
    </w:p>
    <w:p>
      <w:pPr>
        <w:spacing w:line="240" w:lineRule="auto" w:before="9"/>
        <w:rPr>
          <w:rFonts w:ascii="宋体" w:hAnsi="宋体" w:cs="宋体" w:eastAsia="宋体" w:hint="default"/>
          <w:sz w:val="19"/>
          <w:szCs w:val="19"/>
        </w:rPr>
      </w:pPr>
    </w:p>
    <w:p>
      <w:pPr>
        <w:spacing w:before="0"/>
        <w:ind w:left="153" w:right="0" w:firstLine="0"/>
        <w:jc w:val="left"/>
        <w:rPr>
          <w:rFonts w:ascii="宋体" w:hAnsi="宋体" w:cs="宋体" w:eastAsia="宋体" w:hint="default"/>
          <w:sz w:val="24"/>
          <w:szCs w:val="24"/>
        </w:rPr>
      </w:pPr>
      <w:bookmarkStart w:name="11、应收款项" w:id="130"/>
      <w:bookmarkEnd w:id="130"/>
      <w:r>
        <w:rPr/>
      </w:r>
      <w:r>
        <w:rPr>
          <w:rFonts w:ascii="Times New Roman" w:hAnsi="Times New Roman" w:cs="Times New Roman" w:eastAsia="Times New Roman" w:hint="default"/>
          <w:b/>
          <w:bCs/>
          <w:sz w:val="24"/>
          <w:szCs w:val="24"/>
        </w:rPr>
        <w:t>11</w:t>
      </w:r>
      <w:r>
        <w:rPr>
          <w:rFonts w:ascii="宋体" w:hAnsi="宋体" w:cs="宋体" w:eastAsia="宋体" w:hint="default"/>
          <w:b/>
          <w:bCs/>
          <w:sz w:val="24"/>
          <w:szCs w:val="24"/>
        </w:rPr>
        <w:t>、应收款项</w:t>
      </w:r>
      <w:r>
        <w:rPr>
          <w:rFonts w:ascii="宋体" w:hAnsi="宋体" w:cs="宋体" w:eastAsia="宋体" w:hint="default"/>
          <w:sz w:val="24"/>
          <w:szCs w:val="24"/>
        </w:rPr>
      </w:r>
    </w:p>
    <w:p>
      <w:pPr>
        <w:spacing w:line="240" w:lineRule="auto" w:before="8"/>
        <w:rPr>
          <w:rFonts w:ascii="宋体" w:hAnsi="宋体" w:cs="宋体" w:eastAsia="宋体" w:hint="default"/>
          <w:b/>
          <w:bCs/>
          <w:sz w:val="21"/>
          <w:szCs w:val="21"/>
        </w:rPr>
      </w:pPr>
    </w:p>
    <w:p>
      <w:pPr>
        <w:spacing w:before="0"/>
        <w:ind w:left="154" w:right="0" w:firstLine="0"/>
        <w:jc w:val="left"/>
        <w:rPr>
          <w:rFonts w:ascii="宋体" w:hAnsi="宋体" w:cs="宋体" w:eastAsia="宋体" w:hint="default"/>
          <w:sz w:val="24"/>
          <w:szCs w:val="24"/>
        </w:rPr>
      </w:pPr>
      <w:bookmarkStart w:name="（1）单项金额重大并单独计提坏账准备的应收款项" w:id="131"/>
      <w:bookmarkEnd w:id="131"/>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）单项金额重大并单独计提坏账准备的应收款项</w:t>
      </w:r>
      <w:r>
        <w:rPr>
          <w:rFonts w:ascii="宋体" w:hAnsi="宋体" w:cs="宋体" w:eastAsia="宋体" w:hint="default"/>
          <w:sz w:val="24"/>
          <w:szCs w:val="24"/>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b/>
                <w:bCs/>
                <w:sz w:val="21"/>
                <w:szCs w:val="21"/>
              </w:rPr>
              <w:t>单项金额重大的判断依据或金额标准</w:t>
            </w:r>
            <w:r>
              <w:rPr>
                <w:rFonts w:ascii="宋体" w:hAnsi="宋体" w:cs="宋体" w:eastAsia="宋体" w:hint="default"/>
                <w:sz w:val="21"/>
                <w:szCs w:val="21"/>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6"/>
              <w:ind w:left="23" w:right="23"/>
              <w:jc w:val="left"/>
              <w:rPr>
                <w:rFonts w:ascii="宋体" w:hAnsi="宋体" w:cs="宋体" w:eastAsia="宋体" w:hint="default"/>
                <w:sz w:val="21"/>
                <w:szCs w:val="21"/>
              </w:rPr>
            </w:pPr>
            <w:r>
              <w:rPr>
                <w:rFonts w:ascii="宋体" w:hAnsi="宋体" w:cs="宋体" w:eastAsia="宋体" w:hint="default"/>
                <w:b/>
                <w:bCs/>
                <w:sz w:val="21"/>
                <w:szCs w:val="21"/>
              </w:rPr>
              <w:t>将单项金额超过</w:t>
            </w:r>
            <w:r>
              <w:rPr>
                <w:rFonts w:ascii="宋体" w:hAnsi="宋体" w:cs="宋体" w:eastAsia="宋体" w:hint="default"/>
                <w:b/>
                <w:bCs/>
                <w:spacing w:val="-62"/>
                <w:sz w:val="21"/>
                <w:szCs w:val="21"/>
              </w:rPr>
              <w:t> </w:t>
            </w:r>
            <w:r>
              <w:rPr>
                <w:rFonts w:ascii="Times New Roman" w:hAnsi="Times New Roman" w:cs="Times New Roman" w:eastAsia="Times New Roman" w:hint="default"/>
                <w:b/>
                <w:bCs/>
                <w:sz w:val="21"/>
                <w:szCs w:val="21"/>
              </w:rPr>
              <w:t>50</w:t>
            </w:r>
            <w:r>
              <w:rPr>
                <w:rFonts w:ascii="Times New Roman" w:hAnsi="Times New Roman" w:cs="Times New Roman" w:eastAsia="Times New Roman" w:hint="default"/>
                <w:b/>
                <w:bCs/>
                <w:spacing w:val="-10"/>
                <w:sz w:val="21"/>
                <w:szCs w:val="21"/>
              </w:rPr>
              <w:t> </w:t>
            </w:r>
            <w:r>
              <w:rPr>
                <w:rFonts w:ascii="宋体" w:hAnsi="宋体" w:cs="宋体" w:eastAsia="宋体" w:hint="default"/>
                <w:b/>
                <w:bCs/>
                <w:sz w:val="21"/>
                <w:szCs w:val="21"/>
              </w:rPr>
              <w:t>万元的应收款项视为重大应收款</w:t>
            </w:r>
            <w:r>
              <w:rPr>
                <w:rFonts w:ascii="宋体" w:hAnsi="宋体" w:cs="宋体" w:eastAsia="宋体" w:hint="default"/>
                <w:b/>
                <w:bCs/>
                <w:w w:val="99"/>
                <w:sz w:val="21"/>
                <w:szCs w:val="21"/>
              </w:rPr>
              <w:t> </w:t>
            </w:r>
            <w:r>
              <w:rPr>
                <w:rFonts w:ascii="宋体" w:hAnsi="宋体" w:cs="宋体" w:eastAsia="宋体" w:hint="default"/>
                <w:b/>
                <w:bCs/>
                <w:sz w:val="21"/>
                <w:szCs w:val="21"/>
              </w:rPr>
              <w:t>项</w:t>
            </w:r>
            <w:r>
              <w:rPr>
                <w:rFonts w:ascii="宋体" w:hAnsi="宋体" w:cs="宋体" w:eastAsia="宋体" w:hint="default"/>
                <w:sz w:val="21"/>
                <w:szCs w:val="21"/>
              </w:rPr>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1"/>
              <w:jc w:val="left"/>
              <w:rPr>
                <w:rFonts w:ascii="宋体" w:hAnsi="宋体" w:cs="宋体" w:eastAsia="宋体" w:hint="default"/>
                <w:sz w:val="21"/>
                <w:szCs w:val="21"/>
              </w:rPr>
            </w:pPr>
            <w:r>
              <w:rPr>
                <w:rFonts w:ascii="宋体" w:hAnsi="宋体" w:cs="宋体" w:eastAsia="宋体" w:hint="default"/>
                <w:spacing w:val="-5"/>
                <w:sz w:val="21"/>
                <w:szCs w:val="21"/>
              </w:rPr>
              <w:t>根据其未来现金流量现值低于其账面价值的差额，计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提坏账准备</w:t>
            </w:r>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bookmarkStart w:name="（2）按信用风险特征组合计提坏账准备的应收款项" w:id="132"/>
      <w:bookmarkEnd w:id="132"/>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）按信用风险特征组合计提坏账准备的应收款项</w:t>
      </w:r>
      <w:r>
        <w:rPr>
          <w:rFonts w:ascii="宋体" w:hAnsi="宋体" w:cs="宋体" w:eastAsia="宋体" w:hint="default"/>
          <w:sz w:val="24"/>
          <w:szCs w:val="24"/>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组合名称</w:t>
            </w:r>
            <w:r>
              <w:rPr>
                <w:rFonts w:ascii="宋体" w:hAnsi="宋体" w:cs="宋体" w:eastAsia="宋体" w:hint="default"/>
                <w:sz w:val="21"/>
                <w:szCs w:val="21"/>
              </w:rPr>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543" w:right="0"/>
              <w:jc w:val="left"/>
              <w:rPr>
                <w:rFonts w:ascii="宋体" w:hAnsi="宋体" w:cs="宋体" w:eastAsia="宋体" w:hint="default"/>
                <w:sz w:val="21"/>
                <w:szCs w:val="21"/>
              </w:rPr>
            </w:pPr>
            <w:r>
              <w:rPr>
                <w:rFonts w:ascii="宋体" w:hAnsi="宋体" w:cs="宋体" w:eastAsia="宋体" w:hint="default"/>
                <w:b/>
                <w:bCs/>
                <w:sz w:val="21"/>
                <w:szCs w:val="21"/>
              </w:rPr>
              <w:t>坏账准备计提方法</w:t>
            </w:r>
            <w:r>
              <w:rPr>
                <w:rFonts w:ascii="宋体" w:hAnsi="宋体" w:cs="宋体" w:eastAsia="宋体" w:hint="default"/>
                <w:sz w:val="21"/>
                <w:szCs w:val="21"/>
              </w:rPr>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与交易对象关系</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其他方法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款项性质组合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其他方法</w:t>
            </w:r>
          </w:p>
        </w:tc>
      </w:tr>
    </w:tbl>
    <w:p>
      <w:pPr>
        <w:pStyle w:val="BodyText"/>
        <w:spacing w:line="240" w:lineRule="auto" w:before="81"/>
        <w:ind w:left="634" w:right="0"/>
        <w:jc w:val="left"/>
      </w:pPr>
      <w:r>
        <w:rPr/>
        <w:t>组合中，采用账龄分析法计提坏账准备的：</w:t>
      </w:r>
    </w:p>
    <w:p>
      <w:pPr>
        <w:pStyle w:val="BodyText"/>
        <w:tabs>
          <w:tab w:pos="1834" w:val="left" w:leader="none"/>
        </w:tabs>
        <w:spacing w:line="240" w:lineRule="auto" w:before="193"/>
        <w:ind w:left="634" w:right="0"/>
        <w:jc w:val="left"/>
      </w:pPr>
      <w:r>
        <w:rPr>
          <w:rFonts w:ascii="Calibri" w:hAnsi="Calibri" w:cs="Calibri" w:eastAsia="Calibri" w:hint="default"/>
        </w:rPr>
        <w:t>√  </w:t>
      </w:r>
      <w:r>
        <w:rPr/>
        <w:t>适用</w:t>
      </w:r>
      <w:r>
        <w:rPr>
          <w:spacing w:val="11"/>
        </w:rPr>
        <w:t> </w:t>
      </w:r>
      <w:r>
        <w:rPr>
          <w:rFonts w:ascii="Arial" w:hAnsi="Arial" w:cs="Arial" w:eastAsia="Arial" w:hint="default"/>
        </w:rPr>
        <w:t>□</w:t>
        <w:tab/>
      </w:r>
      <w:r>
        <w:rPr/>
        <w:t>不适用</w:t>
      </w:r>
    </w:p>
    <w:p>
      <w:pPr>
        <w:spacing w:line="240" w:lineRule="auto" w:before="5"/>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58" w:right="0"/>
              <w:jc w:val="left"/>
              <w:rPr>
                <w:rFonts w:ascii="宋体" w:hAnsi="宋体" w:cs="宋体" w:eastAsia="宋体" w:hint="default"/>
                <w:sz w:val="21"/>
                <w:szCs w:val="21"/>
              </w:rPr>
            </w:pPr>
            <w:r>
              <w:rPr>
                <w:rFonts w:ascii="宋体" w:hAnsi="宋体" w:cs="宋体" w:eastAsia="宋体" w:hint="default"/>
                <w:b/>
                <w:bCs/>
                <w:sz w:val="21"/>
                <w:szCs w:val="21"/>
              </w:rPr>
              <w:t>应收账款计提比例</w:t>
            </w:r>
            <w:r>
              <w:rPr>
                <w:rFonts w:ascii="宋体" w:hAnsi="宋体" w:cs="宋体" w:eastAsia="宋体" w:hint="default"/>
                <w:sz w:val="21"/>
                <w:szCs w:val="21"/>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b/>
                <w:bCs/>
                <w:sz w:val="21"/>
                <w:szCs w:val="21"/>
              </w:rPr>
              <w:t>其他应收款计提比例</w:t>
            </w:r>
            <w:r>
              <w:rPr>
                <w:rFonts w:ascii="宋体" w:hAnsi="宋体" w:cs="宋体" w:eastAsia="宋体" w:hint="default"/>
                <w:sz w:val="21"/>
                <w:szCs w:val="21"/>
              </w:rPr>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15.00%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r>
    </w:tbl>
    <w:p>
      <w:pPr>
        <w:pStyle w:val="BodyText"/>
        <w:spacing w:line="240" w:lineRule="auto" w:before="81"/>
        <w:ind w:left="634" w:right="0"/>
        <w:jc w:val="left"/>
      </w:pPr>
      <w:r>
        <w:rPr/>
        <w:t>组合中，采用余额百分比法计提坏账准备的：</w:t>
      </w:r>
    </w:p>
    <w:p>
      <w:pPr>
        <w:pStyle w:val="BodyText"/>
        <w:tabs>
          <w:tab w:pos="994" w:val="left" w:leader="none"/>
        </w:tabs>
        <w:spacing w:line="352" w:lineRule="auto" w:before="195"/>
        <w:ind w:left="634" w:right="4990"/>
        <w:jc w:val="left"/>
      </w:pPr>
      <w:r>
        <w:rPr>
          <w:rFonts w:ascii="Arial" w:hAnsi="Arial" w:cs="Arial" w:eastAsia="Arial" w:hint="default"/>
        </w:rPr>
        <w:t>□</w:t>
        <w:tab/>
      </w:r>
      <w:r>
        <w:rPr/>
        <w:t>适用 </w:t>
      </w:r>
      <w:r>
        <w:rPr>
          <w:rFonts w:ascii="Calibri" w:hAnsi="Calibri" w:cs="Calibri" w:eastAsia="Calibri" w:hint="default"/>
        </w:rPr>
        <w:t>√ </w:t>
      </w:r>
      <w:r>
        <w:rPr>
          <w:rFonts w:ascii="Calibri" w:hAnsi="Calibri" w:cs="Calibri" w:eastAsia="Calibri" w:hint="default"/>
          <w:spacing w:val="11"/>
        </w:rPr>
        <w:t> </w:t>
      </w:r>
      <w:r>
        <w:rPr/>
        <w:t>不适用</w:t>
      </w:r>
      <w:r>
        <w:rPr>
          <w:w w:val="99"/>
        </w:rPr>
        <w:t> </w:t>
      </w:r>
      <w:r>
        <w:rPr/>
        <w:t>组合中，采用其他方法计提坏账准备的：</w:t>
      </w:r>
    </w:p>
    <w:p>
      <w:pPr>
        <w:pStyle w:val="BodyText"/>
        <w:tabs>
          <w:tab w:pos="1834" w:val="left" w:leader="none"/>
        </w:tabs>
        <w:spacing w:line="240" w:lineRule="auto" w:before="82"/>
        <w:ind w:left="634" w:right="0"/>
        <w:jc w:val="left"/>
      </w:pPr>
      <w:r>
        <w:rPr>
          <w:rFonts w:ascii="Calibri" w:hAnsi="Calibri" w:cs="Calibri" w:eastAsia="Calibri" w:hint="default"/>
        </w:rPr>
        <w:t>√  </w:t>
      </w:r>
      <w:r>
        <w:rPr/>
        <w:t>适用</w:t>
      </w:r>
      <w:r>
        <w:rPr>
          <w:spacing w:val="11"/>
        </w:rPr>
        <w:t> </w:t>
      </w:r>
      <w:r>
        <w:rPr>
          <w:rFonts w:ascii="Arial" w:hAnsi="Arial" w:cs="Arial" w:eastAsia="Arial" w:hint="default"/>
        </w:rPr>
        <w:t>□</w:t>
        <w:tab/>
      </w:r>
      <w:r>
        <w:rPr/>
        <w:t>不适用</w:t>
      </w:r>
    </w:p>
    <w:p>
      <w:pPr>
        <w:spacing w:line="240" w:lineRule="auto" w:before="4"/>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组合名称</w:t>
            </w:r>
            <w:r>
              <w:rPr>
                <w:rFonts w:ascii="宋体" w:hAnsi="宋体" w:cs="宋体" w:eastAsia="宋体" w:hint="default"/>
                <w:sz w:val="21"/>
                <w:szCs w:val="21"/>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46" w:right="0"/>
              <w:jc w:val="left"/>
              <w:rPr>
                <w:rFonts w:ascii="宋体" w:hAnsi="宋体" w:cs="宋体" w:eastAsia="宋体" w:hint="default"/>
                <w:sz w:val="21"/>
                <w:szCs w:val="21"/>
              </w:rPr>
            </w:pPr>
            <w:r>
              <w:rPr>
                <w:rFonts w:ascii="宋体" w:hAnsi="宋体" w:cs="宋体" w:eastAsia="宋体" w:hint="default"/>
                <w:b/>
                <w:bCs/>
                <w:sz w:val="21"/>
                <w:szCs w:val="21"/>
              </w:rPr>
              <w:t>应收账款计提比例</w:t>
            </w:r>
            <w:r>
              <w:rPr>
                <w:rFonts w:ascii="宋体" w:hAnsi="宋体" w:cs="宋体" w:eastAsia="宋体" w:hint="default"/>
                <w:sz w:val="21"/>
                <w:szCs w:val="21"/>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b/>
                <w:bCs/>
                <w:sz w:val="21"/>
                <w:szCs w:val="21"/>
              </w:rPr>
              <w:t>其他应收款计提比例</w:t>
            </w:r>
            <w:r>
              <w:rPr>
                <w:rFonts w:ascii="宋体" w:hAnsi="宋体" w:cs="宋体" w:eastAsia="宋体" w:hint="default"/>
                <w:sz w:val="21"/>
                <w:szCs w:val="21"/>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与交易对象关系</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款项性质组合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3）单项金额上重大但单独计提坏账准备的应收款项" w:id="133"/>
      <w:bookmarkEnd w:id="133"/>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）单项金额不重大但单独计提坏账准备的应收款项</w:t>
      </w:r>
      <w:r>
        <w:rPr>
          <w:rFonts w:ascii="宋体" w:hAnsi="宋体" w:cs="宋体" w:eastAsia="宋体" w:hint="default"/>
          <w:sz w:val="24"/>
          <w:szCs w:val="24"/>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129"/>
              <w:jc w:val="left"/>
              <w:rPr>
                <w:rFonts w:ascii="宋体" w:hAnsi="宋体" w:cs="宋体" w:eastAsia="宋体" w:hint="default"/>
                <w:sz w:val="21"/>
                <w:szCs w:val="21"/>
              </w:rPr>
            </w:pPr>
            <w:r>
              <w:rPr>
                <w:rFonts w:ascii="宋体" w:hAnsi="宋体" w:cs="宋体" w:eastAsia="宋体" w:hint="default"/>
                <w:sz w:val="21"/>
                <w:szCs w:val="21"/>
              </w:rPr>
              <w:t>单项金额不重大且按照组合计提坏账准备不能反映 其风险特征的应收款项</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1"/>
              <w:jc w:val="left"/>
              <w:rPr>
                <w:rFonts w:ascii="宋体" w:hAnsi="宋体" w:cs="宋体" w:eastAsia="宋体" w:hint="default"/>
                <w:sz w:val="21"/>
                <w:szCs w:val="21"/>
              </w:rPr>
            </w:pPr>
            <w:r>
              <w:rPr>
                <w:rFonts w:ascii="宋体" w:hAnsi="宋体" w:cs="宋体" w:eastAsia="宋体" w:hint="default"/>
                <w:spacing w:val="-5"/>
                <w:sz w:val="21"/>
                <w:szCs w:val="21"/>
              </w:rPr>
              <w:t>根据其未来现金流量现值低于其账面价值的差额，计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提坏账准备</w:t>
            </w:r>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bookmarkStart w:name="12、存货" w:id="134"/>
      <w:bookmarkEnd w:id="134"/>
      <w:r>
        <w:rPr/>
      </w:r>
      <w:r>
        <w:rPr>
          <w:rFonts w:ascii="Times New Roman" w:hAnsi="Times New Roman" w:cs="Times New Roman" w:eastAsia="Times New Roman" w:hint="default"/>
          <w:b/>
          <w:bCs/>
          <w:sz w:val="24"/>
          <w:szCs w:val="24"/>
        </w:rPr>
        <w:t>12</w:t>
      </w:r>
      <w:r>
        <w:rPr>
          <w:rFonts w:ascii="宋体" w:hAnsi="宋体" w:cs="宋体" w:eastAsia="宋体" w:hint="default"/>
          <w:b/>
          <w:bCs/>
          <w:sz w:val="24"/>
          <w:szCs w:val="24"/>
        </w:rPr>
        <w:t>、存货</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pStyle w:val="BodyText"/>
        <w:spacing w:line="386" w:lineRule="auto" w:before="0"/>
        <w:ind w:left="634" w:right="172"/>
        <w:jc w:val="left"/>
      </w:pPr>
      <w:r>
        <w:rPr/>
        <w:t>本公司存货主要包括原材料和库存商品。 存货实行永续盘存制，存货在取得时按实际成本计价；领用或发出存货，采用加权平均</w:t>
      </w:r>
    </w:p>
    <w:p>
      <w:pPr>
        <w:pStyle w:val="BodyText"/>
        <w:spacing w:line="386" w:lineRule="auto" w:before="8"/>
        <w:ind w:left="634" w:right="172" w:hanging="480"/>
        <w:jc w:val="left"/>
      </w:pPr>
      <w:r>
        <w:rPr/>
        <w:t>法确定其实际成本。 期末存货按成本与可变现净值孰低原则计价，对于存货因遭受毁损、全部或部分陈旧过</w:t>
      </w:r>
    </w:p>
    <w:p>
      <w:pPr>
        <w:pStyle w:val="BodyText"/>
        <w:spacing w:line="357" w:lineRule="auto" w:before="7"/>
        <w:ind w:left="154" w:right="190"/>
        <w:jc w:val="both"/>
      </w:pPr>
      <w:r>
        <w:rPr/>
        <w:t>时或销售价格低于成本等原因，预计其成本不可收回的部分，提取存货跌价准备。库存商品 及大宗原材料的存货跌价准备按单个存货项目的成本高于其可变现净值的差额提取；其他数 量繁多、单价较低的原辅材料按类别提取存货跌价准备。</w:t>
      </w:r>
    </w:p>
    <w:p>
      <w:pPr>
        <w:pStyle w:val="BodyText"/>
        <w:spacing w:line="357" w:lineRule="auto" w:before="76"/>
        <w:ind w:left="154" w:right="190" w:firstLine="480"/>
        <w:jc w:val="both"/>
      </w:pPr>
      <w:r>
        <w:rPr/>
        <w:t>库存商品和用于出售的材料等直接用于出售的商品存货，其可变现净值按该存货的估计 售价减去估计的销售费用和相关税费后的金额确定；用于生产而持有的材料存货，其可变现 净值按所生产的产成品的估计售价减去至完工时估计将要发生的成本、估计的销售费用和相 关税费后的金额确定。</w:t>
      </w:r>
    </w:p>
    <w:p>
      <w:pPr>
        <w:spacing w:line="240" w:lineRule="auto" w:before="9"/>
        <w:rPr>
          <w:rFonts w:ascii="宋体" w:hAnsi="宋体" w:cs="宋体" w:eastAsia="宋体" w:hint="default"/>
          <w:sz w:val="19"/>
          <w:szCs w:val="19"/>
        </w:rPr>
      </w:pPr>
    </w:p>
    <w:p>
      <w:pPr>
        <w:spacing w:line="499" w:lineRule="auto" w:before="0"/>
        <w:ind w:left="633" w:right="7124" w:hanging="480"/>
        <w:jc w:val="left"/>
        <w:rPr>
          <w:rFonts w:ascii="宋体" w:hAnsi="宋体" w:cs="宋体" w:eastAsia="宋体" w:hint="default"/>
          <w:sz w:val="24"/>
          <w:szCs w:val="24"/>
        </w:rPr>
      </w:pPr>
      <w:bookmarkStart w:name="13、划分为持有待售资产" w:id="135"/>
      <w:bookmarkEnd w:id="135"/>
      <w:r>
        <w:rPr/>
      </w:r>
      <w:r>
        <w:rPr>
          <w:rFonts w:ascii="Times New Roman" w:hAnsi="Times New Roman" w:cs="Times New Roman" w:eastAsia="Times New Roman" w:hint="default"/>
          <w:b/>
          <w:bCs/>
          <w:sz w:val="24"/>
          <w:szCs w:val="24"/>
        </w:rPr>
        <w:t>13</w:t>
      </w:r>
      <w:r>
        <w:rPr>
          <w:rFonts w:ascii="宋体" w:hAnsi="宋体" w:cs="宋体" w:eastAsia="宋体" w:hint="default"/>
          <w:b/>
          <w:bCs/>
          <w:sz w:val="24"/>
          <w:szCs w:val="24"/>
        </w:rPr>
        <w:t>、划分为持有待售资产</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after="0" w:line="499" w:lineRule="auto"/>
        <w:jc w:val="left"/>
        <w:rPr>
          <w:rFonts w:ascii="宋体" w:hAnsi="宋体" w:cs="宋体" w:eastAsia="宋体" w:hint="default"/>
          <w:sz w:val="24"/>
          <w:szCs w:val="24"/>
        </w:rPr>
        <w:sectPr>
          <w:pgSz w:w="11910" w:h="16840"/>
          <w:pgMar w:header="877" w:footer="979" w:top="1100" w:bottom="1160" w:left="980" w:right="980"/>
        </w:sectPr>
      </w:pPr>
    </w:p>
    <w:p>
      <w:pPr>
        <w:spacing w:line="240" w:lineRule="auto" w:before="8"/>
        <w:rPr>
          <w:rFonts w:ascii="宋体" w:hAnsi="宋体" w:cs="宋体" w:eastAsia="宋体" w:hint="default"/>
          <w:sz w:val="19"/>
          <w:szCs w:val="19"/>
        </w:rPr>
      </w:pPr>
    </w:p>
    <w:p>
      <w:pPr>
        <w:spacing w:before="26"/>
        <w:ind w:left="153" w:right="0" w:firstLine="0"/>
        <w:jc w:val="both"/>
        <w:rPr>
          <w:rFonts w:ascii="宋体" w:hAnsi="宋体" w:cs="宋体" w:eastAsia="宋体" w:hint="default"/>
          <w:sz w:val="24"/>
          <w:szCs w:val="24"/>
        </w:rPr>
      </w:pPr>
      <w:bookmarkStart w:name="14、长期股权投资" w:id="136"/>
      <w:bookmarkEnd w:id="136"/>
      <w:r>
        <w:rPr/>
      </w:r>
      <w:r>
        <w:rPr>
          <w:rFonts w:ascii="Times New Roman" w:hAnsi="Times New Roman" w:cs="Times New Roman" w:eastAsia="Times New Roman" w:hint="default"/>
          <w:b/>
          <w:bCs/>
          <w:sz w:val="24"/>
          <w:szCs w:val="24"/>
        </w:rPr>
        <w:t>14</w:t>
      </w:r>
      <w:r>
        <w:rPr>
          <w:rFonts w:ascii="宋体" w:hAnsi="宋体" w:cs="宋体" w:eastAsia="宋体" w:hint="default"/>
          <w:b/>
          <w:bCs/>
          <w:sz w:val="24"/>
          <w:szCs w:val="24"/>
        </w:rPr>
        <w:t>、长期股权投资</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pStyle w:val="BodyText"/>
        <w:spacing w:line="386" w:lineRule="auto" w:before="0"/>
        <w:ind w:left="634" w:right="134"/>
        <w:jc w:val="left"/>
      </w:pPr>
      <w:r>
        <w:rPr/>
        <w:t>本公司长期股权投资主要是对子公司的投资、对联营企业的投资和对合营企业的投资。 本公司直接或通过子公司间接拥有被投资单位</w:t>
      </w:r>
      <w:r>
        <w:rPr>
          <w:spacing w:val="-57"/>
        </w:rPr>
        <w:t> </w:t>
      </w:r>
      <w:r>
        <w:rPr>
          <w:rFonts w:ascii="宋体" w:hAnsi="宋体" w:cs="宋体" w:eastAsia="宋体" w:hint="default"/>
          <w:spacing w:val="-8"/>
        </w:rPr>
        <w:t>20</w:t>
      </w:r>
      <w:r>
        <w:rPr>
          <w:spacing w:val="-8"/>
        </w:rPr>
        <w:t>％（含）以上但低于</w:t>
      </w:r>
      <w:r>
        <w:rPr>
          <w:spacing w:val="-57"/>
        </w:rPr>
        <w:t> </w:t>
      </w:r>
      <w:r>
        <w:rPr>
          <w:rFonts w:ascii="宋体" w:hAnsi="宋体" w:cs="宋体" w:eastAsia="宋体" w:hint="default"/>
        </w:rPr>
        <w:t>50</w:t>
      </w:r>
      <w:r>
        <w:rPr/>
        <w:t>％的表决权时，</w:t>
      </w:r>
    </w:p>
    <w:p>
      <w:pPr>
        <w:pStyle w:val="BodyText"/>
        <w:spacing w:line="357" w:lineRule="auto" w:before="7"/>
        <w:ind w:left="154" w:right="190"/>
        <w:jc w:val="both"/>
      </w:pPr>
      <w:r>
        <w:rPr/>
        <w:t>通常认为对被投资单位具有重大影响。持有被投资单位</w:t>
      </w:r>
      <w:r>
        <w:rPr>
          <w:spacing w:val="-60"/>
        </w:rPr>
        <w:t> </w:t>
      </w:r>
      <w:r>
        <w:rPr>
          <w:rFonts w:ascii="宋体" w:hAnsi="宋体" w:cs="宋体" w:eastAsia="宋体" w:hint="default"/>
        </w:rPr>
        <w:t>20%</w:t>
      </w:r>
      <w:r>
        <w:rPr/>
        <w:t>以下表决权的，还需要综合考虑 在被投资单位的董事会或类似权力机构中派有代表、或参与被投资单位财务和经营政策制定 过程、或与被投资单位之间发生重要交易、或向被投资单位派出管理人员、或向被投资单位 提供关键技术资料等事实和情况判断对被投资单位具有重大影响。</w:t>
      </w:r>
    </w:p>
    <w:p>
      <w:pPr>
        <w:pStyle w:val="BodyText"/>
        <w:spacing w:line="357" w:lineRule="auto" w:before="76"/>
        <w:ind w:left="154" w:right="189" w:firstLine="480"/>
        <w:jc w:val="both"/>
      </w:pPr>
      <w:r>
        <w:rPr/>
        <w:t>对被投资单位形成控制的，为本公司的子公司。通过同一控制下的企业合并取得的长期 股权投资，在合并日按照取得被合并方在最终控制方合并报表中净资产的账面价值的份额作 为长期股权投资的初始投资成本。被合并方在合并日的净资产账面价值为负数的，长期股权 投资成本按零确定。通过非同一控制下的企业合并取得的长期股权投资，以合并成本作为初 始投资成本。</w:t>
      </w:r>
    </w:p>
    <w:p>
      <w:pPr>
        <w:pStyle w:val="BodyText"/>
        <w:spacing w:line="357" w:lineRule="auto" w:before="74"/>
        <w:ind w:right="189" w:firstLine="480"/>
        <w:jc w:val="both"/>
      </w:pPr>
      <w:r>
        <w:rPr/>
        <w:t>除上述通过企业合并取得的长期股权投资外，以支付现金取得的长期股权投资，按照实 际支付的购买价款作为投资成本；以发行权益性证券取得的长期股权投资，按照发行权益性 证券的公允价值作为投资成本；投资者投入的长期股权投资，按照投资合同或协议约定的价 值作为投资成本；</w:t>
      </w:r>
    </w:p>
    <w:p>
      <w:pPr>
        <w:pStyle w:val="BodyText"/>
        <w:spacing w:line="388" w:lineRule="auto" w:before="76"/>
        <w:ind w:left="633" w:right="173"/>
        <w:jc w:val="left"/>
      </w:pPr>
      <w:r>
        <w:rPr/>
        <w:t>本公司对子公司投资采用成本法核算，对合营企业及联营企业投资采用权益法核算。 后续计量采用成本法核算的长期股权投资，在追加投资时，按照追加投资支付的成本额</w:t>
      </w:r>
    </w:p>
    <w:p>
      <w:pPr>
        <w:pStyle w:val="BodyText"/>
        <w:spacing w:line="357" w:lineRule="auto" w:before="5"/>
        <w:ind w:right="190"/>
        <w:jc w:val="both"/>
      </w:pPr>
      <w:r>
        <w:rPr/>
        <w:t>公允价值及发生的相关交易费用增加长期股权投资成本的账面价值。被投资单位宣告分派的 现金股利或利润，按照应享有的金额确认为当期投资收益。</w:t>
      </w:r>
    </w:p>
    <w:p>
      <w:pPr>
        <w:pStyle w:val="BodyText"/>
        <w:spacing w:line="357" w:lineRule="auto" w:before="74"/>
        <w:ind w:right="189" w:firstLine="480"/>
        <w:jc w:val="both"/>
      </w:pPr>
      <w:r>
        <w:rPr/>
        <w:t>后续计量采用权益法核算的长期股权投资，随着被投资单位所有者权益的变动相应调整 增加或减少长期股权投资的账面价值。其中在确认应享有被投资单位净损益的份额时，以取 得投资时被投资单位各项可辨认资产等的公允价值为基础，按照本公司的会计政策及会计期 间，并抵销与联营企业及合营企业之间发生的内部交易损益按照持股比例计算归属于投资企 业的部分，对被投资单位的净利润进行调整后确认。</w:t>
      </w:r>
    </w:p>
    <w:p>
      <w:pPr>
        <w:pStyle w:val="BodyText"/>
        <w:spacing w:line="357" w:lineRule="auto" w:before="74"/>
        <w:ind w:left="154" w:right="190" w:firstLine="480"/>
        <w:jc w:val="both"/>
      </w:pPr>
      <w:r>
        <w:rPr/>
        <w:t>处置长期股权投资，其账面价值与实际取得价款的差额，计入当期投资收益。采用权益 法核算的长期股权投资，因被投资单位除净损益以外所有者权益的其他变动而计入所有者权 益的，处置该项投资时将原计入所有者权益的部分按相应比例转入当期投资损益。</w:t>
      </w:r>
    </w:p>
    <w:p>
      <w:pPr>
        <w:spacing w:after="0" w:line="357" w:lineRule="auto"/>
        <w:jc w:val="both"/>
        <w:sectPr>
          <w:pgSz w:w="11910" w:h="16840"/>
          <w:pgMar w:header="877" w:footer="979" w:top="1100" w:bottom="1160" w:left="980" w:right="980"/>
        </w:sectPr>
      </w:pPr>
    </w:p>
    <w:p>
      <w:pPr>
        <w:spacing w:line="240" w:lineRule="auto" w:before="7"/>
        <w:rPr>
          <w:rFonts w:ascii="宋体" w:hAnsi="宋体" w:cs="宋体" w:eastAsia="宋体" w:hint="default"/>
          <w:sz w:val="25"/>
          <w:szCs w:val="25"/>
        </w:rPr>
      </w:pPr>
    </w:p>
    <w:p>
      <w:pPr>
        <w:pStyle w:val="BodyText"/>
        <w:spacing w:line="357" w:lineRule="auto"/>
        <w:ind w:right="189" w:firstLine="480"/>
        <w:jc w:val="both"/>
      </w:pPr>
      <w:r>
        <w:rPr/>
        <w:t>因处置部分股权投资等原因丧失了对被投资单位的共同控制或重大影响的，处置后的剩 余股权改按可供出售金融资产核算，剩余股权在丧失共同控制或重大影响之日的公允价值与 账面价值之间的差额计入当期损益。原股权投资因采用权益法核算而确认的其他综合收益， 在终止采用权益法核算时采用与被投资单位直接处置相关资产或负债相同的基础进行会计处 理。</w:t>
      </w:r>
    </w:p>
    <w:p>
      <w:pPr>
        <w:pStyle w:val="BodyText"/>
        <w:spacing w:line="357" w:lineRule="auto" w:before="74"/>
        <w:ind w:left="154" w:right="189" w:firstLine="480"/>
        <w:jc w:val="both"/>
      </w:pPr>
      <w:r>
        <w:rPr/>
        <w:t>因处置部分长期股权投资丧失了对被投资单位控制的，处置后的剩余股权能够对被投资 单位实施共同控制或施加重大影响的，改按权益法核算，处置股权账面价值和处置对价的差 额计入投资收益，并对该剩余股权视同自取得时即采用权益法核算进行调整；处置后的剩余 股权不能对被投资单位实施共同控制或施加重大影响的，改按可供出售金融资产的有关规定 进行会计处理，处置股权账面价值和处置对价的差额计入投资收益，剩余股权在丧失控制之 日的公允价值与账面价值间的差额计入当期投资损益。</w:t>
      </w:r>
    </w:p>
    <w:p>
      <w:pPr>
        <w:spacing w:line="240" w:lineRule="auto" w:before="10"/>
        <w:rPr>
          <w:rFonts w:ascii="宋体" w:hAnsi="宋体" w:cs="宋体" w:eastAsia="宋体" w:hint="default"/>
          <w:sz w:val="19"/>
          <w:szCs w:val="19"/>
        </w:rPr>
      </w:pPr>
    </w:p>
    <w:p>
      <w:pPr>
        <w:spacing w:before="0"/>
        <w:ind w:left="153" w:right="0" w:firstLine="0"/>
        <w:jc w:val="left"/>
        <w:rPr>
          <w:rFonts w:ascii="宋体" w:hAnsi="宋体" w:cs="宋体" w:eastAsia="宋体" w:hint="default"/>
          <w:sz w:val="24"/>
          <w:szCs w:val="24"/>
        </w:rPr>
      </w:pPr>
      <w:bookmarkStart w:name="15、投资性房地产" w:id="137"/>
      <w:bookmarkEnd w:id="137"/>
      <w:r>
        <w:rPr/>
      </w:r>
      <w:r>
        <w:rPr>
          <w:rFonts w:ascii="Times New Roman" w:hAnsi="Times New Roman" w:cs="Times New Roman" w:eastAsia="Times New Roman" w:hint="default"/>
          <w:b/>
          <w:bCs/>
          <w:sz w:val="24"/>
          <w:szCs w:val="24"/>
        </w:rPr>
        <w:t>15</w:t>
      </w:r>
      <w:r>
        <w:rPr>
          <w:rFonts w:ascii="宋体" w:hAnsi="宋体" w:cs="宋体" w:eastAsia="宋体" w:hint="default"/>
          <w:b/>
          <w:bCs/>
          <w:sz w:val="24"/>
          <w:szCs w:val="24"/>
        </w:rPr>
        <w:t>、投资性房地产</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pStyle w:val="BodyText"/>
        <w:spacing w:line="388" w:lineRule="auto" w:before="0"/>
        <w:ind w:left="633" w:right="6893"/>
        <w:jc w:val="left"/>
      </w:pPr>
      <w:r>
        <w:rPr/>
        <w:t>投资性房地产计量模式 不适用</w:t>
      </w:r>
    </w:p>
    <w:p>
      <w:pPr>
        <w:spacing w:line="240" w:lineRule="auto" w:before="4"/>
        <w:rPr>
          <w:rFonts w:ascii="宋体" w:hAnsi="宋体" w:cs="宋体" w:eastAsia="宋体" w:hint="default"/>
          <w:sz w:val="17"/>
          <w:szCs w:val="17"/>
        </w:rPr>
      </w:pPr>
    </w:p>
    <w:p>
      <w:pPr>
        <w:spacing w:before="0"/>
        <w:ind w:left="153" w:right="0" w:firstLine="0"/>
        <w:jc w:val="left"/>
        <w:rPr>
          <w:rFonts w:ascii="宋体" w:hAnsi="宋体" w:cs="宋体" w:eastAsia="宋体" w:hint="default"/>
          <w:sz w:val="24"/>
          <w:szCs w:val="24"/>
        </w:rPr>
      </w:pPr>
      <w:bookmarkStart w:name="16、固定资产" w:id="138"/>
      <w:bookmarkEnd w:id="138"/>
      <w:r>
        <w:rPr/>
      </w:r>
      <w:r>
        <w:rPr>
          <w:rFonts w:ascii="Times New Roman" w:hAnsi="Times New Roman" w:cs="Times New Roman" w:eastAsia="Times New Roman" w:hint="default"/>
          <w:b/>
          <w:bCs/>
          <w:sz w:val="24"/>
          <w:szCs w:val="24"/>
        </w:rPr>
        <w:t>16</w:t>
      </w:r>
      <w:r>
        <w:rPr>
          <w:rFonts w:ascii="宋体" w:hAnsi="宋体" w:cs="宋体" w:eastAsia="宋体" w:hint="default"/>
          <w:b/>
          <w:bCs/>
          <w:sz w:val="24"/>
          <w:szCs w:val="24"/>
        </w:rPr>
        <w:t>、固定资产</w:t>
      </w:r>
      <w:r>
        <w:rPr>
          <w:rFonts w:ascii="宋体" w:hAnsi="宋体" w:cs="宋体" w:eastAsia="宋体" w:hint="default"/>
          <w:sz w:val="24"/>
          <w:szCs w:val="24"/>
        </w:rPr>
      </w:r>
    </w:p>
    <w:p>
      <w:pPr>
        <w:spacing w:line="240" w:lineRule="auto" w:before="7"/>
        <w:rPr>
          <w:rFonts w:ascii="宋体" w:hAnsi="宋体" w:cs="宋体" w:eastAsia="宋体" w:hint="default"/>
          <w:b/>
          <w:bCs/>
          <w:sz w:val="21"/>
          <w:szCs w:val="21"/>
        </w:rPr>
      </w:pPr>
    </w:p>
    <w:p>
      <w:pPr>
        <w:spacing w:before="0"/>
        <w:ind w:left="154" w:right="0" w:firstLine="0"/>
        <w:jc w:val="left"/>
        <w:rPr>
          <w:rFonts w:ascii="宋体" w:hAnsi="宋体" w:cs="宋体" w:eastAsia="宋体" w:hint="default"/>
          <w:sz w:val="24"/>
          <w:szCs w:val="24"/>
        </w:rPr>
      </w:pPr>
      <w:bookmarkStart w:name="（1）确认条件" w:id="139"/>
      <w:bookmarkEnd w:id="139"/>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）确认条件</w:t>
      </w:r>
      <w:r>
        <w:rPr>
          <w:rFonts w:ascii="宋体" w:hAnsi="宋体" w:cs="宋体" w:eastAsia="宋体" w:hint="default"/>
          <w:sz w:val="24"/>
          <w:szCs w:val="24"/>
        </w:rPr>
      </w:r>
    </w:p>
    <w:p>
      <w:pPr>
        <w:spacing w:line="240" w:lineRule="auto" w:before="4"/>
        <w:rPr>
          <w:rFonts w:ascii="宋体" w:hAnsi="宋体" w:cs="宋体" w:eastAsia="宋体" w:hint="default"/>
          <w:b/>
          <w:bCs/>
          <w:sz w:val="27"/>
          <w:szCs w:val="27"/>
        </w:rPr>
      </w:pPr>
    </w:p>
    <w:p>
      <w:pPr>
        <w:pStyle w:val="BodyText"/>
        <w:spacing w:line="357" w:lineRule="auto" w:before="0"/>
        <w:ind w:left="154" w:right="190" w:firstLine="480"/>
        <w:jc w:val="both"/>
      </w:pPr>
      <w:r>
        <w:rPr/>
        <w:t>固定资产确认条件：固定资产是指为生产商品、提供劳务、出租或经营管理而持有，使 用期限超过一年的有形资产；同时与该固定资产有关的经济利益很可能流入企业，该固定资 产的成本能够可靠地计量。</w:t>
      </w:r>
    </w:p>
    <w:p>
      <w:pPr>
        <w:spacing w:line="240" w:lineRule="auto" w:before="9"/>
        <w:rPr>
          <w:rFonts w:ascii="宋体" w:hAnsi="宋体" w:cs="宋体" w:eastAsia="宋体" w:hint="default"/>
          <w:sz w:val="19"/>
          <w:szCs w:val="19"/>
        </w:rPr>
      </w:pPr>
    </w:p>
    <w:p>
      <w:pPr>
        <w:spacing w:before="0"/>
        <w:ind w:left="154" w:right="0" w:firstLine="0"/>
        <w:jc w:val="left"/>
        <w:rPr>
          <w:rFonts w:ascii="宋体" w:hAnsi="宋体" w:cs="宋体" w:eastAsia="宋体" w:hint="default"/>
          <w:sz w:val="24"/>
          <w:szCs w:val="24"/>
        </w:rPr>
      </w:pPr>
      <w:bookmarkStart w:name="（2）折旧方法" w:id="140"/>
      <w:bookmarkEnd w:id="140"/>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）折旧方法</w:t>
      </w:r>
      <w:r>
        <w:rPr>
          <w:rFonts w:ascii="宋体" w:hAnsi="宋体" w:cs="宋体" w:eastAsia="宋体" w:hint="default"/>
          <w:sz w:val="24"/>
          <w:szCs w:val="24"/>
        </w:rPr>
      </w:r>
    </w:p>
    <w:p>
      <w:pPr>
        <w:spacing w:line="240" w:lineRule="auto" w:before="5"/>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折旧方法</w:t>
            </w:r>
            <w:r>
              <w:rPr>
                <w:rFonts w:ascii="宋体" w:hAnsi="宋体" w:cs="宋体" w:eastAsia="宋体" w:hint="default"/>
                <w:sz w:val="21"/>
                <w:szCs w:val="21"/>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折旧年限</w:t>
            </w:r>
            <w:r>
              <w:rPr>
                <w:rFonts w:ascii="宋体" w:hAnsi="宋体" w:cs="宋体" w:eastAsia="宋体" w:hint="default"/>
                <w:sz w:val="21"/>
                <w:szCs w:val="21"/>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634"/>
              <w:jc w:val="right"/>
              <w:rPr>
                <w:rFonts w:ascii="宋体" w:hAnsi="宋体" w:cs="宋体" w:eastAsia="宋体" w:hint="default"/>
                <w:sz w:val="21"/>
                <w:szCs w:val="21"/>
              </w:rPr>
            </w:pPr>
            <w:r>
              <w:rPr>
                <w:rFonts w:ascii="宋体" w:hAnsi="宋体" w:cs="宋体" w:eastAsia="宋体" w:hint="default"/>
                <w:b/>
                <w:bCs/>
                <w:sz w:val="21"/>
                <w:szCs w:val="21"/>
              </w:rPr>
              <w:t>残值率</w:t>
            </w:r>
            <w:r>
              <w:rPr>
                <w:rFonts w:ascii="宋体" w:hAnsi="宋体" w:cs="宋体" w:eastAsia="宋体" w:hint="default"/>
                <w:sz w:val="21"/>
                <w:szCs w:val="21"/>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年折旧率</w:t>
            </w:r>
            <w:r>
              <w:rPr>
                <w:rFonts w:ascii="宋体" w:hAnsi="宋体" w:cs="宋体" w:eastAsia="宋体" w:hint="default"/>
                <w:sz w:val="21"/>
                <w:szCs w:val="21"/>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79"/>
              <w:jc w:val="right"/>
              <w:rPr>
                <w:rFonts w:ascii="Times New Roman" w:hAnsi="Times New Roman" w:cs="Times New Roman" w:eastAsia="Times New Roman" w:hint="default"/>
                <w:sz w:val="21"/>
                <w:szCs w:val="21"/>
              </w:rPr>
            </w:pPr>
            <w:r>
              <w:rPr>
                <w:rFonts w:ascii="Times New Roman"/>
                <w:sz w:val="21"/>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办公及其他设备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79"/>
              <w:jc w:val="right"/>
              <w:rPr>
                <w:rFonts w:ascii="Times New Roman" w:hAnsi="Times New Roman" w:cs="Times New Roman" w:eastAsia="Times New Roman" w:hint="default"/>
                <w:sz w:val="21"/>
                <w:szCs w:val="21"/>
              </w:rPr>
            </w:pPr>
            <w:r>
              <w:rPr>
                <w:rFonts w:ascii="Times New Roman"/>
                <w:sz w:val="21"/>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19%</w:t>
            </w:r>
          </w:p>
        </w:tc>
      </w:tr>
    </w:tbl>
    <w:p>
      <w:pPr>
        <w:spacing w:line="240" w:lineRule="auto" w:before="2"/>
        <w:rPr>
          <w:rFonts w:ascii="宋体" w:hAnsi="宋体" w:cs="宋体" w:eastAsia="宋体" w:hint="default"/>
          <w:b/>
          <w:bCs/>
          <w:sz w:val="18"/>
          <w:szCs w:val="18"/>
        </w:rPr>
      </w:pPr>
    </w:p>
    <w:p>
      <w:pPr>
        <w:spacing w:line="499" w:lineRule="auto" w:before="26"/>
        <w:ind w:left="633" w:right="4012" w:hanging="480"/>
        <w:jc w:val="left"/>
        <w:rPr>
          <w:rFonts w:ascii="宋体" w:hAnsi="宋体" w:cs="宋体" w:eastAsia="宋体" w:hint="default"/>
          <w:sz w:val="24"/>
          <w:szCs w:val="24"/>
        </w:rPr>
      </w:pPr>
      <w:bookmarkStart w:name="（3）融资租入固定资产的认定依据、计价和折旧方法" w:id="141"/>
      <w:bookmarkEnd w:id="141"/>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3</w:t>
      </w:r>
      <w:r>
        <w:rPr>
          <w:rFonts w:ascii="宋体" w:hAnsi="宋体" w:cs="宋体" w:eastAsia="宋体" w:hint="default"/>
          <w:b/>
          <w:bCs/>
          <w:w w:val="95"/>
          <w:sz w:val="24"/>
          <w:szCs w:val="24"/>
        </w:rPr>
        <w:t>）融资租入固定资产的认定依据、计价和折旧方法</w:t>
      </w:r>
      <w:r>
        <w:rPr>
          <w:rFonts w:ascii="宋体" w:hAnsi="宋体" w:cs="宋体" w:eastAsia="宋体" w:hint="default"/>
          <w:b/>
          <w:bCs/>
          <w:spacing w:val="32"/>
          <w:w w:val="95"/>
          <w:sz w:val="24"/>
          <w:szCs w:val="24"/>
        </w:rPr>
        <w:t> </w:t>
      </w:r>
      <w:r>
        <w:rPr>
          <w:rFonts w:ascii="宋体" w:hAnsi="宋体" w:cs="宋体" w:eastAsia="宋体" w:hint="default"/>
          <w:sz w:val="24"/>
          <w:szCs w:val="24"/>
        </w:rPr>
        <w:t>无。</w:t>
      </w:r>
    </w:p>
    <w:p>
      <w:pPr>
        <w:spacing w:after="0" w:line="499" w:lineRule="auto"/>
        <w:jc w:val="left"/>
        <w:rPr>
          <w:rFonts w:ascii="宋体" w:hAnsi="宋体" w:cs="宋体" w:eastAsia="宋体" w:hint="default"/>
          <w:sz w:val="24"/>
          <w:szCs w:val="24"/>
        </w:rPr>
        <w:sectPr>
          <w:pgSz w:w="11910" w:h="16840"/>
          <w:pgMar w:header="877" w:footer="979" w:top="1100" w:bottom="1160" w:left="980" w:right="980"/>
        </w:sectPr>
      </w:pPr>
    </w:p>
    <w:p>
      <w:pPr>
        <w:spacing w:line="240" w:lineRule="auto" w:before="8"/>
        <w:rPr>
          <w:rFonts w:ascii="宋体" w:hAnsi="宋体" w:cs="宋体" w:eastAsia="宋体" w:hint="default"/>
          <w:sz w:val="19"/>
          <w:szCs w:val="19"/>
        </w:rPr>
      </w:pPr>
    </w:p>
    <w:p>
      <w:pPr>
        <w:spacing w:line="513" w:lineRule="auto" w:before="26"/>
        <w:ind w:left="134" w:right="8328" w:firstLine="0"/>
        <w:jc w:val="center"/>
        <w:rPr>
          <w:rFonts w:ascii="宋体" w:hAnsi="宋体" w:cs="宋体" w:eastAsia="宋体" w:hint="default"/>
          <w:sz w:val="24"/>
          <w:szCs w:val="24"/>
        </w:rPr>
      </w:pPr>
      <w:bookmarkStart w:name="17、在建工程" w:id="142"/>
      <w:bookmarkEnd w:id="142"/>
      <w:r>
        <w:rPr/>
      </w:r>
      <w:r>
        <w:rPr>
          <w:rFonts w:ascii="Times New Roman" w:hAnsi="Times New Roman" w:cs="Times New Roman" w:eastAsia="Times New Roman" w:hint="default"/>
          <w:b/>
          <w:bCs/>
          <w:w w:val="95"/>
          <w:sz w:val="24"/>
          <w:szCs w:val="24"/>
        </w:rPr>
        <w:t>17</w:t>
      </w:r>
      <w:r>
        <w:rPr>
          <w:rFonts w:ascii="宋体" w:hAnsi="宋体" w:cs="宋体" w:eastAsia="宋体" w:hint="default"/>
          <w:b/>
          <w:bCs/>
          <w:w w:val="95"/>
          <w:sz w:val="24"/>
          <w:szCs w:val="24"/>
        </w:rPr>
        <w:t>、在建工程</w:t>
      </w:r>
      <w:r>
        <w:rPr>
          <w:rFonts w:ascii="宋体" w:hAnsi="宋体" w:cs="宋体" w:eastAsia="宋体" w:hint="default"/>
          <w:b/>
          <w:bCs/>
          <w:spacing w:val="-53"/>
          <w:w w:val="95"/>
          <w:sz w:val="24"/>
          <w:szCs w:val="24"/>
        </w:rPr>
        <w:t> </w:t>
      </w:r>
      <w:r>
        <w:rPr>
          <w:rFonts w:ascii="宋体" w:hAnsi="宋体" w:cs="宋体" w:eastAsia="宋体" w:hint="default"/>
          <w:sz w:val="24"/>
          <w:szCs w:val="24"/>
        </w:rPr>
        <w:t>无。 </w:t>
      </w:r>
      <w:bookmarkStart w:name="18、借款费用" w:id="143"/>
      <w:bookmarkEnd w:id="143"/>
      <w:r>
        <w:rPr>
          <w:rFonts w:ascii="宋体" w:hAnsi="宋体" w:cs="宋体" w:eastAsia="宋体" w:hint="default"/>
          <w:sz w:val="24"/>
          <w:szCs w:val="24"/>
        </w:rPr>
      </w:r>
      <w:r>
        <w:rPr>
          <w:rFonts w:ascii="Times New Roman" w:hAnsi="Times New Roman" w:cs="Times New Roman" w:eastAsia="Times New Roman" w:hint="default"/>
          <w:b/>
          <w:bCs/>
          <w:w w:val="95"/>
          <w:sz w:val="24"/>
          <w:szCs w:val="24"/>
        </w:rPr>
        <w:t>18</w:t>
      </w:r>
      <w:r>
        <w:rPr>
          <w:rFonts w:ascii="宋体" w:hAnsi="宋体" w:cs="宋体" w:eastAsia="宋体" w:hint="default"/>
          <w:b/>
          <w:bCs/>
          <w:w w:val="95"/>
          <w:sz w:val="24"/>
          <w:szCs w:val="24"/>
        </w:rPr>
        <w:t>、借款费用</w:t>
      </w:r>
      <w:r>
        <w:rPr>
          <w:rFonts w:ascii="宋体" w:hAnsi="宋体" w:cs="宋体" w:eastAsia="宋体" w:hint="default"/>
          <w:sz w:val="24"/>
          <w:szCs w:val="24"/>
        </w:rPr>
      </w:r>
    </w:p>
    <w:p>
      <w:pPr>
        <w:pStyle w:val="BodyText"/>
        <w:spacing w:line="357" w:lineRule="auto" w:before="56"/>
        <w:ind w:left="154" w:right="190" w:firstLine="480"/>
        <w:jc w:val="both"/>
      </w:pPr>
      <w:r>
        <w:rPr/>
        <w:t>借款费用包括借款利息、折价或溢价的摊销、辅助费用以及因外币借款而发生的汇兑差 额等。可直接归属于符合资本化条件的资产的购建或者生产的借款费用，在资产支出已经发 生、借款费用已经发生、为使资产达到预定可使用或可销售状态所必要的购建或生产活动已 经开始时，开始资本化；当购建或生产符合资本化条件的资产达到预定可使用或可销售状态 时，停止资本化。其余借款费用在发生当期确认为费用。</w:t>
      </w:r>
    </w:p>
    <w:p>
      <w:pPr>
        <w:pStyle w:val="BodyText"/>
        <w:spacing w:line="357" w:lineRule="auto" w:before="74"/>
        <w:ind w:right="190" w:firstLine="480"/>
        <w:jc w:val="both"/>
      </w:pPr>
      <w:r>
        <w:rPr/>
        <w:t>专门借款当期实际发生的利息费用，扣除尚未动用的借款资金存入银行取得的利息收入 或进行暂时性投资取得的投资收益后的金额予以资本化；一般借款根据累计资产支出超过专 门借款部分的资产支出加权平均数乘以所占用一般借款的加权平均利率，确定资本化金额。 资本化率根据一般借款加权平均利率计算确定。</w:t>
      </w:r>
    </w:p>
    <w:p>
      <w:pPr>
        <w:pStyle w:val="BodyText"/>
        <w:spacing w:line="360" w:lineRule="auto" w:before="76"/>
        <w:ind w:right="189" w:firstLine="480"/>
        <w:jc w:val="both"/>
      </w:pPr>
      <w:r>
        <w:rPr/>
        <w:t>符合资本化条件的资产，是指需要经过相当长时间（通常指</w:t>
      </w:r>
      <w:r>
        <w:rPr>
          <w:spacing w:val="-60"/>
        </w:rPr>
        <w:t> </w:t>
      </w:r>
      <w:r>
        <w:rPr>
          <w:rFonts w:ascii="宋体" w:hAnsi="宋体" w:cs="宋体" w:eastAsia="宋体" w:hint="default"/>
        </w:rPr>
        <w:t>1</w:t>
      </w:r>
      <w:r>
        <w:rPr>
          <w:rFonts w:ascii="宋体" w:hAnsi="宋体" w:cs="宋体" w:eastAsia="宋体" w:hint="default"/>
          <w:spacing w:val="-60"/>
        </w:rPr>
        <w:t> </w:t>
      </w:r>
      <w:r>
        <w:rPr/>
        <w:t>年以上）的购建或者生产 活动才能达到预定可使用或者可销售状态的固定资产、投资性房地产和存货等资产。</w:t>
      </w:r>
    </w:p>
    <w:p>
      <w:pPr>
        <w:pStyle w:val="BodyText"/>
        <w:spacing w:line="357" w:lineRule="auto" w:before="72"/>
        <w:ind w:right="189" w:firstLine="480"/>
        <w:jc w:val="both"/>
      </w:pPr>
      <w:r>
        <w:rPr/>
        <w:t>如果符合资本化条件的资产在购建或者生产过程中发生非正常中断、且中断时间连续超 过</w:t>
      </w:r>
      <w:r>
        <w:rPr>
          <w:spacing w:val="-60"/>
        </w:rPr>
        <w:t> </w:t>
      </w:r>
      <w:r>
        <w:rPr>
          <w:rFonts w:ascii="宋体" w:hAnsi="宋体" w:cs="宋体" w:eastAsia="宋体" w:hint="default"/>
        </w:rPr>
        <w:t>3</w:t>
      </w:r>
      <w:r>
        <w:rPr>
          <w:rFonts w:ascii="宋体" w:hAnsi="宋体" w:cs="宋体" w:eastAsia="宋体" w:hint="default"/>
          <w:spacing w:val="-60"/>
        </w:rPr>
        <w:t> </w:t>
      </w:r>
      <w:r>
        <w:rPr/>
        <w:t>个月，暂停借款费用的资本化，直至资产的购建或生产活动重新开始。</w:t>
      </w:r>
    </w:p>
    <w:p>
      <w:pPr>
        <w:spacing w:line="240" w:lineRule="auto" w:before="9"/>
        <w:rPr>
          <w:rFonts w:ascii="宋体" w:hAnsi="宋体" w:cs="宋体" w:eastAsia="宋体" w:hint="default"/>
          <w:sz w:val="19"/>
          <w:szCs w:val="19"/>
        </w:rPr>
      </w:pPr>
    </w:p>
    <w:p>
      <w:pPr>
        <w:spacing w:line="513" w:lineRule="auto" w:before="0"/>
        <w:ind w:left="134" w:right="8328" w:firstLine="0"/>
        <w:jc w:val="center"/>
        <w:rPr>
          <w:rFonts w:ascii="宋体" w:hAnsi="宋体" w:cs="宋体" w:eastAsia="宋体" w:hint="default"/>
          <w:sz w:val="24"/>
          <w:szCs w:val="24"/>
        </w:rPr>
      </w:pPr>
      <w:bookmarkStart w:name="19、生物资产" w:id="144"/>
      <w:bookmarkEnd w:id="144"/>
      <w:r>
        <w:rPr/>
      </w:r>
      <w:r>
        <w:rPr>
          <w:rFonts w:ascii="Times New Roman" w:hAnsi="Times New Roman" w:cs="Times New Roman" w:eastAsia="Times New Roman" w:hint="default"/>
          <w:b/>
          <w:bCs/>
          <w:w w:val="95"/>
          <w:sz w:val="24"/>
          <w:szCs w:val="24"/>
        </w:rPr>
        <w:t>19</w:t>
      </w:r>
      <w:r>
        <w:rPr>
          <w:rFonts w:ascii="宋体" w:hAnsi="宋体" w:cs="宋体" w:eastAsia="宋体" w:hint="default"/>
          <w:b/>
          <w:bCs/>
          <w:w w:val="95"/>
          <w:sz w:val="24"/>
          <w:szCs w:val="24"/>
        </w:rPr>
        <w:t>、生物资产</w:t>
      </w:r>
      <w:r>
        <w:rPr>
          <w:rFonts w:ascii="宋体" w:hAnsi="宋体" w:cs="宋体" w:eastAsia="宋体" w:hint="default"/>
          <w:b/>
          <w:bCs/>
          <w:spacing w:val="-53"/>
          <w:w w:val="95"/>
          <w:sz w:val="24"/>
          <w:szCs w:val="24"/>
        </w:rPr>
        <w:t> </w:t>
      </w:r>
      <w:r>
        <w:rPr>
          <w:rFonts w:ascii="宋体" w:hAnsi="宋体" w:cs="宋体" w:eastAsia="宋体" w:hint="default"/>
          <w:sz w:val="24"/>
          <w:szCs w:val="24"/>
        </w:rPr>
        <w:t>无。 </w:t>
      </w:r>
      <w:bookmarkStart w:name="20、油气资产" w:id="145"/>
      <w:bookmarkEnd w:id="145"/>
      <w:r>
        <w:rPr>
          <w:rFonts w:ascii="宋体" w:hAnsi="宋体" w:cs="宋体" w:eastAsia="宋体" w:hint="default"/>
          <w:sz w:val="24"/>
          <w:szCs w:val="24"/>
        </w:rPr>
      </w:r>
      <w:r>
        <w:rPr>
          <w:rFonts w:ascii="Times New Roman" w:hAnsi="Times New Roman" w:cs="Times New Roman" w:eastAsia="Times New Roman" w:hint="default"/>
          <w:b/>
          <w:bCs/>
          <w:w w:val="95"/>
          <w:sz w:val="24"/>
          <w:szCs w:val="24"/>
        </w:rPr>
        <w:t>20</w:t>
      </w:r>
      <w:r>
        <w:rPr>
          <w:rFonts w:ascii="宋体" w:hAnsi="宋体" w:cs="宋体" w:eastAsia="宋体" w:hint="default"/>
          <w:b/>
          <w:bCs/>
          <w:w w:val="95"/>
          <w:sz w:val="24"/>
          <w:szCs w:val="24"/>
        </w:rPr>
        <w:t>、油气资产</w:t>
      </w:r>
      <w:r>
        <w:rPr>
          <w:rFonts w:ascii="宋体" w:hAnsi="宋体" w:cs="宋体" w:eastAsia="宋体" w:hint="default"/>
          <w:b/>
          <w:bCs/>
          <w:spacing w:val="-53"/>
          <w:w w:val="95"/>
          <w:sz w:val="24"/>
          <w:szCs w:val="24"/>
        </w:rPr>
        <w:t> </w:t>
      </w:r>
      <w:r>
        <w:rPr>
          <w:rFonts w:ascii="宋体" w:hAnsi="宋体" w:cs="宋体" w:eastAsia="宋体" w:hint="default"/>
          <w:sz w:val="24"/>
          <w:szCs w:val="24"/>
        </w:rPr>
        <w:t>无。 </w:t>
      </w:r>
      <w:bookmarkStart w:name="21、无形资产" w:id="146"/>
      <w:bookmarkEnd w:id="146"/>
      <w:r>
        <w:rPr>
          <w:rFonts w:ascii="宋体" w:hAnsi="宋体" w:cs="宋体" w:eastAsia="宋体" w:hint="default"/>
          <w:sz w:val="24"/>
          <w:szCs w:val="24"/>
        </w:rPr>
      </w:r>
      <w:r>
        <w:rPr>
          <w:rFonts w:ascii="Times New Roman" w:hAnsi="Times New Roman" w:cs="Times New Roman" w:eastAsia="Times New Roman" w:hint="default"/>
          <w:b/>
          <w:bCs/>
          <w:w w:val="95"/>
          <w:sz w:val="24"/>
          <w:szCs w:val="24"/>
        </w:rPr>
        <w:t>21</w:t>
      </w:r>
      <w:r>
        <w:rPr>
          <w:rFonts w:ascii="宋体" w:hAnsi="宋体" w:cs="宋体" w:eastAsia="宋体" w:hint="default"/>
          <w:b/>
          <w:bCs/>
          <w:w w:val="95"/>
          <w:sz w:val="24"/>
          <w:szCs w:val="24"/>
        </w:rPr>
        <w:t>、无形资产</w:t>
      </w:r>
      <w:r>
        <w:rPr>
          <w:rFonts w:ascii="宋体" w:hAnsi="宋体" w:cs="宋体" w:eastAsia="宋体" w:hint="default"/>
          <w:sz w:val="24"/>
          <w:szCs w:val="24"/>
        </w:rPr>
      </w:r>
    </w:p>
    <w:p>
      <w:pPr>
        <w:spacing w:line="310" w:lineRule="exact" w:before="0"/>
        <w:ind w:left="154" w:right="0" w:firstLine="0"/>
        <w:jc w:val="left"/>
        <w:rPr>
          <w:rFonts w:ascii="宋体" w:hAnsi="宋体" w:cs="宋体" w:eastAsia="宋体" w:hint="default"/>
          <w:sz w:val="24"/>
          <w:szCs w:val="24"/>
        </w:rPr>
      </w:pPr>
      <w:bookmarkStart w:name="（1）计价方法、使用寿命、减值测试" w:id="147"/>
      <w:bookmarkEnd w:id="147"/>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）计价方法、使用寿命、减值测试</w:t>
      </w:r>
      <w:r>
        <w:rPr>
          <w:rFonts w:ascii="宋体" w:hAnsi="宋体" w:cs="宋体" w:eastAsia="宋体" w:hint="default"/>
          <w:sz w:val="24"/>
          <w:szCs w:val="24"/>
        </w:rPr>
      </w:r>
    </w:p>
    <w:p>
      <w:pPr>
        <w:spacing w:line="240" w:lineRule="auto" w:before="5"/>
        <w:rPr>
          <w:rFonts w:ascii="宋体" w:hAnsi="宋体" w:cs="宋体" w:eastAsia="宋体" w:hint="default"/>
          <w:b/>
          <w:bCs/>
          <w:sz w:val="27"/>
          <w:szCs w:val="27"/>
        </w:rPr>
      </w:pPr>
    </w:p>
    <w:p>
      <w:pPr>
        <w:pStyle w:val="BodyText"/>
        <w:spacing w:line="357" w:lineRule="auto" w:before="0"/>
        <w:ind w:right="190" w:firstLine="480"/>
        <w:jc w:val="both"/>
      </w:pPr>
      <w:r>
        <w:rPr/>
        <w:t>无形资产的计价方法：本公司的无形资产主要是买断版权、软件使用权、非专利技术。 购入的无形资产，按实际支付的价款和相关的其他支出作为实际成本。投资者投入的无形资 产，按投资合同或协议约定的价值确定实际成本，但合同或协议约定价值不公允的，按公允</w:t>
      </w:r>
    </w:p>
    <w:p>
      <w:pPr>
        <w:spacing w:after="0" w:line="357" w:lineRule="auto"/>
        <w:jc w:val="both"/>
        <w:sectPr>
          <w:pgSz w:w="11910" w:h="16840"/>
          <w:pgMar w:header="877" w:footer="979" w:top="1100" w:bottom="1160" w:left="980" w:right="980"/>
        </w:sectPr>
      </w:pPr>
    </w:p>
    <w:p>
      <w:pPr>
        <w:spacing w:line="240" w:lineRule="auto" w:before="9"/>
        <w:rPr>
          <w:rFonts w:ascii="宋体" w:hAnsi="宋体" w:cs="宋体" w:eastAsia="宋体" w:hint="default"/>
          <w:sz w:val="25"/>
          <w:szCs w:val="25"/>
        </w:rPr>
      </w:pPr>
    </w:p>
    <w:p>
      <w:pPr>
        <w:pStyle w:val="BodyText"/>
        <w:spacing w:line="386" w:lineRule="auto"/>
        <w:ind w:left="634" w:right="172" w:hanging="480"/>
        <w:jc w:val="left"/>
      </w:pPr>
      <w:r>
        <w:rPr/>
        <w:t>价值确定实际成本。 本公司的版权分为买断版权和分成版权，本公司将买断版权作为无形资产管理，并在受</w:t>
      </w:r>
    </w:p>
    <w:p>
      <w:pPr>
        <w:pStyle w:val="BodyText"/>
        <w:spacing w:line="360" w:lineRule="auto" w:before="7"/>
        <w:ind w:left="154" w:right="172"/>
        <w:jc w:val="left"/>
      </w:pPr>
      <w:r>
        <w:rPr/>
        <w:t>益年限内摊销。分成版权在该版权形成收入的当期，按合同约定的分成方式计提版税，记入 当期损益。</w:t>
      </w:r>
    </w:p>
    <w:p>
      <w:pPr>
        <w:pStyle w:val="BodyText"/>
        <w:spacing w:line="357" w:lineRule="auto" w:before="73"/>
        <w:ind w:left="154" w:right="190" w:firstLine="480"/>
        <w:jc w:val="both"/>
      </w:pPr>
      <w:r>
        <w:rPr/>
        <w:t>无形资产摊销方法和期限：本公司买断版权如有合同约定使用年限的，按合同约定的使 用年限摊销；如合同未约定使用年限的，按预计受益年限摊销。软件使用权和非专利技术按 预计受益年限摊销。摊销金额按其受益对象计入相关资产成本和当期损益。</w:t>
      </w:r>
    </w:p>
    <w:p>
      <w:pPr>
        <w:pStyle w:val="BodyText"/>
        <w:spacing w:line="357" w:lineRule="auto" w:before="74"/>
        <w:ind w:right="189" w:firstLine="480"/>
        <w:jc w:val="both"/>
      </w:pPr>
      <w:r>
        <w:rPr/>
        <w:t>本公司于每年年度终了，对使用寿命有限的无形资产的预计使用寿命及摊销方法进行复 核，如发生改变，则作为会计估计变更处理。本公司于每个会计期间，对使用寿命不确定的 无形资产的预计使用寿命进行复核，如有证据表明无形资产的使用寿命是有限的，则估计其 使用寿命并在预计使用寿命内摊销。</w:t>
      </w:r>
    </w:p>
    <w:p>
      <w:pPr>
        <w:spacing w:line="240" w:lineRule="auto" w:before="9"/>
        <w:rPr>
          <w:rFonts w:ascii="宋体" w:hAnsi="宋体" w:cs="宋体" w:eastAsia="宋体" w:hint="default"/>
          <w:sz w:val="19"/>
          <w:szCs w:val="19"/>
        </w:rPr>
      </w:pPr>
    </w:p>
    <w:p>
      <w:pPr>
        <w:spacing w:before="0"/>
        <w:ind w:left="153" w:right="0" w:firstLine="0"/>
        <w:jc w:val="left"/>
        <w:rPr>
          <w:rFonts w:ascii="宋体" w:hAnsi="宋体" w:cs="宋体" w:eastAsia="宋体" w:hint="default"/>
          <w:sz w:val="24"/>
          <w:szCs w:val="24"/>
        </w:rPr>
      </w:pPr>
      <w:bookmarkStart w:name="（2）内部研究开发支出会计政策" w:id="148"/>
      <w:bookmarkEnd w:id="148"/>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）内部研究开发支出会计政策</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pStyle w:val="BodyText"/>
        <w:spacing w:line="357" w:lineRule="auto" w:before="0"/>
        <w:ind w:right="190" w:firstLine="480"/>
        <w:jc w:val="both"/>
      </w:pPr>
      <w:r>
        <w:rPr/>
        <w:t>本公司内部研究开发项目支出根据其性质以及研发活动最终形成无形资产是否具有较大 不确定性，分为研究阶段支出和开发阶段支出。</w:t>
      </w:r>
    </w:p>
    <w:p>
      <w:pPr>
        <w:pStyle w:val="BodyText"/>
        <w:spacing w:line="357" w:lineRule="auto" w:before="75"/>
        <w:ind w:right="151" w:firstLine="480"/>
        <w:jc w:val="both"/>
      </w:pPr>
      <w:r>
        <w:rPr/>
        <w:t>自行研究开发的无形资产，其研究阶段的支出，于发生时计入当期损益；其开发阶段的 </w:t>
      </w:r>
      <w:r>
        <w:rPr>
          <w:spacing w:val="-2"/>
        </w:rPr>
        <w:t>支出，同时满足下列条件的，确认为无形资产：</w:t>
      </w:r>
      <w:r>
        <w:rPr>
          <w:rFonts w:ascii="宋体" w:hAnsi="宋体" w:cs="宋体" w:eastAsia="宋体" w:hint="default"/>
          <w:spacing w:val="-2"/>
        </w:rPr>
        <w:t>1</w:t>
      </w:r>
      <w:r>
        <w:rPr>
          <w:spacing w:val="-2"/>
        </w:rPr>
        <w:t>）完成该无形资产以使其能够使用或出售在</w:t>
      </w:r>
      <w:r>
        <w:rPr/>
        <w:t> 技术上具有可行性；</w:t>
      </w:r>
      <w:r>
        <w:rPr>
          <w:rFonts w:ascii="宋体" w:hAnsi="宋体" w:cs="宋体" w:eastAsia="宋体" w:hint="default"/>
        </w:rPr>
        <w:t>2</w:t>
      </w:r>
      <w:r>
        <w:rPr/>
        <w:t>）具有完成该无形资产并使用或出售的意图；</w:t>
      </w:r>
      <w:r>
        <w:rPr>
          <w:rFonts w:ascii="宋体" w:hAnsi="宋体" w:cs="宋体" w:eastAsia="宋体" w:hint="default"/>
        </w:rPr>
        <w:t>3</w:t>
      </w:r>
      <w:r>
        <w:rPr/>
        <w:t>）运用该无形资产生产 </w:t>
      </w:r>
      <w:r>
        <w:rPr>
          <w:spacing w:val="-2"/>
        </w:rPr>
        <w:t>的产品存在市场或无形资产自身存在市场；</w:t>
      </w:r>
      <w:r>
        <w:rPr>
          <w:rFonts w:ascii="宋体" w:hAnsi="宋体" w:cs="宋体" w:eastAsia="宋体" w:hint="default"/>
          <w:spacing w:val="-2"/>
        </w:rPr>
        <w:t>4</w:t>
      </w:r>
      <w:r>
        <w:rPr>
          <w:spacing w:val="-2"/>
        </w:rPr>
        <w:t>）有足够的技术、财务资源和其他资源支持，以</w:t>
      </w:r>
      <w:r>
        <w:rPr/>
        <w:t> </w:t>
      </w:r>
      <w:r>
        <w:rPr>
          <w:spacing w:val="-2"/>
        </w:rPr>
        <w:t>完成该无形资产的开发，并有能力使用或出售该无形资产；</w:t>
      </w:r>
      <w:r>
        <w:rPr>
          <w:rFonts w:ascii="宋体" w:hAnsi="宋体" w:cs="宋体" w:eastAsia="宋体" w:hint="default"/>
          <w:spacing w:val="-2"/>
        </w:rPr>
        <w:t>5</w:t>
      </w:r>
      <w:r>
        <w:rPr>
          <w:spacing w:val="-2"/>
        </w:rPr>
        <w:t>）归属于该无形资产开发阶段的</w:t>
      </w:r>
      <w:r>
        <w:rPr/>
        <w:t> 支出能够可靠地计量。</w:t>
      </w:r>
    </w:p>
    <w:p>
      <w:pPr>
        <w:pStyle w:val="BodyText"/>
        <w:spacing w:line="357" w:lineRule="auto" w:before="76"/>
        <w:ind w:right="190" w:firstLine="480"/>
        <w:jc w:val="both"/>
      </w:pPr>
      <w:r>
        <w:rPr/>
        <w:t>不满足上述条件的开发阶段的支出，于发生时计入当期损益。前期已计入损益的开发支 出以后期间不再确认为资产。已资本化的开发阶段的支出在资产负债表上列示为开发支出， 自该项目达到预定可使用状态之日起转为无形资产列报。</w:t>
      </w:r>
    </w:p>
    <w:p>
      <w:pPr>
        <w:spacing w:line="240" w:lineRule="auto" w:before="9"/>
        <w:rPr>
          <w:rFonts w:ascii="宋体" w:hAnsi="宋体" w:cs="宋体" w:eastAsia="宋体" w:hint="default"/>
          <w:sz w:val="19"/>
          <w:szCs w:val="19"/>
        </w:rPr>
      </w:pPr>
    </w:p>
    <w:p>
      <w:pPr>
        <w:spacing w:before="0"/>
        <w:ind w:left="153" w:right="0" w:firstLine="0"/>
        <w:jc w:val="left"/>
        <w:rPr>
          <w:rFonts w:ascii="宋体" w:hAnsi="宋体" w:cs="宋体" w:eastAsia="宋体" w:hint="default"/>
          <w:sz w:val="24"/>
          <w:szCs w:val="24"/>
        </w:rPr>
      </w:pPr>
      <w:bookmarkStart w:name="22、长期资产减值" w:id="149"/>
      <w:bookmarkEnd w:id="149"/>
      <w:r>
        <w:rPr/>
      </w:r>
      <w:r>
        <w:rPr>
          <w:rFonts w:ascii="Times New Roman" w:hAnsi="Times New Roman" w:cs="Times New Roman" w:eastAsia="Times New Roman" w:hint="default"/>
          <w:b/>
          <w:bCs/>
          <w:sz w:val="24"/>
          <w:szCs w:val="24"/>
        </w:rPr>
        <w:t>22</w:t>
      </w:r>
      <w:r>
        <w:rPr>
          <w:rFonts w:ascii="宋体" w:hAnsi="宋体" w:cs="宋体" w:eastAsia="宋体" w:hint="default"/>
          <w:b/>
          <w:bCs/>
          <w:sz w:val="24"/>
          <w:szCs w:val="24"/>
        </w:rPr>
        <w:t>、长期资产减值</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pStyle w:val="BodyText"/>
        <w:spacing w:line="357" w:lineRule="auto" w:before="0"/>
        <w:ind w:right="189" w:firstLine="480"/>
        <w:jc w:val="both"/>
      </w:pPr>
      <w:r>
        <w:rPr/>
        <w:t>本公司于每一资产负债表日对长期股权投资、固定资产、使用寿命确定的无形资产等项 目进行检查，当存在下列迹象时，表明资产可能发生了减值，本公司将进行减值测试；对商 誉和受益年限不确定的无形资产，无论是否存在减值迹象，每年末均进行减值测试。难以对</w:t>
      </w:r>
    </w:p>
    <w:p>
      <w:pPr>
        <w:spacing w:after="0" w:line="357" w:lineRule="auto"/>
        <w:jc w:val="both"/>
        <w:sectPr>
          <w:footerReference w:type="default" r:id="rId42"/>
          <w:pgSz w:w="11910" w:h="16840"/>
          <w:pgMar w:footer="979" w:header="877" w:top="1100" w:bottom="1160" w:left="980" w:right="980"/>
        </w:sectPr>
      </w:pPr>
    </w:p>
    <w:p>
      <w:pPr>
        <w:spacing w:line="240" w:lineRule="auto" w:before="9"/>
        <w:rPr>
          <w:rFonts w:ascii="宋体" w:hAnsi="宋体" w:cs="宋体" w:eastAsia="宋体" w:hint="default"/>
          <w:sz w:val="25"/>
          <w:szCs w:val="25"/>
        </w:rPr>
      </w:pPr>
    </w:p>
    <w:p>
      <w:pPr>
        <w:pStyle w:val="BodyText"/>
        <w:spacing w:line="386" w:lineRule="auto"/>
        <w:ind w:left="633" w:right="173" w:hanging="480"/>
        <w:jc w:val="left"/>
      </w:pPr>
      <w:r>
        <w:rPr/>
        <w:t>单项资产的可收回金额进行测试的，以该资产所属的资产组或资产组组合为基础测试。 减值测试后，若该资产的账面价值超过其可收回金额，其差额确认为减值损失，上述资</w:t>
      </w:r>
    </w:p>
    <w:p>
      <w:pPr>
        <w:pStyle w:val="BodyText"/>
        <w:spacing w:line="360" w:lineRule="auto" w:before="7"/>
        <w:ind w:right="173"/>
        <w:jc w:val="left"/>
      </w:pPr>
      <w:r>
        <w:rPr/>
        <w:t>产的减值损失一经确认，在以后会计期间不予转回。资产的可收回金额是指资产的公允价值 减去处置费用后的净额与资产预计未来现金流量的现值两者之间的较高者。</w:t>
      </w:r>
    </w:p>
    <w:p>
      <w:pPr>
        <w:pStyle w:val="BodyText"/>
        <w:spacing w:line="357" w:lineRule="auto" w:before="73"/>
        <w:ind w:right="173" w:firstLine="480"/>
        <w:jc w:val="left"/>
      </w:pPr>
      <w:r>
        <w:rPr/>
        <w:t>出现减值的迹象如下：</w:t>
      </w:r>
      <w:r>
        <w:rPr>
          <w:rFonts w:ascii="宋体" w:hAnsi="宋体" w:cs="宋体" w:eastAsia="宋体" w:hint="default"/>
        </w:rPr>
        <w:t>1)</w:t>
      </w:r>
      <w:r>
        <w:rPr/>
        <w:t>资产的市价当期大幅度下跌，其跌幅明显高于因时间的推移或 者正常使用而预计的下跌；</w:t>
      </w:r>
      <w:r>
        <w:rPr>
          <w:rFonts w:ascii="宋体" w:hAnsi="宋体" w:cs="宋体" w:eastAsia="宋体" w:hint="default"/>
        </w:rPr>
        <w:t>2)</w:t>
      </w:r>
      <w:r>
        <w:rPr/>
        <w:t>本公司经营所处的经济、技术或者法律等环境以及资产所处的 市场在当期或者将在近期发生重大变化，从而对本公司产生不利影响；</w:t>
      </w:r>
      <w:r>
        <w:rPr>
          <w:rFonts w:ascii="宋体" w:hAnsi="宋体" w:cs="宋体" w:eastAsia="宋体" w:hint="default"/>
        </w:rPr>
        <w:t>3)</w:t>
      </w:r>
      <w:r>
        <w:rPr/>
        <w:t>市场利率或者其他 市场投资报酬率在当期已经提高，从而影响本公司计算资产预计未来现金流量现值的折现 率，导致资产可收回金额大幅度降低；</w:t>
      </w:r>
      <w:r>
        <w:rPr>
          <w:rFonts w:ascii="宋体" w:hAnsi="宋体" w:cs="宋体" w:eastAsia="宋体" w:hint="default"/>
        </w:rPr>
        <w:t>4)</w:t>
      </w:r>
      <w:r>
        <w:rPr/>
        <w:t>有证据表明资产已经陈旧过时或者其实体已经损 坏；</w:t>
      </w:r>
      <w:r>
        <w:rPr>
          <w:rFonts w:ascii="宋体" w:hAnsi="宋体" w:cs="宋体" w:eastAsia="宋体" w:hint="default"/>
        </w:rPr>
        <w:t>5)</w:t>
      </w:r>
      <w:r>
        <w:rPr/>
        <w:t>资产已经或者将被闲置、终止使用或者计划提前处置；</w:t>
      </w:r>
      <w:r>
        <w:rPr>
          <w:rFonts w:ascii="宋体" w:hAnsi="宋体" w:cs="宋体" w:eastAsia="宋体" w:hint="default"/>
        </w:rPr>
        <w:t>6)</w:t>
      </w:r>
      <w:r>
        <w:rPr/>
        <w:t>本公司内部报告的证据表明 资产的经济绩效已经低于或者将低于预期，如资产所创造的净现金流量或者实现的营业利润</w:t>
      </w:r>
    </w:p>
    <w:p>
      <w:pPr>
        <w:pStyle w:val="BodyText"/>
        <w:spacing w:line="240" w:lineRule="auto" w:before="37"/>
        <w:ind w:right="0"/>
        <w:jc w:val="left"/>
      </w:pPr>
      <w:r>
        <w:rPr>
          <w:spacing w:val="-5"/>
        </w:rPr>
        <w:t>（或者亏损）远远低于（或者高于）预计金额等；</w:t>
      </w:r>
      <w:r>
        <w:rPr>
          <w:rFonts w:ascii="宋体" w:hAnsi="宋体" w:cs="宋体" w:eastAsia="宋体" w:hint="default"/>
          <w:spacing w:val="-5"/>
        </w:rPr>
        <w:t>7)</w:t>
      </w:r>
      <w:r>
        <w:rPr>
          <w:spacing w:val="-5"/>
        </w:rPr>
        <w:t>其他表明资产可能已经发生减值的迹象。</w:t>
      </w:r>
    </w:p>
    <w:p>
      <w:pPr>
        <w:pStyle w:val="BodyText"/>
        <w:spacing w:line="670" w:lineRule="atLeast" w:before="37"/>
        <w:ind w:left="633" w:right="172" w:hanging="480"/>
        <w:jc w:val="left"/>
      </w:pPr>
      <w:bookmarkStart w:name="23、长期待摊费用" w:id="150"/>
      <w:bookmarkEnd w:id="150"/>
      <w:r>
        <w:rPr/>
      </w:r>
      <w:r>
        <w:rPr>
          <w:rFonts w:ascii="Times New Roman" w:hAnsi="Times New Roman" w:cs="Times New Roman" w:eastAsia="Times New Roman" w:hint="default"/>
          <w:b/>
          <w:bCs/>
        </w:rPr>
        <w:t>23</w:t>
      </w:r>
      <w:r>
        <w:rPr>
          <w:rFonts w:ascii="宋体" w:hAnsi="宋体" w:cs="宋体" w:eastAsia="宋体" w:hint="default"/>
          <w:b/>
          <w:bCs/>
        </w:rPr>
        <w:t>、长期待摊费用</w:t>
      </w:r>
      <w:r>
        <w:rPr>
          <w:rFonts w:ascii="宋体" w:hAnsi="宋体" w:cs="宋体" w:eastAsia="宋体" w:hint="default"/>
          <w:b/>
          <w:bCs/>
          <w:w w:val="99"/>
        </w:rPr>
        <w:t> </w:t>
      </w:r>
      <w:r>
        <w:rPr/>
        <w:t>本公司的长期待摊费用是指已经支出，但应由当期及以后各期承担的、摊销期在</w:t>
      </w:r>
      <w:r>
        <w:rPr>
          <w:spacing w:val="-59"/>
        </w:rPr>
        <w:t> </w:t>
      </w:r>
      <w:r>
        <w:rPr>
          <w:rFonts w:ascii="宋体" w:hAnsi="宋体" w:cs="宋体" w:eastAsia="宋体" w:hint="default"/>
        </w:rPr>
        <w:t>1</w:t>
      </w:r>
      <w:r>
        <w:rPr>
          <w:rFonts w:ascii="宋体" w:hAnsi="宋体" w:cs="宋体" w:eastAsia="宋体" w:hint="default"/>
          <w:spacing w:val="-60"/>
        </w:rPr>
        <w:t> </w:t>
      </w:r>
      <w:r>
        <w:rPr/>
        <w:t>年以</w:t>
      </w:r>
    </w:p>
    <w:p>
      <w:pPr>
        <w:pStyle w:val="BodyText"/>
        <w:spacing w:line="357" w:lineRule="auto" w:before="154"/>
        <w:ind w:right="173"/>
        <w:jc w:val="left"/>
      </w:pPr>
      <w:r>
        <w:rPr/>
        <w:t>上</w:t>
      </w:r>
      <w:r>
        <w:rPr>
          <w:rFonts w:ascii="宋体" w:hAnsi="宋体" w:cs="宋体" w:eastAsia="宋体" w:hint="default"/>
        </w:rPr>
        <w:t>(</w:t>
      </w:r>
      <w:r>
        <w:rPr/>
        <w:t>不含</w:t>
      </w:r>
      <w:r>
        <w:rPr>
          <w:spacing w:val="-60"/>
        </w:rPr>
        <w:t> </w:t>
      </w:r>
      <w:r>
        <w:rPr>
          <w:rFonts w:ascii="宋体" w:hAnsi="宋体" w:cs="宋体" w:eastAsia="宋体" w:hint="default"/>
        </w:rPr>
        <w:t>1</w:t>
      </w:r>
      <w:r>
        <w:rPr>
          <w:rFonts w:ascii="宋体" w:hAnsi="宋体" w:cs="宋体" w:eastAsia="宋体" w:hint="default"/>
          <w:spacing w:val="-60"/>
        </w:rPr>
        <w:t> </w:t>
      </w:r>
      <w:r>
        <w:rPr/>
        <w:t>年</w:t>
      </w:r>
      <w:r>
        <w:rPr>
          <w:rFonts w:ascii="宋体" w:hAnsi="宋体" w:cs="宋体" w:eastAsia="宋体" w:hint="default"/>
        </w:rPr>
        <w:t>)</w:t>
      </w:r>
      <w:r>
        <w:rPr/>
        <w:t>的办公室装修费用，该类费用在</w:t>
      </w:r>
      <w:r>
        <w:rPr>
          <w:spacing w:val="-60"/>
        </w:rPr>
        <w:t> </w:t>
      </w:r>
      <w:r>
        <w:rPr>
          <w:rFonts w:ascii="宋体" w:hAnsi="宋体" w:cs="宋体" w:eastAsia="宋体" w:hint="default"/>
        </w:rPr>
        <w:t>3</w:t>
      </w:r>
      <w:r>
        <w:rPr>
          <w:rFonts w:ascii="宋体" w:hAnsi="宋体" w:cs="宋体" w:eastAsia="宋体" w:hint="default"/>
          <w:spacing w:val="-60"/>
        </w:rPr>
        <w:t> </w:t>
      </w:r>
      <w:r>
        <w:rPr/>
        <w:t>年内平均摊销。如果长期待摊费用项目不能 使以后会计期间受益，则将尚未摊销的该项目的摊余价值全部转入当期损益。</w:t>
      </w:r>
    </w:p>
    <w:p>
      <w:pPr>
        <w:spacing w:line="240" w:lineRule="auto" w:before="9"/>
        <w:rPr>
          <w:rFonts w:ascii="宋体" w:hAnsi="宋体" w:cs="宋体" w:eastAsia="宋体" w:hint="default"/>
          <w:sz w:val="19"/>
          <w:szCs w:val="19"/>
        </w:rPr>
      </w:pPr>
    </w:p>
    <w:p>
      <w:pPr>
        <w:spacing w:before="0"/>
        <w:ind w:left="153" w:right="0" w:firstLine="0"/>
        <w:jc w:val="left"/>
        <w:rPr>
          <w:rFonts w:ascii="宋体" w:hAnsi="宋体" w:cs="宋体" w:eastAsia="宋体" w:hint="default"/>
          <w:sz w:val="24"/>
          <w:szCs w:val="24"/>
        </w:rPr>
      </w:pPr>
      <w:bookmarkStart w:name="24、职工薪酬" w:id="151"/>
      <w:bookmarkEnd w:id="151"/>
      <w:r>
        <w:rPr/>
      </w:r>
      <w:r>
        <w:rPr>
          <w:rFonts w:ascii="Times New Roman" w:hAnsi="Times New Roman" w:cs="Times New Roman" w:eastAsia="Times New Roman" w:hint="default"/>
          <w:b/>
          <w:bCs/>
          <w:sz w:val="24"/>
          <w:szCs w:val="24"/>
        </w:rPr>
        <w:t>24</w:t>
      </w:r>
      <w:r>
        <w:rPr>
          <w:rFonts w:ascii="宋体" w:hAnsi="宋体" w:cs="宋体" w:eastAsia="宋体" w:hint="default"/>
          <w:b/>
          <w:bCs/>
          <w:sz w:val="24"/>
          <w:szCs w:val="24"/>
        </w:rPr>
        <w:t>、职工薪酬</w:t>
      </w:r>
      <w:r>
        <w:rPr>
          <w:rFonts w:ascii="宋体" w:hAnsi="宋体" w:cs="宋体" w:eastAsia="宋体" w:hint="default"/>
          <w:sz w:val="24"/>
          <w:szCs w:val="24"/>
        </w:rPr>
      </w:r>
    </w:p>
    <w:p>
      <w:pPr>
        <w:spacing w:line="690" w:lineRule="exact" w:before="10"/>
        <w:ind w:left="633" w:right="413" w:hanging="480"/>
        <w:jc w:val="left"/>
        <w:rPr>
          <w:rFonts w:ascii="宋体" w:hAnsi="宋体" w:cs="宋体" w:eastAsia="宋体" w:hint="default"/>
          <w:sz w:val="24"/>
          <w:szCs w:val="24"/>
        </w:rPr>
      </w:pPr>
      <w:bookmarkStart w:name="（1）短期薪酬的会计处理方法" w:id="152"/>
      <w:bookmarkEnd w:id="152"/>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）短期薪酬的会计处理方法</w:t>
      </w:r>
      <w:r>
        <w:rPr>
          <w:rFonts w:ascii="宋体" w:hAnsi="宋体" w:cs="宋体" w:eastAsia="宋体" w:hint="default"/>
          <w:b/>
          <w:bCs/>
          <w:w w:val="99"/>
          <w:sz w:val="24"/>
          <w:szCs w:val="24"/>
        </w:rPr>
        <w:t> </w:t>
      </w:r>
      <w:r>
        <w:rPr>
          <w:rFonts w:ascii="宋体" w:hAnsi="宋体" w:cs="宋体" w:eastAsia="宋体" w:hint="default"/>
          <w:sz w:val="24"/>
          <w:szCs w:val="24"/>
        </w:rPr>
        <w:t>短期薪酬主要包括职工工资、奖金、津贴、补贴、职工福利、医疗保险费、工伤保险</w:t>
      </w:r>
    </w:p>
    <w:p>
      <w:pPr>
        <w:pStyle w:val="BodyText"/>
        <w:spacing w:line="357" w:lineRule="auto" w:before="49"/>
        <w:ind w:right="173"/>
        <w:jc w:val="left"/>
      </w:pPr>
      <w:r>
        <w:rPr/>
        <w:t>费、生育保险费、住房公积金、工会和教育经费等，在职工提供服务的会计期间，将实际发 生的短期薪酬确认为负债，并按照受益对象计入当期损益或相关资产成本。</w:t>
      </w:r>
    </w:p>
    <w:p>
      <w:pPr>
        <w:spacing w:line="240" w:lineRule="auto" w:before="9"/>
        <w:rPr>
          <w:rFonts w:ascii="宋体" w:hAnsi="宋体" w:cs="宋体" w:eastAsia="宋体" w:hint="default"/>
          <w:sz w:val="19"/>
          <w:szCs w:val="19"/>
        </w:rPr>
      </w:pPr>
    </w:p>
    <w:p>
      <w:pPr>
        <w:spacing w:before="0"/>
        <w:ind w:left="153" w:right="0" w:firstLine="0"/>
        <w:jc w:val="left"/>
        <w:rPr>
          <w:rFonts w:ascii="宋体" w:hAnsi="宋体" w:cs="宋体" w:eastAsia="宋体" w:hint="default"/>
          <w:sz w:val="24"/>
          <w:szCs w:val="24"/>
        </w:rPr>
      </w:pPr>
      <w:bookmarkStart w:name="（2）离职后福利的会计处理方法" w:id="153"/>
      <w:bookmarkEnd w:id="153"/>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）离职后福利的会计处理方法</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pStyle w:val="BodyText"/>
        <w:spacing w:line="357" w:lineRule="auto" w:before="0"/>
        <w:ind w:right="173" w:firstLine="480"/>
        <w:jc w:val="left"/>
      </w:pPr>
      <w:r>
        <w:rPr/>
        <w:t>离职后福利主要包括基本养老保险费、失业保险费等，按照公司承担的风险和义务，分 类为设定提存计划。对于设定提存计划，根据在资产负债表日为换取职工在会计期间提供的 服务而向单独主体缴存的提存金确认为负债，并按照受益对象计入当期损益或相关资产成 本。</w:t>
      </w:r>
    </w:p>
    <w:p>
      <w:pPr>
        <w:spacing w:after="0" w:line="357" w:lineRule="auto"/>
        <w:jc w:val="left"/>
        <w:sectPr>
          <w:footerReference w:type="default" r:id="rId43"/>
          <w:pgSz w:w="11910" w:h="16840"/>
          <w:pgMar w:footer="979" w:header="877" w:top="1100" w:bottom="1160" w:left="980" w:right="980"/>
          <w:pgNumType w:start="101"/>
        </w:sectPr>
      </w:pPr>
    </w:p>
    <w:p>
      <w:pPr>
        <w:spacing w:line="240" w:lineRule="auto" w:before="8"/>
        <w:rPr>
          <w:rFonts w:ascii="宋体" w:hAnsi="宋体" w:cs="宋体" w:eastAsia="宋体" w:hint="default"/>
          <w:sz w:val="19"/>
          <w:szCs w:val="19"/>
        </w:rPr>
      </w:pPr>
    </w:p>
    <w:p>
      <w:pPr>
        <w:spacing w:before="26"/>
        <w:ind w:left="154" w:right="0" w:firstLine="0"/>
        <w:jc w:val="left"/>
        <w:rPr>
          <w:rFonts w:ascii="宋体" w:hAnsi="宋体" w:cs="宋体" w:eastAsia="宋体" w:hint="default"/>
          <w:sz w:val="24"/>
          <w:szCs w:val="24"/>
        </w:rPr>
      </w:pPr>
      <w:bookmarkStart w:name="（3）辞退福利的会计处理方法" w:id="154"/>
      <w:bookmarkEnd w:id="154"/>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）辞退福利的会计处理方法</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pStyle w:val="BodyText"/>
        <w:spacing w:line="357" w:lineRule="auto" w:before="0"/>
        <w:ind w:right="191" w:firstLine="480"/>
        <w:jc w:val="both"/>
      </w:pPr>
      <w:r>
        <w:rPr/>
        <w:t>本公司在职工劳动合同到期之前解除与职工的劳动关系、或者为鼓励职工自愿接受裁减 而提出给予职工的补偿。本公司向职工提供辞退福利的，在下列两者孰早日确认辞退福利产 生的负债，并计入当期损益：①本公司不能单方面撤回因解除劳动关系计划或裁减建议所提 供的辞退福利时；②本公司确认与涉及支付辞退福利的重组相关的成本或费用时。辞退福利 预期在年度报告期结束后十二个月不能完全支付的，按照其他长期职工薪酬处理。</w:t>
      </w:r>
    </w:p>
    <w:p>
      <w:pPr>
        <w:spacing w:line="240" w:lineRule="auto" w:before="9"/>
        <w:rPr>
          <w:rFonts w:ascii="宋体" w:hAnsi="宋体" w:cs="宋体" w:eastAsia="宋体" w:hint="default"/>
          <w:sz w:val="19"/>
          <w:szCs w:val="19"/>
        </w:rPr>
      </w:pPr>
    </w:p>
    <w:p>
      <w:pPr>
        <w:spacing w:line="499" w:lineRule="auto" w:before="0"/>
        <w:ind w:left="633" w:right="5692" w:hanging="480"/>
        <w:jc w:val="left"/>
        <w:rPr>
          <w:rFonts w:ascii="宋体" w:hAnsi="宋体" w:cs="宋体" w:eastAsia="宋体" w:hint="default"/>
          <w:sz w:val="24"/>
          <w:szCs w:val="24"/>
        </w:rPr>
      </w:pPr>
      <w:bookmarkStart w:name="（4）其他长期职工福利的会计处理方法" w:id="155"/>
      <w:bookmarkEnd w:id="155"/>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4</w:t>
      </w:r>
      <w:r>
        <w:rPr>
          <w:rFonts w:ascii="宋体" w:hAnsi="宋体" w:cs="宋体" w:eastAsia="宋体" w:hint="default"/>
          <w:b/>
          <w:bCs/>
          <w:w w:val="95"/>
          <w:sz w:val="24"/>
          <w:szCs w:val="24"/>
        </w:rPr>
        <w:t>）其他长期职工福利的会计处理方法</w:t>
      </w:r>
      <w:r>
        <w:rPr>
          <w:rFonts w:ascii="宋体" w:hAnsi="宋体" w:cs="宋体" w:eastAsia="宋体" w:hint="default"/>
          <w:b/>
          <w:bCs/>
          <w:spacing w:val="80"/>
          <w:w w:val="95"/>
          <w:sz w:val="24"/>
          <w:szCs w:val="24"/>
        </w:rPr>
        <w:t> </w:t>
      </w:r>
      <w:r>
        <w:rPr>
          <w:rFonts w:ascii="宋体" w:hAnsi="宋体" w:cs="宋体" w:eastAsia="宋体" w:hint="default"/>
          <w:sz w:val="24"/>
          <w:szCs w:val="24"/>
        </w:rPr>
        <w:t>无。</w:t>
      </w:r>
    </w:p>
    <w:p>
      <w:pPr>
        <w:spacing w:before="115"/>
        <w:ind w:left="153" w:right="0" w:firstLine="0"/>
        <w:jc w:val="left"/>
        <w:rPr>
          <w:rFonts w:ascii="宋体" w:hAnsi="宋体" w:cs="宋体" w:eastAsia="宋体" w:hint="default"/>
          <w:sz w:val="24"/>
          <w:szCs w:val="24"/>
        </w:rPr>
      </w:pPr>
      <w:bookmarkStart w:name="25、预计负债" w:id="156"/>
      <w:bookmarkEnd w:id="156"/>
      <w:r>
        <w:rPr/>
      </w:r>
      <w:r>
        <w:rPr>
          <w:rFonts w:ascii="Times New Roman" w:hAnsi="Times New Roman" w:cs="Times New Roman" w:eastAsia="Times New Roman" w:hint="default"/>
          <w:b/>
          <w:bCs/>
          <w:sz w:val="24"/>
          <w:szCs w:val="24"/>
        </w:rPr>
        <w:t>25</w:t>
      </w:r>
      <w:r>
        <w:rPr>
          <w:rFonts w:ascii="宋体" w:hAnsi="宋体" w:cs="宋体" w:eastAsia="宋体" w:hint="default"/>
          <w:b/>
          <w:bCs/>
          <w:sz w:val="24"/>
          <w:szCs w:val="24"/>
        </w:rPr>
        <w:t>、预计负债</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pStyle w:val="BodyText"/>
        <w:spacing w:line="357" w:lineRule="auto" w:before="0"/>
        <w:ind w:right="150" w:firstLine="480"/>
        <w:jc w:val="both"/>
      </w:pPr>
      <w:r>
        <w:rPr/>
        <w:t>预计负债的确认原则：当与对外担保、商业承兑汇票贴现、未决诉讼或仲裁、产品质量 </w:t>
      </w:r>
      <w:r>
        <w:rPr>
          <w:spacing w:val="-2"/>
        </w:rPr>
        <w:t>保证等或有事项相关的业务同时符合以下条件时，本公司将其确认为负债：</w:t>
      </w:r>
      <w:r>
        <w:rPr>
          <w:rFonts w:ascii="宋体" w:hAnsi="宋体" w:cs="宋体" w:eastAsia="宋体" w:hint="default"/>
          <w:spacing w:val="-2"/>
        </w:rPr>
        <w:t>1</w:t>
      </w:r>
      <w:r>
        <w:rPr>
          <w:spacing w:val="-2"/>
        </w:rPr>
        <w:t>）该义务是本公</w:t>
      </w:r>
      <w:r>
        <w:rPr/>
        <w:t> 司承担的现时义务；</w:t>
      </w:r>
      <w:r>
        <w:rPr>
          <w:rFonts w:ascii="宋体" w:hAnsi="宋体" w:cs="宋体" w:eastAsia="宋体" w:hint="default"/>
        </w:rPr>
        <w:t>2</w:t>
      </w:r>
      <w:r>
        <w:rPr/>
        <w:t>）该义务的履行很可能导致经济利益流出企业；</w:t>
      </w:r>
      <w:r>
        <w:rPr>
          <w:rFonts w:ascii="宋体" w:hAnsi="宋体" w:cs="宋体" w:eastAsia="宋体" w:hint="default"/>
        </w:rPr>
        <w:t>3</w:t>
      </w:r>
      <w:r>
        <w:rPr/>
        <w:t>）该义务的金额能够 可靠地计量。</w:t>
      </w:r>
    </w:p>
    <w:p>
      <w:pPr>
        <w:pStyle w:val="BodyText"/>
        <w:spacing w:line="357" w:lineRule="auto" w:before="76"/>
        <w:ind w:right="190" w:firstLine="480"/>
        <w:jc w:val="both"/>
      </w:pPr>
      <w:r>
        <w:rPr/>
        <w:t>预计负债的计量方法：预计负债按照履行相关现时义务所需支出的最佳估计数进行初始 计量，并综合考虑与或有事项有关的风险、不确定性和货币时间价值等因素。货币时间价值 影响重大的，通过对相关未来现金流出进行折现后确定最佳估计数。每个资产负债表日对预 计负债的账面价值进行复核，如有改变则对账面价值进行调整以反映当前最佳估计数。</w:t>
      </w:r>
    </w:p>
    <w:p>
      <w:pPr>
        <w:spacing w:line="240" w:lineRule="auto" w:before="10"/>
        <w:rPr>
          <w:rFonts w:ascii="宋体" w:hAnsi="宋体" w:cs="宋体" w:eastAsia="宋体" w:hint="default"/>
          <w:sz w:val="19"/>
          <w:szCs w:val="19"/>
        </w:rPr>
      </w:pPr>
    </w:p>
    <w:p>
      <w:pPr>
        <w:spacing w:line="499" w:lineRule="auto" w:before="0"/>
        <w:ind w:left="634" w:right="8327" w:hanging="480"/>
        <w:jc w:val="left"/>
        <w:rPr>
          <w:rFonts w:ascii="宋体" w:hAnsi="宋体" w:cs="宋体" w:eastAsia="宋体" w:hint="default"/>
          <w:sz w:val="24"/>
          <w:szCs w:val="24"/>
        </w:rPr>
      </w:pPr>
      <w:bookmarkStart w:name="26、股份支付" w:id="157"/>
      <w:bookmarkEnd w:id="157"/>
      <w:r>
        <w:rPr/>
      </w:r>
      <w:r>
        <w:rPr>
          <w:rFonts w:ascii="Times New Roman" w:hAnsi="Times New Roman" w:cs="Times New Roman" w:eastAsia="Times New Roman" w:hint="default"/>
          <w:b/>
          <w:bCs/>
          <w:sz w:val="24"/>
          <w:szCs w:val="24"/>
        </w:rPr>
        <w:t>26</w:t>
      </w:r>
      <w:r>
        <w:rPr>
          <w:rFonts w:ascii="宋体" w:hAnsi="宋体" w:cs="宋体" w:eastAsia="宋体" w:hint="default"/>
          <w:b/>
          <w:bCs/>
          <w:sz w:val="24"/>
          <w:szCs w:val="24"/>
        </w:rPr>
        <w:t>、股份支付</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line="499" w:lineRule="auto" w:before="115"/>
        <w:ind w:left="633" w:right="5692" w:hanging="480"/>
        <w:jc w:val="left"/>
        <w:rPr>
          <w:rFonts w:ascii="宋体" w:hAnsi="宋体" w:cs="宋体" w:eastAsia="宋体" w:hint="default"/>
          <w:sz w:val="24"/>
          <w:szCs w:val="24"/>
        </w:rPr>
      </w:pPr>
      <w:bookmarkStart w:name="27、优先股、永续债等其他金融工具" w:id="158"/>
      <w:bookmarkEnd w:id="158"/>
      <w:r>
        <w:rPr/>
      </w:r>
      <w:r>
        <w:rPr>
          <w:rFonts w:ascii="Times New Roman" w:hAnsi="Times New Roman" w:cs="Times New Roman" w:eastAsia="Times New Roman" w:hint="default"/>
          <w:b/>
          <w:bCs/>
          <w:w w:val="95"/>
          <w:sz w:val="24"/>
          <w:szCs w:val="24"/>
        </w:rPr>
        <w:t>27</w:t>
      </w:r>
      <w:r>
        <w:rPr>
          <w:rFonts w:ascii="宋体" w:hAnsi="宋体" w:cs="宋体" w:eastAsia="宋体" w:hint="default"/>
          <w:b/>
          <w:bCs/>
          <w:w w:val="95"/>
          <w:sz w:val="24"/>
          <w:szCs w:val="24"/>
        </w:rPr>
        <w:t>、优先股、永续债等其他金融工具</w:t>
      </w:r>
      <w:r>
        <w:rPr>
          <w:rFonts w:ascii="宋体" w:hAnsi="宋体" w:cs="宋体" w:eastAsia="宋体" w:hint="default"/>
          <w:b/>
          <w:bCs/>
          <w:spacing w:val="63"/>
          <w:w w:val="95"/>
          <w:sz w:val="24"/>
          <w:szCs w:val="24"/>
        </w:rPr>
        <w:t> </w:t>
      </w:r>
      <w:r>
        <w:rPr>
          <w:rFonts w:ascii="宋体" w:hAnsi="宋体" w:cs="宋体" w:eastAsia="宋体" w:hint="default"/>
          <w:sz w:val="24"/>
          <w:szCs w:val="24"/>
        </w:rPr>
        <w:t>无。</w:t>
      </w:r>
    </w:p>
    <w:p>
      <w:pPr>
        <w:spacing w:before="115"/>
        <w:ind w:left="153" w:right="0" w:firstLine="0"/>
        <w:jc w:val="left"/>
        <w:rPr>
          <w:rFonts w:ascii="宋体" w:hAnsi="宋体" w:cs="宋体" w:eastAsia="宋体" w:hint="default"/>
          <w:sz w:val="24"/>
          <w:szCs w:val="24"/>
        </w:rPr>
      </w:pPr>
      <w:bookmarkStart w:name="28、收入" w:id="159"/>
      <w:bookmarkEnd w:id="159"/>
      <w:r>
        <w:rPr/>
      </w:r>
      <w:r>
        <w:rPr>
          <w:rFonts w:ascii="Times New Roman" w:hAnsi="Times New Roman" w:cs="Times New Roman" w:eastAsia="Times New Roman" w:hint="default"/>
          <w:b/>
          <w:bCs/>
          <w:sz w:val="24"/>
          <w:szCs w:val="24"/>
        </w:rPr>
        <w:t>28</w:t>
      </w:r>
      <w:r>
        <w:rPr>
          <w:rFonts w:ascii="宋体" w:hAnsi="宋体" w:cs="宋体" w:eastAsia="宋体" w:hint="default"/>
          <w:b/>
          <w:bCs/>
          <w:sz w:val="24"/>
          <w:szCs w:val="24"/>
        </w:rPr>
        <w:t>、收入</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spacing w:line="357" w:lineRule="auto" w:before="0"/>
        <w:ind w:left="154" w:right="278" w:firstLine="482"/>
        <w:jc w:val="both"/>
        <w:rPr>
          <w:rFonts w:ascii="宋体" w:hAnsi="宋体" w:cs="宋体" w:eastAsia="宋体" w:hint="default"/>
          <w:sz w:val="24"/>
          <w:szCs w:val="24"/>
        </w:rPr>
      </w:pPr>
      <w:r>
        <w:rPr>
          <w:rFonts w:ascii="宋体" w:hAnsi="宋体" w:cs="宋体" w:eastAsia="宋体" w:hint="default"/>
          <w:b/>
          <w:bCs/>
          <w:w w:val="95"/>
          <w:sz w:val="24"/>
          <w:szCs w:val="24"/>
        </w:rPr>
        <w:t>（</w:t>
      </w:r>
      <w:r>
        <w:rPr>
          <w:rFonts w:ascii="宋体" w:hAnsi="宋体" w:cs="宋体" w:eastAsia="宋体" w:hint="default"/>
          <w:b/>
          <w:bCs/>
          <w:w w:val="95"/>
          <w:sz w:val="24"/>
          <w:szCs w:val="24"/>
        </w:rPr>
        <w:t>1</w:t>
      </w:r>
      <w:r>
        <w:rPr>
          <w:rFonts w:ascii="宋体" w:hAnsi="宋体" w:cs="宋体" w:eastAsia="宋体" w:hint="default"/>
          <w:b/>
          <w:bCs/>
          <w:w w:val="95"/>
          <w:sz w:val="24"/>
          <w:szCs w:val="24"/>
        </w:rPr>
        <w:t>）本公司的营业收入主要包括数字阅读产品收入、数字出版运营服务收入、数字内</w:t>
      </w:r>
      <w:r>
        <w:rPr>
          <w:rFonts w:ascii="宋体" w:hAnsi="宋体" w:cs="宋体" w:eastAsia="宋体" w:hint="default"/>
          <w:b/>
          <w:bCs/>
          <w:w w:val="99"/>
          <w:sz w:val="24"/>
          <w:szCs w:val="24"/>
        </w:rPr>
        <w:t> </w:t>
      </w:r>
      <w:r>
        <w:rPr>
          <w:rFonts w:ascii="宋体" w:hAnsi="宋体" w:cs="宋体" w:eastAsia="宋体" w:hint="default"/>
          <w:b/>
          <w:bCs/>
          <w:sz w:val="24"/>
          <w:szCs w:val="24"/>
        </w:rPr>
        <w:t>容增值服务收入，收入确认原则如下：</w:t>
      </w:r>
      <w:r>
        <w:rPr>
          <w:rFonts w:ascii="宋体" w:hAnsi="宋体" w:cs="宋体" w:eastAsia="宋体" w:hint="default"/>
          <w:sz w:val="24"/>
          <w:szCs w:val="24"/>
        </w:rPr>
      </w:r>
    </w:p>
    <w:p>
      <w:pPr>
        <w:spacing w:after="0" w:line="357" w:lineRule="auto"/>
        <w:jc w:val="both"/>
        <w:rPr>
          <w:rFonts w:ascii="宋体" w:hAnsi="宋体" w:cs="宋体" w:eastAsia="宋体" w:hint="default"/>
          <w:sz w:val="24"/>
          <w:szCs w:val="24"/>
        </w:rPr>
        <w:sectPr>
          <w:pgSz w:w="11910" w:h="16840"/>
          <w:pgMar w:header="877" w:footer="979" w:top="1100" w:bottom="1160" w:left="980" w:right="980"/>
        </w:sectPr>
      </w:pPr>
    </w:p>
    <w:p>
      <w:pPr>
        <w:spacing w:line="240" w:lineRule="auto" w:before="7"/>
        <w:rPr>
          <w:rFonts w:ascii="宋体" w:hAnsi="宋体" w:cs="宋体" w:eastAsia="宋体" w:hint="default"/>
          <w:b/>
          <w:bCs/>
          <w:sz w:val="25"/>
          <w:szCs w:val="25"/>
        </w:rPr>
      </w:pPr>
    </w:p>
    <w:p>
      <w:pPr>
        <w:pStyle w:val="BodyText"/>
        <w:spacing w:line="357" w:lineRule="auto"/>
        <w:ind w:left="154" w:right="190" w:firstLine="480"/>
        <w:jc w:val="both"/>
      </w:pPr>
      <w:r>
        <w:rPr/>
        <w:t>本公司在已将商品所有权上的主要风险和报酬转移给购货方、本公司既没有保留通常与 所有权相联系的继续管理权、也没有对已售出的商品实施有效控制、收入的金额能够可靠地 计量、相关的经济利益很可能流入企业、相关的已发生或将发生的成本能够可靠地计量时， 确认销售商品收入的实现。</w:t>
      </w:r>
    </w:p>
    <w:p>
      <w:pPr>
        <w:pStyle w:val="BodyText"/>
        <w:spacing w:line="357" w:lineRule="auto" w:before="74"/>
        <w:ind w:right="151" w:firstLine="480"/>
        <w:jc w:val="both"/>
      </w:pPr>
      <w:r>
        <w:rPr/>
        <w:t>本公司在劳务总收入和总成本能够可靠地计量、与劳务相关的经济利益很可能流入本公 司、劳务的完成进度能够可靠地确定时，确认劳务收入的实现。在资产负债表日，提供劳务 交易的结果能够可靠估计的，按完工百分比法确认相关的劳务收入，完工百分比按已完工作 </w:t>
      </w:r>
      <w:r>
        <w:rPr>
          <w:spacing w:val="-2"/>
        </w:rPr>
        <w:t>的测量（已经提供的劳务占应提供劳务总量的比例</w:t>
      </w:r>
      <w:r>
        <w:rPr>
          <w:rFonts w:ascii="宋体" w:hAnsi="宋体" w:cs="宋体" w:eastAsia="宋体" w:hint="default"/>
          <w:spacing w:val="-2"/>
        </w:rPr>
        <w:t>/</w:t>
      </w:r>
      <w:r>
        <w:rPr>
          <w:spacing w:val="-2"/>
        </w:rPr>
        <w:t>已经发生的成本占估计总成本的比例）确</w:t>
      </w:r>
      <w:r>
        <w:rPr/>
        <w:t> 认；提供劳务交易结果不能够可靠估计、已经发生的劳务成本预计能够得到补偿的，按已经 发生的能够得到补偿的劳务成本金额确认提供劳务收入，并结转已经发生的劳务成本；提供 劳务交易结果不能够可靠估计、已经发生的劳务成本预计全部不能得到补偿的，将已经发生 的劳务成本计入当期损益，不确认提供劳务收入。</w:t>
      </w:r>
    </w:p>
    <w:p>
      <w:pPr>
        <w:pStyle w:val="BodyText"/>
        <w:spacing w:line="357" w:lineRule="auto" w:before="76"/>
        <w:ind w:left="154" w:right="190" w:firstLine="480"/>
        <w:jc w:val="both"/>
      </w:pPr>
      <w:r>
        <w:rPr/>
        <w:t>与交易相关的经济利益很可能流入本公司、收入的金额能够可靠地计量时，确认让渡资 产使用权收入的实现。</w:t>
      </w:r>
    </w:p>
    <w:p>
      <w:pPr>
        <w:spacing w:line="386" w:lineRule="auto" w:before="76"/>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）收入确认的具体方法为：</w:t>
      </w:r>
      <w:r>
        <w:rPr>
          <w:rFonts w:ascii="宋体" w:hAnsi="宋体" w:cs="宋体" w:eastAsia="宋体" w:hint="default"/>
          <w:b/>
          <w:bCs/>
          <w:w w:val="99"/>
          <w:sz w:val="24"/>
          <w:szCs w:val="24"/>
        </w:rPr>
        <w:t> </w:t>
      </w:r>
      <w:r>
        <w:rPr>
          <w:rFonts w:ascii="宋体" w:hAnsi="宋体" w:cs="宋体" w:eastAsia="宋体" w:hint="default"/>
          <w:spacing w:val="-3"/>
          <w:sz w:val="24"/>
          <w:szCs w:val="24"/>
        </w:rPr>
        <w:t>1</w:t>
      </w:r>
      <w:r>
        <w:rPr>
          <w:rFonts w:ascii="宋体" w:hAnsi="宋体" w:cs="宋体" w:eastAsia="宋体" w:hint="default"/>
          <w:spacing w:val="-3"/>
          <w:sz w:val="24"/>
          <w:szCs w:val="24"/>
        </w:rPr>
        <w:t>）数字阅读产品收入包括按阅读流量确认的收入、数字阅读产品销售收入、数字阅读项</w:t>
      </w:r>
    </w:p>
    <w:p>
      <w:pPr>
        <w:pStyle w:val="BodyText"/>
        <w:spacing w:line="388" w:lineRule="auto" w:before="8"/>
        <w:ind w:left="633" w:right="173" w:hanging="480"/>
        <w:jc w:val="left"/>
      </w:pPr>
      <w:r>
        <w:rPr/>
        <w:t>目开发收入、互联网广告收入。 按阅读流量确认的收入的确认方法为：提供数字阅读产品后，按双方确认的结算单确认</w:t>
      </w:r>
    </w:p>
    <w:p>
      <w:pPr>
        <w:pStyle w:val="BodyText"/>
        <w:spacing w:line="357" w:lineRule="auto" w:before="5"/>
        <w:ind w:right="190"/>
        <w:jc w:val="both"/>
      </w:pPr>
      <w:r>
        <w:rPr/>
        <w:t>收入。在无法及时取得结算单的情况下，如能够及时取得当月阅读流量，根据系统平台阅读 流量和合同约定的分成方法确认收入，如无法及时取得当月阅读流量，在实际取得结算单时 确认收入，年末均按实际取得双方确认的当年结算单进行确认。</w:t>
      </w:r>
    </w:p>
    <w:p>
      <w:pPr>
        <w:pStyle w:val="BodyText"/>
        <w:spacing w:line="357" w:lineRule="auto" w:before="74"/>
        <w:ind w:right="189" w:firstLine="480"/>
        <w:jc w:val="both"/>
      </w:pPr>
      <w:r>
        <w:rPr/>
        <w:t>数字阅读产品销售收入的确认方法为：提供数字阅读产品后，根据合同约定的收入和结 算方式，在取得双方确认的结算单时确认收入。在数字阅读产品包含后续服务的情况下，后 续服务收入在服务期间内分期确认。</w:t>
      </w:r>
    </w:p>
    <w:p>
      <w:pPr>
        <w:pStyle w:val="BodyText"/>
        <w:spacing w:line="357" w:lineRule="auto" w:before="74"/>
        <w:ind w:right="190" w:firstLine="480"/>
        <w:jc w:val="both"/>
      </w:pPr>
      <w:r>
        <w:rPr/>
        <w:t>数字阅读项目开发收入的确认方法为：在资产负债表日，提供劳务交易的结果能够可靠 估计的，按完工百分比法确认相关的劳务收入。</w:t>
      </w:r>
    </w:p>
    <w:p>
      <w:pPr>
        <w:pStyle w:val="BodyText"/>
        <w:spacing w:line="386" w:lineRule="auto" w:before="77"/>
        <w:ind w:left="633" w:right="173"/>
        <w:jc w:val="left"/>
      </w:pPr>
      <w:r>
        <w:rPr/>
        <w:t>互联网广告收入的确认方法为：在发布广告后，按合同约定确认广告收入。 </w:t>
      </w:r>
      <w:r>
        <w:rPr>
          <w:rFonts w:ascii="宋体" w:hAnsi="宋体" w:cs="宋体" w:eastAsia="宋体" w:hint="default"/>
        </w:rPr>
        <w:t>2</w:t>
      </w:r>
      <w:r>
        <w:rPr/>
        <w:t>）数字出版运营服务收入包括手机阅读基地运营收入和其他机构运营收入。 手机阅读基地运营收入的确认方法为：提供运营服务后，相关成本能够可靠计量时，在</w:t>
      </w:r>
    </w:p>
    <w:p>
      <w:pPr>
        <w:spacing w:after="0" w:line="386" w:lineRule="auto"/>
        <w:jc w:val="left"/>
        <w:sectPr>
          <w:pgSz w:w="11910" w:h="16840"/>
          <w:pgMar w:header="877" w:footer="979" w:top="1100" w:bottom="1160" w:left="980" w:right="980"/>
        </w:sectPr>
      </w:pPr>
    </w:p>
    <w:p>
      <w:pPr>
        <w:spacing w:line="240" w:lineRule="auto" w:before="7"/>
        <w:rPr>
          <w:rFonts w:ascii="宋体" w:hAnsi="宋体" w:cs="宋体" w:eastAsia="宋体" w:hint="default"/>
          <w:sz w:val="25"/>
          <w:szCs w:val="25"/>
        </w:rPr>
      </w:pPr>
    </w:p>
    <w:p>
      <w:pPr>
        <w:pStyle w:val="BodyText"/>
        <w:spacing w:line="357" w:lineRule="auto"/>
        <w:ind w:left="154" w:right="189"/>
        <w:jc w:val="both"/>
      </w:pPr>
      <w:r>
        <w:rPr/>
        <w:t>能够取得当月运营流量数据的情况下，根据当月系统平台统计的运营流量和合同约定的分成 方法确认收入；在无法取得当月运营流量数据的情况下，根据实际结算时双方确认的运营流 量和合同约定的分成方法确认收入。</w:t>
      </w:r>
    </w:p>
    <w:p>
      <w:pPr>
        <w:pStyle w:val="BodyText"/>
        <w:spacing w:line="357" w:lineRule="auto" w:before="75"/>
        <w:ind w:left="154" w:right="151" w:firstLine="480"/>
        <w:jc w:val="both"/>
      </w:pPr>
      <w:r>
        <w:rPr>
          <w:rFonts w:ascii="宋体" w:hAnsi="宋体" w:cs="宋体" w:eastAsia="宋体" w:hint="default"/>
        </w:rPr>
        <w:t>2012</w:t>
      </w:r>
      <w:r>
        <w:rPr>
          <w:rFonts w:ascii="宋体" w:hAnsi="宋体" w:cs="宋体" w:eastAsia="宋体" w:hint="default"/>
          <w:spacing w:val="-82"/>
        </w:rPr>
        <w:t> </w:t>
      </w:r>
      <w:r>
        <w:rPr/>
        <w:t>年及以后年度移动手机阅读基地运营收入结算方法改为按提供运营服务人数、技能 级别及相应的级别费率计算运营收入，本公司在提供运营服务后按此方法确认收入，年末按 实际取得双方确认的当年结算单进行确认。</w:t>
      </w:r>
    </w:p>
    <w:p>
      <w:pPr>
        <w:pStyle w:val="BodyText"/>
        <w:spacing w:line="357" w:lineRule="auto" w:before="76"/>
        <w:ind w:left="154" w:right="190" w:firstLine="480"/>
        <w:jc w:val="both"/>
      </w:pPr>
      <w:r>
        <w:rPr/>
        <w:t>其他机构运营收入的确认方法为：提供运营服务后，按阅读流量和合同约定的收入结算 方式计算收入，收入确认方法与上述数字阅读产品中按阅读流量确认的收入相同。</w:t>
      </w:r>
    </w:p>
    <w:p>
      <w:pPr>
        <w:pStyle w:val="BodyText"/>
        <w:spacing w:line="357" w:lineRule="auto" w:before="74"/>
        <w:ind w:right="151" w:firstLine="480"/>
        <w:jc w:val="both"/>
      </w:pPr>
      <w:r>
        <w:rPr>
          <w:rFonts w:ascii="宋体" w:hAnsi="宋体" w:cs="宋体" w:eastAsia="宋体" w:hint="default"/>
          <w:spacing w:val="-3"/>
        </w:rPr>
        <w:t>3</w:t>
      </w:r>
      <w:r>
        <w:rPr>
          <w:spacing w:val="-3"/>
        </w:rPr>
        <w:t>）数字内容增值服务收入的确认方法为：根据与客户签订的合同，在提供有关产品或服</w:t>
      </w:r>
      <w:r>
        <w:rPr/>
        <w:t> 务后，相关成本能够可靠计量时，按照合同约定的结算方式和条件确认收入。</w:t>
      </w:r>
    </w:p>
    <w:p>
      <w:pPr>
        <w:spacing w:line="240" w:lineRule="auto" w:before="9"/>
        <w:rPr>
          <w:rFonts w:ascii="宋体" w:hAnsi="宋体" w:cs="宋体" w:eastAsia="宋体" w:hint="default"/>
          <w:sz w:val="19"/>
          <w:szCs w:val="19"/>
        </w:rPr>
      </w:pPr>
    </w:p>
    <w:p>
      <w:pPr>
        <w:spacing w:before="0"/>
        <w:ind w:left="153" w:right="0" w:firstLine="0"/>
        <w:jc w:val="left"/>
        <w:rPr>
          <w:rFonts w:ascii="宋体" w:hAnsi="宋体" w:cs="宋体" w:eastAsia="宋体" w:hint="default"/>
          <w:sz w:val="24"/>
          <w:szCs w:val="24"/>
        </w:rPr>
      </w:pPr>
      <w:bookmarkStart w:name="29、政府补助" w:id="160"/>
      <w:bookmarkEnd w:id="160"/>
      <w:r>
        <w:rPr/>
      </w:r>
      <w:r>
        <w:rPr>
          <w:rFonts w:ascii="Times New Roman" w:hAnsi="Times New Roman" w:cs="Times New Roman" w:eastAsia="Times New Roman" w:hint="default"/>
          <w:b/>
          <w:bCs/>
          <w:sz w:val="24"/>
          <w:szCs w:val="24"/>
        </w:rPr>
        <w:t>29</w:t>
      </w:r>
      <w:r>
        <w:rPr>
          <w:rFonts w:ascii="宋体" w:hAnsi="宋体" w:cs="宋体" w:eastAsia="宋体" w:hint="default"/>
          <w:b/>
          <w:bCs/>
          <w:sz w:val="24"/>
          <w:szCs w:val="24"/>
        </w:rPr>
        <w:t>、政府补助</w:t>
      </w:r>
      <w:r>
        <w:rPr>
          <w:rFonts w:ascii="宋体" w:hAnsi="宋体" w:cs="宋体" w:eastAsia="宋体" w:hint="default"/>
          <w:sz w:val="24"/>
          <w:szCs w:val="24"/>
        </w:rPr>
      </w:r>
    </w:p>
    <w:p>
      <w:pPr>
        <w:spacing w:line="690" w:lineRule="exact" w:before="10"/>
        <w:ind w:left="633" w:right="173" w:hanging="480"/>
        <w:jc w:val="left"/>
        <w:rPr>
          <w:rFonts w:ascii="宋体" w:hAnsi="宋体" w:cs="宋体" w:eastAsia="宋体" w:hint="default"/>
          <w:sz w:val="24"/>
          <w:szCs w:val="24"/>
        </w:rPr>
      </w:pPr>
      <w:bookmarkStart w:name="（1）与资产相关的政府补助判断依据及会计处理方法" w:id="161"/>
      <w:bookmarkEnd w:id="161"/>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）与资产相关的政府补助判断依据及会计处理方法</w:t>
      </w:r>
      <w:r>
        <w:rPr>
          <w:rFonts w:ascii="宋体" w:hAnsi="宋体" w:cs="宋体" w:eastAsia="宋体" w:hint="default"/>
          <w:b/>
          <w:bCs/>
          <w:w w:val="99"/>
          <w:sz w:val="24"/>
          <w:szCs w:val="24"/>
        </w:rPr>
        <w:t> </w:t>
      </w:r>
      <w:r>
        <w:rPr>
          <w:rFonts w:ascii="宋体" w:hAnsi="宋体" w:cs="宋体" w:eastAsia="宋体" w:hint="default"/>
          <w:sz w:val="24"/>
          <w:szCs w:val="24"/>
        </w:rPr>
        <w:t>与资产相关的政府补助，是指本公司取得的、用于购建或以其他方式形成长期资产的政</w:t>
      </w:r>
    </w:p>
    <w:p>
      <w:pPr>
        <w:pStyle w:val="BodyText"/>
        <w:spacing w:line="240" w:lineRule="auto" w:before="51"/>
        <w:ind w:right="0"/>
        <w:jc w:val="left"/>
      </w:pPr>
      <w:r>
        <w:rPr/>
        <w:t>府补助；与资产相关的政府补助，本公司于资产的使用期限内摊销确认。</w:t>
      </w:r>
    </w:p>
    <w:p>
      <w:pPr>
        <w:spacing w:line="670" w:lineRule="atLeast" w:before="37"/>
        <w:ind w:left="633" w:right="173" w:hanging="480"/>
        <w:jc w:val="left"/>
        <w:rPr>
          <w:rFonts w:ascii="宋体" w:hAnsi="宋体" w:cs="宋体" w:eastAsia="宋体" w:hint="default"/>
          <w:sz w:val="24"/>
          <w:szCs w:val="24"/>
        </w:rPr>
      </w:pPr>
      <w:bookmarkStart w:name="（2）与收益相关的政府补助判断依据及会计处理方法" w:id="162"/>
      <w:bookmarkEnd w:id="162"/>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）与收益相关的政府补助判断依据及会计处理方法</w:t>
      </w:r>
      <w:r>
        <w:rPr>
          <w:rFonts w:ascii="宋体" w:hAnsi="宋体" w:cs="宋体" w:eastAsia="宋体" w:hint="default"/>
          <w:b/>
          <w:bCs/>
          <w:w w:val="99"/>
          <w:sz w:val="24"/>
          <w:szCs w:val="24"/>
        </w:rPr>
        <w:t> </w:t>
      </w:r>
      <w:r>
        <w:rPr>
          <w:rFonts w:ascii="宋体" w:hAnsi="宋体" w:cs="宋体" w:eastAsia="宋体" w:hint="default"/>
          <w:sz w:val="24"/>
          <w:szCs w:val="24"/>
        </w:rPr>
        <w:t>与收益相关的政府补助，是指除与资产相关的政府补助之外的政府补助；与收益相关的</w:t>
      </w:r>
    </w:p>
    <w:p>
      <w:pPr>
        <w:pStyle w:val="BodyText"/>
        <w:spacing w:line="240" w:lineRule="auto" w:before="155"/>
        <w:ind w:right="0"/>
        <w:jc w:val="left"/>
      </w:pPr>
      <w:r>
        <w:rPr/>
        <w:t>政府补助，本公司根据合同或相关补助文件，在受益期间内确认为当期营业外收入。</w:t>
      </w:r>
    </w:p>
    <w:p>
      <w:pPr>
        <w:spacing w:line="670" w:lineRule="atLeast" w:before="37"/>
        <w:ind w:left="633" w:right="293" w:hanging="480"/>
        <w:jc w:val="left"/>
        <w:rPr>
          <w:rFonts w:ascii="宋体" w:hAnsi="宋体" w:cs="宋体" w:eastAsia="宋体" w:hint="default"/>
          <w:sz w:val="24"/>
          <w:szCs w:val="24"/>
        </w:rPr>
      </w:pPr>
      <w:bookmarkStart w:name="30、递延所得税资产/递延所得税负债" w:id="163"/>
      <w:bookmarkEnd w:id="163"/>
      <w:r>
        <w:rPr/>
      </w:r>
      <w:r>
        <w:rPr>
          <w:rFonts w:ascii="Times New Roman" w:hAnsi="Times New Roman" w:cs="Times New Roman" w:eastAsia="Times New Roman" w:hint="default"/>
          <w:b/>
          <w:bCs/>
          <w:sz w:val="24"/>
          <w:szCs w:val="24"/>
        </w:rPr>
        <w:t>30</w:t>
      </w:r>
      <w:r>
        <w:rPr>
          <w:rFonts w:ascii="宋体" w:hAnsi="宋体" w:cs="宋体" w:eastAsia="宋体" w:hint="default"/>
          <w:b/>
          <w:bCs/>
          <w:sz w:val="24"/>
          <w:szCs w:val="24"/>
        </w:rPr>
        <w:t>、递延所得税资产</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递延所得税负债</w:t>
      </w:r>
      <w:r>
        <w:rPr>
          <w:rFonts w:ascii="宋体" w:hAnsi="宋体" w:cs="宋体" w:eastAsia="宋体" w:hint="default"/>
          <w:b/>
          <w:bCs/>
          <w:w w:val="99"/>
          <w:sz w:val="24"/>
          <w:szCs w:val="24"/>
        </w:rPr>
        <w:t> </w:t>
      </w:r>
      <w:r>
        <w:rPr>
          <w:rFonts w:ascii="宋体" w:hAnsi="宋体" w:cs="宋体" w:eastAsia="宋体" w:hint="default"/>
          <w:sz w:val="24"/>
          <w:szCs w:val="24"/>
        </w:rPr>
        <w:t>递延所得税资产和递延所得税负债根据资产和负债的计税基础与其账面价值的差额</w:t>
      </w:r>
      <w:r>
        <w:rPr>
          <w:rFonts w:ascii="宋体" w:hAnsi="宋体" w:cs="宋体" w:eastAsia="宋体" w:hint="default"/>
          <w:sz w:val="24"/>
          <w:szCs w:val="24"/>
        </w:rPr>
        <w:t>(</w:t>
      </w:r>
      <w:r>
        <w:rPr>
          <w:rFonts w:ascii="宋体" w:hAnsi="宋体" w:cs="宋体" w:eastAsia="宋体" w:hint="default"/>
          <w:sz w:val="24"/>
          <w:szCs w:val="24"/>
        </w:rPr>
        <w:t>暂</w:t>
      </w:r>
    </w:p>
    <w:p>
      <w:pPr>
        <w:pStyle w:val="BodyText"/>
        <w:spacing w:line="357" w:lineRule="auto" w:before="154"/>
        <w:ind w:right="173"/>
        <w:jc w:val="left"/>
      </w:pPr>
      <w:r>
        <w:rPr/>
        <w:t>时性差异</w:t>
      </w:r>
      <w:r>
        <w:rPr>
          <w:rFonts w:ascii="宋体" w:hAnsi="宋体" w:cs="宋体" w:eastAsia="宋体" w:hint="default"/>
        </w:rPr>
        <w:t>)</w:t>
      </w:r>
      <w:r>
        <w:rPr/>
        <w:t>计算确认。对于按照税法规定能够于以后年度抵减应纳税所得额的可抵扣亏损和 税款抵减，视同暂时性差异确认相应的递延所得税资产。于资产负债表日，递延所得税资产 和递延所得税负债，按照预期收回该资产或清偿该负债期间的适用税率计量。</w:t>
      </w:r>
    </w:p>
    <w:p>
      <w:pPr>
        <w:pStyle w:val="BodyText"/>
        <w:spacing w:line="357" w:lineRule="auto" w:before="76"/>
        <w:ind w:right="189" w:firstLine="480"/>
        <w:jc w:val="both"/>
      </w:pPr>
      <w:r>
        <w:rPr/>
        <w:t>本公司以很可能取得用来抵扣可抵扣暂时性差异的应纳税所得额为限，确认由可抵扣暂 时性差异产生的递延所得税资产。对已确认的递延所得税资产，当预计到未来期间很可能无 法获得足够的应纳税所得额用以抵扣递延所得税资产时，应当减记递延所得税资产的账面价 值。在很可能获得足够的应纳税所得额时，减记的金额予以转回。</w:t>
      </w:r>
    </w:p>
    <w:p>
      <w:pPr>
        <w:spacing w:after="0" w:line="357" w:lineRule="auto"/>
        <w:jc w:val="both"/>
        <w:sectPr>
          <w:pgSz w:w="11910" w:h="16840"/>
          <w:pgMar w:header="877" w:footer="979" w:top="1100" w:bottom="1160" w:left="980" w:right="980"/>
        </w:sectPr>
      </w:pPr>
    </w:p>
    <w:p>
      <w:pPr>
        <w:spacing w:line="240" w:lineRule="auto" w:before="8"/>
        <w:rPr>
          <w:rFonts w:ascii="宋体" w:hAnsi="宋体" w:cs="宋体" w:eastAsia="宋体" w:hint="default"/>
          <w:sz w:val="19"/>
          <w:szCs w:val="19"/>
        </w:rPr>
      </w:pPr>
    </w:p>
    <w:p>
      <w:pPr>
        <w:spacing w:before="26"/>
        <w:ind w:left="154" w:right="0" w:firstLine="0"/>
        <w:jc w:val="left"/>
        <w:rPr>
          <w:rFonts w:ascii="宋体" w:hAnsi="宋体" w:cs="宋体" w:eastAsia="宋体" w:hint="default"/>
          <w:sz w:val="24"/>
          <w:szCs w:val="24"/>
        </w:rPr>
      </w:pPr>
      <w:bookmarkStart w:name="31、租赁" w:id="164"/>
      <w:bookmarkEnd w:id="164"/>
      <w:r>
        <w:rPr/>
      </w:r>
      <w:r>
        <w:rPr>
          <w:rFonts w:ascii="Times New Roman" w:hAnsi="Times New Roman" w:cs="Times New Roman" w:eastAsia="Times New Roman" w:hint="default"/>
          <w:b/>
          <w:bCs/>
          <w:sz w:val="24"/>
          <w:szCs w:val="24"/>
        </w:rPr>
        <w:t>31</w:t>
      </w:r>
      <w:r>
        <w:rPr>
          <w:rFonts w:ascii="宋体" w:hAnsi="宋体" w:cs="宋体" w:eastAsia="宋体" w:hint="default"/>
          <w:b/>
          <w:bCs/>
          <w:sz w:val="24"/>
          <w:szCs w:val="24"/>
        </w:rPr>
        <w:t>、租赁</w:t>
      </w:r>
      <w:r>
        <w:rPr>
          <w:rFonts w:ascii="宋体" w:hAnsi="宋体" w:cs="宋体" w:eastAsia="宋体" w:hint="default"/>
          <w:sz w:val="24"/>
          <w:szCs w:val="24"/>
        </w:rPr>
      </w:r>
    </w:p>
    <w:p>
      <w:pPr>
        <w:spacing w:line="240" w:lineRule="auto" w:before="7"/>
        <w:rPr>
          <w:rFonts w:ascii="宋体" w:hAnsi="宋体" w:cs="宋体" w:eastAsia="宋体" w:hint="default"/>
          <w:b/>
          <w:bCs/>
          <w:sz w:val="21"/>
          <w:szCs w:val="21"/>
        </w:rPr>
      </w:pPr>
    </w:p>
    <w:p>
      <w:pPr>
        <w:spacing w:line="499" w:lineRule="auto" w:before="0"/>
        <w:ind w:left="633" w:right="6413" w:hanging="480"/>
        <w:jc w:val="left"/>
        <w:rPr>
          <w:rFonts w:ascii="宋体" w:hAnsi="宋体" w:cs="宋体" w:eastAsia="宋体" w:hint="default"/>
          <w:sz w:val="24"/>
          <w:szCs w:val="24"/>
        </w:rPr>
      </w:pPr>
      <w:bookmarkStart w:name="（1）经营租赁的会计处理方法" w:id="165"/>
      <w:bookmarkEnd w:id="165"/>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）经营租赁的会计处理方法</w:t>
      </w:r>
      <w:r>
        <w:rPr>
          <w:rFonts w:ascii="宋体" w:hAnsi="宋体" w:cs="宋体" w:eastAsia="宋体" w:hint="default"/>
          <w:b/>
          <w:bCs/>
          <w:w w:val="99"/>
          <w:sz w:val="24"/>
          <w:szCs w:val="24"/>
        </w:rPr>
        <w:t> </w:t>
      </w:r>
      <w:r>
        <w:rPr>
          <w:rFonts w:ascii="宋体" w:hAnsi="宋体" w:cs="宋体" w:eastAsia="宋体" w:hint="default"/>
          <w:sz w:val="24"/>
          <w:szCs w:val="24"/>
        </w:rPr>
        <w:t>本公司无经营性租赁业务。</w:t>
      </w:r>
    </w:p>
    <w:p>
      <w:pPr>
        <w:spacing w:line="499" w:lineRule="auto" w:before="115"/>
        <w:ind w:left="633" w:right="5692" w:hanging="480"/>
        <w:jc w:val="left"/>
        <w:rPr>
          <w:rFonts w:ascii="宋体" w:hAnsi="宋体" w:cs="宋体" w:eastAsia="宋体" w:hint="default"/>
          <w:sz w:val="24"/>
          <w:szCs w:val="24"/>
        </w:rPr>
      </w:pPr>
      <w:bookmarkStart w:name="（2）融资租赁的会计处理方法" w:id="166"/>
      <w:bookmarkEnd w:id="166"/>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2</w:t>
      </w:r>
      <w:r>
        <w:rPr>
          <w:rFonts w:ascii="宋体" w:hAnsi="宋体" w:cs="宋体" w:eastAsia="宋体" w:hint="default"/>
          <w:b/>
          <w:bCs/>
          <w:w w:val="95"/>
          <w:sz w:val="24"/>
          <w:szCs w:val="24"/>
        </w:rPr>
        <w:t>）融资租赁的会计处理方法</w:t>
      </w:r>
      <w:r>
        <w:rPr>
          <w:rFonts w:ascii="宋体" w:hAnsi="宋体" w:cs="宋体" w:eastAsia="宋体" w:hint="default"/>
          <w:b/>
          <w:bCs/>
          <w:spacing w:val="36"/>
          <w:w w:val="95"/>
          <w:sz w:val="24"/>
          <w:szCs w:val="24"/>
        </w:rPr>
        <w:t> </w:t>
      </w:r>
      <w:r>
        <w:rPr>
          <w:rFonts w:ascii="宋体" w:hAnsi="宋体" w:cs="宋体" w:eastAsia="宋体" w:hint="default"/>
          <w:sz w:val="24"/>
          <w:szCs w:val="24"/>
        </w:rPr>
        <w:t>本公司无融资租赁业务。</w:t>
      </w:r>
    </w:p>
    <w:p>
      <w:pPr>
        <w:spacing w:before="116"/>
        <w:ind w:left="153" w:right="0" w:firstLine="0"/>
        <w:jc w:val="left"/>
        <w:rPr>
          <w:rFonts w:ascii="宋体" w:hAnsi="宋体" w:cs="宋体" w:eastAsia="宋体" w:hint="default"/>
          <w:sz w:val="24"/>
          <w:szCs w:val="24"/>
        </w:rPr>
      </w:pPr>
      <w:bookmarkStart w:name="32、其他重要的会计政策和会计估计" w:id="167"/>
      <w:bookmarkEnd w:id="167"/>
      <w:r>
        <w:rPr/>
      </w:r>
      <w:r>
        <w:rPr>
          <w:rFonts w:ascii="Times New Roman" w:hAnsi="Times New Roman" w:cs="Times New Roman" w:eastAsia="Times New Roman" w:hint="default"/>
          <w:b/>
          <w:bCs/>
          <w:sz w:val="24"/>
          <w:szCs w:val="24"/>
        </w:rPr>
        <w:t>32</w:t>
      </w:r>
      <w:r>
        <w:rPr>
          <w:rFonts w:ascii="宋体" w:hAnsi="宋体" w:cs="宋体" w:eastAsia="宋体" w:hint="default"/>
          <w:b/>
          <w:bCs/>
          <w:sz w:val="24"/>
          <w:szCs w:val="24"/>
        </w:rPr>
        <w:t>、其他重要的会计政策和会计估计</w:t>
      </w:r>
      <w:r>
        <w:rPr>
          <w:rFonts w:ascii="宋体" w:hAnsi="宋体" w:cs="宋体" w:eastAsia="宋体" w:hint="default"/>
          <w:sz w:val="24"/>
          <w:szCs w:val="24"/>
        </w:rPr>
      </w:r>
    </w:p>
    <w:p>
      <w:pPr>
        <w:spacing w:line="240" w:lineRule="auto" w:before="4"/>
        <w:rPr>
          <w:rFonts w:ascii="宋体" w:hAnsi="宋体" w:cs="宋体" w:eastAsia="宋体" w:hint="default"/>
          <w:b/>
          <w:bCs/>
          <w:sz w:val="27"/>
          <w:szCs w:val="27"/>
        </w:rPr>
      </w:pPr>
    </w:p>
    <w:p>
      <w:pPr>
        <w:pStyle w:val="BodyText"/>
        <w:spacing w:line="357" w:lineRule="auto" w:before="0"/>
        <w:ind w:right="190" w:firstLine="480"/>
        <w:jc w:val="both"/>
      </w:pPr>
      <w:r>
        <w:rPr/>
        <w:t>编制财务报表时，本公司管理层需要运用估计和假设，这些估计和假设会对会计政策的 应用及资产、负债、收入及费用的金额产生影响。实际情况可能与这些估计不同。本公司管 理层对估计涉及的关键假设和不确定性因素的判断进行持续评估。会计估计变更的影响在变 更当期和未来期间予以确认。</w:t>
      </w:r>
    </w:p>
    <w:p>
      <w:pPr>
        <w:pStyle w:val="BodyText"/>
        <w:spacing w:line="357" w:lineRule="auto" w:before="76"/>
        <w:ind w:right="190" w:firstLine="480"/>
        <w:jc w:val="both"/>
      </w:pPr>
      <w:r>
        <w:rPr/>
        <w:t>下列会计估计及关键假设存在导致未来期间的资产及负债账面值发生重大调整的重要风 险。</w:t>
      </w:r>
    </w:p>
    <w:p>
      <w:pPr>
        <w:spacing w:line="364" w:lineRule="auto" w:before="76"/>
        <w:ind w:left="633" w:right="17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）应收款项减值</w:t>
      </w:r>
      <w:r>
        <w:rPr>
          <w:rFonts w:ascii="宋体" w:hAnsi="宋体" w:cs="宋体" w:eastAsia="宋体" w:hint="default"/>
          <w:b/>
          <w:bCs/>
          <w:w w:val="99"/>
          <w:sz w:val="24"/>
          <w:szCs w:val="24"/>
        </w:rPr>
        <w:t> </w:t>
      </w:r>
      <w:r>
        <w:rPr>
          <w:rFonts w:ascii="宋体" w:hAnsi="宋体" w:cs="宋体" w:eastAsia="宋体" w:hint="default"/>
          <w:sz w:val="24"/>
          <w:szCs w:val="24"/>
        </w:rPr>
        <w:t>本公司在资产负债表日按摊余成本计量的应收款項，以评估是否出现减值情況，并在出</w:t>
      </w:r>
    </w:p>
    <w:p>
      <w:pPr>
        <w:pStyle w:val="BodyText"/>
        <w:spacing w:line="357" w:lineRule="auto" w:before="29"/>
        <w:ind w:right="190"/>
        <w:jc w:val="both"/>
      </w:pPr>
      <w:r>
        <w:rPr/>
        <w:t>现减值情況时评估减值损失的具体金额。减值的客观证据包括显示个别或组合应收款项预计 未来现金流量出现大幅下降的可判断数据，显示个别或组合应收款项中债务人的财务状况出 现重大负面的可判断数据等事項。如果有证据表明该应收款项价值已恢复，且客观上与确认 该损失后发生的事项有关，则将原确认的减值损失予以转回。</w:t>
      </w:r>
    </w:p>
    <w:p>
      <w:pPr>
        <w:spacing w:line="386" w:lineRule="auto" w:before="77"/>
        <w:ind w:left="633" w:right="173"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商誉减值准备的会计估计</w:t>
      </w:r>
      <w:r>
        <w:rPr>
          <w:rFonts w:ascii="宋体" w:hAnsi="宋体" w:cs="宋体" w:eastAsia="宋体" w:hint="default"/>
          <w:b/>
          <w:bCs/>
          <w:w w:val="99"/>
          <w:sz w:val="24"/>
          <w:szCs w:val="24"/>
        </w:rPr>
        <w:t> </w:t>
      </w:r>
      <w:r>
        <w:rPr>
          <w:rFonts w:ascii="宋体" w:hAnsi="宋体" w:cs="宋体" w:eastAsia="宋体" w:hint="default"/>
          <w:sz w:val="24"/>
          <w:szCs w:val="24"/>
        </w:rPr>
        <w:t>本公司每年对商誉进行减值测试。包含商誉的资产组和资产组组合的可收回金额为其预</w:t>
      </w:r>
    </w:p>
    <w:p>
      <w:pPr>
        <w:pStyle w:val="BodyText"/>
        <w:spacing w:line="386" w:lineRule="auto" w:before="8"/>
        <w:ind w:left="634" w:right="172" w:hanging="480"/>
        <w:jc w:val="left"/>
      </w:pPr>
      <w:r>
        <w:rPr/>
        <w:t>计未来现金流量的现值，其计算需要采用会计估计。 如果管理层对资产组和资产组组合未来现金流量计算中采用的毛利率进行修订，修订后</w:t>
      </w:r>
    </w:p>
    <w:p>
      <w:pPr>
        <w:pStyle w:val="BodyText"/>
        <w:spacing w:line="388" w:lineRule="auto" w:before="8"/>
        <w:ind w:left="633" w:right="173" w:hanging="480"/>
        <w:jc w:val="left"/>
      </w:pPr>
      <w:r>
        <w:rPr/>
        <w:t>的毛利率低于目前采用的毛利率，本公司需对商誉增加计提减值准备。 如果管理层对应用于现金流量折现的税前折现率进行重新修订，修订后的税前折率高于</w:t>
      </w:r>
    </w:p>
    <w:p>
      <w:pPr>
        <w:pStyle w:val="BodyText"/>
        <w:spacing w:line="386" w:lineRule="auto" w:before="6"/>
        <w:ind w:left="633" w:right="173" w:hanging="480"/>
        <w:jc w:val="left"/>
      </w:pPr>
      <w:r>
        <w:rPr/>
        <w:t>目前采用的折现率，本公司需对商誉增加计提减值准备。 如果实际毛利率或税前折现率高于或低于管理层的估计，本公司不能转回原已计提的商</w:t>
      </w:r>
    </w:p>
    <w:p>
      <w:pPr>
        <w:spacing w:after="0" w:line="386" w:lineRule="auto"/>
        <w:jc w:val="left"/>
        <w:sectPr>
          <w:pgSz w:w="11910" w:h="16840"/>
          <w:pgMar w:header="877" w:footer="979" w:top="1100" w:bottom="1160" w:left="980" w:right="980"/>
        </w:sectPr>
      </w:pPr>
    </w:p>
    <w:p>
      <w:pPr>
        <w:spacing w:line="240" w:lineRule="auto" w:before="9"/>
        <w:rPr>
          <w:rFonts w:ascii="宋体" w:hAnsi="宋体" w:cs="宋体" w:eastAsia="宋体" w:hint="default"/>
          <w:sz w:val="25"/>
          <w:szCs w:val="25"/>
        </w:rPr>
      </w:pPr>
    </w:p>
    <w:p>
      <w:pPr>
        <w:pStyle w:val="BodyText"/>
        <w:spacing w:line="240" w:lineRule="auto"/>
        <w:ind w:left="154" w:right="0"/>
        <w:jc w:val="both"/>
      </w:pPr>
      <w:r>
        <w:rPr/>
        <w:t>誉减值损失。</w:t>
      </w:r>
    </w:p>
    <w:p>
      <w:pPr>
        <w:spacing w:line="388" w:lineRule="auto" w:before="193"/>
        <w:ind w:left="634" w:right="172"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递延所得税资产确认的会计估计</w:t>
      </w:r>
      <w:r>
        <w:rPr>
          <w:rFonts w:ascii="宋体" w:hAnsi="宋体" w:cs="宋体" w:eastAsia="宋体" w:hint="default"/>
          <w:b/>
          <w:bCs/>
          <w:w w:val="99"/>
          <w:sz w:val="24"/>
          <w:szCs w:val="24"/>
        </w:rPr>
        <w:t> </w:t>
      </w:r>
      <w:r>
        <w:rPr>
          <w:rFonts w:ascii="宋体" w:hAnsi="宋体" w:cs="宋体" w:eastAsia="宋体" w:hint="default"/>
          <w:sz w:val="24"/>
          <w:szCs w:val="24"/>
        </w:rPr>
        <w:t>递延所得税资产的估计需要对未来各个年度的应纳税所得额及适用的税率进行估计，递</w:t>
      </w:r>
    </w:p>
    <w:p>
      <w:pPr>
        <w:pStyle w:val="BodyText"/>
        <w:spacing w:line="357" w:lineRule="auto" w:before="5"/>
        <w:ind w:left="154" w:right="190"/>
        <w:jc w:val="both"/>
      </w:pPr>
      <w:r>
        <w:rPr/>
        <w:t>延所得税资产的实现取决于公司未来是否很可能获得足够的应纳税所得额。未来税率的变化 和暂时性差异的转回时间也可能影响所得税费用（收益）以及递延所得税的余额。上述估计 的变化可能导致对递延所得税的重要调整。</w:t>
      </w:r>
    </w:p>
    <w:p>
      <w:pPr>
        <w:spacing w:line="386" w:lineRule="auto" w:before="76"/>
        <w:ind w:left="634" w:right="172" w:firstLine="2"/>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固定资产、无形资产的可使用年限</w:t>
      </w:r>
      <w:r>
        <w:rPr>
          <w:rFonts w:ascii="宋体" w:hAnsi="宋体" w:cs="宋体" w:eastAsia="宋体" w:hint="default"/>
          <w:b/>
          <w:bCs/>
          <w:w w:val="99"/>
          <w:sz w:val="24"/>
          <w:szCs w:val="24"/>
        </w:rPr>
        <w:t> </w:t>
      </w:r>
      <w:r>
        <w:rPr>
          <w:rFonts w:ascii="宋体" w:hAnsi="宋体" w:cs="宋体" w:eastAsia="宋体" w:hint="default"/>
          <w:sz w:val="24"/>
          <w:szCs w:val="24"/>
        </w:rPr>
        <w:t>本公司至少于每年年度终了，对固定资产和无形资产的预计使用寿命进行复核。预计使</w:t>
      </w:r>
    </w:p>
    <w:p>
      <w:pPr>
        <w:pStyle w:val="BodyText"/>
        <w:spacing w:line="357" w:lineRule="auto" w:before="7"/>
        <w:ind w:right="190"/>
        <w:jc w:val="both"/>
      </w:pPr>
      <w:r>
        <w:rPr/>
        <w:t>用寿命是管理层基于同类资产历史经验、参考同行业普遍所应用的估计并结合预期技术更新 而决定的。当以往的估计发生重大变化时，则相应调整未来期间的折旧费用和摊销费用。</w:t>
      </w:r>
    </w:p>
    <w:p>
      <w:pPr>
        <w:spacing w:line="240" w:lineRule="auto" w:before="10"/>
        <w:rPr>
          <w:rFonts w:ascii="宋体" w:hAnsi="宋体" w:cs="宋体" w:eastAsia="宋体" w:hint="default"/>
          <w:sz w:val="19"/>
          <w:szCs w:val="19"/>
        </w:rPr>
      </w:pPr>
    </w:p>
    <w:p>
      <w:pPr>
        <w:spacing w:before="0"/>
        <w:ind w:left="153" w:right="0" w:firstLine="0"/>
        <w:jc w:val="both"/>
        <w:rPr>
          <w:rFonts w:ascii="宋体" w:hAnsi="宋体" w:cs="宋体" w:eastAsia="宋体" w:hint="default"/>
          <w:sz w:val="24"/>
          <w:szCs w:val="24"/>
        </w:rPr>
      </w:pPr>
      <w:bookmarkStart w:name="33、重要会计政策和会计估计变更" w:id="168"/>
      <w:bookmarkEnd w:id="168"/>
      <w:r>
        <w:rPr/>
      </w:r>
      <w:r>
        <w:rPr>
          <w:rFonts w:ascii="Times New Roman" w:hAnsi="Times New Roman" w:cs="Times New Roman" w:eastAsia="Times New Roman" w:hint="default"/>
          <w:b/>
          <w:bCs/>
          <w:sz w:val="24"/>
          <w:szCs w:val="24"/>
        </w:rPr>
        <w:t>33</w:t>
      </w:r>
      <w:r>
        <w:rPr>
          <w:rFonts w:ascii="宋体" w:hAnsi="宋体" w:cs="宋体" w:eastAsia="宋体" w:hint="default"/>
          <w:b/>
          <w:bCs/>
          <w:sz w:val="24"/>
          <w:szCs w:val="24"/>
        </w:rPr>
        <w:t>、重要会计政策和会计估计变更</w:t>
      </w:r>
      <w:r>
        <w:rPr>
          <w:rFonts w:ascii="宋体" w:hAnsi="宋体" w:cs="宋体" w:eastAsia="宋体" w:hint="default"/>
          <w:sz w:val="24"/>
          <w:szCs w:val="24"/>
        </w:rPr>
      </w:r>
    </w:p>
    <w:p>
      <w:pPr>
        <w:spacing w:line="240" w:lineRule="auto" w:before="6"/>
        <w:rPr>
          <w:rFonts w:ascii="宋体" w:hAnsi="宋体" w:cs="宋体" w:eastAsia="宋体" w:hint="default"/>
          <w:b/>
          <w:bCs/>
          <w:sz w:val="21"/>
          <w:szCs w:val="21"/>
        </w:rPr>
      </w:pPr>
    </w:p>
    <w:p>
      <w:pPr>
        <w:spacing w:before="0"/>
        <w:ind w:left="153" w:right="0" w:firstLine="0"/>
        <w:jc w:val="both"/>
        <w:rPr>
          <w:rFonts w:ascii="宋体" w:hAnsi="宋体" w:cs="宋体" w:eastAsia="宋体" w:hint="default"/>
          <w:sz w:val="24"/>
          <w:szCs w:val="24"/>
        </w:rPr>
      </w:pPr>
      <w:bookmarkStart w:name="（1）重要会计政策变更" w:id="169"/>
      <w:bookmarkEnd w:id="169"/>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）重要会计政策变更</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pStyle w:val="BodyText"/>
        <w:tabs>
          <w:tab w:pos="1834" w:val="left" w:leader="none"/>
        </w:tabs>
        <w:spacing w:line="240" w:lineRule="auto" w:before="0"/>
        <w:ind w:left="633" w:right="0"/>
        <w:jc w:val="left"/>
      </w:pPr>
      <w:r>
        <w:rPr>
          <w:rFonts w:ascii="Calibri" w:hAnsi="Calibri" w:cs="Calibri" w:eastAsia="Calibri" w:hint="default"/>
        </w:rPr>
        <w:t>√  </w:t>
      </w:r>
      <w:r>
        <w:rPr/>
        <w:t>适用</w:t>
      </w:r>
      <w:r>
        <w:rPr>
          <w:spacing w:val="11"/>
        </w:rPr>
        <w:t> </w:t>
      </w:r>
      <w:r>
        <w:rPr>
          <w:rFonts w:ascii="Arial" w:hAnsi="Arial" w:cs="Arial" w:eastAsia="Arial" w:hint="default"/>
        </w:rPr>
        <w:t>□</w:t>
        <w:tab/>
      </w:r>
      <w:r>
        <w:rPr/>
        <w:t>不适用</w:t>
      </w:r>
    </w:p>
    <w:p>
      <w:pPr>
        <w:spacing w:line="240" w:lineRule="auto" w:before="5"/>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26" w:right="0"/>
              <w:jc w:val="left"/>
              <w:rPr>
                <w:rFonts w:ascii="宋体" w:hAnsi="宋体" w:cs="宋体" w:eastAsia="宋体" w:hint="default"/>
                <w:sz w:val="21"/>
                <w:szCs w:val="21"/>
              </w:rPr>
            </w:pPr>
            <w:r>
              <w:rPr>
                <w:rFonts w:ascii="宋体" w:hAnsi="宋体" w:cs="宋体" w:eastAsia="宋体" w:hint="default"/>
                <w:b/>
                <w:bCs/>
                <w:sz w:val="21"/>
                <w:szCs w:val="21"/>
              </w:rPr>
              <w:t>会计政策变更的内容和原因</w:t>
            </w:r>
            <w:r>
              <w:rPr>
                <w:rFonts w:ascii="宋体" w:hAnsi="宋体" w:cs="宋体" w:eastAsia="宋体" w:hint="default"/>
                <w:sz w:val="21"/>
                <w:szCs w:val="21"/>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审批程序</w:t>
            </w:r>
            <w:r>
              <w:rPr>
                <w:rFonts w:ascii="宋体" w:hAnsi="宋体" w:cs="宋体" w:eastAsia="宋体" w:hint="default"/>
                <w:sz w:val="21"/>
                <w:szCs w:val="21"/>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146"/>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长期股权 投资（</w:t>
            </w:r>
            <w:r>
              <w:rPr>
                <w:rFonts w:ascii="Times New Roman" w:hAnsi="Times New Roman" w:cs="Times New Roman" w:eastAsia="Times New Roman" w:hint="default"/>
                <w:sz w:val="21"/>
                <w:szCs w:val="21"/>
              </w:rPr>
              <w:t>2014 </w:t>
            </w:r>
            <w:r>
              <w:rPr>
                <w:rFonts w:ascii="宋体" w:hAnsi="宋体" w:cs="宋体" w:eastAsia="宋体" w:hint="default"/>
                <w:spacing w:val="-21"/>
                <w:sz w:val="21"/>
                <w:szCs w:val="21"/>
              </w:rPr>
              <w:t>年修订）》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222"/>
              <w:jc w:val="left"/>
              <w:rPr>
                <w:rFonts w:ascii="宋体" w:hAnsi="宋体" w:cs="宋体" w:eastAsia="宋体" w:hint="default"/>
                <w:sz w:val="21"/>
                <w:szCs w:val="21"/>
              </w:rPr>
            </w:pPr>
            <w:r>
              <w:rPr>
                <w:rFonts w:ascii="宋体" w:hAnsi="宋体" w:cs="宋体" w:eastAsia="宋体" w:hint="default"/>
                <w:sz w:val="21"/>
                <w:szCs w:val="21"/>
              </w:rPr>
              <w:t>经本公司第二届董事会第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次 会议批准</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无影响</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职工薪酬</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修</w:t>
            </w:r>
            <w:r>
              <w:rPr>
                <w:rFonts w:ascii="宋体" w:hAnsi="宋体" w:cs="宋体" w:eastAsia="宋体" w:hint="default"/>
                <w:sz w:val="21"/>
                <w:szCs w:val="21"/>
              </w:rPr>
              <w:t>订</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222"/>
              <w:jc w:val="left"/>
              <w:rPr>
                <w:rFonts w:ascii="宋体" w:hAnsi="宋体" w:cs="宋体" w:eastAsia="宋体" w:hint="default"/>
                <w:sz w:val="21"/>
                <w:szCs w:val="21"/>
              </w:rPr>
            </w:pPr>
            <w:r>
              <w:rPr>
                <w:rFonts w:ascii="宋体" w:hAnsi="宋体" w:cs="宋体" w:eastAsia="宋体" w:hint="default"/>
                <w:sz w:val="21"/>
                <w:szCs w:val="21"/>
              </w:rPr>
              <w:t>经本公司第二届董事会第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次 会议批准</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无影响</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182"/>
              <w:ind w:left="22" w:right="41"/>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财务报表 列报（</w:t>
            </w:r>
            <w:r>
              <w:rPr>
                <w:rFonts w:ascii="Times New Roman" w:hAnsi="Times New Roman" w:cs="Times New Roman" w:eastAsia="Times New Roman" w:hint="default"/>
                <w:sz w:val="21"/>
                <w:szCs w:val="21"/>
              </w:rPr>
              <w:t>2014 </w:t>
            </w:r>
            <w:r>
              <w:rPr>
                <w:rFonts w:ascii="宋体" w:hAnsi="宋体" w:cs="宋体" w:eastAsia="宋体" w:hint="default"/>
                <w:spacing w:val="-21"/>
                <w:sz w:val="21"/>
                <w:szCs w:val="21"/>
              </w:rPr>
              <w:t>年修订）》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56" w:lineRule="auto"/>
              <w:ind w:left="22" w:right="222"/>
              <w:jc w:val="left"/>
              <w:rPr>
                <w:rFonts w:ascii="宋体" w:hAnsi="宋体" w:cs="宋体" w:eastAsia="宋体" w:hint="default"/>
                <w:sz w:val="21"/>
                <w:szCs w:val="21"/>
              </w:rPr>
            </w:pPr>
            <w:r>
              <w:rPr>
                <w:rFonts w:ascii="宋体" w:hAnsi="宋体" w:cs="宋体" w:eastAsia="宋体" w:hint="default"/>
                <w:sz w:val="21"/>
                <w:szCs w:val="21"/>
              </w:rPr>
              <w:t>经本公司第二届董事会第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次 会议批准</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0"/>
              <w:jc w:val="both"/>
              <w:rPr>
                <w:rFonts w:ascii="宋体" w:hAnsi="宋体" w:cs="宋体" w:eastAsia="宋体" w:hint="default"/>
                <w:sz w:val="21"/>
                <w:szCs w:val="21"/>
              </w:rPr>
            </w:pPr>
            <w:r>
              <w:rPr>
                <w:rFonts w:ascii="宋体" w:hAnsi="宋体" w:cs="宋体" w:eastAsia="宋体" w:hint="default"/>
                <w:spacing w:val="-2"/>
                <w:sz w:val="21"/>
                <w:szCs w:val="21"/>
              </w:rPr>
              <w:t>相关的财务报表项目列报、比较期</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间财务信息已做相应调整，详见下</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表</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41"/>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合并财务 报表（</w:t>
            </w:r>
            <w:r>
              <w:rPr>
                <w:rFonts w:ascii="Times New Roman" w:hAnsi="Times New Roman" w:cs="Times New Roman" w:eastAsia="Times New Roman" w:hint="default"/>
                <w:sz w:val="21"/>
                <w:szCs w:val="21"/>
              </w:rPr>
              <w:t>2014 </w:t>
            </w:r>
            <w:r>
              <w:rPr>
                <w:rFonts w:ascii="宋体" w:hAnsi="宋体" w:cs="宋体" w:eastAsia="宋体" w:hint="default"/>
                <w:spacing w:val="-21"/>
                <w:sz w:val="21"/>
                <w:szCs w:val="21"/>
              </w:rPr>
              <w:t>年修订）》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222"/>
              <w:jc w:val="left"/>
              <w:rPr>
                <w:rFonts w:ascii="宋体" w:hAnsi="宋体" w:cs="宋体" w:eastAsia="宋体" w:hint="default"/>
                <w:sz w:val="21"/>
                <w:szCs w:val="21"/>
              </w:rPr>
            </w:pPr>
            <w:r>
              <w:rPr>
                <w:rFonts w:ascii="宋体" w:hAnsi="宋体" w:cs="宋体" w:eastAsia="宋体" w:hint="default"/>
                <w:sz w:val="21"/>
                <w:szCs w:val="21"/>
              </w:rPr>
              <w:t>经本公司第二届董事会第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次 会议批准</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无影响</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41"/>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金融工具 列报（</w:t>
            </w:r>
            <w:r>
              <w:rPr>
                <w:rFonts w:ascii="Times New Roman" w:hAnsi="Times New Roman" w:cs="Times New Roman" w:eastAsia="Times New Roman" w:hint="default"/>
                <w:sz w:val="21"/>
                <w:szCs w:val="21"/>
              </w:rPr>
              <w:t>2014 </w:t>
            </w:r>
            <w:r>
              <w:rPr>
                <w:rFonts w:ascii="宋体" w:hAnsi="宋体" w:cs="宋体" w:eastAsia="宋体" w:hint="default"/>
                <w:spacing w:val="-21"/>
                <w:sz w:val="21"/>
                <w:szCs w:val="21"/>
              </w:rPr>
              <w:t>年修订）》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222"/>
              <w:jc w:val="left"/>
              <w:rPr>
                <w:rFonts w:ascii="宋体" w:hAnsi="宋体" w:cs="宋体" w:eastAsia="宋体" w:hint="default"/>
                <w:sz w:val="21"/>
                <w:szCs w:val="21"/>
              </w:rPr>
            </w:pPr>
            <w:r>
              <w:rPr>
                <w:rFonts w:ascii="宋体" w:hAnsi="宋体" w:cs="宋体" w:eastAsia="宋体" w:hint="default"/>
                <w:sz w:val="21"/>
                <w:szCs w:val="21"/>
              </w:rPr>
              <w:t>经本公司第二届董事会第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次 会议批准</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无影响</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23"/>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39</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公允价值 </w:t>
            </w:r>
            <w:r>
              <w:rPr>
                <w:rFonts w:ascii="宋体" w:hAnsi="宋体" w:cs="宋体" w:eastAsia="宋体" w:hint="default"/>
                <w:spacing w:val="-14"/>
                <w:sz w:val="21"/>
                <w:szCs w:val="21"/>
              </w:rPr>
              <w:t>计量》（</w:t>
            </w:r>
            <w:r>
              <w:rPr>
                <w:rFonts w:ascii="Times New Roman" w:hAnsi="Times New Roman" w:cs="Times New Roman" w:eastAsia="Times New Roman" w:hint="default"/>
                <w:spacing w:val="-14"/>
                <w:sz w:val="21"/>
                <w:szCs w:val="21"/>
              </w:rPr>
              <w:t>2014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年颁布）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222"/>
              <w:jc w:val="left"/>
              <w:rPr>
                <w:rFonts w:ascii="宋体" w:hAnsi="宋体" w:cs="宋体" w:eastAsia="宋体" w:hint="default"/>
                <w:sz w:val="21"/>
                <w:szCs w:val="21"/>
              </w:rPr>
            </w:pPr>
            <w:r>
              <w:rPr>
                <w:rFonts w:ascii="宋体" w:hAnsi="宋体" w:cs="宋体" w:eastAsia="宋体" w:hint="default"/>
                <w:sz w:val="21"/>
                <w:szCs w:val="21"/>
              </w:rPr>
              <w:t>经本公司第二届董事会第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次 会议批准</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无影响</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251"/>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合营安 </w:t>
            </w:r>
            <w:r>
              <w:rPr>
                <w:rFonts w:ascii="宋体" w:hAnsi="宋体" w:cs="宋体" w:eastAsia="宋体" w:hint="default"/>
                <w:spacing w:val="-15"/>
                <w:sz w:val="21"/>
                <w:szCs w:val="21"/>
              </w:rPr>
              <w:t>排》（</w:t>
            </w:r>
            <w:r>
              <w:rPr>
                <w:rFonts w:ascii="Times New Roman" w:hAnsi="Times New Roman" w:cs="Times New Roman" w:eastAsia="Times New Roman" w:hint="default"/>
                <w:spacing w:val="-15"/>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pacing w:val="-1"/>
                <w:sz w:val="21"/>
                <w:szCs w:val="21"/>
              </w:rPr>
              <w:t>年颁布）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222"/>
              <w:jc w:val="left"/>
              <w:rPr>
                <w:rFonts w:ascii="宋体" w:hAnsi="宋体" w:cs="宋体" w:eastAsia="宋体" w:hint="default"/>
                <w:sz w:val="21"/>
                <w:szCs w:val="21"/>
              </w:rPr>
            </w:pPr>
            <w:r>
              <w:rPr>
                <w:rFonts w:ascii="宋体" w:hAnsi="宋体" w:cs="宋体" w:eastAsia="宋体" w:hint="default"/>
                <w:sz w:val="21"/>
                <w:szCs w:val="21"/>
              </w:rPr>
              <w:t>经本公司第二届董事会第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次 会议批准</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无影响</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41"/>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在其他主 </w:t>
            </w:r>
            <w:r>
              <w:rPr>
                <w:rFonts w:ascii="宋体" w:hAnsi="宋体" w:cs="宋体" w:eastAsia="宋体" w:hint="default"/>
                <w:spacing w:val="-9"/>
                <w:sz w:val="21"/>
                <w:szCs w:val="21"/>
              </w:rPr>
              <w:t>体中权益的披露》（</w:t>
            </w:r>
            <w:r>
              <w:rPr>
                <w:rFonts w:ascii="Times New Roman" w:hAnsi="Times New Roman" w:cs="Times New Roman" w:eastAsia="Times New Roman" w:hint="default"/>
                <w:spacing w:val="-9"/>
                <w:sz w:val="21"/>
                <w:szCs w:val="21"/>
              </w:rPr>
              <w:t>2014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年颁布）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222"/>
              <w:jc w:val="left"/>
              <w:rPr>
                <w:rFonts w:ascii="宋体" w:hAnsi="宋体" w:cs="宋体" w:eastAsia="宋体" w:hint="default"/>
                <w:sz w:val="21"/>
                <w:szCs w:val="21"/>
              </w:rPr>
            </w:pPr>
            <w:r>
              <w:rPr>
                <w:rFonts w:ascii="宋体" w:hAnsi="宋体" w:cs="宋体" w:eastAsia="宋体" w:hint="default"/>
                <w:sz w:val="21"/>
                <w:szCs w:val="21"/>
              </w:rPr>
              <w:t>经本公司第二届董事会第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次 会议批准</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无影响</w:t>
            </w:r>
          </w:p>
        </w:tc>
      </w:tr>
    </w:tbl>
    <w:p>
      <w:pPr>
        <w:pStyle w:val="BodyText"/>
        <w:spacing w:line="240" w:lineRule="auto" w:before="81"/>
        <w:ind w:left="634" w:right="0"/>
        <w:jc w:val="left"/>
      </w:pPr>
      <w:r>
        <w:rPr/>
        <w:t>受重要影响的报表项目名称和金额的说明：</w:t>
      </w:r>
    </w:p>
    <w:p>
      <w:pPr>
        <w:spacing w:after="0" w:line="240" w:lineRule="auto"/>
        <w:jc w:val="left"/>
        <w:sectPr>
          <w:pgSz w:w="11910" w:h="16840"/>
          <w:pgMar w:header="877" w:footer="979" w:top="1100" w:bottom="1160" w:left="980" w:right="980"/>
        </w:sectPr>
      </w:pPr>
    </w:p>
    <w:p>
      <w:pPr>
        <w:spacing w:line="240" w:lineRule="auto" w:before="7"/>
        <w:rPr>
          <w:rFonts w:ascii="宋体" w:hAnsi="宋体" w:cs="宋体" w:eastAsia="宋体" w:hint="default"/>
          <w:sz w:val="19"/>
          <w:szCs w:val="19"/>
        </w:rPr>
      </w:pPr>
    </w:p>
    <w:p>
      <w:pPr>
        <w:pStyle w:val="BodyText"/>
        <w:spacing w:line="240" w:lineRule="auto"/>
        <w:ind w:left="0" w:right="230"/>
        <w:jc w:val="right"/>
        <w:rPr>
          <w:rFonts w:ascii="宋体" w:hAnsi="宋体" w:cs="宋体" w:eastAsia="宋体" w:hint="default"/>
        </w:rPr>
      </w:pPr>
      <w:r>
        <w:rPr>
          <w:rFonts w:ascii="宋体" w:hAnsi="宋体" w:cs="宋体" w:eastAsia="宋体" w:hint="default"/>
        </w:rPr>
        <w:t>单位：元</w:t>
      </w:r>
    </w:p>
    <w:p>
      <w:pPr>
        <w:spacing w:line="240" w:lineRule="auto" w:before="11"/>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149"/>
        <w:gridCol w:w="2506"/>
        <w:gridCol w:w="2234"/>
        <w:gridCol w:w="1967"/>
      </w:tblGrid>
      <w:tr>
        <w:trPr>
          <w:trHeight w:val="322" w:hRule="exact"/>
        </w:trPr>
        <w:tc>
          <w:tcPr>
            <w:tcW w:w="3149"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37" w:right="0"/>
              <w:jc w:val="left"/>
              <w:rPr>
                <w:rFonts w:ascii="宋体" w:hAnsi="宋体" w:cs="宋体" w:eastAsia="宋体" w:hint="default"/>
                <w:sz w:val="21"/>
                <w:szCs w:val="21"/>
              </w:rPr>
            </w:pPr>
            <w:r>
              <w:rPr>
                <w:rFonts w:ascii="宋体" w:hAnsi="宋体" w:cs="宋体" w:eastAsia="宋体" w:hint="default"/>
                <w:b/>
                <w:bCs/>
                <w:sz w:val="21"/>
                <w:szCs w:val="21"/>
              </w:rPr>
              <w:t>受影响的项目</w:t>
            </w:r>
            <w:r>
              <w:rPr>
                <w:rFonts w:ascii="宋体" w:hAnsi="宋体" w:cs="宋体" w:eastAsia="宋体" w:hint="default"/>
                <w:sz w:val="21"/>
                <w:szCs w:val="21"/>
              </w:rPr>
            </w:r>
          </w:p>
        </w:tc>
        <w:tc>
          <w:tcPr>
            <w:tcW w:w="6706"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2013</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416" w:hRule="exact"/>
        </w:trPr>
        <w:tc>
          <w:tcPr>
            <w:tcW w:w="3149" w:type="dxa"/>
            <w:vMerge/>
            <w:tcBorders>
              <w:left w:val="single" w:sz="4" w:space="0" w:color="000000"/>
              <w:bottom w:val="single" w:sz="4" w:space="0" w:color="000000"/>
              <w:right w:val="single" w:sz="4" w:space="0" w:color="000000"/>
            </w:tcBorders>
            <w:shd w:val="clear" w:color="auto" w:fill="BEBEBE"/>
          </w:tcPr>
          <w:p>
            <w:pPr/>
          </w:p>
        </w:tc>
        <w:tc>
          <w:tcPr>
            <w:tcW w:w="250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2"/>
              <w:ind w:right="0"/>
              <w:jc w:val="center"/>
              <w:rPr>
                <w:rFonts w:ascii="宋体" w:hAnsi="宋体" w:cs="宋体" w:eastAsia="宋体" w:hint="default"/>
                <w:sz w:val="21"/>
                <w:szCs w:val="21"/>
              </w:rPr>
            </w:pPr>
            <w:r>
              <w:rPr>
                <w:rFonts w:ascii="宋体" w:hAnsi="宋体" w:cs="宋体" w:eastAsia="宋体" w:hint="default"/>
                <w:b/>
                <w:bCs/>
                <w:sz w:val="21"/>
                <w:szCs w:val="21"/>
              </w:rPr>
              <w:t>调整前</w:t>
            </w:r>
            <w:r>
              <w:rPr>
                <w:rFonts w:ascii="宋体" w:hAnsi="宋体" w:cs="宋体" w:eastAsia="宋体" w:hint="default"/>
                <w:sz w:val="21"/>
                <w:szCs w:val="21"/>
              </w:rPr>
            </w:r>
          </w:p>
        </w:tc>
        <w:tc>
          <w:tcPr>
            <w:tcW w:w="223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2"/>
              <w:ind w:left="690" w:right="0"/>
              <w:jc w:val="left"/>
              <w:rPr>
                <w:rFonts w:ascii="宋体" w:hAnsi="宋体" w:cs="宋体" w:eastAsia="宋体" w:hint="default"/>
                <w:sz w:val="21"/>
                <w:szCs w:val="21"/>
              </w:rPr>
            </w:pPr>
            <w:r>
              <w:rPr>
                <w:rFonts w:ascii="宋体" w:hAnsi="宋体" w:cs="宋体" w:eastAsia="宋体" w:hint="default"/>
                <w:b/>
                <w:bCs/>
                <w:sz w:val="21"/>
                <w:szCs w:val="21"/>
              </w:rPr>
              <w:t>调整金额</w:t>
            </w:r>
            <w:r>
              <w:rPr>
                <w:rFonts w:ascii="宋体" w:hAnsi="宋体" w:cs="宋体" w:eastAsia="宋体" w:hint="default"/>
                <w:sz w:val="21"/>
                <w:szCs w:val="21"/>
              </w:rPr>
            </w:r>
          </w:p>
        </w:tc>
        <w:tc>
          <w:tcPr>
            <w:tcW w:w="196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2"/>
              <w:ind w:right="1"/>
              <w:jc w:val="center"/>
              <w:rPr>
                <w:rFonts w:ascii="宋体" w:hAnsi="宋体" w:cs="宋体" w:eastAsia="宋体" w:hint="default"/>
                <w:sz w:val="21"/>
                <w:szCs w:val="21"/>
              </w:rPr>
            </w:pPr>
            <w:r>
              <w:rPr>
                <w:rFonts w:ascii="宋体" w:hAnsi="宋体" w:cs="宋体" w:eastAsia="宋体" w:hint="default"/>
                <w:b/>
                <w:bCs/>
                <w:sz w:val="21"/>
                <w:szCs w:val="21"/>
              </w:rPr>
              <w:t>调整后</w:t>
            </w:r>
            <w:r>
              <w:rPr>
                <w:rFonts w:ascii="宋体" w:hAnsi="宋体" w:cs="宋体" w:eastAsia="宋体" w:hint="default"/>
                <w:sz w:val="21"/>
                <w:szCs w:val="21"/>
              </w:rPr>
            </w:r>
          </w:p>
        </w:tc>
      </w:tr>
      <w:tr>
        <w:trPr>
          <w:trHeight w:val="322"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320,749,028.41</w:t>
            </w:r>
          </w:p>
        </w:tc>
        <w:tc>
          <w:tcPr>
            <w:tcW w:w="2234"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320,749,028.41</w:t>
            </w:r>
          </w:p>
        </w:tc>
      </w:tr>
      <w:tr>
        <w:trPr>
          <w:trHeight w:val="323"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z w:val="21"/>
              </w:rPr>
              <w:t>56,637,412.66</w:t>
            </w:r>
          </w:p>
        </w:tc>
        <w:tc>
          <w:tcPr>
            <w:tcW w:w="2234"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z w:val="21"/>
              </w:rPr>
              <w:t>56,637,412.66</w:t>
            </w:r>
          </w:p>
        </w:tc>
      </w:tr>
      <w:tr>
        <w:trPr>
          <w:trHeight w:val="322"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其中：递延收益</w:t>
            </w:r>
          </w:p>
        </w:tc>
        <w:tc>
          <w:tcPr>
            <w:tcW w:w="2506" w:type="dxa"/>
            <w:tcBorders>
              <w:top w:val="single" w:sz="4" w:space="0" w:color="000000"/>
              <w:left w:val="single" w:sz="4" w:space="0" w:color="000000"/>
              <w:bottom w:val="single" w:sz="4" w:space="0" w:color="000000"/>
              <w:right w:val="single" w:sz="4" w:space="0" w:color="000000"/>
            </w:tcBorders>
          </w:tcPr>
          <w:p>
            <w:pP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5,122,920.93</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5,122,920.93</w:t>
            </w:r>
          </w:p>
        </w:tc>
      </w:tr>
      <w:tr>
        <w:trPr>
          <w:trHeight w:val="322"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5,122,920.93</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-5,122,920.93</w:t>
            </w:r>
          </w:p>
        </w:tc>
        <w:tc>
          <w:tcPr>
            <w:tcW w:w="19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264,111,615.75</w:t>
            </w:r>
          </w:p>
        </w:tc>
        <w:tc>
          <w:tcPr>
            <w:tcW w:w="2234"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264,111,615.75</w:t>
            </w:r>
          </w:p>
        </w:tc>
      </w:tr>
    </w:tbl>
    <w:p>
      <w:pPr>
        <w:spacing w:line="240" w:lineRule="auto" w:before="5"/>
        <w:rPr>
          <w:rFonts w:ascii="宋体" w:hAnsi="宋体" w:cs="宋体" w:eastAsia="宋体" w:hint="default"/>
          <w:sz w:val="13"/>
          <w:szCs w:val="13"/>
        </w:rPr>
      </w:pPr>
    </w:p>
    <w:p>
      <w:pPr>
        <w:pStyle w:val="BodyText"/>
        <w:spacing w:line="240" w:lineRule="auto"/>
        <w:ind w:left="0" w:right="230"/>
        <w:jc w:val="right"/>
      </w:pPr>
      <w:r>
        <w:rPr/>
        <w:t>单位：元</w:t>
      </w:r>
    </w:p>
    <w:p>
      <w:pPr>
        <w:spacing w:line="240" w:lineRule="auto" w:before="11"/>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149"/>
        <w:gridCol w:w="2506"/>
        <w:gridCol w:w="2234"/>
        <w:gridCol w:w="1967"/>
      </w:tblGrid>
      <w:tr>
        <w:trPr>
          <w:trHeight w:val="322" w:hRule="exact"/>
        </w:trPr>
        <w:tc>
          <w:tcPr>
            <w:tcW w:w="3149"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47"/>
              <w:ind w:left="937" w:right="0"/>
              <w:jc w:val="left"/>
              <w:rPr>
                <w:rFonts w:ascii="宋体" w:hAnsi="宋体" w:cs="宋体" w:eastAsia="宋体" w:hint="default"/>
                <w:sz w:val="21"/>
                <w:szCs w:val="21"/>
              </w:rPr>
            </w:pPr>
            <w:r>
              <w:rPr>
                <w:rFonts w:ascii="宋体" w:hAnsi="宋体" w:cs="宋体" w:eastAsia="宋体" w:hint="default"/>
                <w:b/>
                <w:bCs/>
                <w:sz w:val="21"/>
                <w:szCs w:val="21"/>
              </w:rPr>
              <w:t>受影响的项目</w:t>
            </w:r>
            <w:r>
              <w:rPr>
                <w:rFonts w:ascii="宋体" w:hAnsi="宋体" w:cs="宋体" w:eastAsia="宋体" w:hint="default"/>
                <w:sz w:val="21"/>
                <w:szCs w:val="21"/>
              </w:rPr>
            </w:r>
          </w:p>
        </w:tc>
        <w:tc>
          <w:tcPr>
            <w:tcW w:w="6706"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2013</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322" w:hRule="exact"/>
        </w:trPr>
        <w:tc>
          <w:tcPr>
            <w:tcW w:w="3149" w:type="dxa"/>
            <w:vMerge/>
            <w:tcBorders>
              <w:left w:val="single" w:sz="4" w:space="0" w:color="000000"/>
              <w:bottom w:val="single" w:sz="4" w:space="0" w:color="000000"/>
              <w:right w:val="single" w:sz="4" w:space="0" w:color="000000"/>
            </w:tcBorders>
            <w:shd w:val="clear" w:color="auto" w:fill="BEBEBE"/>
          </w:tcPr>
          <w:p>
            <w:pPr/>
          </w:p>
        </w:tc>
        <w:tc>
          <w:tcPr>
            <w:tcW w:w="250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调整前</w:t>
            </w:r>
            <w:r>
              <w:rPr>
                <w:rFonts w:ascii="宋体" w:hAnsi="宋体" w:cs="宋体" w:eastAsia="宋体" w:hint="default"/>
                <w:sz w:val="21"/>
                <w:szCs w:val="21"/>
              </w:rPr>
            </w:r>
          </w:p>
        </w:tc>
        <w:tc>
          <w:tcPr>
            <w:tcW w:w="223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1" w:lineRule="exact"/>
              <w:ind w:left="690" w:right="0"/>
              <w:jc w:val="left"/>
              <w:rPr>
                <w:rFonts w:ascii="宋体" w:hAnsi="宋体" w:cs="宋体" w:eastAsia="宋体" w:hint="default"/>
                <w:sz w:val="21"/>
                <w:szCs w:val="21"/>
              </w:rPr>
            </w:pPr>
            <w:r>
              <w:rPr>
                <w:rFonts w:ascii="宋体" w:hAnsi="宋体" w:cs="宋体" w:eastAsia="宋体" w:hint="default"/>
                <w:b/>
                <w:bCs/>
                <w:sz w:val="21"/>
                <w:szCs w:val="21"/>
              </w:rPr>
              <w:t>调整金额</w:t>
            </w:r>
            <w:r>
              <w:rPr>
                <w:rFonts w:ascii="宋体" w:hAnsi="宋体" w:cs="宋体" w:eastAsia="宋体" w:hint="default"/>
                <w:sz w:val="21"/>
                <w:szCs w:val="21"/>
              </w:rPr>
            </w:r>
          </w:p>
        </w:tc>
        <w:tc>
          <w:tcPr>
            <w:tcW w:w="196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调整后</w:t>
            </w:r>
            <w:r>
              <w:rPr>
                <w:rFonts w:ascii="宋体" w:hAnsi="宋体" w:cs="宋体" w:eastAsia="宋体" w:hint="default"/>
                <w:sz w:val="21"/>
                <w:szCs w:val="21"/>
              </w:rPr>
            </w:r>
          </w:p>
        </w:tc>
      </w:tr>
      <w:tr>
        <w:trPr>
          <w:trHeight w:val="322"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280,405,845.09</w:t>
            </w:r>
          </w:p>
        </w:tc>
        <w:tc>
          <w:tcPr>
            <w:tcW w:w="2234"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280,405,845.09</w:t>
            </w:r>
          </w:p>
        </w:tc>
      </w:tr>
      <w:tr>
        <w:trPr>
          <w:trHeight w:val="322"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49,846,315.43</w:t>
            </w:r>
          </w:p>
        </w:tc>
        <w:tc>
          <w:tcPr>
            <w:tcW w:w="2234"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49,846,315.43</w:t>
            </w:r>
          </w:p>
        </w:tc>
      </w:tr>
      <w:tr>
        <w:trPr>
          <w:trHeight w:val="323"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其中：递延收益</w:t>
            </w:r>
          </w:p>
        </w:tc>
        <w:tc>
          <w:tcPr>
            <w:tcW w:w="2506" w:type="dxa"/>
            <w:tcBorders>
              <w:top w:val="single" w:sz="4" w:space="0" w:color="000000"/>
              <w:left w:val="single" w:sz="4" w:space="0" w:color="000000"/>
              <w:bottom w:val="single" w:sz="4" w:space="0" w:color="000000"/>
              <w:right w:val="single" w:sz="4" w:space="0" w:color="000000"/>
            </w:tcBorders>
          </w:tcPr>
          <w:p>
            <w:pP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4,498,514.54</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4,498,514.54</w:t>
            </w:r>
          </w:p>
        </w:tc>
      </w:tr>
      <w:tr>
        <w:trPr>
          <w:trHeight w:val="322"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4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4,498,514.54</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-4,498,514.54</w:t>
            </w:r>
          </w:p>
        </w:tc>
        <w:tc>
          <w:tcPr>
            <w:tcW w:w="19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230,559,529.66</w:t>
            </w:r>
          </w:p>
        </w:tc>
        <w:tc>
          <w:tcPr>
            <w:tcW w:w="2234" w:type="dxa"/>
            <w:tcBorders>
              <w:top w:val="single" w:sz="4" w:space="0" w:color="000000"/>
              <w:left w:val="single" w:sz="4" w:space="0" w:color="000000"/>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230,559,529.66</w:t>
            </w:r>
          </w:p>
        </w:tc>
      </w:tr>
    </w:tbl>
    <w:p>
      <w:pPr>
        <w:pStyle w:val="BodyText"/>
        <w:spacing w:line="357" w:lineRule="auto" w:before="81"/>
        <w:ind w:left="214" w:right="252" w:firstLine="480"/>
        <w:jc w:val="left"/>
      </w:pPr>
      <w:r>
        <w:rPr/>
        <w:t>本次会计政策变更，仅对上述财务报表项目产生影响，对公司报告期末资产总额、负债 总额、净资产及净利润未产生影响。</w:t>
      </w:r>
    </w:p>
    <w:p>
      <w:pPr>
        <w:spacing w:line="240" w:lineRule="auto" w:before="9"/>
        <w:rPr>
          <w:rFonts w:ascii="宋体" w:hAnsi="宋体" w:cs="宋体" w:eastAsia="宋体" w:hint="default"/>
          <w:sz w:val="19"/>
          <w:szCs w:val="19"/>
        </w:rPr>
      </w:pPr>
    </w:p>
    <w:p>
      <w:pPr>
        <w:spacing w:before="0"/>
        <w:ind w:left="214" w:right="316" w:firstLine="0"/>
        <w:jc w:val="left"/>
        <w:rPr>
          <w:rFonts w:ascii="宋体" w:hAnsi="宋体" w:cs="宋体" w:eastAsia="宋体" w:hint="default"/>
          <w:sz w:val="24"/>
          <w:szCs w:val="24"/>
        </w:rPr>
      </w:pPr>
      <w:bookmarkStart w:name="（2）重要会计估计变更" w:id="170"/>
      <w:bookmarkEnd w:id="170"/>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）重要会计估计变更</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pStyle w:val="BodyText"/>
        <w:tabs>
          <w:tab w:pos="1054" w:val="left" w:leader="none"/>
        </w:tabs>
        <w:spacing w:line="240" w:lineRule="auto" w:before="0"/>
        <w:ind w:left="693" w:right="316"/>
        <w:jc w:val="left"/>
      </w:pPr>
      <w:r>
        <w:rPr>
          <w:rFonts w:ascii="Arial" w:hAnsi="Arial" w:cs="Arial" w:eastAsia="Arial" w:hint="default"/>
        </w:rPr>
        <w:t>□</w:t>
        <w:tab/>
      </w:r>
      <w:r>
        <w:rPr/>
        <w:t>适用 </w:t>
      </w:r>
      <w:r>
        <w:rPr>
          <w:rFonts w:ascii="Calibri" w:hAnsi="Calibri" w:cs="Calibri" w:eastAsia="Calibri" w:hint="default"/>
        </w:rPr>
        <w:t>√ </w:t>
      </w:r>
      <w:r>
        <w:rPr>
          <w:rFonts w:ascii="Calibri" w:hAnsi="Calibri" w:cs="Calibri" w:eastAsia="Calibri" w:hint="default"/>
          <w:spacing w:val="11"/>
        </w:rPr>
        <w:t> </w:t>
      </w:r>
      <w:r>
        <w:rPr/>
        <w:t>不适用</w:t>
      </w:r>
    </w:p>
    <w:p>
      <w:pPr>
        <w:spacing w:line="240" w:lineRule="auto" w:before="4"/>
        <w:rPr>
          <w:rFonts w:ascii="宋体" w:hAnsi="宋体" w:cs="宋体" w:eastAsia="宋体" w:hint="default"/>
          <w:sz w:val="26"/>
          <w:szCs w:val="26"/>
        </w:rPr>
      </w:pPr>
    </w:p>
    <w:p>
      <w:pPr>
        <w:spacing w:before="0"/>
        <w:ind w:left="214" w:right="316" w:firstLine="0"/>
        <w:jc w:val="left"/>
        <w:rPr>
          <w:rFonts w:ascii="宋体" w:hAnsi="宋体" w:cs="宋体" w:eastAsia="宋体" w:hint="default"/>
          <w:sz w:val="24"/>
          <w:szCs w:val="24"/>
        </w:rPr>
      </w:pPr>
      <w:bookmarkStart w:name="34、其他" w:id="171"/>
      <w:bookmarkEnd w:id="171"/>
      <w:r>
        <w:rPr/>
      </w:r>
      <w:r>
        <w:rPr>
          <w:rFonts w:ascii="Times New Roman" w:hAnsi="Times New Roman" w:cs="Times New Roman" w:eastAsia="Times New Roman" w:hint="default"/>
          <w:b/>
          <w:bCs/>
          <w:sz w:val="24"/>
          <w:szCs w:val="24"/>
        </w:rPr>
        <w:t>34</w:t>
      </w:r>
      <w:r>
        <w:rPr>
          <w:rFonts w:ascii="宋体" w:hAnsi="宋体" w:cs="宋体" w:eastAsia="宋体" w:hint="default"/>
          <w:b/>
          <w:bCs/>
          <w:sz w:val="24"/>
          <w:szCs w:val="24"/>
        </w:rPr>
        <w:t>、其他</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spacing w:line="525" w:lineRule="auto" w:before="0"/>
        <w:ind w:left="213" w:right="8889" w:firstLine="480"/>
        <w:jc w:val="left"/>
        <w:rPr>
          <w:rFonts w:ascii="宋体" w:hAnsi="宋体" w:cs="宋体" w:eastAsia="宋体" w:hint="default"/>
          <w:sz w:val="24"/>
          <w:szCs w:val="24"/>
        </w:rPr>
      </w:pPr>
      <w:r>
        <w:rPr>
          <w:rFonts w:ascii="宋体" w:hAnsi="宋体" w:cs="宋体" w:eastAsia="宋体" w:hint="default"/>
          <w:sz w:val="24"/>
          <w:szCs w:val="24"/>
        </w:rPr>
        <w:t>无。 </w:t>
      </w:r>
      <w:bookmarkStart w:name="六、税项" w:id="172"/>
      <w:bookmarkEnd w:id="172"/>
      <w:r>
        <w:rPr>
          <w:rFonts w:ascii="宋体" w:hAnsi="宋体" w:cs="宋体" w:eastAsia="宋体" w:hint="default"/>
          <w:sz w:val="24"/>
          <w:szCs w:val="24"/>
        </w:rPr>
      </w:r>
      <w:r>
        <w:rPr>
          <w:rFonts w:ascii="宋体" w:hAnsi="宋体" w:cs="宋体" w:eastAsia="宋体" w:hint="default"/>
          <w:b/>
          <w:bCs/>
          <w:sz w:val="24"/>
          <w:szCs w:val="24"/>
        </w:rPr>
        <w:t>六、税项</w:t>
      </w:r>
      <w:r>
        <w:rPr>
          <w:rFonts w:ascii="宋体" w:hAnsi="宋体" w:cs="宋体" w:eastAsia="宋体" w:hint="default"/>
          <w:sz w:val="24"/>
          <w:szCs w:val="24"/>
        </w:rPr>
      </w:r>
    </w:p>
    <w:p>
      <w:pPr>
        <w:spacing w:before="14"/>
        <w:ind w:left="214" w:right="316" w:firstLine="0"/>
        <w:jc w:val="left"/>
        <w:rPr>
          <w:rFonts w:ascii="宋体" w:hAnsi="宋体" w:cs="宋体" w:eastAsia="宋体" w:hint="default"/>
          <w:sz w:val="24"/>
          <w:szCs w:val="24"/>
        </w:rPr>
      </w:pPr>
      <w:bookmarkStart w:name="1、主要税种及税率" w:id="173"/>
      <w:bookmarkEnd w:id="173"/>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、主要税种及税率</w:t>
      </w:r>
      <w:r>
        <w:rPr>
          <w:rFonts w:ascii="宋体" w:hAnsi="宋体" w:cs="宋体" w:eastAsia="宋体" w:hint="default"/>
          <w:sz w:val="24"/>
          <w:szCs w:val="24"/>
        </w:rPr>
      </w:r>
    </w:p>
    <w:p>
      <w:pPr>
        <w:spacing w:line="240" w:lineRule="auto" w:before="4"/>
        <w:rPr>
          <w:rFonts w:ascii="宋体" w:hAnsi="宋体" w:cs="宋体" w:eastAsia="宋体" w:hint="default"/>
          <w:b/>
          <w:bCs/>
          <w:sz w:val="24"/>
          <w:szCs w:val="24"/>
        </w:rPr>
      </w:pPr>
    </w:p>
    <w:tbl>
      <w:tblPr>
        <w:tblW w:w="0" w:type="auto"/>
        <w:jc w:val="left"/>
        <w:tblInd w:w="22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b/>
                <w:bCs/>
                <w:sz w:val="21"/>
                <w:szCs w:val="21"/>
              </w:rPr>
              <w:t>税种</w:t>
            </w:r>
            <w:r>
              <w:rPr>
                <w:rFonts w:ascii="宋体" w:hAnsi="宋体" w:cs="宋体" w:eastAsia="宋体" w:hint="default"/>
                <w:sz w:val="21"/>
                <w:szCs w:val="21"/>
              </w:rPr>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2" w:right="0"/>
              <w:jc w:val="center"/>
              <w:rPr>
                <w:rFonts w:ascii="宋体" w:hAnsi="宋体" w:cs="宋体" w:eastAsia="宋体" w:hint="default"/>
                <w:sz w:val="21"/>
                <w:szCs w:val="21"/>
              </w:rPr>
            </w:pPr>
            <w:r>
              <w:rPr>
                <w:rFonts w:ascii="宋体" w:hAnsi="宋体" w:cs="宋体" w:eastAsia="宋体" w:hint="default"/>
                <w:b/>
                <w:bCs/>
                <w:sz w:val="21"/>
                <w:szCs w:val="21"/>
              </w:rPr>
              <w:t>计税依据</w:t>
            </w:r>
            <w:r>
              <w:rPr>
                <w:rFonts w:ascii="宋体" w:hAnsi="宋体" w:cs="宋体" w:eastAsia="宋体" w:hint="default"/>
                <w:sz w:val="21"/>
                <w:szCs w:val="21"/>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b/>
                <w:bCs/>
                <w:sz w:val="21"/>
                <w:szCs w:val="21"/>
              </w:rPr>
              <w:t>税率</w:t>
            </w:r>
            <w:r>
              <w:rPr>
                <w:rFonts w:ascii="宋体" w:hAnsi="宋体" w:cs="宋体" w:eastAsia="宋体" w:hint="default"/>
                <w:sz w:val="21"/>
                <w:szCs w:val="21"/>
              </w:rPr>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Times New Roman" w:hAnsi="Times New Roman" w:cs="Times New Roman" w:eastAsia="Times New Roman" w:hint="default"/>
                <w:sz w:val="21"/>
                <w:szCs w:val="21"/>
              </w:rPr>
              <w:t>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25%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4" w:right="0"/>
              <w:jc w:val="left"/>
              <w:rPr>
                <w:rFonts w:ascii="宋体" w:hAnsi="宋体" w:cs="宋体" w:eastAsia="宋体" w:hint="default"/>
                <w:sz w:val="21"/>
                <w:szCs w:val="21"/>
              </w:rPr>
            </w:pPr>
            <w:r>
              <w:rPr>
                <w:rFonts w:ascii="宋体" w:hAnsi="宋体" w:cs="宋体" w:eastAsia="宋体" w:hint="default"/>
                <w:sz w:val="21"/>
                <w:szCs w:val="21"/>
              </w:rPr>
              <w:t>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3%</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79" w:top="1100" w:bottom="1160" w:left="920" w:right="900"/>
        </w:sectPr>
      </w:pPr>
    </w:p>
    <w:p>
      <w:pPr>
        <w:spacing w:line="240" w:lineRule="auto" w:before="6"/>
        <w:rPr>
          <w:rFonts w:ascii="宋体" w:hAnsi="宋体" w:cs="宋体" w:eastAsia="宋体" w:hint="default"/>
          <w:b/>
          <w:bCs/>
          <w:sz w:val="24"/>
          <w:szCs w:val="24"/>
        </w:rPr>
      </w:pPr>
    </w:p>
    <w:tbl>
      <w:tblPr>
        <w:tblW w:w="0" w:type="auto"/>
        <w:jc w:val="left"/>
        <w:tblInd w:w="146" w:type="dxa"/>
        <w:tblLayout w:type="fixed"/>
        <w:tblCellMar>
          <w:top w:w="0" w:type="dxa"/>
          <w:left w:w="0" w:type="dxa"/>
          <w:bottom w:w="0" w:type="dxa"/>
          <w:right w:w="0" w:type="dxa"/>
        </w:tblCellMar>
        <w:tblLook w:val="01E0"/>
      </w:tblPr>
      <w:tblGrid>
        <w:gridCol w:w="3192"/>
        <w:gridCol w:w="3190"/>
        <w:gridCol w:w="3190"/>
      </w:tblGrid>
      <w:tr>
        <w:trPr>
          <w:trHeight w:val="402"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w:t>
            </w:r>
          </w:p>
        </w:tc>
      </w:tr>
    </w:tbl>
    <w:p>
      <w:pPr>
        <w:pStyle w:val="BodyText"/>
        <w:spacing w:line="240" w:lineRule="auto" w:before="81"/>
        <w:ind w:left="634" w:right="213"/>
        <w:jc w:val="left"/>
      </w:pPr>
      <w:r>
        <w:rPr/>
        <w:t>存在不同企业所得税税率纳税主体的，披露情况说明</w:t>
      </w:r>
    </w:p>
    <w:p>
      <w:pPr>
        <w:spacing w:line="240" w:lineRule="auto" w:before="10"/>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纳税主体名称</w:t>
            </w:r>
            <w:r>
              <w:rPr>
                <w:rFonts w:ascii="宋体" w:hAnsi="宋体" w:cs="宋体" w:eastAsia="宋体" w:hint="default"/>
                <w:sz w:val="21"/>
                <w:szCs w:val="21"/>
              </w:rPr>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所得税税率</w:t>
            </w:r>
            <w:r>
              <w:rPr>
                <w:rFonts w:ascii="宋体" w:hAnsi="宋体" w:cs="宋体" w:eastAsia="宋体" w:hint="default"/>
                <w:sz w:val="21"/>
                <w:szCs w:val="21"/>
              </w:rPr>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北京中文在线数字出版股份有限公司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北京中文在线文化传媒有限公司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上海中文在线文化发展有限公司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杭州中文在线信息科技有限公司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北京中文在线教育科技发展有限公司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广州市四月天信息科技有限公司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湖北中文在线数字出版有限公司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北京汤圆和它的小伙伴们网络科技有限公司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中文在线教育集团有限公司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12-16.5%</w:t>
            </w:r>
          </w:p>
        </w:tc>
      </w:tr>
    </w:tbl>
    <w:p>
      <w:pPr>
        <w:spacing w:line="240" w:lineRule="auto" w:before="2"/>
        <w:rPr>
          <w:rFonts w:ascii="宋体" w:hAnsi="宋体" w:cs="宋体" w:eastAsia="宋体" w:hint="default"/>
          <w:sz w:val="18"/>
          <w:szCs w:val="18"/>
        </w:rPr>
      </w:pPr>
    </w:p>
    <w:p>
      <w:pPr>
        <w:spacing w:before="26"/>
        <w:ind w:left="154" w:right="213" w:firstLine="0"/>
        <w:jc w:val="left"/>
        <w:rPr>
          <w:rFonts w:ascii="宋体" w:hAnsi="宋体" w:cs="宋体" w:eastAsia="宋体" w:hint="default"/>
          <w:sz w:val="24"/>
          <w:szCs w:val="24"/>
        </w:rPr>
      </w:pPr>
      <w:bookmarkStart w:name="2、税收优惠" w:id="174"/>
      <w:bookmarkEnd w:id="174"/>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、税收优惠</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spacing w:before="0"/>
        <w:ind w:left="636" w:right="213"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）所得税</w:t>
      </w:r>
      <w:r>
        <w:rPr>
          <w:rFonts w:ascii="宋体" w:hAnsi="宋体" w:cs="宋体" w:eastAsia="宋体" w:hint="default"/>
          <w:sz w:val="24"/>
          <w:szCs w:val="24"/>
        </w:rPr>
      </w:r>
    </w:p>
    <w:p>
      <w:pPr>
        <w:pStyle w:val="BodyText"/>
        <w:spacing w:line="357" w:lineRule="auto" w:before="193"/>
        <w:ind w:right="269" w:firstLine="480"/>
        <w:jc w:val="both"/>
      </w:pPr>
      <w:r>
        <w:rPr>
          <w:rFonts w:ascii="宋体" w:hAnsi="宋体" w:cs="宋体" w:eastAsia="宋体" w:hint="default"/>
        </w:rPr>
        <w:t>1</w:t>
      </w:r>
      <w:r>
        <w:rPr/>
        <w:t>）本公司为高新技术企业，于</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日取得了编号为</w:t>
      </w:r>
      <w:r>
        <w:rPr>
          <w:spacing w:val="-60"/>
        </w:rPr>
        <w:t> </w:t>
      </w:r>
      <w:r>
        <w:rPr>
          <w:rFonts w:ascii="宋体" w:hAnsi="宋体" w:cs="宋体" w:eastAsia="宋体" w:hint="default"/>
        </w:rPr>
        <w:t>GF201211000093</w:t>
      </w:r>
      <w:r>
        <w:rPr>
          <w:rFonts w:ascii="宋体" w:hAnsi="宋体" w:cs="宋体" w:eastAsia="宋体" w:hint="default"/>
          <w:spacing w:val="-60"/>
        </w:rPr>
        <w:t> </w:t>
      </w:r>
      <w:r>
        <w:rPr/>
        <w:t>的高新 技术企业证书，有效期三年。根据《国家税务总局关于进一步明确企业所得税过渡期优惠政 </w:t>
      </w:r>
      <w:r>
        <w:rPr>
          <w:spacing w:val="-5"/>
        </w:rPr>
        <w:t>策执行口径问题的通知》（国税函</w:t>
      </w:r>
      <w:r>
        <w:rPr>
          <w:rFonts w:ascii="宋体" w:hAnsi="宋体" w:cs="宋体" w:eastAsia="宋体" w:hint="default"/>
          <w:spacing w:val="-5"/>
        </w:rPr>
        <w:t>[2010]157</w:t>
      </w:r>
      <w:r>
        <w:rPr>
          <w:rFonts w:ascii="宋体" w:hAnsi="宋体" w:cs="宋体" w:eastAsia="宋体" w:hint="default"/>
          <w:spacing w:val="-60"/>
        </w:rPr>
        <w:t> </w:t>
      </w:r>
      <w:r>
        <w:rPr/>
        <w:t>号）的规定，本公司</w:t>
      </w:r>
      <w:r>
        <w:rPr>
          <w:spacing w:val="-60"/>
        </w:rPr>
        <w:t> </w:t>
      </w:r>
      <w:r>
        <w:rPr>
          <w:rFonts w:ascii="宋体" w:hAnsi="宋体" w:cs="宋体" w:eastAsia="宋体" w:hint="default"/>
        </w:rPr>
        <w:t>2014</w:t>
      </w:r>
      <w:r>
        <w:rPr>
          <w:rFonts w:ascii="宋体" w:hAnsi="宋体" w:cs="宋体" w:eastAsia="宋体" w:hint="default"/>
          <w:spacing w:val="-60"/>
        </w:rPr>
        <w:t> </w:t>
      </w:r>
      <w:r>
        <w:rPr/>
        <w:t>年适用高新技术企业 的</w:t>
      </w:r>
      <w:r>
        <w:rPr>
          <w:spacing w:val="-60"/>
        </w:rPr>
        <w:t> </w:t>
      </w:r>
      <w:r>
        <w:rPr>
          <w:rFonts w:ascii="宋体" w:hAnsi="宋体" w:cs="宋体" w:eastAsia="宋体" w:hint="default"/>
        </w:rPr>
        <w:t>15%</w:t>
      </w:r>
      <w:r>
        <w:rPr/>
        <w:t>优惠税率。</w:t>
      </w:r>
    </w:p>
    <w:p>
      <w:pPr>
        <w:pStyle w:val="BodyText"/>
        <w:spacing w:line="357" w:lineRule="auto" w:before="74"/>
        <w:ind w:right="213" w:firstLine="480"/>
        <w:jc w:val="left"/>
      </w:pPr>
      <w:r>
        <w:rPr>
          <w:rFonts w:ascii="宋体" w:hAnsi="宋体" w:cs="宋体" w:eastAsia="宋体" w:hint="default"/>
          <w:spacing w:val="-3"/>
        </w:rPr>
        <w:t>2</w:t>
      </w:r>
      <w:r>
        <w:rPr>
          <w:spacing w:val="-3"/>
        </w:rPr>
        <w:t>）本公司全资子公司北京中文在线文化传媒有限公司（以下简称中文传媒）为高新技术</w:t>
      </w:r>
      <w:r>
        <w:rPr/>
        <w:t> 企业，于</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5</w:t>
      </w:r>
      <w:r>
        <w:rPr>
          <w:rFonts w:ascii="宋体" w:hAnsi="宋体" w:cs="宋体" w:eastAsia="宋体" w:hint="default"/>
          <w:spacing w:val="-60"/>
        </w:rPr>
        <w:t> </w:t>
      </w:r>
      <w:r>
        <w:rPr/>
        <w:t>日取得了编号为</w:t>
      </w:r>
      <w:r>
        <w:rPr>
          <w:spacing w:val="-60"/>
        </w:rPr>
        <w:t> </w:t>
      </w:r>
      <w:r>
        <w:rPr>
          <w:rFonts w:ascii="宋体" w:hAnsi="宋体" w:cs="宋体" w:eastAsia="宋体" w:hint="default"/>
        </w:rPr>
        <w:t>GF201311000891</w:t>
      </w:r>
      <w:r>
        <w:rPr>
          <w:rFonts w:ascii="宋体" w:hAnsi="宋体" w:cs="宋体" w:eastAsia="宋体" w:hint="default"/>
          <w:spacing w:val="-60"/>
        </w:rPr>
        <w:t> </w:t>
      </w:r>
      <w:r>
        <w:rPr/>
        <w:t>的高新技术企业证书，有效期三 年。根据《国家税务总局关于进一步明确企业所得税过渡期优惠政策执行口径问题的通知》</w:t>
      </w:r>
    </w:p>
    <w:p>
      <w:pPr>
        <w:pStyle w:val="BodyText"/>
        <w:spacing w:line="386" w:lineRule="auto" w:before="37"/>
        <w:ind w:left="633" w:right="213" w:hanging="480"/>
        <w:jc w:val="left"/>
      </w:pPr>
      <w:r>
        <w:rPr/>
        <w:t>（国税函</w:t>
      </w:r>
      <w:r>
        <w:rPr>
          <w:rFonts w:ascii="宋体" w:hAnsi="宋体" w:cs="宋体" w:eastAsia="宋体" w:hint="default"/>
        </w:rPr>
        <w:t>[2010]157</w:t>
      </w:r>
      <w:r>
        <w:rPr>
          <w:rFonts w:ascii="宋体" w:hAnsi="宋体" w:cs="宋体" w:eastAsia="宋体" w:hint="default"/>
          <w:spacing w:val="-60"/>
        </w:rPr>
        <w:t> </w:t>
      </w:r>
      <w:r>
        <w:rPr/>
        <w:t>号）的规定，中文传媒</w:t>
      </w:r>
      <w:r>
        <w:rPr>
          <w:spacing w:val="-60"/>
        </w:rPr>
        <w:t> </w:t>
      </w:r>
      <w:r>
        <w:rPr>
          <w:rFonts w:ascii="宋体" w:hAnsi="宋体" w:cs="宋体" w:eastAsia="宋体" w:hint="default"/>
        </w:rPr>
        <w:t>2014</w:t>
      </w:r>
      <w:r>
        <w:rPr>
          <w:rFonts w:ascii="宋体" w:hAnsi="宋体" w:cs="宋体" w:eastAsia="宋体" w:hint="default"/>
          <w:spacing w:val="-60"/>
        </w:rPr>
        <w:t> </w:t>
      </w:r>
      <w:r>
        <w:rPr/>
        <w:t>年适用高新技术企业的</w:t>
      </w:r>
      <w:r>
        <w:rPr>
          <w:spacing w:val="-60"/>
        </w:rPr>
        <w:t> </w:t>
      </w:r>
      <w:r>
        <w:rPr>
          <w:rFonts w:ascii="宋体" w:hAnsi="宋体" w:cs="宋体" w:eastAsia="宋体" w:hint="default"/>
        </w:rPr>
        <w:t>15%</w:t>
      </w:r>
      <w:r>
        <w:rPr/>
        <w:t>优惠税率。 </w:t>
      </w:r>
      <w:r>
        <w:rPr>
          <w:rFonts w:ascii="宋体" w:hAnsi="宋体" w:cs="宋体" w:eastAsia="宋体" w:hint="default"/>
          <w:spacing w:val="-3"/>
        </w:rPr>
        <w:t>3</w:t>
      </w:r>
      <w:r>
        <w:rPr>
          <w:spacing w:val="-3"/>
        </w:rPr>
        <w:t>）本公司全资子公司上海中文在线文化发展有限公司（以下简称上海中文在线）为高新</w:t>
      </w:r>
    </w:p>
    <w:p>
      <w:pPr>
        <w:pStyle w:val="BodyText"/>
        <w:spacing w:line="357" w:lineRule="auto" w:before="7"/>
        <w:ind w:right="95"/>
        <w:jc w:val="left"/>
      </w:pPr>
      <w:r>
        <w:rPr/>
        <w:t>技术企业，于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日取得了编号为</w:t>
      </w:r>
      <w:r>
        <w:rPr>
          <w:spacing w:val="-60"/>
        </w:rPr>
        <w:t> </w:t>
      </w:r>
      <w:r>
        <w:rPr>
          <w:rFonts w:ascii="宋体" w:hAnsi="宋体" w:cs="宋体" w:eastAsia="宋体" w:hint="default"/>
        </w:rPr>
        <w:t>GF201431000258</w:t>
      </w:r>
      <w:r>
        <w:rPr>
          <w:rFonts w:ascii="宋体" w:hAnsi="宋体" w:cs="宋体" w:eastAsia="宋体" w:hint="default"/>
          <w:spacing w:val="-60"/>
        </w:rPr>
        <w:t> </w:t>
      </w:r>
      <w:r>
        <w:rPr/>
        <w:t>的高新技术企业证书，有效期 </w:t>
      </w:r>
      <w:r>
        <w:rPr>
          <w:spacing w:val="-2"/>
        </w:rPr>
        <w:t>三年。根据《国家税务总局关于进一步明确企业所得税过渡期优惠政策执行口径问题的通知》</w:t>
      </w:r>
    </w:p>
    <w:p>
      <w:pPr>
        <w:pStyle w:val="BodyText"/>
        <w:spacing w:line="388" w:lineRule="auto" w:before="37"/>
        <w:ind w:left="634" w:right="252" w:hanging="480"/>
        <w:jc w:val="left"/>
      </w:pPr>
      <w:r>
        <w:rPr/>
        <w:t>（国税函</w:t>
      </w:r>
      <w:r>
        <w:rPr>
          <w:rFonts w:ascii="宋体" w:hAnsi="宋体" w:cs="宋体" w:eastAsia="宋体" w:hint="default"/>
        </w:rPr>
        <w:t>[2010]157</w:t>
      </w:r>
      <w:r>
        <w:rPr>
          <w:rFonts w:ascii="宋体" w:hAnsi="宋体" w:cs="宋体" w:eastAsia="宋体" w:hint="default"/>
          <w:spacing w:val="-60"/>
        </w:rPr>
        <w:t> </w:t>
      </w:r>
      <w:r>
        <w:rPr/>
        <w:t>号）的规定，上海中文在线</w:t>
      </w:r>
      <w:r>
        <w:rPr>
          <w:spacing w:val="-60"/>
        </w:rPr>
        <w:t> </w:t>
      </w:r>
      <w:r>
        <w:rPr>
          <w:rFonts w:ascii="宋体" w:hAnsi="宋体" w:cs="宋体" w:eastAsia="宋体" w:hint="default"/>
        </w:rPr>
        <w:t>2014</w:t>
      </w:r>
      <w:r>
        <w:rPr>
          <w:rFonts w:ascii="宋体" w:hAnsi="宋体" w:cs="宋体" w:eastAsia="宋体" w:hint="default"/>
          <w:spacing w:val="-60"/>
        </w:rPr>
        <w:t> </w:t>
      </w:r>
      <w:r>
        <w:rPr/>
        <w:t>年适用高新技术企业的</w:t>
      </w:r>
      <w:r>
        <w:rPr>
          <w:spacing w:val="-60"/>
        </w:rPr>
        <w:t> </w:t>
      </w:r>
      <w:r>
        <w:rPr>
          <w:rFonts w:ascii="宋体" w:hAnsi="宋体" w:cs="宋体" w:eastAsia="宋体" w:hint="default"/>
        </w:rPr>
        <w:t>15%</w:t>
      </w:r>
      <w:r>
        <w:rPr/>
        <w:t>优惠税率。 除上述所得税税收优惠外，本公司其他子公司企业所得税均无优惠。</w:t>
      </w:r>
    </w:p>
    <w:p>
      <w:pPr>
        <w:pStyle w:val="BodyText"/>
        <w:spacing w:line="386" w:lineRule="auto" w:before="45"/>
        <w:ind w:left="633" w:right="228" w:firstLine="2"/>
        <w:jc w:val="left"/>
        <w:rPr>
          <w:rFonts w:ascii="宋体" w:hAnsi="宋体" w:cs="宋体" w:eastAsia="宋体" w:hint="default"/>
        </w:rPr>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）增值税</w:t>
      </w:r>
      <w:r>
        <w:rPr>
          <w:rFonts w:ascii="宋体" w:hAnsi="宋体" w:cs="宋体" w:eastAsia="宋体" w:hint="default"/>
          <w:b/>
          <w:bCs/>
          <w:w w:val="99"/>
        </w:rPr>
        <w:t> </w:t>
      </w:r>
      <w:r>
        <w:rPr>
          <w:spacing w:val="-5"/>
        </w:rPr>
        <w:t>根据《关于鼓励软件产业和集成电路产业发展有关税收政策问题的通知》（财税</w:t>
      </w:r>
      <w:r>
        <w:rPr>
          <w:rFonts w:ascii="宋体" w:hAnsi="宋体" w:cs="宋体" w:eastAsia="宋体" w:hint="default"/>
          <w:spacing w:val="-5"/>
        </w:rPr>
        <w:t>[2000]25</w:t>
      </w:r>
    </w:p>
    <w:p>
      <w:pPr>
        <w:spacing w:after="0" w:line="386" w:lineRule="auto"/>
        <w:jc w:val="left"/>
        <w:rPr>
          <w:rFonts w:ascii="宋体" w:hAnsi="宋体" w:cs="宋体" w:eastAsia="宋体" w:hint="default"/>
        </w:rPr>
        <w:sectPr>
          <w:pgSz w:w="11910" w:h="16840"/>
          <w:pgMar w:header="877" w:footer="979" w:top="1100" w:bottom="1160" w:left="980" w:right="900"/>
        </w:sectPr>
      </w:pPr>
    </w:p>
    <w:p>
      <w:pPr>
        <w:spacing w:line="240" w:lineRule="auto" w:before="7"/>
        <w:rPr>
          <w:rFonts w:ascii="宋体" w:hAnsi="宋体" w:cs="宋体" w:eastAsia="宋体" w:hint="default"/>
          <w:sz w:val="25"/>
          <w:szCs w:val="25"/>
        </w:rPr>
      </w:pPr>
    </w:p>
    <w:p>
      <w:pPr>
        <w:pStyle w:val="BodyText"/>
        <w:spacing w:line="357" w:lineRule="auto"/>
        <w:ind w:right="135"/>
        <w:jc w:val="left"/>
      </w:pPr>
      <w:r>
        <w:rPr>
          <w:spacing w:val="-4"/>
        </w:rPr>
        <w:t>号）、《关于软件产品增值税政策的通知》（财税</w:t>
      </w:r>
      <w:r>
        <w:rPr>
          <w:rFonts w:ascii="宋体" w:hAnsi="宋体" w:cs="宋体" w:eastAsia="宋体" w:hint="default"/>
          <w:spacing w:val="-4"/>
        </w:rPr>
        <w:t>[2011]100</w:t>
      </w:r>
      <w:r>
        <w:rPr>
          <w:rFonts w:ascii="宋体" w:hAnsi="宋体" w:cs="宋体" w:eastAsia="宋体" w:hint="default"/>
          <w:spacing w:val="-60"/>
        </w:rPr>
        <w:t> </w:t>
      </w:r>
      <w:r>
        <w:rPr/>
        <w:t>号）文件的规定，自</w:t>
      </w:r>
      <w:r>
        <w:rPr>
          <w:spacing w:val="-60"/>
        </w:rPr>
        <w:t> </w:t>
      </w:r>
      <w:r>
        <w:rPr>
          <w:rFonts w:ascii="宋体" w:hAnsi="宋体" w:cs="宋体" w:eastAsia="宋体" w:hint="default"/>
        </w:rPr>
        <w:t>2000</w:t>
      </w:r>
      <w:r>
        <w:rPr>
          <w:rFonts w:ascii="宋体" w:hAnsi="宋体" w:cs="宋体" w:eastAsia="宋体" w:hint="default"/>
          <w:spacing w:val="-60"/>
        </w:rPr>
        <w:t> </w:t>
      </w:r>
      <w:r>
        <w:rPr/>
        <w:t>年</w:t>
      </w:r>
      <w:r>
        <w:rPr>
          <w:spacing w:val="-60"/>
        </w:rPr>
        <w:t> </w:t>
      </w:r>
      <w:r>
        <w:rPr>
          <w:rFonts w:ascii="宋体" w:hAnsi="宋体" w:cs="宋体" w:eastAsia="宋体" w:hint="default"/>
        </w:rPr>
        <w:t>6 </w:t>
      </w:r>
      <w:r>
        <w:rPr/>
        <w:t>月</w:t>
      </w:r>
      <w:r>
        <w:rPr>
          <w:spacing w:val="-68"/>
        </w:rPr>
        <w:t> </w:t>
      </w:r>
      <w:r>
        <w:rPr>
          <w:rFonts w:ascii="宋体" w:hAnsi="宋体" w:cs="宋体" w:eastAsia="宋体" w:hint="default"/>
        </w:rPr>
        <w:t>24</w:t>
      </w:r>
      <w:r>
        <w:rPr>
          <w:rFonts w:ascii="宋体" w:hAnsi="宋体" w:cs="宋体" w:eastAsia="宋体" w:hint="default"/>
          <w:spacing w:val="-67"/>
        </w:rPr>
        <w:t> </w:t>
      </w:r>
      <w:r>
        <w:rPr/>
        <w:t>日起，对增值税一般纳税人销售其自行开发生产的软件产品，按</w:t>
      </w:r>
      <w:r>
        <w:rPr>
          <w:spacing w:val="-67"/>
        </w:rPr>
        <w:t> </w:t>
      </w:r>
      <w:r>
        <w:rPr>
          <w:rFonts w:ascii="宋体" w:hAnsi="宋体" w:cs="宋体" w:eastAsia="宋体" w:hint="default"/>
        </w:rPr>
        <w:t>17%</w:t>
      </w:r>
      <w:r>
        <w:rPr/>
        <w:t>的法定税率征收增 值税后，对其增值税实际税负超过</w:t>
      </w:r>
      <w:r>
        <w:rPr>
          <w:spacing w:val="-60"/>
        </w:rPr>
        <w:t> </w:t>
      </w:r>
      <w:r>
        <w:rPr>
          <w:rFonts w:ascii="宋体" w:hAnsi="宋体" w:cs="宋体" w:eastAsia="宋体" w:hint="default"/>
        </w:rPr>
        <w:t>3%</w:t>
      </w:r>
      <w:r>
        <w:rPr/>
        <w:t>的部分实行即征即退政策。</w:t>
      </w:r>
    </w:p>
    <w:p>
      <w:pPr>
        <w:spacing w:line="240" w:lineRule="auto" w:before="9"/>
        <w:rPr>
          <w:rFonts w:ascii="宋体" w:hAnsi="宋体" w:cs="宋体" w:eastAsia="宋体" w:hint="default"/>
          <w:sz w:val="19"/>
          <w:szCs w:val="19"/>
        </w:rPr>
      </w:pPr>
    </w:p>
    <w:p>
      <w:pPr>
        <w:spacing w:before="0"/>
        <w:ind w:left="153" w:right="0" w:firstLine="0"/>
        <w:jc w:val="left"/>
        <w:rPr>
          <w:rFonts w:ascii="宋体" w:hAnsi="宋体" w:cs="宋体" w:eastAsia="宋体" w:hint="default"/>
          <w:sz w:val="24"/>
          <w:szCs w:val="24"/>
        </w:rPr>
      </w:pPr>
      <w:bookmarkStart w:name="3、其他" w:id="175"/>
      <w:bookmarkEnd w:id="175"/>
      <w:r>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、其他</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spacing w:line="525" w:lineRule="auto" w:before="0"/>
        <w:ind w:left="153" w:right="6652" w:firstLine="480"/>
        <w:jc w:val="left"/>
        <w:rPr>
          <w:rFonts w:ascii="宋体" w:hAnsi="宋体" w:cs="宋体" w:eastAsia="宋体" w:hint="default"/>
          <w:sz w:val="24"/>
          <w:szCs w:val="24"/>
        </w:rPr>
      </w:pPr>
      <w:r>
        <w:rPr>
          <w:rFonts w:ascii="宋体" w:hAnsi="宋体" w:cs="宋体" w:eastAsia="宋体" w:hint="default"/>
          <w:sz w:val="24"/>
          <w:szCs w:val="24"/>
        </w:rPr>
        <w:t>无。 </w:t>
      </w:r>
      <w:bookmarkStart w:name="七、合并财务报表项目注释" w:id="176"/>
      <w:bookmarkEnd w:id="176"/>
      <w:r>
        <w:rPr>
          <w:rFonts w:ascii="宋体" w:hAnsi="宋体" w:cs="宋体" w:eastAsia="宋体" w:hint="default"/>
          <w:sz w:val="24"/>
          <w:szCs w:val="24"/>
        </w:rPr>
      </w:r>
      <w:r>
        <w:rPr>
          <w:rFonts w:ascii="宋体" w:hAnsi="宋体" w:cs="宋体" w:eastAsia="宋体" w:hint="default"/>
          <w:b/>
          <w:bCs/>
          <w:w w:val="95"/>
          <w:sz w:val="24"/>
          <w:szCs w:val="24"/>
        </w:rPr>
        <w:t>七、合并财务报表项目注释</w:t>
      </w:r>
      <w:r>
        <w:rPr>
          <w:rFonts w:ascii="宋体" w:hAnsi="宋体" w:cs="宋体" w:eastAsia="宋体" w:hint="default"/>
          <w:sz w:val="24"/>
          <w:szCs w:val="24"/>
        </w:rPr>
      </w:r>
    </w:p>
    <w:p>
      <w:pPr>
        <w:spacing w:before="14"/>
        <w:ind w:left="153" w:right="0" w:firstLine="0"/>
        <w:jc w:val="left"/>
        <w:rPr>
          <w:rFonts w:ascii="宋体" w:hAnsi="宋体" w:cs="宋体" w:eastAsia="宋体" w:hint="default"/>
          <w:sz w:val="24"/>
          <w:szCs w:val="24"/>
        </w:rPr>
      </w:pPr>
      <w:bookmarkStart w:name="1、货币资金" w:id="177"/>
      <w:bookmarkEnd w:id="177"/>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、货币资金</w:t>
      </w:r>
      <w:r>
        <w:rPr>
          <w:rFonts w:ascii="宋体" w:hAnsi="宋体" w:cs="宋体" w:eastAsia="宋体" w:hint="default"/>
          <w:sz w:val="24"/>
          <w:szCs w:val="24"/>
        </w:rPr>
      </w:r>
    </w:p>
    <w:p>
      <w:pPr>
        <w:spacing w:line="240" w:lineRule="auto" w:before="5"/>
        <w:rPr>
          <w:rFonts w:ascii="宋体" w:hAnsi="宋体" w:cs="宋体" w:eastAsia="宋体" w:hint="default"/>
          <w:b/>
          <w:bCs/>
          <w:sz w:val="21"/>
          <w:szCs w:val="21"/>
        </w:rPr>
      </w:pPr>
    </w:p>
    <w:p>
      <w:pPr>
        <w:pStyle w:val="BodyText"/>
        <w:spacing w:line="240" w:lineRule="auto" w:before="0"/>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234,544.38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143,433.62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58,906,274.57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116,187,384.21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816,000.00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59,956,818.95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116,330,817.83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1"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88" w:lineRule="auto" w:before="81"/>
        <w:ind w:left="633" w:right="173"/>
        <w:jc w:val="left"/>
      </w:pPr>
      <w:r>
        <w:rPr/>
        <w:t>其他说明： 年末其他货币资金为保函保证金；年末货币资金余额除其他货币资金外，不存在因抵押</w:t>
      </w:r>
    </w:p>
    <w:p>
      <w:pPr>
        <w:pStyle w:val="BodyText"/>
        <w:spacing w:line="240" w:lineRule="auto" w:before="6"/>
        <w:ind w:right="0"/>
        <w:jc w:val="left"/>
      </w:pPr>
      <w:r>
        <w:rPr/>
        <w:t>或冻结等对使用有限制、存放在境外、有潜在回收风险的款项。</w:t>
      </w:r>
    </w:p>
    <w:p>
      <w:pPr>
        <w:spacing w:line="240" w:lineRule="auto" w:before="8"/>
        <w:rPr>
          <w:rFonts w:ascii="宋体" w:hAnsi="宋体" w:cs="宋体" w:eastAsia="宋体" w:hint="default"/>
          <w:sz w:val="28"/>
          <w:szCs w:val="28"/>
        </w:rPr>
      </w:pPr>
    </w:p>
    <w:p>
      <w:pPr>
        <w:spacing w:line="499" w:lineRule="auto" w:before="0"/>
        <w:ind w:left="633" w:right="4012" w:hanging="480"/>
        <w:jc w:val="left"/>
        <w:rPr>
          <w:rFonts w:ascii="宋体" w:hAnsi="宋体" w:cs="宋体" w:eastAsia="宋体" w:hint="default"/>
          <w:sz w:val="24"/>
          <w:szCs w:val="24"/>
        </w:rPr>
      </w:pPr>
      <w:bookmarkStart w:name="2、以公允价值计量且其变动计入当期损益的金融资产" w:id="178"/>
      <w:bookmarkEnd w:id="178"/>
      <w:r>
        <w:rPr/>
      </w:r>
      <w:r>
        <w:rPr>
          <w:rFonts w:ascii="Times New Roman" w:hAnsi="Times New Roman" w:cs="Times New Roman" w:eastAsia="Times New Roman" w:hint="default"/>
          <w:b/>
          <w:bCs/>
          <w:w w:val="95"/>
          <w:sz w:val="24"/>
          <w:szCs w:val="24"/>
        </w:rPr>
        <w:t>2</w:t>
      </w:r>
      <w:r>
        <w:rPr>
          <w:rFonts w:ascii="宋体" w:hAnsi="宋体" w:cs="宋体" w:eastAsia="宋体" w:hint="default"/>
          <w:b/>
          <w:bCs/>
          <w:w w:val="95"/>
          <w:sz w:val="24"/>
          <w:szCs w:val="24"/>
        </w:rPr>
        <w:t>、以公允价值计量且其变动计入当期损益的金融资产</w:t>
      </w:r>
      <w:r>
        <w:rPr>
          <w:rFonts w:ascii="宋体" w:hAnsi="宋体" w:cs="宋体" w:eastAsia="宋体" w:hint="default"/>
          <w:b/>
          <w:bCs/>
          <w:spacing w:val="31"/>
          <w:w w:val="95"/>
          <w:sz w:val="24"/>
          <w:szCs w:val="24"/>
        </w:rPr>
        <w:t> </w:t>
      </w:r>
      <w:r>
        <w:rPr>
          <w:rFonts w:ascii="宋体" w:hAnsi="宋体" w:cs="宋体" w:eastAsia="宋体" w:hint="default"/>
          <w:sz w:val="24"/>
          <w:szCs w:val="24"/>
        </w:rPr>
        <w:t>无。</w:t>
      </w:r>
    </w:p>
    <w:p>
      <w:pPr>
        <w:spacing w:before="115"/>
        <w:ind w:left="153" w:right="0" w:firstLine="0"/>
        <w:jc w:val="left"/>
        <w:rPr>
          <w:rFonts w:ascii="宋体" w:hAnsi="宋体" w:cs="宋体" w:eastAsia="宋体" w:hint="default"/>
          <w:sz w:val="24"/>
          <w:szCs w:val="24"/>
        </w:rPr>
      </w:pPr>
      <w:bookmarkStart w:name="3、衍生金融资产" w:id="179"/>
      <w:bookmarkEnd w:id="179"/>
      <w:r>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、衍生金融资产</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pStyle w:val="BodyText"/>
        <w:tabs>
          <w:tab w:pos="994" w:val="left" w:leader="none"/>
        </w:tabs>
        <w:spacing w:line="240" w:lineRule="auto" w:before="0"/>
        <w:ind w:left="633" w:right="0"/>
        <w:jc w:val="left"/>
      </w:pPr>
      <w:r>
        <w:rPr>
          <w:rFonts w:ascii="Arial" w:hAnsi="Arial" w:cs="Arial" w:eastAsia="Arial" w:hint="default"/>
        </w:rPr>
        <w:t>□</w:t>
        <w:tab/>
      </w:r>
      <w:r>
        <w:rPr/>
        <w:t>适用 </w:t>
      </w:r>
      <w:r>
        <w:rPr>
          <w:rFonts w:ascii="Calibri" w:hAnsi="Calibri" w:cs="Calibri" w:eastAsia="Calibri" w:hint="default"/>
        </w:rPr>
        <w:t>√ </w:t>
      </w:r>
      <w:r>
        <w:rPr>
          <w:rFonts w:ascii="Calibri" w:hAnsi="Calibri" w:cs="Calibri" w:eastAsia="Calibri" w:hint="default"/>
          <w:spacing w:val="11"/>
        </w:rPr>
        <w:t> </w:t>
      </w:r>
      <w:r>
        <w:rPr/>
        <w:t>不适用</w:t>
      </w:r>
    </w:p>
    <w:p>
      <w:pPr>
        <w:spacing w:line="240" w:lineRule="auto" w:before="4"/>
        <w:rPr>
          <w:rFonts w:ascii="宋体" w:hAnsi="宋体" w:cs="宋体" w:eastAsia="宋体" w:hint="default"/>
          <w:sz w:val="26"/>
          <w:szCs w:val="26"/>
        </w:rPr>
      </w:pPr>
    </w:p>
    <w:p>
      <w:pPr>
        <w:spacing w:before="0"/>
        <w:ind w:left="154" w:right="0" w:firstLine="0"/>
        <w:jc w:val="left"/>
        <w:rPr>
          <w:rFonts w:ascii="宋体" w:hAnsi="宋体" w:cs="宋体" w:eastAsia="宋体" w:hint="default"/>
          <w:sz w:val="24"/>
          <w:szCs w:val="24"/>
        </w:rPr>
      </w:pPr>
      <w:bookmarkStart w:name="4、应收票据" w:id="180"/>
      <w:bookmarkEnd w:id="180"/>
      <w:r>
        <w:rPr/>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、应收票据</w:t>
      </w:r>
      <w:r>
        <w:rPr>
          <w:rFonts w:ascii="宋体" w:hAnsi="宋体" w:cs="宋体" w:eastAsia="宋体" w:hint="default"/>
          <w:sz w:val="24"/>
          <w:szCs w:val="24"/>
        </w:rPr>
      </w:r>
    </w:p>
    <w:p>
      <w:pPr>
        <w:spacing w:line="240" w:lineRule="auto" w:before="7"/>
        <w:rPr>
          <w:rFonts w:ascii="宋体" w:hAnsi="宋体" w:cs="宋体" w:eastAsia="宋体" w:hint="default"/>
          <w:b/>
          <w:bCs/>
          <w:sz w:val="21"/>
          <w:szCs w:val="21"/>
        </w:rPr>
      </w:pPr>
    </w:p>
    <w:p>
      <w:pPr>
        <w:spacing w:before="0"/>
        <w:ind w:left="154" w:right="0" w:firstLine="0"/>
        <w:jc w:val="left"/>
        <w:rPr>
          <w:rFonts w:ascii="宋体" w:hAnsi="宋体" w:cs="宋体" w:eastAsia="宋体" w:hint="default"/>
          <w:sz w:val="24"/>
          <w:szCs w:val="24"/>
        </w:rPr>
      </w:pPr>
      <w:bookmarkStart w:name="（1）应收票据分类列示" w:id="181"/>
      <w:bookmarkEnd w:id="181"/>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）应收票据分类列示</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24"/>
          <w:szCs w:val="24"/>
        </w:rPr>
      </w:pPr>
    </w:p>
    <w:p>
      <w:pPr>
        <w:pStyle w:val="BodyText"/>
        <w:spacing w:line="240" w:lineRule="auto" w:before="0"/>
        <w:ind w:left="0" w:right="150"/>
        <w:jc w:val="right"/>
      </w:pPr>
      <w:r>
        <w:rPr/>
        <w:t>单位： 元</w:t>
      </w:r>
    </w:p>
    <w:p>
      <w:pPr>
        <w:spacing w:after="0" w:line="240" w:lineRule="auto"/>
        <w:jc w:val="right"/>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2）期末公司已质押的应收票据" w:id="182"/>
      <w:bookmarkEnd w:id="182"/>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）期末公司已质押的应收票据</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b/>
                <w:bCs/>
                <w:sz w:val="21"/>
                <w:szCs w:val="21"/>
              </w:rPr>
              <w:t>期末已质押金额</w:t>
            </w:r>
            <w:r>
              <w:rPr>
                <w:rFonts w:ascii="宋体" w:hAnsi="宋体" w:cs="宋体" w:eastAsia="宋体" w:hint="default"/>
                <w:sz w:val="21"/>
                <w:szCs w:val="21"/>
              </w:rPr>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3）期末公司已背书或贴现且在资产负债表日尚未到期的应收票据" w:id="183"/>
      <w:bookmarkEnd w:id="183"/>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）期末公司已背书或贴现且在资产负债表日尚未到期的应收票据</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758" w:right="0"/>
              <w:jc w:val="left"/>
              <w:rPr>
                <w:rFonts w:ascii="宋体" w:hAnsi="宋体" w:cs="宋体" w:eastAsia="宋体" w:hint="default"/>
                <w:sz w:val="21"/>
                <w:szCs w:val="21"/>
              </w:rPr>
            </w:pPr>
            <w:r>
              <w:rPr>
                <w:rFonts w:ascii="宋体" w:hAnsi="宋体" w:cs="宋体" w:eastAsia="宋体" w:hint="default"/>
                <w:b/>
                <w:bCs/>
                <w:sz w:val="21"/>
                <w:szCs w:val="21"/>
              </w:rPr>
              <w:t>期末终止确认金额</w:t>
            </w:r>
            <w:r>
              <w:rPr>
                <w:rFonts w:ascii="宋体" w:hAnsi="宋体" w:cs="宋体" w:eastAsia="宋体" w:hint="default"/>
                <w:sz w:val="21"/>
                <w:szCs w:val="21"/>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641" w:right="0"/>
              <w:jc w:val="left"/>
              <w:rPr>
                <w:rFonts w:ascii="宋体" w:hAnsi="宋体" w:cs="宋体" w:eastAsia="宋体" w:hint="default"/>
                <w:sz w:val="21"/>
                <w:szCs w:val="21"/>
              </w:rPr>
            </w:pPr>
            <w:r>
              <w:rPr>
                <w:rFonts w:ascii="宋体" w:hAnsi="宋体" w:cs="宋体" w:eastAsia="宋体" w:hint="default"/>
                <w:b/>
                <w:bCs/>
                <w:sz w:val="21"/>
                <w:szCs w:val="21"/>
              </w:rPr>
              <w:t>期末未终止确认金额</w:t>
            </w:r>
            <w:r>
              <w:rPr>
                <w:rFonts w:ascii="宋体" w:hAnsi="宋体" w:cs="宋体" w:eastAsia="宋体" w:hint="default"/>
                <w:sz w:val="21"/>
                <w:szCs w:val="21"/>
              </w:rPr>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4）期末公司因出票人未履约而将其转应收账款的票据" w:id="184"/>
      <w:bookmarkEnd w:id="184"/>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）期末公司因出票人未履约而将其转应收账款的票据</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449" w:right="0"/>
              <w:jc w:val="left"/>
              <w:rPr>
                <w:rFonts w:ascii="宋体" w:hAnsi="宋体" w:cs="宋体" w:eastAsia="宋体" w:hint="default"/>
                <w:sz w:val="21"/>
                <w:szCs w:val="21"/>
              </w:rPr>
            </w:pPr>
            <w:r>
              <w:rPr>
                <w:rFonts w:ascii="宋体" w:hAnsi="宋体" w:cs="宋体" w:eastAsia="宋体" w:hint="default"/>
                <w:b/>
                <w:bCs/>
                <w:sz w:val="21"/>
                <w:szCs w:val="21"/>
              </w:rPr>
              <w:t>期末转应收账款金额</w:t>
            </w:r>
            <w:r>
              <w:rPr>
                <w:rFonts w:ascii="宋体" w:hAnsi="宋体" w:cs="宋体" w:eastAsia="宋体" w:hint="default"/>
                <w:sz w:val="21"/>
                <w:szCs w:val="21"/>
              </w:rPr>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980" w:right="980"/>
        </w:sectPr>
      </w:pPr>
    </w:p>
    <w:p>
      <w:pPr>
        <w:spacing w:before="15"/>
        <w:ind w:left="9149" w:right="0" w:firstLine="0"/>
        <w:jc w:val="left"/>
        <w:rPr>
          <w:rFonts w:ascii="宋体" w:hAnsi="宋体" w:cs="宋体" w:eastAsia="宋体" w:hint="default"/>
          <w:sz w:val="18"/>
          <w:szCs w:val="18"/>
        </w:rPr>
      </w:pPr>
      <w:r>
        <w:rPr>
          <w:rFonts w:ascii="宋体" w:hAnsi="宋体" w:cs="宋体" w:eastAsia="宋体" w:hint="default"/>
          <w:sz w:val="18"/>
          <w:szCs w:val="18"/>
        </w:rPr>
        <w:t>北京中文在线数字出版股份有限公司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5"/>
          <w:szCs w:val="15"/>
        </w:rPr>
      </w:pPr>
    </w:p>
    <w:p>
      <w:pPr>
        <w:spacing w:before="26"/>
        <w:ind w:left="140" w:right="0" w:firstLine="0"/>
        <w:jc w:val="left"/>
        <w:rPr>
          <w:rFonts w:ascii="宋体" w:hAnsi="宋体" w:cs="宋体" w:eastAsia="宋体" w:hint="default"/>
          <w:sz w:val="24"/>
          <w:szCs w:val="24"/>
        </w:rPr>
      </w:pPr>
      <w:bookmarkStart w:name="5、应收账款" w:id="185"/>
      <w:bookmarkEnd w:id="185"/>
      <w:r>
        <w:rPr/>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、应收账款</w:t>
      </w:r>
      <w:r>
        <w:rPr>
          <w:rFonts w:ascii="宋体" w:hAnsi="宋体" w:cs="宋体" w:eastAsia="宋体" w:hint="default"/>
          <w:sz w:val="24"/>
          <w:szCs w:val="24"/>
        </w:rPr>
      </w:r>
    </w:p>
    <w:p>
      <w:pPr>
        <w:spacing w:line="240" w:lineRule="auto" w:before="7"/>
        <w:rPr>
          <w:rFonts w:ascii="宋体" w:hAnsi="宋体" w:cs="宋体" w:eastAsia="宋体" w:hint="default"/>
          <w:b/>
          <w:bCs/>
          <w:sz w:val="21"/>
          <w:szCs w:val="21"/>
        </w:rPr>
      </w:pPr>
    </w:p>
    <w:p>
      <w:pPr>
        <w:spacing w:before="0"/>
        <w:ind w:left="140" w:right="0" w:firstLine="0"/>
        <w:jc w:val="left"/>
        <w:rPr>
          <w:rFonts w:ascii="宋体" w:hAnsi="宋体" w:cs="宋体" w:eastAsia="宋体" w:hint="default"/>
          <w:sz w:val="24"/>
          <w:szCs w:val="24"/>
        </w:rPr>
      </w:pPr>
      <w:bookmarkStart w:name="（1）应收账款分类披露" w:id="186"/>
      <w:bookmarkEnd w:id="186"/>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）应收账款分类披露</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36"/>
        <w:jc w:val="right"/>
      </w:pPr>
      <w:r>
        <w:rPr/>
        <w:t>单位： 元</w:t>
      </w:r>
    </w:p>
    <w:p>
      <w:pPr>
        <w:spacing w:line="240" w:lineRule="auto" w:before="10"/>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271"/>
        <w:gridCol w:w="1381"/>
        <w:gridCol w:w="1016"/>
        <w:gridCol w:w="1159"/>
        <w:gridCol w:w="1018"/>
        <w:gridCol w:w="1264"/>
        <w:gridCol w:w="1256"/>
        <w:gridCol w:w="1016"/>
        <w:gridCol w:w="1159"/>
        <w:gridCol w:w="1197"/>
        <w:gridCol w:w="1266"/>
      </w:tblGrid>
      <w:tr>
        <w:trPr>
          <w:trHeight w:val="402" w:hRule="exact"/>
        </w:trPr>
        <w:tc>
          <w:tcPr>
            <w:tcW w:w="2271"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5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06" w:hRule="exact"/>
        </w:trPr>
        <w:tc>
          <w:tcPr>
            <w:tcW w:w="22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3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78"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1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661"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26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10"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3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51"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2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71" w:type="dxa"/>
            <w:vMerge/>
            <w:tcBorders>
              <w:left w:val="single" w:sz="4" w:space="0" w:color="000000"/>
              <w:bottom w:val="nil" w:sz="6" w:space="0" w:color="auto"/>
              <w:right w:val="single" w:sz="4" w:space="0" w:color="000000"/>
            </w:tcBorders>
            <w:shd w:val="clear" w:color="auto" w:fill="D2D2D2"/>
          </w:tcPr>
          <w:p>
            <w:pPr/>
          </w:p>
        </w:tc>
        <w:tc>
          <w:tcPr>
            <w:tcW w:w="2397" w:type="dxa"/>
            <w:gridSpan w:val="2"/>
            <w:vMerge/>
            <w:tcBorders>
              <w:left w:val="single" w:sz="4" w:space="0" w:color="000000"/>
              <w:bottom w:val="single" w:sz="4" w:space="0" w:color="000000"/>
              <w:right w:val="single" w:sz="4" w:space="0" w:color="000000"/>
            </w:tcBorders>
            <w:shd w:val="clear" w:color="auto" w:fill="D2D2D2"/>
          </w:tcPr>
          <w:p>
            <w:pPr/>
          </w:p>
        </w:tc>
        <w:tc>
          <w:tcPr>
            <w:tcW w:w="2177" w:type="dxa"/>
            <w:gridSpan w:val="2"/>
            <w:vMerge/>
            <w:tcBorders>
              <w:left w:val="single" w:sz="4" w:space="0" w:color="000000"/>
              <w:bottom w:val="single" w:sz="4" w:space="0" w:color="000000"/>
              <w:right w:val="single" w:sz="4" w:space="0" w:color="000000"/>
            </w:tcBorders>
            <w:shd w:val="clear" w:color="auto" w:fill="D2D2D2"/>
          </w:tcPr>
          <w:p>
            <w:pPr/>
          </w:p>
        </w:tc>
        <w:tc>
          <w:tcPr>
            <w:tcW w:w="12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05"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2273" w:type="dxa"/>
            <w:gridSpan w:val="2"/>
            <w:vMerge/>
            <w:tcBorders>
              <w:left w:val="single" w:sz="4" w:space="0" w:color="000000"/>
              <w:bottom w:val="single" w:sz="4" w:space="0" w:color="000000"/>
              <w:right w:val="single" w:sz="4" w:space="0" w:color="000000"/>
            </w:tcBorders>
            <w:shd w:val="clear" w:color="auto" w:fill="D2D2D2"/>
          </w:tcPr>
          <w:p>
            <w:pPr/>
          </w:p>
        </w:tc>
        <w:tc>
          <w:tcPr>
            <w:tcW w:w="2356" w:type="dxa"/>
            <w:gridSpan w:val="2"/>
            <w:vMerge/>
            <w:tcBorders>
              <w:left w:val="single" w:sz="4" w:space="0" w:color="000000"/>
              <w:bottom w:val="single" w:sz="4" w:space="0" w:color="000000"/>
              <w:right w:val="single" w:sz="4" w:space="0" w:color="000000"/>
            </w:tcBorders>
            <w:shd w:val="clear" w:color="auto" w:fill="D2D2D2"/>
          </w:tcPr>
          <w:p>
            <w:pPr/>
          </w:p>
        </w:tc>
        <w:tc>
          <w:tcPr>
            <w:tcW w:w="12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05"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202" w:hRule="exact"/>
        </w:trPr>
        <w:tc>
          <w:tcPr>
            <w:tcW w:w="2271" w:type="dxa"/>
            <w:vMerge w:val="restart"/>
            <w:tcBorders>
              <w:top w:val="nil" w:sz="6" w:space="0" w:color="auto"/>
              <w:left w:val="single" w:sz="4" w:space="0" w:color="000000"/>
              <w:right w:val="single" w:sz="4" w:space="0" w:color="000000"/>
            </w:tcBorders>
            <w:shd w:val="clear" w:color="auto" w:fill="D2D2D2"/>
          </w:tcPr>
          <w:p>
            <w:pPr/>
          </w:p>
        </w:tc>
        <w:tc>
          <w:tcPr>
            <w:tcW w:w="13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2"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91"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1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363"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81"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264" w:type="dxa"/>
            <w:vMerge/>
            <w:tcBorders>
              <w:left w:val="single" w:sz="4" w:space="0" w:color="000000"/>
              <w:bottom w:val="nil" w:sz="6" w:space="0" w:color="auto"/>
              <w:right w:val="single" w:sz="4" w:space="0" w:color="000000"/>
            </w:tcBorders>
            <w:shd w:val="clear" w:color="auto" w:fill="D2D2D2"/>
          </w:tcPr>
          <w:p>
            <w:pPr/>
          </w:p>
        </w:tc>
        <w:tc>
          <w:tcPr>
            <w:tcW w:w="12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412"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91"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1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363"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71"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266"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2271" w:type="dxa"/>
            <w:vMerge/>
            <w:tcBorders>
              <w:left w:val="single" w:sz="4" w:space="0" w:color="000000"/>
              <w:bottom w:val="single" w:sz="4" w:space="0" w:color="000000"/>
              <w:right w:val="single" w:sz="4" w:space="0" w:color="000000"/>
            </w:tcBorders>
            <w:shd w:val="clear" w:color="auto" w:fill="D2D2D2"/>
          </w:tcPr>
          <w:p>
            <w:pPr/>
          </w:p>
        </w:tc>
        <w:tc>
          <w:tcPr>
            <w:tcW w:w="1381" w:type="dxa"/>
            <w:vMerge/>
            <w:tcBorders>
              <w:left w:val="single" w:sz="4" w:space="0" w:color="000000"/>
              <w:bottom w:val="single" w:sz="4" w:space="0" w:color="000000"/>
              <w:right w:val="single" w:sz="4" w:space="0" w:color="000000"/>
            </w:tcBorders>
            <w:shd w:val="clear" w:color="auto" w:fill="D2D2D2"/>
          </w:tcPr>
          <w:p>
            <w:pPr/>
          </w:p>
        </w:tc>
        <w:tc>
          <w:tcPr>
            <w:tcW w:w="1016" w:type="dxa"/>
            <w:vMerge/>
            <w:tcBorders>
              <w:left w:val="single" w:sz="4" w:space="0" w:color="000000"/>
              <w:bottom w:val="single" w:sz="4" w:space="0" w:color="000000"/>
              <w:right w:val="single" w:sz="4" w:space="0" w:color="000000"/>
            </w:tcBorders>
            <w:shd w:val="clear" w:color="auto" w:fill="D2D2D2"/>
          </w:tcPr>
          <w:p>
            <w:pPr/>
          </w:p>
        </w:tc>
        <w:tc>
          <w:tcPr>
            <w:tcW w:w="1159" w:type="dxa"/>
            <w:vMerge/>
            <w:tcBorders>
              <w:left w:val="single" w:sz="4" w:space="0" w:color="000000"/>
              <w:bottom w:val="single" w:sz="4" w:space="0" w:color="000000"/>
              <w:right w:val="single" w:sz="4" w:space="0" w:color="000000"/>
            </w:tcBorders>
            <w:shd w:val="clear" w:color="auto" w:fill="D2D2D2"/>
          </w:tcPr>
          <w:p>
            <w:pPr/>
          </w:p>
        </w:tc>
        <w:tc>
          <w:tcPr>
            <w:tcW w:w="1018" w:type="dxa"/>
            <w:vMerge/>
            <w:tcBorders>
              <w:left w:val="single" w:sz="4" w:space="0" w:color="000000"/>
              <w:bottom w:val="single" w:sz="4" w:space="0" w:color="000000"/>
              <w:right w:val="single" w:sz="4" w:space="0" w:color="000000"/>
            </w:tcBorders>
            <w:shd w:val="clear" w:color="auto" w:fill="D2D2D2"/>
          </w:tcPr>
          <w:p>
            <w:pPr/>
          </w:p>
        </w:tc>
        <w:tc>
          <w:tcPr>
            <w:tcW w:w="12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6" w:type="dxa"/>
            <w:vMerge/>
            <w:tcBorders>
              <w:left w:val="single" w:sz="4" w:space="0" w:color="000000"/>
              <w:bottom w:val="single" w:sz="4" w:space="0" w:color="000000"/>
              <w:right w:val="single" w:sz="4" w:space="0" w:color="000000"/>
            </w:tcBorders>
            <w:shd w:val="clear" w:color="auto" w:fill="D2D2D2"/>
          </w:tcPr>
          <w:p>
            <w:pPr/>
          </w:p>
        </w:tc>
        <w:tc>
          <w:tcPr>
            <w:tcW w:w="1016" w:type="dxa"/>
            <w:vMerge/>
            <w:tcBorders>
              <w:left w:val="single" w:sz="4" w:space="0" w:color="000000"/>
              <w:bottom w:val="single" w:sz="4" w:space="0" w:color="000000"/>
              <w:right w:val="single" w:sz="4" w:space="0" w:color="000000"/>
            </w:tcBorders>
            <w:shd w:val="clear" w:color="auto" w:fill="D2D2D2"/>
          </w:tcPr>
          <w:p>
            <w:pPr/>
          </w:p>
        </w:tc>
        <w:tc>
          <w:tcPr>
            <w:tcW w:w="1159"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2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47"/>
              <w:jc w:val="left"/>
              <w:rPr>
                <w:rFonts w:ascii="宋体" w:hAnsi="宋体" w:cs="宋体" w:eastAsia="宋体" w:hint="default"/>
                <w:sz w:val="21"/>
                <w:szCs w:val="21"/>
              </w:rPr>
            </w:pPr>
            <w:r>
              <w:rPr>
                <w:rFonts w:ascii="宋体" w:hAnsi="宋体" w:cs="宋体" w:eastAsia="宋体" w:hint="default"/>
                <w:sz w:val="21"/>
                <w:szCs w:val="21"/>
              </w:rPr>
              <w:t>单项金额重大并单独计 提坏账准备的应收账款</w:t>
            </w:r>
          </w:p>
        </w:tc>
        <w:tc>
          <w:tcPr>
            <w:tcW w:w="1381" w:type="dxa"/>
            <w:tcBorders>
              <w:top w:val="single" w:sz="4" w:space="0" w:color="000000"/>
              <w:left w:val="single" w:sz="13" w:space="0" w:color="D2D2D2"/>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47"/>
              <w:jc w:val="left"/>
              <w:rPr>
                <w:rFonts w:ascii="宋体" w:hAnsi="宋体" w:cs="宋体" w:eastAsia="宋体" w:hint="default"/>
                <w:sz w:val="21"/>
                <w:szCs w:val="21"/>
              </w:rPr>
            </w:pPr>
            <w:r>
              <w:rPr>
                <w:rFonts w:ascii="宋体" w:hAnsi="宋体" w:cs="宋体" w:eastAsia="宋体" w:hint="default"/>
                <w:sz w:val="21"/>
                <w:szCs w:val="21"/>
              </w:rPr>
              <w:t>按信用风险特征组合计 提坏账准备的应收账款</w:t>
            </w:r>
          </w:p>
        </w:tc>
        <w:tc>
          <w:tcPr>
            <w:tcW w:w="13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102,203,659.55</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4,666,427.92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4.57%</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97,537,231.63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71,299,112.14</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4,728,626.84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6.63%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5" w:right="0"/>
              <w:jc w:val="left"/>
              <w:rPr>
                <w:rFonts w:ascii="Times New Roman" w:hAnsi="Times New Roman" w:cs="Times New Roman" w:eastAsia="Times New Roman" w:hint="default"/>
                <w:sz w:val="21"/>
                <w:szCs w:val="21"/>
              </w:rPr>
            </w:pPr>
            <w:r>
              <w:rPr>
                <w:rFonts w:ascii="Times New Roman"/>
                <w:sz w:val="21"/>
              </w:rPr>
              <w:t>66,570,485.30</w:t>
            </w:r>
          </w:p>
        </w:tc>
      </w:tr>
      <w:tr>
        <w:trPr>
          <w:trHeight w:val="1026"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47"/>
              <w:jc w:val="both"/>
              <w:rPr>
                <w:rFonts w:ascii="宋体" w:hAnsi="宋体" w:cs="宋体" w:eastAsia="宋体" w:hint="default"/>
                <w:sz w:val="21"/>
                <w:szCs w:val="21"/>
              </w:rPr>
            </w:pPr>
            <w:r>
              <w:rPr>
                <w:rFonts w:ascii="宋体" w:hAnsi="宋体" w:cs="宋体" w:eastAsia="宋体" w:hint="default"/>
                <w:sz w:val="21"/>
                <w:szCs w:val="21"/>
              </w:rPr>
              <w:t>单项金额不重大但单独 计提坏账准备的应收账 款</w:t>
            </w:r>
          </w:p>
        </w:tc>
        <w:tc>
          <w:tcPr>
            <w:tcW w:w="1381" w:type="dxa"/>
            <w:tcBorders>
              <w:top w:val="single" w:sz="4" w:space="0" w:color="000000"/>
              <w:left w:val="single" w:sz="13" w:space="0" w:color="D2D2D2"/>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102,203,659.55</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4,666,427.92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4.57%</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97,537,231.63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71,299,112.14</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4,728,626.84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6.63%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5" w:right="0"/>
              <w:jc w:val="left"/>
              <w:rPr>
                <w:rFonts w:ascii="Times New Roman" w:hAnsi="Times New Roman" w:cs="Times New Roman" w:eastAsia="Times New Roman" w:hint="default"/>
                <w:sz w:val="21"/>
                <w:szCs w:val="21"/>
              </w:rPr>
            </w:pPr>
            <w:r>
              <w:rPr>
                <w:rFonts w:ascii="Times New Roman"/>
                <w:sz w:val="21"/>
              </w:rPr>
              <w:t>66,570,485.30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before="76"/>
        <w:ind w:left="6904" w:right="6904" w:firstLine="0"/>
        <w:jc w:val="center"/>
        <w:rPr>
          <w:rFonts w:ascii="Times New Roman" w:hAnsi="Times New Roman" w:cs="Times New Roman" w:eastAsia="Times New Roman" w:hint="default"/>
          <w:sz w:val="18"/>
          <w:szCs w:val="18"/>
        </w:rPr>
      </w:pPr>
      <w:r>
        <w:rPr>
          <w:rFonts w:ascii="Times New Roman"/>
          <w:sz w:val="18"/>
        </w:rPr>
        <w:t>-111-</w:t>
      </w:r>
    </w:p>
    <w:p>
      <w:pPr>
        <w:spacing w:after="0"/>
        <w:jc w:val="center"/>
        <w:rPr>
          <w:rFonts w:ascii="Times New Roman" w:hAnsi="Times New Roman" w:cs="Times New Roman" w:eastAsia="Times New Roman" w:hint="default"/>
          <w:sz w:val="18"/>
          <w:szCs w:val="18"/>
        </w:rPr>
        <w:sectPr>
          <w:headerReference w:type="default" r:id="rId44"/>
          <w:footerReference w:type="default" r:id="rId45"/>
          <w:pgSz w:w="16840" w:h="11910" w:orient="landscape"/>
          <w:pgMar w:header="0" w:footer="0" w:top="800" w:bottom="280" w:left="1300" w:right="1300"/>
        </w:sectPr>
      </w:pPr>
    </w:p>
    <w:p>
      <w:pPr>
        <w:spacing w:line="240" w:lineRule="auto" w:before="2"/>
        <w:rPr>
          <w:rFonts w:ascii="Times New Roman" w:hAnsi="Times New Roman" w:cs="Times New Roman" w:eastAsia="Times New Roman" w:hint="default"/>
          <w:sz w:val="29"/>
          <w:szCs w:val="29"/>
        </w:rPr>
      </w:pPr>
    </w:p>
    <w:p>
      <w:pPr>
        <w:pStyle w:val="BodyText"/>
        <w:spacing w:line="240" w:lineRule="auto"/>
        <w:ind w:left="634" w:right="0"/>
        <w:jc w:val="left"/>
      </w:pPr>
      <w:r>
        <w:rPr/>
        <w:t>期末单项金额重大并单项计提坏账准备的应收账款：</w:t>
      </w:r>
    </w:p>
    <w:p>
      <w:pPr>
        <w:pStyle w:val="BodyText"/>
        <w:tabs>
          <w:tab w:pos="994" w:val="left" w:leader="none"/>
        </w:tabs>
        <w:spacing w:line="355" w:lineRule="auto" w:before="193"/>
        <w:ind w:left="634" w:right="4030"/>
        <w:jc w:val="left"/>
      </w:pPr>
      <w:r>
        <w:rPr>
          <w:rFonts w:ascii="Arial" w:hAnsi="Arial" w:cs="Arial" w:eastAsia="Arial" w:hint="default"/>
        </w:rPr>
        <w:t>□</w:t>
        <w:tab/>
      </w:r>
      <w:r>
        <w:rPr/>
        <w:t>适用 </w:t>
      </w:r>
      <w:r>
        <w:rPr>
          <w:rFonts w:ascii="Calibri" w:hAnsi="Calibri" w:cs="Calibri" w:eastAsia="Calibri" w:hint="default"/>
        </w:rPr>
        <w:t>√ </w:t>
      </w:r>
      <w:r>
        <w:rPr>
          <w:rFonts w:ascii="Calibri" w:hAnsi="Calibri" w:cs="Calibri" w:eastAsia="Calibri" w:hint="default"/>
          <w:spacing w:val="11"/>
        </w:rPr>
        <w:t> </w:t>
      </w:r>
      <w:r>
        <w:rPr/>
        <w:t>不适用</w:t>
      </w:r>
      <w:r>
        <w:rPr>
          <w:w w:val="99"/>
        </w:rPr>
        <w:t> </w:t>
      </w:r>
      <w:r>
        <w:rPr/>
        <w:t>组合中，按账龄分析法计提坏账准备的应收账款：</w:t>
      </w:r>
    </w:p>
    <w:p>
      <w:pPr>
        <w:spacing w:after="0" w:line="355" w:lineRule="auto"/>
        <w:jc w:val="left"/>
        <w:sectPr>
          <w:footerReference w:type="default" r:id="rId46"/>
          <w:pgSz w:w="11910" w:h="16840"/>
          <w:pgMar w:footer="979" w:header="0" w:top="1100" w:bottom="1160" w:left="980" w:right="980"/>
          <w:pgNumType w:start="112"/>
        </w:sectPr>
      </w:pPr>
    </w:p>
    <w:p>
      <w:pPr>
        <w:pStyle w:val="BodyText"/>
        <w:tabs>
          <w:tab w:pos="1834" w:val="left" w:leader="none"/>
        </w:tabs>
        <w:spacing w:line="240" w:lineRule="auto" w:before="78"/>
        <w:ind w:left="633" w:right="-20"/>
        <w:jc w:val="left"/>
      </w:pPr>
      <w:r>
        <w:rPr>
          <w:rFonts w:ascii="Calibri" w:hAnsi="Calibri" w:cs="Calibri" w:eastAsia="Calibri" w:hint="default"/>
        </w:rPr>
        <w:t>√  </w:t>
      </w:r>
      <w:r>
        <w:rPr/>
        <w:t>适用</w:t>
      </w:r>
      <w:r>
        <w:rPr>
          <w:spacing w:val="11"/>
        </w:rPr>
        <w:t> </w:t>
      </w:r>
      <w:r>
        <w:rPr>
          <w:rFonts w:ascii="Arial" w:hAnsi="Arial" w:cs="Arial" w:eastAsia="Arial" w:hint="default"/>
        </w:rPr>
        <w:t>□</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pStyle w:val="BodyText"/>
        <w:spacing w:line="240" w:lineRule="auto" w:before="193"/>
        <w:ind w:left="633" w:right="0"/>
        <w:jc w:val="left"/>
      </w:pPr>
      <w:r>
        <w:rPr/>
        <w:t>单位： 元</w:t>
      </w:r>
    </w:p>
    <w:p>
      <w:pPr>
        <w:spacing w:after="0" w:line="240" w:lineRule="auto"/>
        <w:jc w:val="left"/>
        <w:sectPr>
          <w:type w:val="continuous"/>
          <w:pgSz w:w="11910" w:h="16840"/>
          <w:pgMar w:top="1060" w:bottom="1160" w:left="980" w:right="980"/>
          <w:cols w:num="2" w:equalWidth="0">
            <w:col w:w="2555" w:space="5525"/>
            <w:col w:w="1870"/>
          </w:cols>
        </w:sectPr>
      </w:pP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5"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192"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775" w:right="0"/>
              <w:jc w:val="left"/>
              <w:rPr>
                <w:rFonts w:ascii="宋体" w:hAnsi="宋体" w:cs="宋体" w:eastAsia="宋体" w:hint="default"/>
                <w:sz w:val="21"/>
                <w:szCs w:val="21"/>
              </w:rPr>
            </w:pPr>
            <w:r>
              <w:rPr>
                <w:rFonts w:ascii="宋体" w:hAnsi="宋体" w:cs="宋体" w:eastAsia="宋体" w:hint="default"/>
                <w:b/>
                <w:bCs/>
                <w:sz w:val="21"/>
                <w:szCs w:val="21"/>
              </w:rPr>
              <w:t>应收账款</w:t>
            </w:r>
            <w:r>
              <w:rPr>
                <w:rFonts w:ascii="宋体" w:hAnsi="宋体" w:cs="宋体" w:eastAsia="宋体" w:hint="default"/>
                <w:sz w:val="21"/>
                <w:szCs w:val="21"/>
              </w:rPr>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769"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769"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95,040,340.01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1,900,806.79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2,733,474.19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410,021.13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2,404,350.00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1,202,175.00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398"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575,900.00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575,900.00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576,725.00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576,725.00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101,331,589.20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4,666,427.92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88" w:lineRule="auto" w:before="81"/>
        <w:ind w:left="634" w:right="3532"/>
        <w:jc w:val="left"/>
      </w:pPr>
      <w:r>
        <w:rPr/>
        <w:t>确定该组合依据的说明： 以应收账款的账龄为信用风险特征划分组合。 组合中，采用余额百分比法计提坏账准备的应收账款：</w:t>
      </w:r>
    </w:p>
    <w:p>
      <w:pPr>
        <w:pStyle w:val="BodyText"/>
        <w:tabs>
          <w:tab w:pos="994" w:val="left" w:leader="none"/>
        </w:tabs>
        <w:spacing w:line="355" w:lineRule="auto" w:before="44"/>
        <w:ind w:left="634" w:right="6670"/>
        <w:jc w:val="left"/>
      </w:pPr>
      <w:r>
        <w:rPr>
          <w:rFonts w:ascii="Arial" w:hAnsi="Arial" w:cs="Arial" w:eastAsia="Arial" w:hint="default"/>
        </w:rPr>
        <w:t>□</w:t>
        <w:tab/>
      </w:r>
      <w:r>
        <w:rPr/>
        <w:t>适用 </w:t>
      </w:r>
      <w:r>
        <w:rPr>
          <w:rFonts w:ascii="Calibri" w:hAnsi="Calibri" w:cs="Calibri" w:eastAsia="Calibri" w:hint="default"/>
        </w:rPr>
        <w:t>√ </w:t>
      </w:r>
      <w:r>
        <w:rPr>
          <w:rFonts w:ascii="Calibri" w:hAnsi="Calibri" w:cs="Calibri" w:eastAsia="Calibri" w:hint="default"/>
          <w:spacing w:val="11"/>
        </w:rPr>
        <w:t> </w:t>
      </w:r>
      <w:r>
        <w:rPr/>
        <w:t>不适用</w:t>
      </w:r>
      <w:r>
        <w:rPr>
          <w:w w:val="99"/>
        </w:rPr>
        <w:t> </w:t>
      </w:r>
      <w:r>
        <w:rPr/>
        <w:t>确定该组合依据的说明：</w:t>
      </w:r>
    </w:p>
    <w:p>
      <w:pPr>
        <w:pStyle w:val="BodyText"/>
        <w:spacing w:line="386" w:lineRule="auto" w:before="78"/>
        <w:ind w:left="633" w:right="173"/>
        <w:jc w:val="left"/>
      </w:pPr>
      <w:r>
        <w:rPr/>
        <w:t>组合中，采用其他方法计提坏账准备的应收账款： 采用其他方法计提坏账准备的组合为：与交易对象关系的组合，该组合为应收关联方款</w:t>
      </w:r>
    </w:p>
    <w:p>
      <w:pPr>
        <w:pStyle w:val="BodyText"/>
        <w:spacing w:line="240" w:lineRule="auto" w:before="8"/>
        <w:ind w:right="0"/>
        <w:jc w:val="left"/>
      </w:pPr>
      <w:r>
        <w:rPr/>
        <w:t>项，不计提坏账准备，期末应收款项余额为</w:t>
      </w:r>
      <w:r>
        <w:rPr>
          <w:spacing w:val="-60"/>
        </w:rPr>
        <w:t> </w:t>
      </w:r>
      <w:r>
        <w:rPr>
          <w:rFonts w:ascii="宋体" w:hAnsi="宋体" w:cs="宋体" w:eastAsia="宋体" w:hint="default"/>
        </w:rPr>
        <w:t>872,070.35</w:t>
      </w:r>
      <w:r>
        <w:rPr>
          <w:rFonts w:ascii="宋体" w:hAnsi="宋体" w:cs="宋体" w:eastAsia="宋体" w:hint="default"/>
          <w:spacing w:val="-60"/>
        </w:rPr>
        <w:t> </w:t>
      </w:r>
      <w:r>
        <w:rPr/>
        <w:t>元。</w:t>
      </w:r>
    </w:p>
    <w:p>
      <w:pPr>
        <w:spacing w:line="240" w:lineRule="auto" w:before="10"/>
        <w:rPr>
          <w:rFonts w:ascii="宋体" w:hAnsi="宋体" w:cs="宋体" w:eastAsia="宋体" w:hint="default"/>
          <w:sz w:val="28"/>
          <w:szCs w:val="28"/>
        </w:rPr>
      </w:pPr>
    </w:p>
    <w:p>
      <w:pPr>
        <w:spacing w:before="0"/>
        <w:ind w:left="153" w:right="0" w:firstLine="0"/>
        <w:jc w:val="left"/>
        <w:rPr>
          <w:rFonts w:ascii="宋体" w:hAnsi="宋体" w:cs="宋体" w:eastAsia="宋体" w:hint="default"/>
          <w:sz w:val="24"/>
          <w:szCs w:val="24"/>
        </w:rPr>
      </w:pPr>
      <w:bookmarkStart w:name="（2）本期计提、收回或转回的坏账准备情况" w:id="187"/>
      <w:bookmarkEnd w:id="187"/>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）本期计提、收回或转回的坏账准备情况</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pStyle w:val="BodyText"/>
        <w:spacing w:line="388" w:lineRule="auto" w:before="0"/>
        <w:ind w:left="633" w:right="653"/>
        <w:jc w:val="left"/>
      </w:pPr>
      <w:r>
        <w:rPr/>
        <w:t>本期计提坏账准备金额</w:t>
      </w:r>
      <w:r>
        <w:rPr>
          <w:spacing w:val="-60"/>
        </w:rPr>
        <w:t> </w:t>
      </w:r>
      <w:r>
        <w:rPr>
          <w:rFonts w:ascii="宋体" w:hAnsi="宋体" w:cs="宋体" w:eastAsia="宋体" w:hint="default"/>
        </w:rPr>
        <w:t>2,061,080.08</w:t>
      </w:r>
      <w:r>
        <w:rPr>
          <w:rFonts w:ascii="宋体" w:hAnsi="宋体" w:cs="宋体" w:eastAsia="宋体" w:hint="default"/>
          <w:spacing w:val="-60"/>
        </w:rPr>
        <w:t> </w:t>
      </w:r>
      <w:r>
        <w:rPr/>
        <w:t>元；本期收回或转回坏账准备金额</w:t>
      </w:r>
      <w:r>
        <w:rPr>
          <w:spacing w:val="-60"/>
        </w:rPr>
        <w:t> </w:t>
      </w:r>
      <w:r>
        <w:rPr>
          <w:rFonts w:ascii="宋体" w:hAnsi="宋体" w:cs="宋体" w:eastAsia="宋体" w:hint="default"/>
        </w:rPr>
        <w:t>0.00</w:t>
      </w:r>
      <w:r>
        <w:rPr>
          <w:rFonts w:ascii="宋体" w:hAnsi="宋体" w:cs="宋体" w:eastAsia="宋体" w:hint="default"/>
          <w:spacing w:val="-60"/>
        </w:rPr>
        <w:t> </w:t>
      </w:r>
      <w:r>
        <w:rPr/>
        <w:t>元。 其中本期坏账准备收回或转回金额重要的：</w:t>
      </w:r>
    </w:p>
    <w:p>
      <w:pPr>
        <w:pStyle w:val="BodyText"/>
        <w:spacing w:line="240" w:lineRule="auto" w:before="44"/>
        <w:ind w:left="634" w:right="0"/>
        <w:jc w:val="left"/>
      </w:pPr>
      <w:r>
        <w:rPr/>
        <w:t>无。</w:t>
      </w:r>
    </w:p>
    <w:p>
      <w:pPr>
        <w:spacing w:after="0" w:line="240" w:lineRule="auto"/>
        <w:jc w:val="left"/>
        <w:sectPr>
          <w:type w:val="continuous"/>
          <w:pgSz w:w="11910" w:h="16840"/>
          <w:pgMar w:top="1060" w:bottom="1160" w:left="980" w:right="980"/>
        </w:sectPr>
      </w:pPr>
    </w:p>
    <w:p>
      <w:pPr>
        <w:spacing w:line="240" w:lineRule="auto" w:before="8"/>
        <w:rPr>
          <w:rFonts w:ascii="宋体" w:hAnsi="宋体" w:cs="宋体" w:eastAsia="宋体" w:hint="default"/>
          <w:sz w:val="19"/>
          <w:szCs w:val="19"/>
        </w:rPr>
      </w:pPr>
    </w:p>
    <w:p>
      <w:pPr>
        <w:spacing w:before="26"/>
        <w:ind w:left="214" w:right="316" w:firstLine="0"/>
        <w:jc w:val="left"/>
        <w:rPr>
          <w:rFonts w:ascii="宋体" w:hAnsi="宋体" w:cs="宋体" w:eastAsia="宋体" w:hint="default"/>
          <w:sz w:val="24"/>
          <w:szCs w:val="24"/>
        </w:rPr>
      </w:pPr>
      <w:bookmarkStart w:name="（3）本期实际核销的应收账款情况" w:id="188"/>
      <w:bookmarkEnd w:id="188"/>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）本期实际核销的应收账款情况</w:t>
      </w:r>
      <w:r>
        <w:rPr>
          <w:rFonts w:ascii="宋体" w:hAnsi="宋体" w:cs="宋体" w:eastAsia="宋体" w:hint="default"/>
          <w:sz w:val="24"/>
          <w:szCs w:val="24"/>
        </w:rPr>
      </w:r>
    </w:p>
    <w:p>
      <w:pPr>
        <w:spacing w:line="240" w:lineRule="auto" w:before="6"/>
        <w:rPr>
          <w:rFonts w:ascii="宋体" w:hAnsi="宋体" w:cs="宋体" w:eastAsia="宋体" w:hint="default"/>
          <w:b/>
          <w:bCs/>
          <w:sz w:val="19"/>
          <w:szCs w:val="19"/>
        </w:rPr>
      </w:pPr>
    </w:p>
    <w:p>
      <w:pPr>
        <w:pStyle w:val="BodyText"/>
        <w:spacing w:line="240" w:lineRule="auto"/>
        <w:ind w:left="0" w:right="230"/>
        <w:jc w:val="right"/>
      </w:pPr>
      <w:r>
        <w:rPr/>
        <w:t>单位： 元</w:t>
      </w:r>
    </w:p>
    <w:p>
      <w:pPr>
        <w:spacing w:line="240" w:lineRule="auto" w:before="11"/>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核销金额</w:t>
            </w:r>
            <w:r>
              <w:rPr>
                <w:rFonts w:ascii="宋体" w:hAnsi="宋体" w:cs="宋体" w:eastAsia="宋体" w:hint="default"/>
                <w:sz w:val="21"/>
                <w:szCs w:val="21"/>
              </w:rPr>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2,123,279.00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before="26"/>
        <w:ind w:left="213" w:right="316" w:firstLine="0"/>
        <w:jc w:val="left"/>
        <w:rPr>
          <w:rFonts w:ascii="宋体" w:hAnsi="宋体" w:cs="宋体" w:eastAsia="宋体" w:hint="default"/>
          <w:sz w:val="24"/>
          <w:szCs w:val="24"/>
        </w:rPr>
      </w:pPr>
      <w:bookmarkStart w:name="（4）按欠款方归集的期末余额前五吊的应收账款情况" w:id="189"/>
      <w:bookmarkEnd w:id="189"/>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）按欠款方归集的期末余额前五名的应收账款情况</w:t>
      </w:r>
      <w:r>
        <w:rPr>
          <w:rFonts w:ascii="宋体" w:hAnsi="宋体" w:cs="宋体" w:eastAsia="宋体" w:hint="default"/>
          <w:sz w:val="24"/>
          <w:szCs w:val="24"/>
        </w:rPr>
      </w:r>
    </w:p>
    <w:p>
      <w:pPr>
        <w:spacing w:line="240" w:lineRule="auto" w:before="5"/>
        <w:rPr>
          <w:rFonts w:ascii="宋体" w:hAnsi="宋体" w:cs="宋体" w:eastAsia="宋体" w:hint="default"/>
          <w:b/>
          <w:bCs/>
          <w:sz w:val="24"/>
          <w:szCs w:val="24"/>
        </w:rPr>
      </w:pPr>
    </w:p>
    <w:tbl>
      <w:tblPr>
        <w:tblW w:w="0" w:type="auto"/>
        <w:jc w:val="left"/>
        <w:tblInd w:w="101" w:type="dxa"/>
        <w:tblLayout w:type="fixed"/>
        <w:tblCellMar>
          <w:top w:w="0" w:type="dxa"/>
          <w:left w:w="0" w:type="dxa"/>
          <w:bottom w:w="0" w:type="dxa"/>
          <w:right w:w="0" w:type="dxa"/>
        </w:tblCellMar>
        <w:tblLook w:val="01E0"/>
      </w:tblPr>
      <w:tblGrid>
        <w:gridCol w:w="3618"/>
        <w:gridCol w:w="1802"/>
        <w:gridCol w:w="1309"/>
        <w:gridCol w:w="1474"/>
        <w:gridCol w:w="1652"/>
      </w:tblGrid>
      <w:tr>
        <w:trPr>
          <w:trHeight w:val="1258" w:hRule="exact"/>
        </w:trPr>
        <w:tc>
          <w:tcPr>
            <w:tcW w:w="36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8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年末余额</w:t>
            </w:r>
            <w:r>
              <w:rPr>
                <w:rFonts w:ascii="宋体" w:hAnsi="宋体" w:cs="宋体" w:eastAsia="宋体" w:hint="default"/>
                <w:sz w:val="21"/>
                <w:szCs w:val="21"/>
              </w:rPr>
            </w:r>
          </w:p>
        </w:tc>
        <w:tc>
          <w:tcPr>
            <w:tcW w:w="13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4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占应收账款</w:t>
            </w:r>
            <w:r>
              <w:rPr>
                <w:rFonts w:ascii="宋体" w:hAnsi="宋体" w:cs="宋体" w:eastAsia="宋体" w:hint="default"/>
                <w:sz w:val="21"/>
                <w:szCs w:val="21"/>
              </w:rPr>
            </w:r>
          </w:p>
          <w:p>
            <w:pPr>
              <w:pStyle w:val="TableParagraph"/>
              <w:spacing w:line="295" w:lineRule="auto" w:before="37"/>
              <w:ind w:left="205" w:right="204"/>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年末余额合</w:t>
            </w:r>
            <w:r>
              <w:rPr>
                <w:rFonts w:ascii="宋体" w:hAnsi="宋体" w:cs="宋体" w:eastAsia="宋体" w:hint="default"/>
                <w:b/>
                <w:bCs/>
                <w:w w:val="99"/>
                <w:sz w:val="21"/>
                <w:szCs w:val="21"/>
              </w:rPr>
              <w:t> </w:t>
            </w:r>
            <w:r>
              <w:rPr>
                <w:rFonts w:ascii="宋体" w:hAnsi="宋体" w:cs="宋体" w:eastAsia="宋体" w:hint="default"/>
                <w:b/>
                <w:bCs/>
                <w:sz w:val="21"/>
                <w:szCs w:val="21"/>
              </w:rPr>
              <w:t>计数的比例</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6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73" w:lineRule="auto"/>
              <w:ind w:left="610" w:right="189" w:hanging="423"/>
              <w:jc w:val="left"/>
              <w:rPr>
                <w:rFonts w:ascii="宋体" w:hAnsi="宋体" w:cs="宋体" w:eastAsia="宋体" w:hint="default"/>
                <w:sz w:val="21"/>
                <w:szCs w:val="21"/>
              </w:rPr>
            </w:pPr>
            <w:r>
              <w:rPr>
                <w:rFonts w:ascii="宋体" w:hAnsi="宋体" w:cs="宋体" w:eastAsia="宋体" w:hint="default"/>
                <w:b/>
                <w:bCs/>
                <w:sz w:val="21"/>
                <w:szCs w:val="21"/>
              </w:rPr>
              <w:t>坏账准备年末</w:t>
            </w:r>
            <w:r>
              <w:rPr>
                <w:rFonts w:ascii="宋体" w:hAnsi="宋体" w:cs="宋体" w:eastAsia="宋体" w:hint="default"/>
                <w:b/>
                <w:bCs/>
                <w:w w:val="99"/>
                <w:sz w:val="21"/>
                <w:szCs w:val="21"/>
              </w:rPr>
              <w:t> </w:t>
            </w:r>
            <w:r>
              <w:rPr>
                <w:rFonts w:ascii="宋体" w:hAnsi="宋体" w:cs="宋体" w:eastAsia="宋体" w:hint="default"/>
                <w:b/>
                <w:bCs/>
                <w:sz w:val="21"/>
                <w:szCs w:val="21"/>
              </w:rPr>
              <w:t>余额</w:t>
            </w:r>
            <w:r>
              <w:rPr>
                <w:rFonts w:ascii="宋体" w:hAnsi="宋体" w:cs="宋体" w:eastAsia="宋体" w:hint="default"/>
                <w:sz w:val="21"/>
                <w:szCs w:val="21"/>
              </w:rPr>
            </w:r>
          </w:p>
        </w:tc>
      </w:tr>
      <w:tr>
        <w:trPr>
          <w:trHeight w:val="323"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中国移动通信集团浙江有限公司</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51,432,776.59</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50.32</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1,028,655.53</w:t>
            </w:r>
          </w:p>
        </w:tc>
      </w:tr>
      <w:tr>
        <w:trPr>
          <w:trHeight w:val="322"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上海阅闻信息技术有限公司</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8,969,423.96</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8.78</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179,388.48</w:t>
            </w:r>
          </w:p>
        </w:tc>
      </w:tr>
      <w:tr>
        <w:trPr>
          <w:trHeight w:val="322"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上海太浩影视文化传媒有限公司</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5,000,000.00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4.89</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100,000.00</w:t>
            </w:r>
          </w:p>
        </w:tc>
      </w:tr>
      <w:tr>
        <w:trPr>
          <w:trHeight w:val="323"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上海新华传媒连锁有限公司</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4,000,000.00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3.91</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80,000.00</w:t>
            </w:r>
          </w:p>
        </w:tc>
      </w:tr>
      <w:tr>
        <w:trPr>
          <w:trHeight w:val="322"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德赛电子（惠州）有限公司</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1,800,000.00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1.76</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900,000.00</w:t>
            </w:r>
          </w:p>
        </w:tc>
      </w:tr>
      <w:tr>
        <w:trPr>
          <w:trHeight w:val="323"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b/>
                <w:sz w:val="21"/>
              </w:rPr>
              <w:t>71,202,200.55</w:t>
            </w:r>
            <w:r>
              <w:rPr>
                <w:rFonts w:ascii="Times New Roman"/>
                <w:sz w:val="21"/>
              </w:rPr>
            </w:r>
          </w:p>
        </w:tc>
        <w:tc>
          <w:tcPr>
            <w:tcW w:w="130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b/>
                <w:sz w:val="21"/>
              </w:rPr>
              <w:t>69.66</w:t>
            </w:r>
            <w:r>
              <w:rPr>
                <w:rFonts w:ascii="Times New Roman"/>
                <w:sz w:val="21"/>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b/>
                <w:sz w:val="21"/>
              </w:rPr>
              <w:t>2,288,044.01</w:t>
            </w:r>
            <w:r>
              <w:rPr>
                <w:rFonts w:ascii="Times New Roman"/>
                <w:sz w:val="21"/>
              </w:rPr>
            </w:r>
          </w:p>
        </w:tc>
      </w:tr>
    </w:tbl>
    <w:p>
      <w:pPr>
        <w:spacing w:line="240" w:lineRule="auto" w:before="2"/>
        <w:rPr>
          <w:rFonts w:ascii="宋体" w:hAnsi="宋体" w:cs="宋体" w:eastAsia="宋体" w:hint="default"/>
          <w:b/>
          <w:bCs/>
          <w:sz w:val="18"/>
          <w:szCs w:val="18"/>
        </w:rPr>
      </w:pPr>
    </w:p>
    <w:p>
      <w:pPr>
        <w:spacing w:line="499" w:lineRule="auto" w:before="26"/>
        <w:ind w:left="693" w:right="4950" w:hanging="480"/>
        <w:jc w:val="left"/>
        <w:rPr>
          <w:rFonts w:ascii="宋体" w:hAnsi="宋体" w:cs="宋体" w:eastAsia="宋体" w:hint="default"/>
          <w:sz w:val="24"/>
          <w:szCs w:val="24"/>
        </w:rPr>
      </w:pPr>
      <w:bookmarkStart w:name="（5）因金融资产转移而终止确认的应收账款" w:id="190"/>
      <w:bookmarkEnd w:id="190"/>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5</w:t>
      </w:r>
      <w:r>
        <w:rPr>
          <w:rFonts w:ascii="宋体" w:hAnsi="宋体" w:cs="宋体" w:eastAsia="宋体" w:hint="default"/>
          <w:b/>
          <w:bCs/>
          <w:w w:val="95"/>
          <w:sz w:val="24"/>
          <w:szCs w:val="24"/>
        </w:rPr>
        <w:t>）因金融资产转移而终止确认的应收账款</w:t>
      </w:r>
      <w:r>
        <w:rPr>
          <w:rFonts w:ascii="宋体" w:hAnsi="宋体" w:cs="宋体" w:eastAsia="宋体" w:hint="default"/>
          <w:b/>
          <w:bCs/>
          <w:spacing w:val="103"/>
          <w:w w:val="95"/>
          <w:sz w:val="24"/>
          <w:szCs w:val="24"/>
        </w:rPr>
        <w:t> </w:t>
      </w:r>
      <w:r>
        <w:rPr>
          <w:rFonts w:ascii="宋体" w:hAnsi="宋体" w:cs="宋体" w:eastAsia="宋体" w:hint="default"/>
          <w:sz w:val="24"/>
          <w:szCs w:val="24"/>
        </w:rPr>
        <w:t>无。</w:t>
      </w:r>
    </w:p>
    <w:p>
      <w:pPr>
        <w:spacing w:line="499" w:lineRule="auto" w:before="115"/>
        <w:ind w:left="693" w:right="4034" w:hanging="480"/>
        <w:jc w:val="left"/>
        <w:rPr>
          <w:rFonts w:ascii="宋体" w:hAnsi="宋体" w:cs="宋体" w:eastAsia="宋体" w:hint="default"/>
          <w:sz w:val="24"/>
          <w:szCs w:val="24"/>
        </w:rPr>
      </w:pPr>
      <w:bookmarkStart w:name="（6）转移应收账款且继续涉入形成的资产、负债金额" w:id="191"/>
      <w:bookmarkEnd w:id="191"/>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6</w:t>
      </w:r>
      <w:r>
        <w:rPr>
          <w:rFonts w:ascii="宋体" w:hAnsi="宋体" w:cs="宋体" w:eastAsia="宋体" w:hint="default"/>
          <w:b/>
          <w:bCs/>
          <w:w w:val="95"/>
          <w:sz w:val="24"/>
          <w:szCs w:val="24"/>
        </w:rPr>
        <w:t>）转移应收账款且继续涉入形成的资产、负债金额</w:t>
      </w:r>
      <w:r>
        <w:rPr>
          <w:rFonts w:ascii="宋体" w:hAnsi="宋体" w:cs="宋体" w:eastAsia="宋体" w:hint="default"/>
          <w:b/>
          <w:bCs/>
          <w:spacing w:val="32"/>
          <w:w w:val="95"/>
          <w:sz w:val="24"/>
          <w:szCs w:val="24"/>
        </w:rPr>
        <w:t> </w:t>
      </w:r>
      <w:r>
        <w:rPr>
          <w:rFonts w:ascii="宋体" w:hAnsi="宋体" w:cs="宋体" w:eastAsia="宋体" w:hint="default"/>
          <w:sz w:val="24"/>
          <w:szCs w:val="24"/>
        </w:rPr>
        <w:t>无。</w:t>
      </w:r>
    </w:p>
    <w:p>
      <w:pPr>
        <w:spacing w:before="115"/>
        <w:ind w:left="213" w:right="316" w:firstLine="0"/>
        <w:jc w:val="left"/>
        <w:rPr>
          <w:rFonts w:ascii="宋体" w:hAnsi="宋体" w:cs="宋体" w:eastAsia="宋体" w:hint="default"/>
          <w:sz w:val="24"/>
          <w:szCs w:val="24"/>
        </w:rPr>
      </w:pPr>
      <w:bookmarkStart w:name="6、预付款项" w:id="192"/>
      <w:bookmarkEnd w:id="192"/>
      <w:r>
        <w:rPr/>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、预付款项</w:t>
      </w:r>
      <w:r>
        <w:rPr>
          <w:rFonts w:ascii="宋体" w:hAnsi="宋体" w:cs="宋体" w:eastAsia="宋体" w:hint="default"/>
          <w:sz w:val="24"/>
          <w:szCs w:val="24"/>
        </w:rPr>
      </w:r>
    </w:p>
    <w:p>
      <w:pPr>
        <w:spacing w:line="240" w:lineRule="auto" w:before="7"/>
        <w:rPr>
          <w:rFonts w:ascii="宋体" w:hAnsi="宋体" w:cs="宋体" w:eastAsia="宋体" w:hint="default"/>
          <w:b/>
          <w:bCs/>
          <w:sz w:val="21"/>
          <w:szCs w:val="21"/>
        </w:rPr>
      </w:pPr>
    </w:p>
    <w:p>
      <w:pPr>
        <w:spacing w:before="0"/>
        <w:ind w:left="214" w:right="316" w:firstLine="0"/>
        <w:jc w:val="left"/>
        <w:rPr>
          <w:rFonts w:ascii="宋体" w:hAnsi="宋体" w:cs="宋体" w:eastAsia="宋体" w:hint="default"/>
          <w:sz w:val="24"/>
          <w:szCs w:val="24"/>
        </w:rPr>
      </w:pPr>
      <w:bookmarkStart w:name="（1）预付款项按账龄列示" w:id="193"/>
      <w:bookmarkEnd w:id="193"/>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）预付款项按账龄列示</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230"/>
        <w:jc w:val="right"/>
      </w:pPr>
      <w:r>
        <w:rPr/>
        <w:t>单位： 元</w:t>
      </w:r>
    </w:p>
    <w:p>
      <w:pPr>
        <w:spacing w:line="240" w:lineRule="auto" w:before="10"/>
        <w:rPr>
          <w:rFonts w:ascii="宋体" w:hAnsi="宋体" w:cs="宋体" w:eastAsia="宋体" w:hint="default"/>
          <w:sz w:val="5"/>
          <w:szCs w:val="5"/>
        </w:rPr>
      </w:pPr>
    </w:p>
    <w:tbl>
      <w:tblPr>
        <w:tblW w:w="0" w:type="auto"/>
        <w:jc w:val="left"/>
        <w:tblInd w:w="22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1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3"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22,780,193.92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95.19%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3,075,012.72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85.44%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720,564.77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112,924.46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3.14%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223,959.02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347,299.94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9.65%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207,000.00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z w:val="21"/>
              </w:rPr>
              <w:t>63,589.74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1.77%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6"/>
              <w:ind w:right="9"/>
              <w:jc w:val="right"/>
              <w:rPr>
                <w:rFonts w:ascii="Times New Roman" w:hAnsi="Times New Roman" w:cs="Times New Roman" w:eastAsia="Times New Roman" w:hint="default"/>
                <w:sz w:val="21"/>
                <w:szCs w:val="21"/>
              </w:rPr>
            </w:pPr>
            <w:r>
              <w:rPr>
                <w:rFonts w:ascii="Times New Roman"/>
                <w:sz w:val="21"/>
              </w:rPr>
              <w:t>23,931,717.71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3,598,826.86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979" w:top="1100" w:bottom="1160" w:left="920" w:right="900"/>
        </w:sectPr>
      </w:pPr>
    </w:p>
    <w:p>
      <w:pPr>
        <w:spacing w:line="240" w:lineRule="auto" w:before="9"/>
        <w:rPr>
          <w:rFonts w:ascii="宋体" w:hAnsi="宋体" w:cs="宋体" w:eastAsia="宋体" w:hint="default"/>
          <w:sz w:val="25"/>
          <w:szCs w:val="25"/>
        </w:rPr>
      </w:pPr>
    </w:p>
    <w:p>
      <w:pPr>
        <w:pStyle w:val="BodyText"/>
        <w:spacing w:line="388" w:lineRule="auto"/>
        <w:ind w:left="693" w:right="2893"/>
        <w:jc w:val="left"/>
      </w:pPr>
      <w:r>
        <w:rPr/>
        <w:t>账龄超过</w:t>
      </w:r>
      <w:r>
        <w:rPr>
          <w:spacing w:val="-60"/>
        </w:rPr>
        <w:t> </w:t>
      </w:r>
      <w:r>
        <w:rPr>
          <w:rFonts w:ascii="宋体" w:hAnsi="宋体" w:cs="宋体" w:eastAsia="宋体" w:hint="default"/>
        </w:rPr>
        <w:t>1</w:t>
      </w:r>
      <w:r>
        <w:rPr>
          <w:rFonts w:ascii="宋体" w:hAnsi="宋体" w:cs="宋体" w:eastAsia="宋体" w:hint="default"/>
          <w:spacing w:val="-60"/>
        </w:rPr>
        <w:t> </w:t>
      </w:r>
      <w:r>
        <w:rPr/>
        <w:t>年且金额重要的预付款项未及时结算原因的说明： 无。</w:t>
      </w:r>
    </w:p>
    <w:p>
      <w:pPr>
        <w:spacing w:line="240" w:lineRule="auto" w:before="5"/>
        <w:rPr>
          <w:rFonts w:ascii="宋体" w:hAnsi="宋体" w:cs="宋体" w:eastAsia="宋体" w:hint="default"/>
          <w:sz w:val="17"/>
          <w:szCs w:val="17"/>
        </w:rPr>
      </w:pPr>
    </w:p>
    <w:p>
      <w:pPr>
        <w:spacing w:before="0"/>
        <w:ind w:left="213" w:right="316" w:firstLine="0"/>
        <w:jc w:val="left"/>
        <w:rPr>
          <w:rFonts w:ascii="宋体" w:hAnsi="宋体" w:cs="宋体" w:eastAsia="宋体" w:hint="default"/>
          <w:sz w:val="24"/>
          <w:szCs w:val="24"/>
        </w:rPr>
      </w:pPr>
      <w:bookmarkStart w:name="（2）按预付对象归集的期末余额前五吊的预付款情况" w:id="194"/>
      <w:bookmarkEnd w:id="194"/>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）按预付对象归集的期末余额前五名的预付款情况</w:t>
      </w:r>
      <w:r>
        <w:rPr>
          <w:rFonts w:ascii="宋体" w:hAnsi="宋体" w:cs="宋体" w:eastAsia="宋体" w:hint="default"/>
          <w:sz w:val="24"/>
          <w:szCs w:val="24"/>
        </w:rPr>
      </w:r>
    </w:p>
    <w:p>
      <w:pPr>
        <w:spacing w:line="240" w:lineRule="auto" w:before="4"/>
        <w:rPr>
          <w:rFonts w:ascii="宋体" w:hAnsi="宋体" w:cs="宋体" w:eastAsia="宋体" w:hint="default"/>
          <w:b/>
          <w:bCs/>
          <w:sz w:val="24"/>
          <w:szCs w:val="24"/>
        </w:rPr>
      </w:pPr>
    </w:p>
    <w:tbl>
      <w:tblPr>
        <w:tblW w:w="0" w:type="auto"/>
        <w:jc w:val="left"/>
        <w:tblInd w:w="101" w:type="dxa"/>
        <w:tblLayout w:type="fixed"/>
        <w:tblCellMar>
          <w:top w:w="0" w:type="dxa"/>
          <w:left w:w="0" w:type="dxa"/>
          <w:bottom w:w="0" w:type="dxa"/>
          <w:right w:w="0" w:type="dxa"/>
        </w:tblCellMar>
        <w:tblLook w:val="01E0"/>
      </w:tblPr>
      <w:tblGrid>
        <w:gridCol w:w="3620"/>
        <w:gridCol w:w="2128"/>
        <w:gridCol w:w="1691"/>
        <w:gridCol w:w="2417"/>
      </w:tblGrid>
      <w:tr>
        <w:trPr>
          <w:trHeight w:val="634" w:hRule="exact"/>
        </w:trPr>
        <w:tc>
          <w:tcPr>
            <w:tcW w:w="3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left="637" w:right="0"/>
              <w:jc w:val="left"/>
              <w:rPr>
                <w:rFonts w:ascii="宋体" w:hAnsi="宋体" w:cs="宋体" w:eastAsia="宋体" w:hint="default"/>
                <w:sz w:val="21"/>
                <w:szCs w:val="21"/>
              </w:rPr>
            </w:pPr>
            <w:r>
              <w:rPr>
                <w:rFonts w:ascii="宋体" w:hAnsi="宋体" w:cs="宋体" w:eastAsia="宋体" w:hint="default"/>
                <w:b/>
                <w:bCs/>
                <w:sz w:val="21"/>
                <w:szCs w:val="21"/>
              </w:rPr>
              <w:t>年末余额</w:t>
            </w:r>
            <w:r>
              <w:rPr>
                <w:rFonts w:ascii="宋体" w:hAnsi="宋体" w:cs="宋体" w:eastAsia="宋体" w:hint="default"/>
                <w:sz w:val="21"/>
                <w:szCs w:val="21"/>
              </w:rPr>
            </w:r>
          </w:p>
        </w:tc>
        <w:tc>
          <w:tcPr>
            <w:tcW w:w="16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2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占预付款项年末余额合</w:t>
            </w:r>
            <w:r>
              <w:rPr>
                <w:rFonts w:ascii="宋体" w:hAnsi="宋体" w:cs="宋体" w:eastAsia="宋体" w:hint="default"/>
                <w:sz w:val="21"/>
                <w:szCs w:val="21"/>
              </w:rPr>
            </w:r>
          </w:p>
          <w:p>
            <w:pPr>
              <w:pStyle w:val="TableParagraph"/>
              <w:spacing w:line="240" w:lineRule="auto" w:before="37"/>
              <w:ind w:right="1"/>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计数的比例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322" w:hRule="exact"/>
        </w:trPr>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华人汇和科技园建设有限公司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17,406,200.00</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6"/>
              <w:jc w:val="right"/>
              <w:rPr>
                <w:rFonts w:ascii="Times New Roman" w:hAnsi="Times New Roman" w:cs="Times New Roman" w:eastAsia="Times New Roman" w:hint="default"/>
                <w:sz w:val="21"/>
                <w:szCs w:val="21"/>
              </w:rPr>
            </w:pPr>
            <w:r>
              <w:rPr>
                <w:rFonts w:ascii="Times New Roman"/>
                <w:sz w:val="21"/>
              </w:rPr>
              <w:t>72.73</w:t>
            </w:r>
          </w:p>
        </w:tc>
      </w:tr>
      <w:tr>
        <w:trPr>
          <w:trHeight w:val="322" w:hRule="exact"/>
        </w:trPr>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北京永利多房地产有限公司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3,042,684.00</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6"/>
              <w:jc w:val="right"/>
              <w:rPr>
                <w:rFonts w:ascii="Times New Roman" w:hAnsi="Times New Roman" w:cs="Times New Roman" w:eastAsia="Times New Roman" w:hint="default"/>
                <w:sz w:val="21"/>
                <w:szCs w:val="21"/>
              </w:rPr>
            </w:pPr>
            <w:r>
              <w:rPr>
                <w:rFonts w:ascii="Times New Roman"/>
                <w:sz w:val="21"/>
              </w:rPr>
              <w:t>12.71</w:t>
            </w:r>
          </w:p>
        </w:tc>
      </w:tr>
      <w:tr>
        <w:trPr>
          <w:trHeight w:val="323" w:hRule="exact"/>
        </w:trPr>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北京华杨玉印科技有限公司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1,240,000.00</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8"/>
              <w:jc w:val="right"/>
              <w:rPr>
                <w:rFonts w:ascii="Times New Roman" w:hAnsi="Times New Roman" w:cs="Times New Roman" w:eastAsia="Times New Roman" w:hint="default"/>
                <w:sz w:val="21"/>
                <w:szCs w:val="21"/>
              </w:rPr>
            </w:pPr>
            <w:r>
              <w:rPr>
                <w:rFonts w:ascii="Times New Roman"/>
                <w:sz w:val="21"/>
              </w:rPr>
              <w:t>5.18</w:t>
            </w:r>
          </w:p>
        </w:tc>
      </w:tr>
      <w:tr>
        <w:trPr>
          <w:trHeight w:val="322" w:hRule="exact"/>
        </w:trPr>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人民邮电出版社</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497,671.03</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8"/>
              <w:jc w:val="right"/>
              <w:rPr>
                <w:rFonts w:ascii="Times New Roman" w:hAnsi="Times New Roman" w:cs="Times New Roman" w:eastAsia="Times New Roman" w:hint="default"/>
                <w:sz w:val="21"/>
                <w:szCs w:val="21"/>
              </w:rPr>
            </w:pPr>
            <w:r>
              <w:rPr>
                <w:rFonts w:ascii="Times New Roman"/>
                <w:sz w:val="21"/>
              </w:rPr>
              <w:t>2.08</w:t>
            </w:r>
          </w:p>
        </w:tc>
      </w:tr>
      <w:tr>
        <w:trPr>
          <w:trHeight w:val="322" w:hRule="exact"/>
        </w:trPr>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北京大吕文化传播有限公司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307,101.10</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8"/>
              <w:jc w:val="right"/>
              <w:rPr>
                <w:rFonts w:ascii="Times New Roman" w:hAnsi="Times New Roman" w:cs="Times New Roman" w:eastAsia="Times New Roman" w:hint="default"/>
                <w:sz w:val="21"/>
                <w:szCs w:val="21"/>
              </w:rPr>
            </w:pPr>
            <w:r>
              <w:rPr>
                <w:rFonts w:ascii="Times New Roman"/>
                <w:sz w:val="21"/>
              </w:rPr>
              <w:t>1.28</w:t>
            </w:r>
          </w:p>
        </w:tc>
      </w:tr>
      <w:tr>
        <w:trPr>
          <w:trHeight w:val="323" w:hRule="exact"/>
        </w:trPr>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1"/>
                <w:szCs w:val="21"/>
              </w:rPr>
            </w:pPr>
            <w:r>
              <w:rPr>
                <w:rFonts w:ascii="Times New Roman"/>
                <w:b/>
                <w:spacing w:val="-1"/>
                <w:sz w:val="21"/>
              </w:rPr>
              <w:t>22,493,656.13</w:t>
            </w:r>
            <w:r>
              <w:rPr>
                <w:rFonts w:ascii="Times New Roman"/>
                <w:spacing w:val="-1"/>
                <w:sz w:val="21"/>
              </w:rPr>
            </w:r>
          </w:p>
        </w:tc>
        <w:tc>
          <w:tcPr>
            <w:tcW w:w="1691"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66"/>
              <w:jc w:val="right"/>
              <w:rPr>
                <w:rFonts w:ascii="Times New Roman" w:hAnsi="Times New Roman" w:cs="Times New Roman" w:eastAsia="Times New Roman" w:hint="default"/>
                <w:sz w:val="21"/>
                <w:szCs w:val="21"/>
              </w:rPr>
            </w:pPr>
            <w:r>
              <w:rPr>
                <w:rFonts w:ascii="Times New Roman"/>
                <w:b/>
                <w:sz w:val="21"/>
              </w:rPr>
              <w:t>93.98</w:t>
            </w:r>
            <w:r>
              <w:rPr>
                <w:rFonts w:ascii="Times New Roman"/>
                <w:sz w:val="21"/>
              </w:rPr>
            </w:r>
          </w:p>
        </w:tc>
      </w:tr>
    </w:tbl>
    <w:p>
      <w:pPr>
        <w:spacing w:line="240" w:lineRule="auto" w:before="2"/>
        <w:rPr>
          <w:rFonts w:ascii="宋体" w:hAnsi="宋体" w:cs="宋体" w:eastAsia="宋体" w:hint="default"/>
          <w:b/>
          <w:bCs/>
          <w:sz w:val="18"/>
          <w:szCs w:val="18"/>
        </w:rPr>
      </w:pPr>
    </w:p>
    <w:p>
      <w:pPr>
        <w:spacing w:line="508" w:lineRule="auto" w:before="26"/>
        <w:ind w:left="227" w:right="8560" w:firstLine="0"/>
        <w:jc w:val="center"/>
        <w:rPr>
          <w:rFonts w:ascii="宋体" w:hAnsi="宋体" w:cs="宋体" w:eastAsia="宋体" w:hint="default"/>
          <w:sz w:val="24"/>
          <w:szCs w:val="24"/>
        </w:rPr>
      </w:pPr>
      <w:bookmarkStart w:name="7、应收利息" w:id="195"/>
      <w:bookmarkEnd w:id="195"/>
      <w:r>
        <w:rPr/>
      </w:r>
      <w:r>
        <w:rPr>
          <w:rFonts w:ascii="Times New Roman" w:hAnsi="Times New Roman" w:cs="Times New Roman" w:eastAsia="Times New Roman" w:hint="default"/>
          <w:b/>
          <w:bCs/>
          <w:w w:val="95"/>
          <w:sz w:val="24"/>
          <w:szCs w:val="24"/>
        </w:rPr>
        <w:t>7</w:t>
      </w:r>
      <w:r>
        <w:rPr>
          <w:rFonts w:ascii="宋体" w:hAnsi="宋体" w:cs="宋体" w:eastAsia="宋体" w:hint="default"/>
          <w:b/>
          <w:bCs/>
          <w:w w:val="95"/>
          <w:sz w:val="24"/>
          <w:szCs w:val="24"/>
        </w:rPr>
        <w:t>、应收利息</w:t>
      </w:r>
      <w:r>
        <w:rPr>
          <w:rFonts w:ascii="宋体" w:hAnsi="宋体" w:cs="宋体" w:eastAsia="宋体" w:hint="default"/>
          <w:b/>
          <w:bCs/>
          <w:spacing w:val="-58"/>
          <w:w w:val="95"/>
          <w:sz w:val="24"/>
          <w:szCs w:val="24"/>
        </w:rPr>
        <w:t> </w:t>
      </w:r>
      <w:r>
        <w:rPr>
          <w:rFonts w:ascii="宋体" w:hAnsi="宋体" w:cs="宋体" w:eastAsia="宋体" w:hint="default"/>
          <w:sz w:val="24"/>
          <w:szCs w:val="24"/>
        </w:rPr>
        <w:t>无。 </w:t>
      </w:r>
      <w:bookmarkStart w:name="8、应收股利" w:id="196"/>
      <w:bookmarkEnd w:id="196"/>
      <w:r>
        <w:rPr>
          <w:rFonts w:ascii="宋体" w:hAnsi="宋体" w:cs="宋体" w:eastAsia="宋体" w:hint="default"/>
          <w:sz w:val="24"/>
          <w:szCs w:val="24"/>
        </w:rPr>
      </w:r>
      <w:r>
        <w:rPr>
          <w:rFonts w:ascii="Times New Roman" w:hAnsi="Times New Roman" w:cs="Times New Roman" w:eastAsia="Times New Roman" w:hint="default"/>
          <w:b/>
          <w:bCs/>
          <w:w w:val="95"/>
          <w:sz w:val="24"/>
          <w:szCs w:val="24"/>
        </w:rPr>
        <w:t>8</w:t>
      </w:r>
      <w:r>
        <w:rPr>
          <w:rFonts w:ascii="宋体" w:hAnsi="宋体" w:cs="宋体" w:eastAsia="宋体" w:hint="default"/>
          <w:b/>
          <w:bCs/>
          <w:w w:val="95"/>
          <w:sz w:val="24"/>
          <w:szCs w:val="24"/>
        </w:rPr>
        <w:t>、应收股利</w:t>
      </w:r>
      <w:r>
        <w:rPr>
          <w:rFonts w:ascii="宋体" w:hAnsi="宋体" w:cs="宋体" w:eastAsia="宋体" w:hint="default"/>
          <w:b/>
          <w:bCs/>
          <w:spacing w:val="-58"/>
          <w:w w:val="95"/>
          <w:sz w:val="24"/>
          <w:szCs w:val="24"/>
        </w:rPr>
        <w:t> </w:t>
      </w:r>
      <w:r>
        <w:rPr>
          <w:rFonts w:ascii="宋体" w:hAnsi="宋体" w:cs="宋体" w:eastAsia="宋体" w:hint="default"/>
          <w:sz w:val="24"/>
          <w:szCs w:val="24"/>
        </w:rPr>
        <w:t>无。</w:t>
      </w:r>
    </w:p>
    <w:p>
      <w:pPr>
        <w:spacing w:after="0" w:line="508" w:lineRule="auto"/>
        <w:jc w:val="center"/>
        <w:rPr>
          <w:rFonts w:ascii="宋体" w:hAnsi="宋体" w:cs="宋体" w:eastAsia="宋体" w:hint="default"/>
          <w:sz w:val="24"/>
          <w:szCs w:val="24"/>
        </w:rPr>
        <w:sectPr>
          <w:pgSz w:w="11910" w:h="16840"/>
          <w:pgMar w:header="0" w:footer="979" w:top="1100" w:bottom="1160" w:left="920" w:right="900"/>
        </w:sectPr>
      </w:pPr>
    </w:p>
    <w:p>
      <w:pPr>
        <w:spacing w:before="15"/>
        <w:ind w:left="9149" w:right="0" w:firstLine="0"/>
        <w:jc w:val="left"/>
        <w:rPr>
          <w:rFonts w:ascii="宋体" w:hAnsi="宋体" w:cs="宋体" w:eastAsia="宋体" w:hint="default"/>
          <w:sz w:val="18"/>
          <w:szCs w:val="18"/>
        </w:rPr>
      </w:pPr>
      <w:r>
        <w:rPr>
          <w:rFonts w:ascii="宋体" w:hAnsi="宋体" w:cs="宋体" w:eastAsia="宋体" w:hint="default"/>
          <w:sz w:val="18"/>
          <w:szCs w:val="18"/>
        </w:rPr>
        <w:t>北京中文在线数字出版股份有限公司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5"/>
          <w:szCs w:val="15"/>
        </w:rPr>
      </w:pPr>
    </w:p>
    <w:p>
      <w:pPr>
        <w:spacing w:before="26"/>
        <w:ind w:left="140" w:right="0" w:firstLine="0"/>
        <w:jc w:val="left"/>
        <w:rPr>
          <w:rFonts w:ascii="宋体" w:hAnsi="宋体" w:cs="宋体" w:eastAsia="宋体" w:hint="default"/>
          <w:sz w:val="24"/>
          <w:szCs w:val="24"/>
        </w:rPr>
      </w:pPr>
      <w:bookmarkStart w:name="9、其他应收款" w:id="197"/>
      <w:bookmarkEnd w:id="197"/>
      <w:r>
        <w:rPr/>
      </w:r>
      <w:r>
        <w:rPr>
          <w:rFonts w:ascii="Times New Roman" w:hAnsi="Times New Roman" w:cs="Times New Roman" w:eastAsia="Times New Roman" w:hint="default"/>
          <w:b/>
          <w:bCs/>
          <w:sz w:val="24"/>
          <w:szCs w:val="24"/>
        </w:rPr>
        <w:t>9</w:t>
      </w:r>
      <w:r>
        <w:rPr>
          <w:rFonts w:ascii="宋体" w:hAnsi="宋体" w:cs="宋体" w:eastAsia="宋体" w:hint="default"/>
          <w:b/>
          <w:bCs/>
          <w:sz w:val="24"/>
          <w:szCs w:val="24"/>
        </w:rPr>
        <w:t>、其他应收款</w:t>
      </w:r>
      <w:r>
        <w:rPr>
          <w:rFonts w:ascii="宋体" w:hAnsi="宋体" w:cs="宋体" w:eastAsia="宋体" w:hint="default"/>
          <w:sz w:val="24"/>
          <w:szCs w:val="24"/>
        </w:rPr>
      </w:r>
    </w:p>
    <w:p>
      <w:pPr>
        <w:spacing w:line="240" w:lineRule="auto" w:before="7"/>
        <w:rPr>
          <w:rFonts w:ascii="宋体" w:hAnsi="宋体" w:cs="宋体" w:eastAsia="宋体" w:hint="default"/>
          <w:b/>
          <w:bCs/>
          <w:sz w:val="21"/>
          <w:szCs w:val="21"/>
        </w:rPr>
      </w:pPr>
    </w:p>
    <w:p>
      <w:pPr>
        <w:spacing w:before="0"/>
        <w:ind w:left="140" w:right="0" w:firstLine="0"/>
        <w:jc w:val="left"/>
        <w:rPr>
          <w:rFonts w:ascii="宋体" w:hAnsi="宋体" w:cs="宋体" w:eastAsia="宋体" w:hint="default"/>
          <w:sz w:val="24"/>
          <w:szCs w:val="24"/>
        </w:rPr>
      </w:pPr>
      <w:bookmarkStart w:name="（1）其他应收款分类披露" w:id="198"/>
      <w:bookmarkEnd w:id="198"/>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）其他应收款分类披露</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36"/>
        <w:jc w:val="right"/>
      </w:pPr>
      <w:r>
        <w:rPr/>
        <w:t>单位： 元</w:t>
      </w:r>
    </w:p>
    <w:p>
      <w:pPr>
        <w:spacing w:line="240" w:lineRule="auto" w:before="10"/>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4029"/>
        <w:gridCol w:w="1171"/>
        <w:gridCol w:w="809"/>
        <w:gridCol w:w="1002"/>
        <w:gridCol w:w="857"/>
        <w:gridCol w:w="1159"/>
        <w:gridCol w:w="1151"/>
        <w:gridCol w:w="809"/>
        <w:gridCol w:w="1001"/>
        <w:gridCol w:w="857"/>
        <w:gridCol w:w="1159"/>
      </w:tblGrid>
      <w:tr>
        <w:trPr>
          <w:trHeight w:val="397" w:hRule="exact"/>
        </w:trPr>
        <w:tc>
          <w:tcPr>
            <w:tcW w:w="4029" w:type="dxa"/>
            <w:vMerge w:val="restart"/>
            <w:tcBorders>
              <w:top w:val="single" w:sz="4" w:space="0" w:color="000000"/>
              <w:left w:val="single" w:sz="4" w:space="0" w:color="000000"/>
              <w:right w:val="single" w:sz="4" w:space="0" w:color="000000"/>
            </w:tcBorders>
            <w:shd w:val="clear" w:color="auto" w:fill="D2D2D2"/>
          </w:tcPr>
          <w:p>
            <w:pPr/>
          </w:p>
        </w:tc>
        <w:tc>
          <w:tcPr>
            <w:tcW w:w="499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497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166" w:hRule="exact"/>
        </w:trPr>
        <w:tc>
          <w:tcPr>
            <w:tcW w:w="4029" w:type="dxa"/>
            <w:vMerge/>
            <w:tcBorders>
              <w:left w:val="single" w:sz="4" w:space="0" w:color="000000"/>
              <w:bottom w:val="nil" w:sz="6" w:space="0" w:color="auto"/>
              <w:right w:val="single" w:sz="4" w:space="0" w:color="000000"/>
            </w:tcBorders>
            <w:shd w:val="clear" w:color="auto" w:fill="D2D2D2"/>
          </w:tcPr>
          <w:p>
            <w:pPr/>
          </w:p>
        </w:tc>
        <w:tc>
          <w:tcPr>
            <w:tcW w:w="19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569"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8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502"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159" w:type="dxa"/>
            <w:vMerge w:val="restart"/>
            <w:tcBorders>
              <w:top w:val="single" w:sz="4" w:space="0" w:color="000000"/>
              <w:left w:val="single" w:sz="4" w:space="0" w:color="000000"/>
              <w:right w:val="single" w:sz="4" w:space="0" w:color="000000"/>
            </w:tcBorders>
            <w:shd w:val="clear" w:color="auto" w:fill="D2D2D2"/>
          </w:tcPr>
          <w:p>
            <w:pPr/>
          </w:p>
        </w:tc>
        <w:tc>
          <w:tcPr>
            <w:tcW w:w="19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553"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8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501"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159"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40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979" w:type="dxa"/>
            <w:gridSpan w:val="2"/>
            <w:vMerge/>
            <w:tcBorders>
              <w:left w:val="single" w:sz="4" w:space="0" w:color="000000"/>
              <w:bottom w:val="single" w:sz="4" w:space="0" w:color="000000"/>
              <w:right w:val="single" w:sz="4" w:space="0" w:color="000000"/>
            </w:tcBorders>
            <w:shd w:val="clear" w:color="auto" w:fill="D2D2D2"/>
          </w:tcPr>
          <w:p>
            <w:pPr/>
          </w:p>
        </w:tc>
        <w:tc>
          <w:tcPr>
            <w:tcW w:w="1859" w:type="dxa"/>
            <w:gridSpan w:val="2"/>
            <w:vMerge/>
            <w:tcBorders>
              <w:left w:val="single" w:sz="4" w:space="0" w:color="000000"/>
              <w:bottom w:val="single" w:sz="4" w:space="0" w:color="000000"/>
              <w:right w:val="single" w:sz="4" w:space="0" w:color="000000"/>
            </w:tcBorders>
            <w:shd w:val="clear" w:color="auto" w:fill="D2D2D2"/>
          </w:tcPr>
          <w:p>
            <w:pPr/>
          </w:p>
        </w:tc>
        <w:tc>
          <w:tcPr>
            <w:tcW w:w="1159" w:type="dxa"/>
            <w:vMerge/>
            <w:tcBorders>
              <w:left w:val="single" w:sz="4" w:space="0" w:color="000000"/>
              <w:bottom w:val="nil" w:sz="6" w:space="0" w:color="auto"/>
              <w:right w:val="single" w:sz="4" w:space="0" w:color="000000"/>
            </w:tcBorders>
            <w:shd w:val="clear" w:color="auto" w:fill="D2D2D2"/>
          </w:tcPr>
          <w:p>
            <w:pPr/>
          </w:p>
        </w:tc>
        <w:tc>
          <w:tcPr>
            <w:tcW w:w="1960" w:type="dxa"/>
            <w:gridSpan w:val="2"/>
            <w:vMerge/>
            <w:tcBorders>
              <w:left w:val="single" w:sz="4" w:space="0" w:color="000000"/>
              <w:bottom w:val="single" w:sz="4" w:space="0" w:color="000000"/>
              <w:right w:val="single" w:sz="4" w:space="0" w:color="000000"/>
            </w:tcBorders>
            <w:shd w:val="clear" w:color="auto" w:fill="D2D2D2"/>
          </w:tcPr>
          <w:p>
            <w:pPr/>
          </w:p>
        </w:tc>
        <w:tc>
          <w:tcPr>
            <w:tcW w:w="1858" w:type="dxa"/>
            <w:gridSpan w:val="2"/>
            <w:vMerge/>
            <w:tcBorders>
              <w:left w:val="single" w:sz="4" w:space="0" w:color="000000"/>
              <w:bottom w:val="single" w:sz="4" w:space="0" w:color="000000"/>
              <w:right w:val="single" w:sz="4" w:space="0" w:color="000000"/>
            </w:tcBorders>
            <w:shd w:val="clear" w:color="auto" w:fill="D2D2D2"/>
          </w:tcPr>
          <w:p>
            <w:pPr/>
          </w:p>
        </w:tc>
        <w:tc>
          <w:tcPr>
            <w:tcW w:w="1159"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4029" w:type="dxa"/>
            <w:vMerge/>
            <w:tcBorders>
              <w:left w:val="single" w:sz="4" w:space="0" w:color="000000"/>
              <w:bottom w:val="single" w:sz="4" w:space="0" w:color="FFFFFF"/>
              <w:right w:val="single" w:sz="4" w:space="0" w:color="000000"/>
            </w:tcBorders>
            <w:shd w:val="clear" w:color="auto" w:fill="D2D2D2"/>
          </w:tcPr>
          <w:p>
            <w:pPr/>
          </w:p>
        </w:tc>
        <w:tc>
          <w:tcPr>
            <w:tcW w:w="117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80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100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85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317" w:right="104" w:hanging="212"/>
              <w:jc w:val="left"/>
              <w:rPr>
                <w:rFonts w:ascii="宋体" w:hAnsi="宋体" w:cs="宋体" w:eastAsia="宋体" w:hint="default"/>
                <w:sz w:val="21"/>
                <w:szCs w:val="21"/>
              </w:rPr>
            </w:pPr>
            <w:r>
              <w:rPr>
                <w:rFonts w:ascii="宋体" w:hAnsi="宋体" w:cs="宋体" w:eastAsia="宋体" w:hint="default"/>
                <w:b/>
                <w:bCs/>
                <w:sz w:val="21"/>
                <w:szCs w:val="21"/>
              </w:rPr>
              <w:t>计提比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159" w:type="dxa"/>
            <w:vMerge w:val="restart"/>
            <w:tcBorders>
              <w:top w:val="nil" w:sz="6" w:space="0" w:color="auto"/>
              <w:left w:val="single" w:sz="4" w:space="0" w:color="000000"/>
              <w:right w:val="single" w:sz="4" w:space="0" w:color="000000"/>
            </w:tcBorders>
            <w:shd w:val="clear" w:color="auto" w:fill="D2D2D2"/>
          </w:tcPr>
          <w:p>
            <w:pPr>
              <w:pStyle w:val="TableParagraph"/>
              <w:spacing w:line="261" w:lineRule="exact"/>
              <w:ind w:left="152"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151" w:type="dxa"/>
            <w:tcBorders>
              <w:top w:val="single" w:sz="4" w:space="0" w:color="000000"/>
              <w:left w:val="single" w:sz="4" w:space="0" w:color="000000"/>
              <w:bottom w:val="nil" w:sz="6" w:space="0" w:color="auto"/>
              <w:right w:val="single" w:sz="4" w:space="0" w:color="000000"/>
            </w:tcBorders>
            <w:shd w:val="clear" w:color="auto" w:fill="D2D2D2"/>
          </w:tcPr>
          <w:p>
            <w:pP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317" w:right="105" w:hanging="212"/>
              <w:jc w:val="left"/>
              <w:rPr>
                <w:rFonts w:ascii="宋体" w:hAnsi="宋体" w:cs="宋体" w:eastAsia="宋体" w:hint="default"/>
                <w:sz w:val="21"/>
                <w:szCs w:val="21"/>
              </w:rPr>
            </w:pPr>
            <w:r>
              <w:rPr>
                <w:rFonts w:ascii="宋体" w:hAnsi="宋体" w:cs="宋体" w:eastAsia="宋体" w:hint="default"/>
                <w:b/>
                <w:bCs/>
                <w:sz w:val="21"/>
                <w:szCs w:val="21"/>
              </w:rPr>
              <w:t>计提比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159" w:type="dxa"/>
            <w:vMerge w:val="restart"/>
            <w:tcBorders>
              <w:top w:val="nil" w:sz="6" w:space="0" w:color="auto"/>
              <w:left w:val="single" w:sz="4" w:space="0" w:color="000000"/>
              <w:right w:val="single" w:sz="4" w:space="0" w:color="000000"/>
            </w:tcBorders>
            <w:shd w:val="clear" w:color="auto" w:fill="D2D2D2"/>
          </w:tcPr>
          <w:p>
            <w:pPr>
              <w:pStyle w:val="TableParagraph"/>
              <w:spacing w:line="261" w:lineRule="exact"/>
              <w:ind w:left="153"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194" w:hRule="exact"/>
        </w:trPr>
        <w:tc>
          <w:tcPr>
            <w:tcW w:w="4029" w:type="dxa"/>
            <w:vMerge w:val="restart"/>
            <w:tcBorders>
              <w:top w:val="single" w:sz="4" w:space="0" w:color="FFFFFF"/>
              <w:left w:val="single" w:sz="4" w:space="0" w:color="000000"/>
              <w:right w:val="single" w:sz="4" w:space="0" w:color="000000"/>
            </w:tcBorders>
            <w:shd w:val="clear" w:color="auto" w:fill="D2D2D2"/>
          </w:tcPr>
          <w:p>
            <w:pPr/>
          </w:p>
        </w:tc>
        <w:tc>
          <w:tcPr>
            <w:tcW w:w="117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376"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0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188"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00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285"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57" w:type="dxa"/>
            <w:vMerge/>
            <w:tcBorders>
              <w:left w:val="single" w:sz="4" w:space="0" w:color="000000"/>
              <w:right w:val="single" w:sz="4" w:space="0" w:color="000000"/>
            </w:tcBorders>
            <w:shd w:val="clear" w:color="auto" w:fill="D2D2D2"/>
          </w:tcPr>
          <w:p>
            <w:pPr/>
          </w:p>
        </w:tc>
        <w:tc>
          <w:tcPr>
            <w:tcW w:w="1159" w:type="dxa"/>
            <w:vMerge/>
            <w:tcBorders>
              <w:left w:val="single" w:sz="4" w:space="0" w:color="000000"/>
              <w:bottom w:val="nil" w:sz="6" w:space="0" w:color="auto"/>
              <w:right w:val="single" w:sz="4" w:space="0" w:color="000000"/>
            </w:tcBorders>
            <w:shd w:val="clear" w:color="auto" w:fill="D2D2D2"/>
          </w:tcPr>
          <w:p>
            <w:pPr/>
          </w:p>
        </w:tc>
        <w:tc>
          <w:tcPr>
            <w:tcW w:w="11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60"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88"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84"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57" w:type="dxa"/>
            <w:vMerge/>
            <w:tcBorders>
              <w:left w:val="single" w:sz="4" w:space="0" w:color="000000"/>
              <w:right w:val="single" w:sz="4" w:space="0" w:color="000000"/>
            </w:tcBorders>
            <w:shd w:val="clear" w:color="auto" w:fill="D2D2D2"/>
          </w:tcPr>
          <w:p>
            <w:pPr/>
          </w:p>
        </w:tc>
        <w:tc>
          <w:tcPr>
            <w:tcW w:w="1159"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4029" w:type="dxa"/>
            <w:vMerge/>
            <w:tcBorders>
              <w:left w:val="single" w:sz="4" w:space="0" w:color="000000"/>
              <w:right w:val="single" w:sz="4" w:space="0" w:color="000000"/>
            </w:tcBorders>
            <w:shd w:val="clear" w:color="auto" w:fill="D2D2D2"/>
          </w:tcPr>
          <w:p>
            <w:pPr/>
          </w:p>
        </w:tc>
        <w:tc>
          <w:tcPr>
            <w:tcW w:w="1171" w:type="dxa"/>
            <w:vMerge/>
            <w:tcBorders>
              <w:left w:val="single" w:sz="4" w:space="0" w:color="000000"/>
              <w:bottom w:val="nil" w:sz="6" w:space="0" w:color="auto"/>
              <w:right w:val="single" w:sz="4" w:space="0" w:color="000000"/>
            </w:tcBorders>
            <w:shd w:val="clear" w:color="auto" w:fill="D2D2D2"/>
          </w:tcPr>
          <w:p>
            <w:pPr/>
          </w:p>
        </w:tc>
        <w:tc>
          <w:tcPr>
            <w:tcW w:w="809" w:type="dxa"/>
            <w:vMerge/>
            <w:tcBorders>
              <w:left w:val="single" w:sz="4" w:space="0" w:color="000000"/>
              <w:bottom w:val="nil" w:sz="6" w:space="0" w:color="auto"/>
              <w:right w:val="single" w:sz="4" w:space="0" w:color="000000"/>
            </w:tcBorders>
            <w:shd w:val="clear" w:color="auto" w:fill="D2D2D2"/>
          </w:tcPr>
          <w:p>
            <w:pPr/>
          </w:p>
        </w:tc>
        <w:tc>
          <w:tcPr>
            <w:tcW w:w="1002" w:type="dxa"/>
            <w:vMerge/>
            <w:tcBorders>
              <w:left w:val="single" w:sz="4" w:space="0" w:color="000000"/>
              <w:bottom w:val="nil" w:sz="6" w:space="0" w:color="auto"/>
              <w:right w:val="single" w:sz="4" w:space="0" w:color="000000"/>
            </w:tcBorders>
            <w:shd w:val="clear" w:color="auto" w:fill="D2D2D2"/>
          </w:tcPr>
          <w:p>
            <w:pPr/>
          </w:p>
        </w:tc>
        <w:tc>
          <w:tcPr>
            <w:tcW w:w="857" w:type="dxa"/>
            <w:vMerge/>
            <w:tcBorders>
              <w:left w:val="single" w:sz="4" w:space="0" w:color="000000"/>
              <w:right w:val="single" w:sz="4" w:space="0" w:color="000000"/>
            </w:tcBorders>
            <w:shd w:val="clear" w:color="auto" w:fill="D2D2D2"/>
          </w:tcPr>
          <w:p>
            <w:pPr/>
          </w:p>
        </w:tc>
        <w:tc>
          <w:tcPr>
            <w:tcW w:w="1159" w:type="dxa"/>
            <w:vMerge w:val="restart"/>
            <w:tcBorders>
              <w:top w:val="nil" w:sz="6" w:space="0" w:color="auto"/>
              <w:left w:val="single" w:sz="4" w:space="0" w:color="000000"/>
              <w:right w:val="single" w:sz="4" w:space="0" w:color="000000"/>
            </w:tcBorders>
            <w:shd w:val="clear" w:color="auto" w:fill="D2D2D2"/>
          </w:tcPr>
          <w:p>
            <w:pPr/>
          </w:p>
        </w:tc>
        <w:tc>
          <w:tcPr>
            <w:tcW w:w="1151" w:type="dxa"/>
            <w:vMerge/>
            <w:tcBorders>
              <w:left w:val="single" w:sz="4" w:space="0" w:color="000000"/>
              <w:bottom w:val="nil" w:sz="6" w:space="0" w:color="auto"/>
              <w:right w:val="single" w:sz="4" w:space="0" w:color="000000"/>
            </w:tcBorders>
            <w:shd w:val="clear" w:color="auto" w:fill="D2D2D2"/>
          </w:tcPr>
          <w:p>
            <w:pPr/>
          </w:p>
        </w:tc>
        <w:tc>
          <w:tcPr>
            <w:tcW w:w="809"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857" w:type="dxa"/>
            <w:vMerge/>
            <w:tcBorders>
              <w:left w:val="single" w:sz="4" w:space="0" w:color="000000"/>
              <w:right w:val="single" w:sz="4" w:space="0" w:color="000000"/>
            </w:tcBorders>
            <w:shd w:val="clear" w:color="auto" w:fill="D2D2D2"/>
          </w:tcPr>
          <w:p>
            <w:pPr/>
          </w:p>
        </w:tc>
        <w:tc>
          <w:tcPr>
            <w:tcW w:w="115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4029" w:type="dxa"/>
            <w:vMerge/>
            <w:tcBorders>
              <w:left w:val="single" w:sz="4" w:space="0" w:color="000000"/>
              <w:bottom w:val="single" w:sz="4" w:space="0" w:color="000000"/>
              <w:right w:val="single" w:sz="4" w:space="0" w:color="000000"/>
            </w:tcBorders>
            <w:shd w:val="clear" w:color="auto" w:fill="D2D2D2"/>
          </w:tcPr>
          <w:p>
            <w:pPr/>
          </w:p>
        </w:tc>
        <w:tc>
          <w:tcPr>
            <w:tcW w:w="1171" w:type="dxa"/>
            <w:tcBorders>
              <w:top w:val="nil" w:sz="6" w:space="0" w:color="auto"/>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7" w:type="dxa"/>
            <w:vMerge/>
            <w:tcBorders>
              <w:left w:val="single" w:sz="4" w:space="0" w:color="000000"/>
              <w:bottom w:val="single" w:sz="4" w:space="0" w:color="000000"/>
              <w:right w:val="single" w:sz="4" w:space="0" w:color="000000"/>
            </w:tcBorders>
            <w:shd w:val="clear" w:color="auto" w:fill="D2D2D2"/>
          </w:tcPr>
          <w:p>
            <w:pPr/>
          </w:p>
        </w:tc>
        <w:tc>
          <w:tcPr>
            <w:tcW w:w="1159" w:type="dxa"/>
            <w:vMerge/>
            <w:tcBorders>
              <w:left w:val="single" w:sz="4" w:space="0" w:color="000000"/>
              <w:bottom w:val="single" w:sz="4" w:space="0" w:color="000000"/>
              <w:right w:val="single" w:sz="4" w:space="0" w:color="000000"/>
            </w:tcBorders>
            <w:shd w:val="clear" w:color="auto" w:fill="D2D2D2"/>
          </w:tcPr>
          <w:p>
            <w:pPr/>
          </w:p>
        </w:tc>
        <w:tc>
          <w:tcPr>
            <w:tcW w:w="1151" w:type="dxa"/>
            <w:tcBorders>
              <w:top w:val="nil" w:sz="6" w:space="0" w:color="auto"/>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7" w:type="dxa"/>
            <w:vMerge/>
            <w:tcBorders>
              <w:left w:val="single" w:sz="4" w:space="0" w:color="000000"/>
              <w:bottom w:val="single" w:sz="4" w:space="0" w:color="000000"/>
              <w:right w:val="single" w:sz="4" w:space="0" w:color="000000"/>
            </w:tcBorders>
            <w:shd w:val="clear" w:color="auto" w:fill="D2D2D2"/>
          </w:tcPr>
          <w:p>
            <w:pPr/>
          </w:p>
        </w:tc>
        <w:tc>
          <w:tcPr>
            <w:tcW w:w="1159"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4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5"/>
              <w:jc w:val="left"/>
              <w:rPr>
                <w:rFonts w:ascii="宋体" w:hAnsi="宋体" w:cs="宋体" w:eastAsia="宋体" w:hint="default"/>
                <w:sz w:val="21"/>
                <w:szCs w:val="21"/>
              </w:rPr>
            </w:pPr>
            <w:r>
              <w:rPr>
                <w:rFonts w:ascii="宋体" w:hAnsi="宋体" w:cs="宋体" w:eastAsia="宋体" w:hint="default"/>
                <w:sz w:val="21"/>
                <w:szCs w:val="21"/>
              </w:rPr>
              <w:t>单项金额重大并单独计提坏账准备的其他应 收款</w:t>
            </w:r>
          </w:p>
        </w:tc>
        <w:tc>
          <w:tcPr>
            <w:tcW w:w="1171" w:type="dxa"/>
            <w:tcBorders>
              <w:top w:val="single" w:sz="4" w:space="0" w:color="000000"/>
              <w:left w:val="single" w:sz="13" w:space="0" w:color="D2D2D2"/>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5"/>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按信用风险特征组合计提坏账准备的其他应 收款</w:t>
            </w:r>
          </w:p>
        </w:tc>
        <w:tc>
          <w:tcPr>
            <w:tcW w:w="11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9,420,472.17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170,706.42</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1.81%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9,249,765.75</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7,979,350.11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239,101.22</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7,740,248.89</w:t>
            </w:r>
          </w:p>
        </w:tc>
      </w:tr>
      <w:tr>
        <w:trPr>
          <w:trHeight w:val="714" w:hRule="exact"/>
        </w:trPr>
        <w:tc>
          <w:tcPr>
            <w:tcW w:w="4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5"/>
              <w:jc w:val="left"/>
              <w:rPr>
                <w:rFonts w:ascii="宋体" w:hAnsi="宋体" w:cs="宋体" w:eastAsia="宋体" w:hint="default"/>
                <w:sz w:val="21"/>
                <w:szCs w:val="21"/>
              </w:rPr>
            </w:pPr>
            <w:r>
              <w:rPr>
                <w:rFonts w:ascii="宋体" w:hAnsi="宋体" w:cs="宋体" w:eastAsia="宋体" w:hint="default"/>
                <w:sz w:val="21"/>
                <w:szCs w:val="21"/>
              </w:rPr>
              <w:t>单项金额不重大但单独计提坏账准备的其他 应收款</w:t>
            </w:r>
          </w:p>
        </w:tc>
        <w:tc>
          <w:tcPr>
            <w:tcW w:w="1171" w:type="dxa"/>
            <w:tcBorders>
              <w:top w:val="single" w:sz="4" w:space="0" w:color="000000"/>
              <w:left w:val="single" w:sz="13" w:space="0" w:color="D2D2D2"/>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9,420,472.17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100.00%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170,706.42</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1.81%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9,249,765.75</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7,979,350.11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239,101.22</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7,740,248.89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before="76"/>
        <w:ind w:left="6904" w:right="6904" w:firstLine="0"/>
        <w:jc w:val="center"/>
        <w:rPr>
          <w:rFonts w:ascii="Times New Roman" w:hAnsi="Times New Roman" w:cs="Times New Roman" w:eastAsia="Times New Roman" w:hint="default"/>
          <w:sz w:val="18"/>
          <w:szCs w:val="18"/>
        </w:rPr>
      </w:pPr>
      <w:r>
        <w:rPr>
          <w:rFonts w:ascii="Times New Roman"/>
          <w:sz w:val="18"/>
        </w:rPr>
        <w:t>-115-</w:t>
      </w:r>
    </w:p>
    <w:p>
      <w:pPr>
        <w:spacing w:after="0"/>
        <w:jc w:val="center"/>
        <w:rPr>
          <w:rFonts w:ascii="Times New Roman" w:hAnsi="Times New Roman" w:cs="Times New Roman" w:eastAsia="Times New Roman" w:hint="default"/>
          <w:sz w:val="18"/>
          <w:szCs w:val="18"/>
        </w:rPr>
        <w:sectPr>
          <w:headerReference w:type="default" r:id="rId47"/>
          <w:footerReference w:type="default" r:id="rId48"/>
          <w:pgSz w:w="16840" w:h="11910" w:orient="landscape"/>
          <w:pgMar w:header="0" w:footer="0" w:top="800" w:bottom="280" w:left="1300" w:right="1300"/>
        </w:sectPr>
      </w:pPr>
    </w:p>
    <w:p>
      <w:pPr>
        <w:spacing w:line="240" w:lineRule="auto" w:before="2"/>
        <w:rPr>
          <w:rFonts w:ascii="Times New Roman" w:hAnsi="Times New Roman" w:cs="Times New Roman" w:eastAsia="Times New Roman" w:hint="default"/>
          <w:sz w:val="29"/>
          <w:szCs w:val="29"/>
        </w:rPr>
      </w:pPr>
    </w:p>
    <w:p>
      <w:pPr>
        <w:pStyle w:val="BodyText"/>
        <w:spacing w:line="240" w:lineRule="auto"/>
        <w:ind w:left="634" w:right="0"/>
        <w:jc w:val="left"/>
      </w:pPr>
      <w:r>
        <w:rPr/>
        <w:t>期末单项金额重大并单项计提坏账准备的其他应收款：</w:t>
      </w:r>
    </w:p>
    <w:p>
      <w:pPr>
        <w:pStyle w:val="BodyText"/>
        <w:tabs>
          <w:tab w:pos="994" w:val="left" w:leader="none"/>
        </w:tabs>
        <w:spacing w:line="355" w:lineRule="auto" w:before="193"/>
        <w:ind w:left="634" w:right="3790"/>
        <w:jc w:val="left"/>
      </w:pPr>
      <w:r>
        <w:rPr>
          <w:rFonts w:ascii="Arial" w:hAnsi="Arial" w:cs="Arial" w:eastAsia="Arial" w:hint="default"/>
        </w:rPr>
        <w:t>□</w:t>
        <w:tab/>
      </w:r>
      <w:r>
        <w:rPr/>
        <w:t>适用 </w:t>
      </w:r>
      <w:r>
        <w:rPr>
          <w:rFonts w:ascii="Calibri" w:hAnsi="Calibri" w:cs="Calibri" w:eastAsia="Calibri" w:hint="default"/>
        </w:rPr>
        <w:t>√ </w:t>
      </w:r>
      <w:r>
        <w:rPr>
          <w:rFonts w:ascii="Calibri" w:hAnsi="Calibri" w:cs="Calibri" w:eastAsia="Calibri" w:hint="default"/>
          <w:spacing w:val="11"/>
        </w:rPr>
        <w:t> </w:t>
      </w:r>
      <w:r>
        <w:rPr/>
        <w:t>不适用</w:t>
      </w:r>
      <w:r>
        <w:rPr>
          <w:w w:val="99"/>
        </w:rPr>
        <w:t> </w:t>
      </w:r>
      <w:r>
        <w:rPr/>
        <w:t>组合中，按账龄分析法计提坏账准备的其他应收款：</w:t>
      </w:r>
    </w:p>
    <w:p>
      <w:pPr>
        <w:spacing w:after="0" w:line="355" w:lineRule="auto"/>
        <w:jc w:val="left"/>
        <w:sectPr>
          <w:footerReference w:type="default" r:id="rId49"/>
          <w:pgSz w:w="11910" w:h="16840"/>
          <w:pgMar w:footer="979" w:header="0" w:top="1100" w:bottom="1160" w:left="980" w:right="980"/>
          <w:pgNumType w:start="116"/>
        </w:sectPr>
      </w:pPr>
    </w:p>
    <w:p>
      <w:pPr>
        <w:pStyle w:val="BodyText"/>
        <w:tabs>
          <w:tab w:pos="1834" w:val="left" w:leader="none"/>
        </w:tabs>
        <w:spacing w:line="240" w:lineRule="auto" w:before="78"/>
        <w:ind w:left="633" w:right="-20"/>
        <w:jc w:val="left"/>
      </w:pPr>
      <w:r>
        <w:rPr>
          <w:rFonts w:ascii="Calibri" w:hAnsi="Calibri" w:cs="Calibri" w:eastAsia="Calibri" w:hint="default"/>
        </w:rPr>
        <w:t>√  </w:t>
      </w:r>
      <w:r>
        <w:rPr/>
        <w:t>适用</w:t>
      </w:r>
      <w:r>
        <w:rPr>
          <w:spacing w:val="11"/>
        </w:rPr>
        <w:t> </w:t>
      </w:r>
      <w:r>
        <w:rPr>
          <w:rFonts w:ascii="Arial" w:hAnsi="Arial" w:cs="Arial" w:eastAsia="Arial" w:hint="default"/>
        </w:rPr>
        <w:t>□</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pStyle w:val="BodyText"/>
        <w:spacing w:line="240" w:lineRule="auto" w:before="193"/>
        <w:ind w:left="633" w:right="0"/>
        <w:jc w:val="left"/>
      </w:pPr>
      <w:r>
        <w:rPr/>
        <w:t>单位： 元</w:t>
      </w:r>
    </w:p>
    <w:p>
      <w:pPr>
        <w:spacing w:after="0" w:line="240" w:lineRule="auto"/>
        <w:jc w:val="left"/>
        <w:sectPr>
          <w:type w:val="continuous"/>
          <w:pgSz w:w="11910" w:h="16840"/>
          <w:pgMar w:top="1060" w:bottom="1160" w:left="980" w:right="980"/>
          <w:cols w:num="2" w:equalWidth="0">
            <w:col w:w="2555" w:space="5525"/>
            <w:col w:w="1870"/>
          </w:cols>
        </w:sectPr>
      </w:pP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65" w:right="0"/>
              <w:jc w:val="left"/>
              <w:rPr>
                <w:rFonts w:ascii="宋体" w:hAnsi="宋体" w:cs="宋体" w:eastAsia="宋体" w:hint="default"/>
                <w:sz w:val="21"/>
                <w:szCs w:val="21"/>
              </w:rPr>
            </w:pPr>
            <w:r>
              <w:rPr>
                <w:rFonts w:ascii="宋体" w:hAnsi="宋体" w:cs="宋体" w:eastAsia="宋体" w:hint="default"/>
                <w:b/>
                <w:bCs/>
                <w:sz w:val="21"/>
                <w:szCs w:val="21"/>
              </w:rPr>
              <w:t>其他应收款</w:t>
            </w:r>
            <w:r>
              <w:rPr>
                <w:rFonts w:ascii="宋体" w:hAnsi="宋体" w:cs="宋体" w:eastAsia="宋体" w:hint="default"/>
                <w:sz w:val="21"/>
                <w:szCs w:val="21"/>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9"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9"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2,853,540.28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57,070.81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2,853,540.28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57,070.81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64,135.58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9,620.34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108,030.54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54,015.27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3,075,706.40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170,706.42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88" w:lineRule="auto" w:before="81"/>
        <w:ind w:left="634" w:right="3292"/>
        <w:jc w:val="left"/>
      </w:pPr>
      <w:r>
        <w:rPr/>
        <w:t>确定该组合依据的说明： 以其他应收款的账龄为信用风险特征划分组合。 组合中，采用余额百分比法计提坏账准备的其他应收款：</w:t>
      </w:r>
    </w:p>
    <w:p>
      <w:pPr>
        <w:pStyle w:val="BodyText"/>
        <w:tabs>
          <w:tab w:pos="994" w:val="left" w:leader="none"/>
        </w:tabs>
        <w:spacing w:line="355" w:lineRule="auto" w:before="44"/>
        <w:ind w:left="634" w:right="6670"/>
        <w:jc w:val="left"/>
      </w:pPr>
      <w:r>
        <w:rPr>
          <w:rFonts w:ascii="Arial" w:hAnsi="Arial" w:cs="Arial" w:eastAsia="Arial" w:hint="default"/>
        </w:rPr>
        <w:t>□</w:t>
        <w:tab/>
      </w:r>
      <w:r>
        <w:rPr/>
        <w:t>适用 </w:t>
      </w:r>
      <w:r>
        <w:rPr>
          <w:rFonts w:ascii="Calibri" w:hAnsi="Calibri" w:cs="Calibri" w:eastAsia="Calibri" w:hint="default"/>
        </w:rPr>
        <w:t>√ </w:t>
      </w:r>
      <w:r>
        <w:rPr>
          <w:rFonts w:ascii="Calibri" w:hAnsi="Calibri" w:cs="Calibri" w:eastAsia="Calibri" w:hint="default"/>
          <w:spacing w:val="11"/>
        </w:rPr>
        <w:t> </w:t>
      </w:r>
      <w:r>
        <w:rPr/>
        <w:t>不适用</w:t>
      </w:r>
      <w:r>
        <w:rPr>
          <w:w w:val="99"/>
        </w:rPr>
        <w:t> </w:t>
      </w:r>
      <w:r>
        <w:rPr/>
        <w:t>确定该组合依据的说明：</w:t>
      </w:r>
    </w:p>
    <w:p>
      <w:pPr>
        <w:pStyle w:val="BodyText"/>
        <w:spacing w:line="240" w:lineRule="auto" w:before="78"/>
        <w:ind w:left="634" w:right="0"/>
        <w:jc w:val="left"/>
      </w:pPr>
      <w:r>
        <w:rPr/>
        <w:t>组合中，采用其他方法计提坏账准备的其他应收款：</w:t>
      </w:r>
    </w:p>
    <w:p>
      <w:pPr>
        <w:pStyle w:val="BodyText"/>
        <w:tabs>
          <w:tab w:pos="1834" w:val="left" w:leader="none"/>
        </w:tabs>
        <w:spacing w:line="352" w:lineRule="auto" w:before="193"/>
        <w:ind w:left="634" w:right="190"/>
        <w:jc w:val="left"/>
      </w:pPr>
      <w:r>
        <w:rPr>
          <w:rFonts w:ascii="Calibri" w:hAnsi="Calibri" w:cs="Calibri" w:eastAsia="Calibri" w:hint="default"/>
        </w:rPr>
        <w:t>√  </w:t>
      </w:r>
      <w:r>
        <w:rPr/>
        <w:t>适用</w:t>
      </w:r>
      <w:r>
        <w:rPr>
          <w:spacing w:val="11"/>
        </w:rPr>
        <w:t> </w:t>
      </w:r>
      <w:r>
        <w:rPr>
          <w:rFonts w:ascii="Arial" w:hAnsi="Arial" w:cs="Arial" w:eastAsia="Arial" w:hint="default"/>
        </w:rPr>
        <w:t>□</w:t>
        <w:tab/>
      </w:r>
      <w:r>
        <w:rPr/>
        <w:t>不适用</w:t>
      </w:r>
      <w:r>
        <w:rPr>
          <w:w w:val="99"/>
        </w:rPr>
        <w:t> </w:t>
      </w:r>
      <w:r>
        <w:rPr/>
        <w:t>以特殊性质确定款项性质组合，该款项为上市费用，不计提坏账准备。该组合期末其他</w:t>
      </w:r>
    </w:p>
    <w:p>
      <w:pPr>
        <w:pStyle w:val="BodyText"/>
        <w:spacing w:line="240" w:lineRule="auto" w:before="42"/>
        <w:ind w:left="154" w:right="0"/>
        <w:jc w:val="left"/>
      </w:pPr>
      <w:r>
        <w:rPr/>
        <w:t>应收款余额为</w:t>
      </w:r>
      <w:r>
        <w:rPr>
          <w:spacing w:val="-60"/>
        </w:rPr>
        <w:t> </w:t>
      </w:r>
      <w:r>
        <w:rPr>
          <w:rFonts w:ascii="宋体" w:hAnsi="宋体" w:cs="宋体" w:eastAsia="宋体" w:hint="default"/>
        </w:rPr>
        <w:t>6,344,765.77</w:t>
      </w:r>
      <w:r>
        <w:rPr/>
        <w:t>。</w:t>
      </w:r>
    </w:p>
    <w:p>
      <w:pPr>
        <w:spacing w:line="240" w:lineRule="auto" w:before="8"/>
        <w:rPr>
          <w:rFonts w:ascii="宋体" w:hAnsi="宋体" w:cs="宋体" w:eastAsia="宋体" w:hint="default"/>
          <w:sz w:val="28"/>
          <w:szCs w:val="28"/>
        </w:rPr>
      </w:pPr>
    </w:p>
    <w:p>
      <w:pPr>
        <w:spacing w:line="501" w:lineRule="auto" w:before="0"/>
        <w:ind w:left="633" w:right="5095" w:hanging="480"/>
        <w:jc w:val="left"/>
        <w:rPr>
          <w:rFonts w:ascii="宋体" w:hAnsi="宋体" w:cs="宋体" w:eastAsia="宋体" w:hint="default"/>
          <w:sz w:val="24"/>
          <w:szCs w:val="24"/>
        </w:rPr>
      </w:pPr>
      <w:bookmarkStart w:name="（2）本期计提、收回或转回的坏账准备情况" w:id="199"/>
      <w:bookmarkEnd w:id="199"/>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2</w:t>
      </w:r>
      <w:r>
        <w:rPr>
          <w:rFonts w:ascii="宋体" w:hAnsi="宋体" w:cs="宋体" w:eastAsia="宋体" w:hint="default"/>
          <w:b/>
          <w:bCs/>
          <w:w w:val="95"/>
          <w:sz w:val="24"/>
          <w:szCs w:val="24"/>
        </w:rPr>
        <w:t>）本期计提、收回或转回的坏账准备情况</w:t>
      </w:r>
      <w:r>
        <w:rPr>
          <w:rFonts w:ascii="宋体" w:hAnsi="宋体" w:cs="宋体" w:eastAsia="宋体" w:hint="default"/>
          <w:b/>
          <w:bCs/>
          <w:spacing w:val="103"/>
          <w:w w:val="95"/>
          <w:sz w:val="24"/>
          <w:szCs w:val="24"/>
        </w:rPr>
        <w:t> </w:t>
      </w:r>
      <w:r>
        <w:rPr>
          <w:rFonts w:ascii="宋体" w:hAnsi="宋体" w:cs="宋体" w:eastAsia="宋体" w:hint="default"/>
          <w:sz w:val="24"/>
          <w:szCs w:val="24"/>
        </w:rPr>
        <w:t>本期计提坏账准备金额</w:t>
      </w:r>
      <w:r>
        <w:rPr>
          <w:rFonts w:ascii="宋体" w:hAnsi="宋体" w:cs="宋体" w:eastAsia="宋体" w:hint="default"/>
          <w:sz w:val="24"/>
          <w:szCs w:val="24"/>
        </w:rPr>
        <w:t>-15,469.85</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after="0" w:line="501" w:lineRule="auto"/>
        <w:jc w:val="left"/>
        <w:rPr>
          <w:rFonts w:ascii="宋体" w:hAnsi="宋体" w:cs="宋体" w:eastAsia="宋体" w:hint="default"/>
          <w:sz w:val="24"/>
          <w:szCs w:val="24"/>
        </w:rPr>
        <w:sectPr>
          <w:type w:val="continuous"/>
          <w:pgSz w:w="11910" w:h="16840"/>
          <w:pgMar w:top="1060" w:bottom="1160" w:left="980" w:right="980"/>
        </w:sectPr>
      </w:pPr>
    </w:p>
    <w:p>
      <w:pPr>
        <w:spacing w:line="240" w:lineRule="auto" w:before="8"/>
        <w:rPr>
          <w:rFonts w:ascii="宋体" w:hAnsi="宋体" w:cs="宋体" w:eastAsia="宋体" w:hint="default"/>
          <w:sz w:val="19"/>
          <w:szCs w:val="19"/>
        </w:rPr>
      </w:pPr>
    </w:p>
    <w:p>
      <w:pPr>
        <w:spacing w:before="26"/>
        <w:ind w:left="154" w:right="0" w:firstLine="0"/>
        <w:jc w:val="left"/>
        <w:rPr>
          <w:rFonts w:ascii="宋体" w:hAnsi="宋体" w:cs="宋体" w:eastAsia="宋体" w:hint="default"/>
          <w:sz w:val="24"/>
          <w:szCs w:val="24"/>
        </w:rPr>
      </w:pPr>
      <w:bookmarkStart w:name="（3）本期实际核销的其他应收款情况" w:id="200"/>
      <w:bookmarkEnd w:id="200"/>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）本期实际核销的其他应收款情况</w:t>
      </w:r>
      <w:r>
        <w:rPr>
          <w:rFonts w:ascii="宋体" w:hAnsi="宋体" w:cs="宋体" w:eastAsia="宋体" w:hint="default"/>
          <w:sz w:val="24"/>
          <w:szCs w:val="24"/>
        </w:rPr>
      </w:r>
    </w:p>
    <w:p>
      <w:pPr>
        <w:spacing w:line="240" w:lineRule="auto" w:before="6"/>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b/>
                <w:bCs/>
                <w:sz w:val="21"/>
                <w:szCs w:val="21"/>
              </w:rPr>
              <w:t>核销金额</w:t>
            </w:r>
            <w:r>
              <w:rPr>
                <w:rFonts w:ascii="宋体" w:hAnsi="宋体" w:cs="宋体" w:eastAsia="宋体" w:hint="default"/>
                <w:sz w:val="21"/>
                <w:szCs w:val="21"/>
              </w:rPr>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52,924.95</w:t>
            </w:r>
          </w:p>
        </w:tc>
      </w:tr>
    </w:tbl>
    <w:p>
      <w:pPr>
        <w:pStyle w:val="BodyText"/>
        <w:spacing w:line="388" w:lineRule="auto" w:before="81"/>
        <w:ind w:left="634" w:right="3772"/>
        <w:jc w:val="left"/>
      </w:pPr>
      <w:r>
        <w:rPr/>
        <w:t>其他应收款核销说明： 无法收回的其他应收款，经董事会审批后进行核销。</w:t>
      </w:r>
    </w:p>
    <w:p>
      <w:pPr>
        <w:spacing w:line="240" w:lineRule="auto" w:before="5"/>
        <w:rPr>
          <w:rFonts w:ascii="宋体" w:hAnsi="宋体" w:cs="宋体" w:eastAsia="宋体" w:hint="default"/>
          <w:sz w:val="17"/>
          <w:szCs w:val="17"/>
        </w:rPr>
      </w:pPr>
    </w:p>
    <w:p>
      <w:pPr>
        <w:spacing w:before="0"/>
        <w:ind w:left="153" w:right="0" w:firstLine="0"/>
        <w:jc w:val="left"/>
        <w:rPr>
          <w:rFonts w:ascii="宋体" w:hAnsi="宋体" w:cs="宋体" w:eastAsia="宋体" w:hint="default"/>
          <w:sz w:val="24"/>
          <w:szCs w:val="24"/>
        </w:rPr>
      </w:pPr>
      <w:bookmarkStart w:name="（4）其他应收款按款项性质分类情况" w:id="201"/>
      <w:bookmarkEnd w:id="201"/>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）其他应收款按款项性质分类情况</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款项性质</w:t>
            </w:r>
            <w:r>
              <w:rPr>
                <w:rFonts w:ascii="宋体" w:hAnsi="宋体" w:cs="宋体" w:eastAsia="宋体" w:hint="default"/>
                <w:sz w:val="21"/>
                <w:szCs w:val="21"/>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58" w:right="0"/>
              <w:jc w:val="left"/>
              <w:rPr>
                <w:rFonts w:ascii="宋体" w:hAnsi="宋体" w:cs="宋体" w:eastAsia="宋体" w:hint="default"/>
                <w:sz w:val="21"/>
                <w:szCs w:val="21"/>
              </w:rPr>
            </w:pPr>
            <w:r>
              <w:rPr>
                <w:rFonts w:ascii="宋体" w:hAnsi="宋体" w:cs="宋体" w:eastAsia="宋体" w:hint="default"/>
                <w:b/>
                <w:bCs/>
                <w:sz w:val="21"/>
                <w:szCs w:val="21"/>
              </w:rPr>
              <w:t>期末账面余额</w:t>
            </w:r>
            <w:r>
              <w:rPr>
                <w:rFonts w:ascii="宋体" w:hAnsi="宋体" w:cs="宋体" w:eastAsia="宋体" w:hint="default"/>
                <w:sz w:val="21"/>
                <w:szCs w:val="21"/>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57" w:right="0"/>
              <w:jc w:val="left"/>
              <w:rPr>
                <w:rFonts w:ascii="宋体" w:hAnsi="宋体" w:cs="宋体" w:eastAsia="宋体" w:hint="default"/>
                <w:sz w:val="21"/>
                <w:szCs w:val="21"/>
              </w:rPr>
            </w:pPr>
            <w:r>
              <w:rPr>
                <w:rFonts w:ascii="宋体" w:hAnsi="宋体" w:cs="宋体" w:eastAsia="宋体" w:hint="default"/>
                <w:b/>
                <w:bCs/>
                <w:sz w:val="21"/>
                <w:szCs w:val="21"/>
              </w:rPr>
              <w:t>期初账面余额</w:t>
            </w:r>
            <w:r>
              <w:rPr>
                <w:rFonts w:ascii="宋体" w:hAnsi="宋体" w:cs="宋体" w:eastAsia="宋体" w:hint="default"/>
                <w:sz w:val="21"/>
                <w:szCs w:val="21"/>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上市费用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6,344,765.77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6,529,402.95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职工借款及备用金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746,823.25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421,668.44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1,105,083.15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1,028,278.72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MOOC</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1,223,800.00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9,420,472.17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7,979,350.11</w:t>
            </w: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5）按欠款方归集的期末余额前五吊的其他应收款情况" w:id="202"/>
      <w:bookmarkEnd w:id="202"/>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）按欠款方归集的期末余额前五名的其他应收款情况</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b/>
                <w:bCs/>
                <w:sz w:val="21"/>
                <w:szCs w:val="21"/>
              </w:rPr>
              <w:t>款项的性质</w:t>
            </w:r>
            <w:r>
              <w:rPr>
                <w:rFonts w:ascii="宋体" w:hAnsi="宋体" w:cs="宋体" w:eastAsia="宋体"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5" w:right="55"/>
              <w:jc w:val="center"/>
              <w:rPr>
                <w:rFonts w:ascii="宋体" w:hAnsi="宋体" w:cs="宋体" w:eastAsia="宋体" w:hint="default"/>
                <w:sz w:val="21"/>
                <w:szCs w:val="21"/>
              </w:rPr>
            </w:pPr>
            <w:r>
              <w:rPr>
                <w:rFonts w:ascii="宋体" w:hAnsi="宋体" w:cs="宋体" w:eastAsia="宋体" w:hint="default"/>
                <w:b/>
                <w:bCs/>
                <w:sz w:val="21"/>
                <w:szCs w:val="21"/>
              </w:rPr>
              <w:t>占其他应收款期</w:t>
            </w:r>
            <w:r>
              <w:rPr>
                <w:rFonts w:ascii="宋体" w:hAnsi="宋体" w:cs="宋体" w:eastAsia="宋体" w:hint="default"/>
                <w:b/>
                <w:bCs/>
                <w:w w:val="99"/>
                <w:sz w:val="21"/>
                <w:szCs w:val="21"/>
              </w:rPr>
              <w:t> </w:t>
            </w:r>
            <w:r>
              <w:rPr>
                <w:rFonts w:ascii="宋体" w:hAnsi="宋体" w:cs="宋体" w:eastAsia="宋体" w:hint="default"/>
                <w:b/>
                <w:bCs/>
                <w:sz w:val="21"/>
                <w:szCs w:val="21"/>
              </w:rPr>
              <w:t>末余额合计数的</w:t>
            </w:r>
            <w:r>
              <w:rPr>
                <w:rFonts w:ascii="宋体" w:hAnsi="宋体" w:cs="宋体" w:eastAsia="宋体" w:hint="default"/>
                <w:b/>
                <w:bCs/>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686" w:right="56" w:hanging="633"/>
              <w:jc w:val="left"/>
              <w:rPr>
                <w:rFonts w:ascii="宋体" w:hAnsi="宋体" w:cs="宋体" w:eastAsia="宋体" w:hint="default"/>
                <w:sz w:val="21"/>
                <w:szCs w:val="21"/>
              </w:rPr>
            </w:pPr>
            <w:r>
              <w:rPr>
                <w:rFonts w:ascii="宋体" w:hAnsi="宋体" w:cs="宋体" w:eastAsia="宋体" w:hint="default"/>
                <w:b/>
                <w:bCs/>
                <w:sz w:val="21"/>
                <w:szCs w:val="21"/>
              </w:rPr>
              <w:t>坏账准备期末余</w:t>
            </w:r>
            <w:r>
              <w:rPr>
                <w:rFonts w:ascii="宋体" w:hAnsi="宋体" w:cs="宋体" w:eastAsia="宋体" w:hint="default"/>
                <w:b/>
                <w:bCs/>
                <w:w w:val="99"/>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上市费用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上市费用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6,344,765.77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67.35%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75"/>
              <w:ind w:left="22" w:right="92"/>
              <w:jc w:val="both"/>
              <w:rPr>
                <w:rFonts w:ascii="宋体" w:hAnsi="宋体" w:cs="宋体" w:eastAsia="宋体" w:hint="default"/>
                <w:sz w:val="21"/>
                <w:szCs w:val="21"/>
              </w:rPr>
            </w:pPr>
            <w:r>
              <w:rPr>
                <w:rFonts w:ascii="Times New Roman" w:hAnsi="Times New Roman" w:cs="Times New Roman" w:eastAsia="Times New Roman" w:hint="default"/>
                <w:sz w:val="21"/>
                <w:szCs w:val="21"/>
              </w:rPr>
              <w:t>MOOC-CNInfor</w:t>
            </w:r>
            <w:r>
              <w:rPr>
                <w:rFonts w:ascii="Times New Roman" w:hAnsi="Times New Roman" w:cs="Times New Roman" w:eastAsia="Times New Roman" w:hint="default"/>
                <w:w w:val="99"/>
                <w:sz w:val="21"/>
                <w:szCs w:val="21"/>
              </w:rPr>
              <w:t> </w:t>
            </w:r>
            <w:r>
              <w:rPr>
                <w:rFonts w:ascii="Times New Roman" w:hAnsi="Times New Roman" w:cs="Times New Roman" w:eastAsia="Times New Roman" w:hint="default"/>
                <w:spacing w:val="-2"/>
                <w:sz w:val="21"/>
                <w:szCs w:val="21"/>
              </w:rPr>
              <w:t>mationTechnolog</w:t>
            </w:r>
            <w:r>
              <w:rPr>
                <w:rFonts w:ascii="Times New Roman" w:hAnsi="Times New Roman" w:cs="Times New Roman" w:eastAsia="Times New Roman" w:hint="default"/>
                <w:spacing w:val="-40"/>
                <w:sz w:val="21"/>
                <w:szCs w:val="21"/>
              </w:rPr>
              <w:t> </w:t>
            </w:r>
            <w:r>
              <w:rPr>
                <w:rFonts w:ascii="Times New Roman" w:hAnsi="Times New Roman" w:cs="Times New Roman" w:eastAsia="Times New Roman" w:hint="default"/>
                <w:spacing w:val="-40"/>
                <w:sz w:val="21"/>
                <w:szCs w:val="21"/>
              </w:rPr>
            </w:r>
            <w:r>
              <w:rPr>
                <w:rFonts w:ascii="Times New Roman" w:hAnsi="Times New Roman" w:cs="Times New Roman" w:eastAsia="Times New Roman" w:hint="default"/>
                <w:sz w:val="21"/>
                <w:szCs w:val="21"/>
              </w:rPr>
              <w:t>y</w:t>
            </w:r>
            <w:r>
              <w:rPr>
                <w:rFonts w:ascii="宋体" w:hAnsi="宋体" w:cs="宋体" w:eastAsia="宋体" w:hint="default"/>
                <w:sz w:val="21"/>
                <w:szCs w:val="21"/>
              </w:rPr>
              <w:t>（</w:t>
            </w:r>
            <w:r>
              <w:rPr>
                <w:rFonts w:ascii="Times New Roman" w:hAnsi="Times New Roman" w:cs="Times New Roman" w:eastAsia="Times New Roman" w:hint="default"/>
                <w:sz w:val="21"/>
                <w:szCs w:val="21"/>
              </w:rPr>
              <w:t>Cayman</w:t>
            </w:r>
            <w:r>
              <w:rPr>
                <w:rFonts w:ascii="宋体" w:hAnsi="宋体" w:cs="宋体" w:eastAsia="宋体" w:hint="default"/>
                <w:sz w:val="21"/>
                <w:szCs w:val="21"/>
              </w:rPr>
              <w:t>）</w:t>
            </w:r>
          </w:p>
          <w:p>
            <w:pPr>
              <w:pStyle w:val="TableParagraph"/>
              <w:spacing w:line="240" w:lineRule="auto" w:before="27"/>
              <w:ind w:left="22" w:right="0"/>
              <w:jc w:val="both"/>
              <w:rPr>
                <w:rFonts w:ascii="Times New Roman" w:hAnsi="Times New Roman" w:cs="Times New Roman" w:eastAsia="Times New Roman" w:hint="default"/>
                <w:sz w:val="21"/>
                <w:szCs w:val="21"/>
              </w:rPr>
            </w:pPr>
            <w:r>
              <w:rPr>
                <w:rFonts w:ascii="Times New Roman"/>
                <w:sz w:val="21"/>
              </w:rPr>
              <w:t>Corporation</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MOOC</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1,223,800.00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12.99%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24,476.00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89"/>
              <w:jc w:val="left"/>
              <w:rPr>
                <w:rFonts w:ascii="宋体" w:hAnsi="宋体" w:cs="宋体" w:eastAsia="宋体" w:hint="default"/>
                <w:sz w:val="21"/>
                <w:szCs w:val="21"/>
              </w:rPr>
            </w:pPr>
            <w:r>
              <w:rPr>
                <w:rFonts w:ascii="宋体" w:hAnsi="宋体" w:cs="宋体" w:eastAsia="宋体" w:hint="default"/>
                <w:sz w:val="21"/>
                <w:szCs w:val="21"/>
              </w:rPr>
              <w:t>北京教育科学研 究院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保证金及押金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6.37%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12,000.00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谢广才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4" w:right="89"/>
              <w:jc w:val="left"/>
              <w:rPr>
                <w:rFonts w:ascii="宋体" w:hAnsi="宋体" w:cs="宋体" w:eastAsia="宋体" w:hint="default"/>
                <w:sz w:val="21"/>
                <w:szCs w:val="21"/>
              </w:rPr>
            </w:pPr>
            <w:r>
              <w:rPr>
                <w:rFonts w:ascii="宋体" w:hAnsi="宋体" w:cs="宋体" w:eastAsia="宋体" w:hint="default"/>
                <w:sz w:val="21"/>
                <w:szCs w:val="21"/>
              </w:rPr>
              <w:t>职工借款及备用 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341,567.23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6,831.34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王珊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4" w:right="89"/>
              <w:jc w:val="left"/>
              <w:rPr>
                <w:rFonts w:ascii="宋体" w:hAnsi="宋体" w:cs="宋体" w:eastAsia="宋体" w:hint="default"/>
                <w:sz w:val="21"/>
                <w:szCs w:val="21"/>
              </w:rPr>
            </w:pPr>
            <w:r>
              <w:rPr>
                <w:rFonts w:ascii="宋体" w:hAnsi="宋体" w:cs="宋体" w:eastAsia="宋体" w:hint="default"/>
                <w:sz w:val="21"/>
                <w:szCs w:val="21"/>
              </w:rPr>
              <w:t>职工借款及备用 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8,610,133.00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91.40%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45,307.34</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00" w:bottom="1160" w:left="980" w:right="980"/>
        </w:sectPr>
      </w:pPr>
    </w:p>
    <w:p>
      <w:pPr>
        <w:spacing w:line="240" w:lineRule="auto" w:before="9"/>
        <w:rPr>
          <w:rFonts w:ascii="宋体" w:hAnsi="宋体" w:cs="宋体" w:eastAsia="宋体" w:hint="default"/>
          <w:sz w:val="19"/>
          <w:szCs w:val="19"/>
        </w:rPr>
      </w:pPr>
    </w:p>
    <w:p>
      <w:pPr>
        <w:spacing w:before="26"/>
        <w:ind w:left="154" w:right="0" w:firstLine="0"/>
        <w:jc w:val="left"/>
        <w:rPr>
          <w:rFonts w:ascii="宋体" w:hAnsi="宋体" w:cs="宋体" w:eastAsia="宋体" w:hint="default"/>
          <w:sz w:val="24"/>
          <w:szCs w:val="24"/>
        </w:rPr>
      </w:pPr>
      <w:bookmarkStart w:name="10、存货" w:id="203"/>
      <w:bookmarkEnd w:id="203"/>
      <w:r>
        <w:rPr/>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、存货</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1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2"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197"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68"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56" w:right="0"/>
              <w:jc w:val="left"/>
              <w:rPr>
                <w:rFonts w:ascii="宋体" w:hAnsi="宋体" w:cs="宋体" w:eastAsia="宋体" w:hint="default"/>
                <w:sz w:val="21"/>
                <w:szCs w:val="21"/>
              </w:rPr>
            </w:pPr>
            <w:r>
              <w:rPr>
                <w:rFonts w:ascii="宋体" w:hAnsi="宋体" w:cs="宋体" w:eastAsia="宋体" w:hint="default"/>
                <w:b/>
                <w:bCs/>
                <w:sz w:val="21"/>
                <w:szCs w:val="21"/>
              </w:rPr>
              <w:t>跌价准备</w:t>
            </w:r>
            <w:r>
              <w:rPr>
                <w:rFonts w:ascii="宋体" w:hAnsi="宋体" w:cs="宋体" w:eastAsia="宋体" w:hint="default"/>
                <w:sz w:val="21"/>
                <w:szCs w:val="21"/>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56"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57"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57" w:right="0"/>
              <w:jc w:val="left"/>
              <w:rPr>
                <w:rFonts w:ascii="宋体" w:hAnsi="宋体" w:cs="宋体" w:eastAsia="宋体" w:hint="default"/>
                <w:sz w:val="21"/>
                <w:szCs w:val="21"/>
              </w:rPr>
            </w:pPr>
            <w:r>
              <w:rPr>
                <w:rFonts w:ascii="宋体" w:hAnsi="宋体" w:cs="宋体" w:eastAsia="宋体" w:hint="default"/>
                <w:b/>
                <w:bCs/>
                <w:sz w:val="21"/>
                <w:szCs w:val="21"/>
              </w:rPr>
              <w:t>跌价准备</w:t>
            </w:r>
            <w:r>
              <w:rPr>
                <w:rFonts w:ascii="宋体" w:hAnsi="宋体" w:cs="宋体" w:eastAsia="宋体" w:hint="default"/>
                <w:sz w:val="21"/>
                <w:szCs w:val="21"/>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56"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1,446,666.98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1,446,666.98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62"/>
              <w:jc w:val="left"/>
              <w:rPr>
                <w:rFonts w:ascii="宋体" w:hAnsi="宋体" w:cs="宋体" w:eastAsia="宋体" w:hint="default"/>
                <w:sz w:val="21"/>
                <w:szCs w:val="21"/>
              </w:rPr>
            </w:pPr>
            <w:r>
              <w:rPr>
                <w:rFonts w:ascii="宋体" w:hAnsi="宋体" w:cs="宋体" w:eastAsia="宋体" w:hint="default"/>
                <w:sz w:val="21"/>
                <w:szCs w:val="21"/>
              </w:rPr>
              <w:t>消耗性生物资 产</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62"/>
              <w:jc w:val="both"/>
              <w:rPr>
                <w:rFonts w:ascii="宋体" w:hAnsi="宋体" w:cs="宋体" w:eastAsia="宋体" w:hint="default"/>
                <w:sz w:val="21"/>
                <w:szCs w:val="21"/>
              </w:rPr>
            </w:pPr>
            <w:r>
              <w:rPr>
                <w:rFonts w:ascii="宋体" w:hAnsi="宋体" w:cs="宋体" w:eastAsia="宋体" w:hint="default"/>
                <w:sz w:val="21"/>
                <w:szCs w:val="21"/>
              </w:rPr>
              <w:t>建造合同形成 的已完工未结 算资产</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1,446,666.98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1,446,666.98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spacing w:line="499" w:lineRule="auto" w:before="26"/>
        <w:ind w:left="633" w:right="6652" w:hanging="480"/>
        <w:jc w:val="left"/>
        <w:rPr>
          <w:rFonts w:ascii="宋体" w:hAnsi="宋体" w:cs="宋体" w:eastAsia="宋体" w:hint="default"/>
          <w:sz w:val="24"/>
          <w:szCs w:val="24"/>
        </w:rPr>
      </w:pPr>
      <w:bookmarkStart w:name="11、划分为持有待售的资产" w:id="204"/>
      <w:bookmarkEnd w:id="204"/>
      <w:r>
        <w:rPr/>
      </w:r>
      <w:r>
        <w:rPr>
          <w:rFonts w:ascii="Times New Roman" w:hAnsi="Times New Roman" w:cs="Times New Roman" w:eastAsia="Times New Roman" w:hint="default"/>
          <w:b/>
          <w:bCs/>
          <w:w w:val="95"/>
          <w:sz w:val="24"/>
          <w:szCs w:val="24"/>
        </w:rPr>
        <w:t>11</w:t>
      </w:r>
      <w:r>
        <w:rPr>
          <w:rFonts w:ascii="宋体" w:hAnsi="宋体" w:cs="宋体" w:eastAsia="宋体" w:hint="default"/>
          <w:b/>
          <w:bCs/>
          <w:w w:val="95"/>
          <w:sz w:val="24"/>
          <w:szCs w:val="24"/>
        </w:rPr>
        <w:t>、划分为持有待售的资产</w:t>
      </w:r>
      <w:r>
        <w:rPr>
          <w:rFonts w:ascii="宋体" w:hAnsi="宋体" w:cs="宋体" w:eastAsia="宋体" w:hint="default"/>
          <w:b/>
          <w:bCs/>
          <w:spacing w:val="19"/>
          <w:w w:val="95"/>
          <w:sz w:val="24"/>
          <w:szCs w:val="24"/>
        </w:rPr>
        <w:t> </w:t>
      </w:r>
      <w:r>
        <w:rPr>
          <w:rFonts w:ascii="宋体" w:hAnsi="宋体" w:cs="宋体" w:eastAsia="宋体" w:hint="default"/>
          <w:sz w:val="24"/>
          <w:szCs w:val="24"/>
        </w:rPr>
        <w:t>无。</w:t>
      </w:r>
    </w:p>
    <w:p>
      <w:pPr>
        <w:spacing w:line="499" w:lineRule="auto" w:before="116"/>
        <w:ind w:left="633" w:right="6652" w:hanging="480"/>
        <w:jc w:val="left"/>
        <w:rPr>
          <w:rFonts w:ascii="宋体" w:hAnsi="宋体" w:cs="宋体" w:eastAsia="宋体" w:hint="default"/>
          <w:sz w:val="24"/>
          <w:szCs w:val="24"/>
        </w:rPr>
      </w:pPr>
      <w:bookmarkStart w:name="12、一年内到期的非流动资产" w:id="205"/>
      <w:bookmarkEnd w:id="205"/>
      <w:r>
        <w:rPr/>
      </w:r>
      <w:r>
        <w:rPr>
          <w:rFonts w:ascii="Times New Roman" w:hAnsi="Times New Roman" w:cs="Times New Roman" w:eastAsia="Times New Roman" w:hint="default"/>
          <w:b/>
          <w:bCs/>
          <w:w w:val="95"/>
          <w:sz w:val="24"/>
          <w:szCs w:val="24"/>
        </w:rPr>
        <w:t>12</w:t>
      </w:r>
      <w:r>
        <w:rPr>
          <w:rFonts w:ascii="宋体" w:hAnsi="宋体" w:cs="宋体" w:eastAsia="宋体" w:hint="default"/>
          <w:b/>
          <w:bCs/>
          <w:w w:val="95"/>
          <w:sz w:val="24"/>
          <w:szCs w:val="24"/>
        </w:rPr>
        <w:t>、一年内到期的非流动资产</w:t>
      </w:r>
      <w:r>
        <w:rPr>
          <w:rFonts w:ascii="宋体" w:hAnsi="宋体" w:cs="宋体" w:eastAsia="宋体" w:hint="default"/>
          <w:b/>
          <w:bCs/>
          <w:spacing w:val="30"/>
          <w:w w:val="95"/>
          <w:sz w:val="24"/>
          <w:szCs w:val="24"/>
        </w:rPr>
        <w:t> </w:t>
      </w:r>
      <w:r>
        <w:rPr>
          <w:rFonts w:ascii="宋体" w:hAnsi="宋体" w:cs="宋体" w:eastAsia="宋体" w:hint="default"/>
          <w:sz w:val="24"/>
          <w:szCs w:val="24"/>
        </w:rPr>
        <w:t>无。</w:t>
      </w:r>
    </w:p>
    <w:p>
      <w:pPr>
        <w:spacing w:line="499" w:lineRule="auto" w:before="115"/>
        <w:ind w:left="633" w:right="7846" w:hanging="480"/>
        <w:jc w:val="left"/>
        <w:rPr>
          <w:rFonts w:ascii="宋体" w:hAnsi="宋体" w:cs="宋体" w:eastAsia="宋体" w:hint="default"/>
          <w:sz w:val="24"/>
          <w:szCs w:val="24"/>
        </w:rPr>
      </w:pPr>
      <w:bookmarkStart w:name="13、其他流动资产" w:id="206"/>
      <w:bookmarkEnd w:id="206"/>
      <w:r>
        <w:rPr/>
      </w:r>
      <w:r>
        <w:rPr>
          <w:rFonts w:ascii="Times New Roman" w:hAnsi="Times New Roman" w:cs="Times New Roman" w:eastAsia="Times New Roman" w:hint="default"/>
          <w:b/>
          <w:bCs/>
          <w:sz w:val="24"/>
          <w:szCs w:val="24"/>
        </w:rPr>
        <w:t>13</w:t>
      </w:r>
      <w:r>
        <w:rPr>
          <w:rFonts w:ascii="宋体" w:hAnsi="宋体" w:cs="宋体" w:eastAsia="宋体" w:hint="default"/>
          <w:b/>
          <w:bCs/>
          <w:sz w:val="24"/>
          <w:szCs w:val="24"/>
        </w:rPr>
        <w:t>、其他流动资产</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before="115"/>
        <w:ind w:left="153" w:right="0" w:firstLine="0"/>
        <w:jc w:val="left"/>
        <w:rPr>
          <w:rFonts w:ascii="宋体" w:hAnsi="宋体" w:cs="宋体" w:eastAsia="宋体" w:hint="default"/>
          <w:sz w:val="24"/>
          <w:szCs w:val="24"/>
        </w:rPr>
      </w:pPr>
      <w:bookmarkStart w:name="14、可供出售金融资产" w:id="207"/>
      <w:bookmarkEnd w:id="207"/>
      <w:r>
        <w:rPr/>
      </w:r>
      <w:r>
        <w:rPr>
          <w:rFonts w:ascii="Times New Roman" w:hAnsi="Times New Roman" w:cs="Times New Roman" w:eastAsia="Times New Roman" w:hint="default"/>
          <w:b/>
          <w:bCs/>
          <w:sz w:val="24"/>
          <w:szCs w:val="24"/>
        </w:rPr>
        <w:t>14</w:t>
      </w:r>
      <w:r>
        <w:rPr>
          <w:rFonts w:ascii="宋体" w:hAnsi="宋体" w:cs="宋体" w:eastAsia="宋体" w:hint="default"/>
          <w:b/>
          <w:bCs/>
          <w:sz w:val="24"/>
          <w:szCs w:val="24"/>
        </w:rPr>
        <w:t>、可供出售金融资产</w:t>
      </w:r>
      <w:r>
        <w:rPr>
          <w:rFonts w:ascii="宋体" w:hAnsi="宋体" w:cs="宋体" w:eastAsia="宋体" w:hint="default"/>
          <w:sz w:val="24"/>
          <w:szCs w:val="24"/>
        </w:rPr>
      </w:r>
    </w:p>
    <w:p>
      <w:pPr>
        <w:spacing w:line="240" w:lineRule="auto" w:before="7"/>
        <w:rPr>
          <w:rFonts w:ascii="宋体" w:hAnsi="宋体" w:cs="宋体" w:eastAsia="宋体" w:hint="default"/>
          <w:b/>
          <w:bCs/>
          <w:sz w:val="21"/>
          <w:szCs w:val="21"/>
        </w:rPr>
      </w:pPr>
    </w:p>
    <w:p>
      <w:pPr>
        <w:spacing w:before="0"/>
        <w:ind w:left="153" w:right="0" w:firstLine="0"/>
        <w:jc w:val="left"/>
        <w:rPr>
          <w:rFonts w:ascii="宋体" w:hAnsi="宋体" w:cs="宋体" w:eastAsia="宋体" w:hint="default"/>
          <w:sz w:val="24"/>
          <w:szCs w:val="24"/>
        </w:rPr>
      </w:pPr>
      <w:bookmarkStart w:name="（1）可供出售金融资产情况" w:id="208"/>
      <w:bookmarkEnd w:id="208"/>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）可供出售金融资产情况</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0"/>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2522"/>
        <w:gridCol w:w="1479"/>
        <w:gridCol w:w="1052"/>
        <w:gridCol w:w="1480"/>
        <w:gridCol w:w="1053"/>
        <w:gridCol w:w="1054"/>
        <w:gridCol w:w="1055"/>
      </w:tblGrid>
      <w:tr>
        <w:trPr>
          <w:trHeight w:val="206" w:hRule="exact"/>
        </w:trPr>
        <w:tc>
          <w:tcPr>
            <w:tcW w:w="2522" w:type="dxa"/>
            <w:tcBorders>
              <w:top w:val="single" w:sz="4" w:space="0" w:color="000000"/>
              <w:left w:val="single" w:sz="4" w:space="0" w:color="000000"/>
              <w:bottom w:val="nil" w:sz="6" w:space="0" w:color="auto"/>
              <w:right w:val="single" w:sz="4" w:space="0" w:color="000000"/>
            </w:tcBorders>
            <w:shd w:val="clear" w:color="auto" w:fill="D2D2D2"/>
          </w:tcPr>
          <w:p>
            <w:pPr/>
          </w:p>
        </w:tc>
        <w:tc>
          <w:tcPr>
            <w:tcW w:w="401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16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196" w:hRule="exact"/>
        </w:trPr>
        <w:tc>
          <w:tcPr>
            <w:tcW w:w="25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011" w:type="dxa"/>
            <w:gridSpan w:val="3"/>
            <w:vMerge/>
            <w:tcBorders>
              <w:left w:val="single" w:sz="4" w:space="0" w:color="000000"/>
              <w:bottom w:val="single" w:sz="4" w:space="0" w:color="000000"/>
              <w:right w:val="single" w:sz="4" w:space="0" w:color="000000"/>
            </w:tcBorders>
            <w:shd w:val="clear" w:color="auto" w:fill="D2D2D2"/>
          </w:tcPr>
          <w:p>
            <w:pPr/>
          </w:p>
        </w:tc>
        <w:tc>
          <w:tcPr>
            <w:tcW w:w="316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522" w:type="dxa"/>
            <w:vMerge/>
            <w:tcBorders>
              <w:left w:val="single" w:sz="4" w:space="0" w:color="000000"/>
              <w:bottom w:val="nil" w:sz="6" w:space="0" w:color="auto"/>
              <w:right w:val="single" w:sz="4" w:space="0" w:color="000000"/>
            </w:tcBorders>
            <w:shd w:val="clear" w:color="auto" w:fill="D2D2D2"/>
          </w:tcPr>
          <w:p>
            <w:pPr/>
          </w:p>
        </w:tc>
        <w:tc>
          <w:tcPr>
            <w:tcW w:w="14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12"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99"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4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13"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99"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0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0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99"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205" w:hRule="exact"/>
        </w:trPr>
        <w:tc>
          <w:tcPr>
            <w:tcW w:w="25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9" w:type="dxa"/>
            <w:vMerge/>
            <w:tcBorders>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480" w:type="dxa"/>
            <w:vMerge/>
            <w:tcBorders>
              <w:left w:val="single" w:sz="4" w:space="0" w:color="000000"/>
              <w:bottom w:val="single" w:sz="4" w:space="0" w:color="000000"/>
              <w:right w:val="single" w:sz="4" w:space="0" w:color="000000"/>
            </w:tcBorders>
            <w:shd w:val="clear" w:color="auto" w:fill="D2D2D2"/>
          </w:tcPr>
          <w:p>
            <w:pPr/>
          </w:p>
        </w:tc>
        <w:tc>
          <w:tcPr>
            <w:tcW w:w="1053" w:type="dxa"/>
            <w:vMerge/>
            <w:tcBorders>
              <w:left w:val="single" w:sz="4" w:space="0" w:color="000000"/>
              <w:bottom w:val="single" w:sz="4" w:space="0" w:color="000000"/>
              <w:right w:val="single" w:sz="4" w:space="0" w:color="000000"/>
            </w:tcBorders>
            <w:shd w:val="clear" w:color="auto" w:fill="D2D2D2"/>
          </w:tcPr>
          <w:p>
            <w:pPr/>
          </w:p>
        </w:tc>
        <w:tc>
          <w:tcPr>
            <w:tcW w:w="1054"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4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20,000,000.00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20,000,000.00</w:t>
            </w:r>
          </w:p>
        </w:tc>
        <w:tc>
          <w:tcPr>
            <w:tcW w:w="1053"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4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76,748,300.00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76,748,300.00</w:t>
            </w:r>
          </w:p>
        </w:tc>
        <w:tc>
          <w:tcPr>
            <w:tcW w:w="1053"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按公允价值计量的</w:t>
            </w:r>
          </w:p>
        </w:tc>
        <w:tc>
          <w:tcPr>
            <w:tcW w:w="1479" w:type="dxa"/>
            <w:tcBorders>
              <w:top w:val="single" w:sz="4" w:space="0" w:color="000000"/>
              <w:left w:val="single" w:sz="9" w:space="0" w:color="D2D2D2"/>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053"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510"/>
        <w:gridCol w:w="1491"/>
        <w:gridCol w:w="1052"/>
        <w:gridCol w:w="1480"/>
        <w:gridCol w:w="1053"/>
        <w:gridCol w:w="1054"/>
        <w:gridCol w:w="1055"/>
      </w:tblGrid>
      <w:tr>
        <w:trPr>
          <w:trHeight w:val="402" w:hRule="exact"/>
        </w:trPr>
        <w:tc>
          <w:tcPr>
            <w:tcW w:w="2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4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76,748,300.00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76,748,300.00</w:t>
            </w:r>
          </w:p>
        </w:tc>
        <w:tc>
          <w:tcPr>
            <w:tcW w:w="1053"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96,748,300.00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96,748,300.00</w:t>
            </w:r>
          </w:p>
        </w:tc>
        <w:tc>
          <w:tcPr>
            <w:tcW w:w="1053"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spacing w:line="499" w:lineRule="auto" w:before="26"/>
        <w:ind w:left="633" w:right="4732" w:hanging="480"/>
        <w:jc w:val="left"/>
        <w:rPr>
          <w:rFonts w:ascii="宋体" w:hAnsi="宋体" w:cs="宋体" w:eastAsia="宋体" w:hint="default"/>
          <w:sz w:val="24"/>
          <w:szCs w:val="24"/>
        </w:rPr>
      </w:pPr>
      <w:bookmarkStart w:name="（2）期末按公允价值计量的可供出售金融资产" w:id="209"/>
      <w:bookmarkEnd w:id="209"/>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2</w:t>
      </w:r>
      <w:r>
        <w:rPr>
          <w:rFonts w:ascii="宋体" w:hAnsi="宋体" w:cs="宋体" w:eastAsia="宋体" w:hint="default"/>
          <w:b/>
          <w:bCs/>
          <w:w w:val="95"/>
          <w:sz w:val="24"/>
          <w:szCs w:val="24"/>
        </w:rPr>
        <w:t>）期末按公允价值计量的可供出售金融资产</w:t>
      </w:r>
      <w:r>
        <w:rPr>
          <w:rFonts w:ascii="宋体" w:hAnsi="宋体" w:cs="宋体" w:eastAsia="宋体" w:hint="default"/>
          <w:b/>
          <w:bCs/>
          <w:spacing w:val="114"/>
          <w:w w:val="95"/>
          <w:sz w:val="24"/>
          <w:szCs w:val="24"/>
        </w:rPr>
        <w:t> </w:t>
      </w:r>
      <w:r>
        <w:rPr>
          <w:rFonts w:ascii="宋体" w:hAnsi="宋体" w:cs="宋体" w:eastAsia="宋体" w:hint="default"/>
          <w:sz w:val="24"/>
          <w:szCs w:val="24"/>
        </w:rPr>
        <w:t>无。</w:t>
      </w:r>
    </w:p>
    <w:p>
      <w:pPr>
        <w:spacing w:before="116"/>
        <w:ind w:left="153" w:right="0" w:firstLine="0"/>
        <w:jc w:val="left"/>
        <w:rPr>
          <w:rFonts w:ascii="宋体" w:hAnsi="宋体" w:cs="宋体" w:eastAsia="宋体" w:hint="default"/>
          <w:sz w:val="24"/>
          <w:szCs w:val="24"/>
        </w:rPr>
      </w:pPr>
      <w:bookmarkStart w:name="（3）期末按成本计量的可供出售金融资产" w:id="210"/>
      <w:bookmarkEnd w:id="210"/>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）期末按成本计量的可供出售金融资产</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3501"/>
        <w:gridCol w:w="312"/>
        <w:gridCol w:w="1265"/>
        <w:gridCol w:w="403"/>
        <w:gridCol w:w="1265"/>
        <w:gridCol w:w="312"/>
        <w:gridCol w:w="404"/>
        <w:gridCol w:w="404"/>
        <w:gridCol w:w="313"/>
        <w:gridCol w:w="1020"/>
        <w:gridCol w:w="494"/>
      </w:tblGrid>
      <w:tr>
        <w:trPr>
          <w:trHeight w:val="402" w:hRule="exact"/>
        </w:trPr>
        <w:tc>
          <w:tcPr>
            <w:tcW w:w="35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1"/>
              <w:jc w:val="center"/>
              <w:rPr>
                <w:rFonts w:ascii="宋体" w:hAnsi="宋体" w:cs="宋体" w:eastAsia="宋体" w:hint="default"/>
                <w:sz w:val="21"/>
                <w:szCs w:val="21"/>
              </w:rPr>
            </w:pPr>
            <w:r>
              <w:rPr>
                <w:rFonts w:ascii="宋体" w:hAnsi="宋体" w:cs="宋体" w:eastAsia="宋体" w:hint="default"/>
                <w:b/>
                <w:bCs/>
                <w:sz w:val="21"/>
                <w:szCs w:val="21"/>
              </w:rPr>
              <w:t>被投资单位</w:t>
            </w:r>
            <w:r>
              <w:rPr>
                <w:rFonts w:ascii="宋体" w:hAnsi="宋体" w:cs="宋体" w:eastAsia="宋体" w:hint="default"/>
                <w:sz w:val="21"/>
                <w:szCs w:val="21"/>
              </w:rPr>
            </w:r>
          </w:p>
        </w:tc>
        <w:tc>
          <w:tcPr>
            <w:tcW w:w="32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43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89"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0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73" w:lineRule="auto"/>
              <w:ind w:left="82" w:right="80"/>
              <w:jc w:val="center"/>
              <w:rPr>
                <w:rFonts w:ascii="宋体" w:hAnsi="宋体" w:cs="宋体" w:eastAsia="宋体" w:hint="default"/>
                <w:sz w:val="21"/>
                <w:szCs w:val="21"/>
              </w:rPr>
            </w:pPr>
            <w:r>
              <w:rPr>
                <w:rFonts w:ascii="宋体" w:hAnsi="宋体" w:cs="宋体" w:eastAsia="宋体" w:hint="default"/>
                <w:b/>
                <w:bCs/>
                <w:sz w:val="21"/>
                <w:szCs w:val="21"/>
              </w:rPr>
              <w:t>在被投资</w:t>
            </w:r>
            <w:r>
              <w:rPr>
                <w:rFonts w:ascii="宋体" w:hAnsi="宋体" w:cs="宋体" w:eastAsia="宋体" w:hint="default"/>
                <w:b/>
                <w:bCs/>
                <w:spacing w:val="1"/>
                <w:w w:val="99"/>
                <w:sz w:val="21"/>
                <w:szCs w:val="21"/>
              </w:rPr>
              <w:t> </w:t>
            </w:r>
            <w:r>
              <w:rPr>
                <w:rFonts w:ascii="宋体" w:hAnsi="宋体" w:cs="宋体" w:eastAsia="宋体" w:hint="default"/>
                <w:b/>
                <w:bCs/>
                <w:sz w:val="21"/>
                <w:szCs w:val="21"/>
              </w:rPr>
              <w:t>单位持股</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73" w:lineRule="auto"/>
              <w:ind w:left="31" w:right="29"/>
              <w:jc w:val="both"/>
              <w:rPr>
                <w:rFonts w:ascii="宋体" w:hAnsi="宋体" w:cs="宋体" w:eastAsia="宋体" w:hint="default"/>
                <w:sz w:val="21"/>
                <w:szCs w:val="21"/>
              </w:rPr>
            </w:pPr>
            <w:r>
              <w:rPr>
                <w:rFonts w:ascii="宋体" w:hAnsi="宋体" w:cs="宋体" w:eastAsia="宋体" w:hint="default"/>
                <w:b/>
                <w:bCs/>
                <w:sz w:val="21"/>
                <w:szCs w:val="21"/>
              </w:rPr>
              <w:t>本期</w:t>
            </w:r>
            <w:r>
              <w:rPr>
                <w:rFonts w:ascii="宋体" w:hAnsi="宋体" w:cs="宋体" w:eastAsia="宋体" w:hint="default"/>
                <w:b/>
                <w:bCs/>
                <w:spacing w:val="1"/>
                <w:w w:val="99"/>
                <w:sz w:val="21"/>
                <w:szCs w:val="21"/>
              </w:rPr>
              <w:t> </w:t>
            </w:r>
            <w:r>
              <w:rPr>
                <w:rFonts w:ascii="宋体" w:hAnsi="宋体" w:cs="宋体" w:eastAsia="宋体" w:hint="default"/>
                <w:b/>
                <w:bCs/>
                <w:sz w:val="21"/>
                <w:szCs w:val="21"/>
              </w:rPr>
              <w:t>现金</w:t>
            </w:r>
            <w:r>
              <w:rPr>
                <w:rFonts w:ascii="宋体" w:hAnsi="宋体" w:cs="宋体" w:eastAsia="宋体" w:hint="default"/>
                <w:b/>
                <w:bCs/>
                <w:spacing w:val="1"/>
                <w:w w:val="99"/>
                <w:sz w:val="21"/>
                <w:szCs w:val="21"/>
              </w:rPr>
              <w:t> </w:t>
            </w:r>
            <w:r>
              <w:rPr>
                <w:rFonts w:ascii="宋体" w:hAnsi="宋体" w:cs="宋体" w:eastAsia="宋体" w:hint="default"/>
                <w:b/>
                <w:bCs/>
                <w:sz w:val="21"/>
                <w:szCs w:val="21"/>
              </w:rPr>
              <w:t>红利</w:t>
            </w:r>
            <w:r>
              <w:rPr>
                <w:rFonts w:ascii="宋体" w:hAnsi="宋体" w:cs="宋体" w:eastAsia="宋体" w:hint="default"/>
                <w:sz w:val="21"/>
                <w:szCs w:val="21"/>
              </w:rPr>
            </w:r>
          </w:p>
        </w:tc>
      </w:tr>
      <w:tr>
        <w:trPr>
          <w:trHeight w:val="1338" w:hRule="exact"/>
        </w:trPr>
        <w:tc>
          <w:tcPr>
            <w:tcW w:w="3501" w:type="dxa"/>
            <w:vMerge/>
            <w:tcBorders>
              <w:left w:val="single" w:sz="4" w:space="0" w:color="000000"/>
              <w:bottom w:val="single" w:sz="4" w:space="0" w:color="000000"/>
              <w:right w:val="single" w:sz="4" w:space="0" w:color="000000"/>
            </w:tcBorders>
            <w:shd w:val="clear" w:color="auto" w:fill="D2D2D2"/>
          </w:tcPr>
          <w:p>
            <w:pP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44" w:right="46"/>
              <w:jc w:val="left"/>
              <w:rPr>
                <w:rFonts w:ascii="宋体" w:hAnsi="宋体" w:cs="宋体" w:eastAsia="宋体" w:hint="default"/>
                <w:sz w:val="21"/>
                <w:szCs w:val="21"/>
              </w:rPr>
            </w:pPr>
            <w:r>
              <w:rPr>
                <w:rFonts w:ascii="宋体" w:hAnsi="宋体" w:cs="宋体" w:eastAsia="宋体" w:hint="default"/>
                <w:b/>
                <w:bCs/>
                <w:sz w:val="21"/>
                <w:szCs w:val="21"/>
              </w:rPr>
              <w:t>期</w:t>
            </w:r>
            <w:r>
              <w:rPr>
                <w:rFonts w:ascii="宋体" w:hAnsi="宋体" w:cs="宋体" w:eastAsia="宋体" w:hint="default"/>
                <w:b/>
                <w:bCs/>
                <w:w w:val="99"/>
                <w:sz w:val="21"/>
                <w:szCs w:val="21"/>
              </w:rPr>
              <w:t> </w:t>
            </w:r>
            <w:r>
              <w:rPr>
                <w:rFonts w:ascii="宋体" w:hAnsi="宋体" w:cs="宋体" w:eastAsia="宋体" w:hint="default"/>
                <w:b/>
                <w:bCs/>
                <w:sz w:val="21"/>
                <w:szCs w:val="21"/>
              </w:rPr>
              <w:t>初</w:t>
            </w:r>
            <w:r>
              <w:rPr>
                <w:rFonts w:ascii="宋体" w:hAnsi="宋体" w:cs="宋体" w:eastAsia="宋体" w:hint="default"/>
                <w:sz w:val="21"/>
                <w:szCs w:val="21"/>
              </w:rPr>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91" w:right="90"/>
              <w:jc w:val="both"/>
              <w:rPr>
                <w:rFonts w:ascii="宋体" w:hAnsi="宋体" w:cs="宋体" w:eastAsia="宋体" w:hint="default"/>
                <w:sz w:val="21"/>
                <w:szCs w:val="21"/>
              </w:rPr>
            </w:pPr>
            <w:r>
              <w:rPr>
                <w:rFonts w:ascii="宋体" w:hAnsi="宋体" w:cs="宋体" w:eastAsia="宋体" w:hint="default"/>
                <w:b/>
                <w:bCs/>
                <w:sz w:val="21"/>
                <w:szCs w:val="21"/>
              </w:rPr>
              <w:t>本</w:t>
            </w:r>
            <w:r>
              <w:rPr>
                <w:rFonts w:ascii="宋体" w:hAnsi="宋体" w:cs="宋体" w:eastAsia="宋体" w:hint="default"/>
                <w:b/>
                <w:bCs/>
                <w:w w:val="99"/>
                <w:sz w:val="21"/>
                <w:szCs w:val="21"/>
              </w:rPr>
              <w:t> </w:t>
            </w:r>
            <w:r>
              <w:rPr>
                <w:rFonts w:ascii="宋体" w:hAnsi="宋体" w:cs="宋体" w:eastAsia="宋体" w:hint="default"/>
                <w:b/>
                <w:bCs/>
                <w:sz w:val="21"/>
                <w:szCs w:val="21"/>
              </w:rPr>
              <w:t>期</w:t>
            </w:r>
            <w:r>
              <w:rPr>
                <w:rFonts w:ascii="宋体" w:hAnsi="宋体" w:cs="宋体" w:eastAsia="宋体" w:hint="default"/>
                <w:b/>
                <w:bCs/>
                <w:w w:val="99"/>
                <w:sz w:val="21"/>
                <w:szCs w:val="21"/>
              </w:rPr>
              <w:t> </w:t>
            </w:r>
            <w:r>
              <w:rPr>
                <w:rFonts w:ascii="宋体" w:hAnsi="宋体" w:cs="宋体" w:eastAsia="宋体" w:hint="default"/>
                <w:b/>
                <w:bCs/>
                <w:sz w:val="21"/>
                <w:szCs w:val="21"/>
              </w:rPr>
              <w:t>减</w:t>
            </w:r>
            <w:r>
              <w:rPr>
                <w:rFonts w:ascii="宋体" w:hAnsi="宋体" w:cs="宋体" w:eastAsia="宋体" w:hint="default"/>
                <w:b/>
                <w:bCs/>
                <w:w w:val="99"/>
                <w:sz w:val="21"/>
                <w:szCs w:val="21"/>
              </w:rPr>
              <w:t> </w:t>
            </w:r>
            <w:r>
              <w:rPr>
                <w:rFonts w:ascii="宋体" w:hAnsi="宋体" w:cs="宋体" w:eastAsia="宋体" w:hint="default"/>
                <w:b/>
                <w:bCs/>
                <w:sz w:val="21"/>
                <w:szCs w:val="21"/>
              </w:rPr>
              <w:t>少</w:t>
            </w:r>
            <w:r>
              <w:rPr>
                <w:rFonts w:ascii="宋体" w:hAnsi="宋体" w:cs="宋体" w:eastAsia="宋体" w:hint="default"/>
                <w:sz w:val="21"/>
                <w:szCs w:val="21"/>
              </w:rPr>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b/>
                <w:bCs/>
                <w:sz w:val="21"/>
                <w:szCs w:val="21"/>
              </w:rPr>
              <w:t>期末</w:t>
            </w:r>
            <w:r>
              <w:rPr>
                <w:rFonts w:ascii="宋体" w:hAnsi="宋体" w:cs="宋体" w:eastAsia="宋体" w:hint="default"/>
                <w:sz w:val="21"/>
                <w:szCs w:val="21"/>
              </w:rPr>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45" w:right="45"/>
              <w:jc w:val="left"/>
              <w:rPr>
                <w:rFonts w:ascii="宋体" w:hAnsi="宋体" w:cs="宋体" w:eastAsia="宋体" w:hint="default"/>
                <w:sz w:val="21"/>
                <w:szCs w:val="21"/>
              </w:rPr>
            </w:pPr>
            <w:r>
              <w:rPr>
                <w:rFonts w:ascii="宋体" w:hAnsi="宋体" w:cs="宋体" w:eastAsia="宋体" w:hint="default"/>
                <w:b/>
                <w:bCs/>
                <w:sz w:val="21"/>
                <w:szCs w:val="21"/>
              </w:rPr>
              <w:t>期</w:t>
            </w:r>
            <w:r>
              <w:rPr>
                <w:rFonts w:ascii="宋体" w:hAnsi="宋体" w:cs="宋体" w:eastAsia="宋体" w:hint="default"/>
                <w:b/>
                <w:bCs/>
                <w:w w:val="99"/>
                <w:sz w:val="21"/>
                <w:szCs w:val="21"/>
              </w:rPr>
              <w:t> </w:t>
            </w:r>
            <w:r>
              <w:rPr>
                <w:rFonts w:ascii="宋体" w:hAnsi="宋体" w:cs="宋体" w:eastAsia="宋体" w:hint="default"/>
                <w:b/>
                <w:bCs/>
                <w:sz w:val="21"/>
                <w:szCs w:val="21"/>
              </w:rPr>
              <w:t>初</w:t>
            </w:r>
            <w:r>
              <w:rPr>
                <w:rFonts w:ascii="宋体" w:hAnsi="宋体" w:cs="宋体" w:eastAsia="宋体" w:hint="default"/>
                <w:sz w:val="21"/>
                <w:szCs w:val="21"/>
              </w:rPr>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92" w:right="90"/>
              <w:jc w:val="both"/>
              <w:rPr>
                <w:rFonts w:ascii="宋体" w:hAnsi="宋体" w:cs="宋体" w:eastAsia="宋体" w:hint="default"/>
                <w:sz w:val="21"/>
                <w:szCs w:val="21"/>
              </w:rPr>
            </w:pPr>
            <w:r>
              <w:rPr>
                <w:rFonts w:ascii="宋体" w:hAnsi="宋体" w:cs="宋体" w:eastAsia="宋体" w:hint="default"/>
                <w:b/>
                <w:bCs/>
                <w:sz w:val="21"/>
                <w:szCs w:val="21"/>
              </w:rPr>
              <w:t>本</w:t>
            </w:r>
            <w:r>
              <w:rPr>
                <w:rFonts w:ascii="宋体" w:hAnsi="宋体" w:cs="宋体" w:eastAsia="宋体" w:hint="default"/>
                <w:b/>
                <w:bCs/>
                <w:w w:val="99"/>
                <w:sz w:val="21"/>
                <w:szCs w:val="21"/>
              </w:rPr>
              <w:t> </w:t>
            </w:r>
            <w:r>
              <w:rPr>
                <w:rFonts w:ascii="宋体" w:hAnsi="宋体" w:cs="宋体" w:eastAsia="宋体" w:hint="default"/>
                <w:b/>
                <w:bCs/>
                <w:sz w:val="21"/>
                <w:szCs w:val="21"/>
              </w:rPr>
              <w:t>期</w:t>
            </w:r>
            <w:r>
              <w:rPr>
                <w:rFonts w:ascii="宋体" w:hAnsi="宋体" w:cs="宋体" w:eastAsia="宋体" w:hint="default"/>
                <w:b/>
                <w:bCs/>
                <w:w w:val="99"/>
                <w:sz w:val="21"/>
                <w:szCs w:val="21"/>
              </w:rPr>
              <w:t> </w:t>
            </w:r>
            <w:r>
              <w:rPr>
                <w:rFonts w:ascii="宋体" w:hAnsi="宋体" w:cs="宋体" w:eastAsia="宋体" w:hint="default"/>
                <w:b/>
                <w:bCs/>
                <w:sz w:val="21"/>
                <w:szCs w:val="21"/>
              </w:rPr>
              <w:t>增</w:t>
            </w:r>
            <w:r>
              <w:rPr>
                <w:rFonts w:ascii="宋体" w:hAnsi="宋体" w:cs="宋体" w:eastAsia="宋体" w:hint="default"/>
                <w:b/>
                <w:bCs/>
                <w:w w:val="99"/>
                <w:sz w:val="21"/>
                <w:szCs w:val="21"/>
              </w:rPr>
              <w:t> </w:t>
            </w:r>
            <w:r>
              <w:rPr>
                <w:rFonts w:ascii="宋体" w:hAnsi="宋体" w:cs="宋体" w:eastAsia="宋体" w:hint="default"/>
                <w:b/>
                <w:bCs/>
                <w:sz w:val="21"/>
                <w:szCs w:val="21"/>
              </w:rPr>
              <w:t>加</w:t>
            </w:r>
            <w:r>
              <w:rPr>
                <w:rFonts w:ascii="宋体" w:hAnsi="宋体" w:cs="宋体" w:eastAsia="宋体" w:hint="default"/>
                <w:sz w:val="21"/>
                <w:szCs w:val="21"/>
              </w:rPr>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91" w:right="91"/>
              <w:jc w:val="both"/>
              <w:rPr>
                <w:rFonts w:ascii="宋体" w:hAnsi="宋体" w:cs="宋体" w:eastAsia="宋体" w:hint="default"/>
                <w:sz w:val="21"/>
                <w:szCs w:val="21"/>
              </w:rPr>
            </w:pPr>
            <w:r>
              <w:rPr>
                <w:rFonts w:ascii="宋体" w:hAnsi="宋体" w:cs="宋体" w:eastAsia="宋体" w:hint="default"/>
                <w:b/>
                <w:bCs/>
                <w:sz w:val="21"/>
                <w:szCs w:val="21"/>
              </w:rPr>
              <w:t>本</w:t>
            </w:r>
            <w:r>
              <w:rPr>
                <w:rFonts w:ascii="宋体" w:hAnsi="宋体" w:cs="宋体" w:eastAsia="宋体" w:hint="default"/>
                <w:b/>
                <w:bCs/>
                <w:w w:val="99"/>
                <w:sz w:val="21"/>
                <w:szCs w:val="21"/>
              </w:rPr>
              <w:t> </w:t>
            </w:r>
            <w:r>
              <w:rPr>
                <w:rFonts w:ascii="宋体" w:hAnsi="宋体" w:cs="宋体" w:eastAsia="宋体" w:hint="default"/>
                <w:b/>
                <w:bCs/>
                <w:sz w:val="21"/>
                <w:szCs w:val="21"/>
              </w:rPr>
              <w:t>期</w:t>
            </w:r>
            <w:r>
              <w:rPr>
                <w:rFonts w:ascii="宋体" w:hAnsi="宋体" w:cs="宋体" w:eastAsia="宋体" w:hint="default"/>
                <w:b/>
                <w:bCs/>
                <w:w w:val="99"/>
                <w:sz w:val="21"/>
                <w:szCs w:val="21"/>
              </w:rPr>
              <w:t> </w:t>
            </w:r>
            <w:r>
              <w:rPr>
                <w:rFonts w:ascii="宋体" w:hAnsi="宋体" w:cs="宋体" w:eastAsia="宋体" w:hint="default"/>
                <w:b/>
                <w:bCs/>
                <w:sz w:val="21"/>
                <w:szCs w:val="21"/>
              </w:rPr>
              <w:t>减</w:t>
            </w:r>
            <w:r>
              <w:rPr>
                <w:rFonts w:ascii="宋体" w:hAnsi="宋体" w:cs="宋体" w:eastAsia="宋体" w:hint="default"/>
                <w:b/>
                <w:bCs/>
                <w:w w:val="99"/>
                <w:sz w:val="21"/>
                <w:szCs w:val="21"/>
              </w:rPr>
              <w:t> </w:t>
            </w:r>
            <w:r>
              <w:rPr>
                <w:rFonts w:ascii="宋体" w:hAnsi="宋体" w:cs="宋体" w:eastAsia="宋体" w:hint="default"/>
                <w:b/>
                <w:bCs/>
                <w:sz w:val="21"/>
                <w:szCs w:val="21"/>
              </w:rPr>
              <w:t>少</w:t>
            </w:r>
            <w:r>
              <w:rPr>
                <w:rFonts w:ascii="宋体" w:hAnsi="宋体" w:cs="宋体" w:eastAsia="宋体" w:hint="default"/>
                <w:sz w:val="21"/>
                <w:szCs w:val="21"/>
              </w:rPr>
            </w:r>
          </w:p>
        </w:tc>
        <w:tc>
          <w:tcPr>
            <w:tcW w:w="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45" w:right="47"/>
              <w:jc w:val="left"/>
              <w:rPr>
                <w:rFonts w:ascii="宋体" w:hAnsi="宋体" w:cs="宋体" w:eastAsia="宋体" w:hint="default"/>
                <w:sz w:val="21"/>
                <w:szCs w:val="21"/>
              </w:rPr>
            </w:pPr>
            <w:r>
              <w:rPr>
                <w:rFonts w:ascii="宋体" w:hAnsi="宋体" w:cs="宋体" w:eastAsia="宋体" w:hint="default"/>
                <w:b/>
                <w:bCs/>
                <w:sz w:val="21"/>
                <w:szCs w:val="21"/>
              </w:rPr>
              <w:t>期</w:t>
            </w:r>
            <w:r>
              <w:rPr>
                <w:rFonts w:ascii="宋体" w:hAnsi="宋体" w:cs="宋体" w:eastAsia="宋体" w:hint="default"/>
                <w:b/>
                <w:bCs/>
                <w:w w:val="99"/>
                <w:sz w:val="21"/>
                <w:szCs w:val="21"/>
              </w:rPr>
              <w:t> </w:t>
            </w:r>
            <w:r>
              <w:rPr>
                <w:rFonts w:ascii="宋体" w:hAnsi="宋体" w:cs="宋体" w:eastAsia="宋体" w:hint="default"/>
                <w:b/>
                <w:bCs/>
                <w:sz w:val="21"/>
                <w:szCs w:val="21"/>
              </w:rPr>
              <w:t>末</w:t>
            </w:r>
            <w:r>
              <w:rPr>
                <w:rFonts w:ascii="宋体" w:hAnsi="宋体" w:cs="宋体" w:eastAsia="宋体" w:hint="default"/>
                <w:sz w:val="21"/>
                <w:szCs w:val="21"/>
              </w:rPr>
            </w:r>
          </w:p>
        </w:tc>
        <w:tc>
          <w:tcPr>
            <w:tcW w:w="1020"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天翼阅读文化传播有限公司</w:t>
            </w:r>
          </w:p>
        </w:tc>
        <w:tc>
          <w:tcPr>
            <w:tcW w:w="31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70,629,300.00</w:t>
            </w:r>
          </w:p>
        </w:tc>
        <w:tc>
          <w:tcPr>
            <w:tcW w:w="40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70,629,300.00</w:t>
            </w:r>
          </w:p>
        </w:tc>
        <w:tc>
          <w:tcPr>
            <w:tcW w:w="312"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10.53%</w:t>
            </w: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MOOC-CNInformationTechnology</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Cayman</w:t>
            </w:r>
            <w:r>
              <w:rPr>
                <w:rFonts w:ascii="宋体" w:hAnsi="宋体" w:cs="宋体" w:eastAsia="宋体" w:hint="default"/>
                <w:sz w:val="21"/>
                <w:szCs w:val="21"/>
              </w:rPr>
              <w:t>）</w:t>
            </w:r>
            <w:r>
              <w:rPr>
                <w:rFonts w:ascii="Times New Roman" w:hAnsi="Times New Roman" w:cs="Times New Roman" w:eastAsia="Times New Roman" w:hint="default"/>
                <w:sz w:val="21"/>
                <w:szCs w:val="21"/>
              </w:rPr>
              <w:t>Corporation</w:t>
            </w:r>
          </w:p>
        </w:tc>
        <w:tc>
          <w:tcPr>
            <w:tcW w:w="31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6,119,000.00</w:t>
            </w:r>
          </w:p>
        </w:tc>
        <w:tc>
          <w:tcPr>
            <w:tcW w:w="40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6,119,000.00</w:t>
            </w:r>
          </w:p>
        </w:tc>
        <w:tc>
          <w:tcPr>
            <w:tcW w:w="312"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1.33%</w:t>
            </w: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76,748,300.00</w:t>
            </w:r>
          </w:p>
        </w:tc>
        <w:tc>
          <w:tcPr>
            <w:tcW w:w="40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76,748,300.00</w:t>
            </w:r>
          </w:p>
        </w:tc>
        <w:tc>
          <w:tcPr>
            <w:tcW w:w="312"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9" w:space="0" w:color="D2D2D2"/>
            </w:tcBorders>
          </w:tcPr>
          <w:p>
            <w:pP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494" w:type="dxa"/>
            <w:tcBorders>
              <w:top w:val="single" w:sz="4" w:space="0" w:color="000000"/>
              <w:left w:val="single" w:sz="13" w:space="0" w:color="D2D2D2"/>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spacing w:line="499" w:lineRule="auto" w:before="26"/>
        <w:ind w:left="633" w:right="4732" w:hanging="480"/>
        <w:jc w:val="left"/>
        <w:rPr>
          <w:rFonts w:ascii="宋体" w:hAnsi="宋体" w:cs="宋体" w:eastAsia="宋体" w:hint="default"/>
          <w:sz w:val="24"/>
          <w:szCs w:val="24"/>
        </w:rPr>
      </w:pPr>
      <w:bookmarkStart w:name="（4）报告期内可供出售金融资产减值的变动情况" w:id="211"/>
      <w:bookmarkEnd w:id="211"/>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4</w:t>
      </w:r>
      <w:r>
        <w:rPr>
          <w:rFonts w:ascii="宋体" w:hAnsi="宋体" w:cs="宋体" w:eastAsia="宋体" w:hint="default"/>
          <w:b/>
          <w:bCs/>
          <w:w w:val="95"/>
          <w:sz w:val="24"/>
          <w:szCs w:val="24"/>
        </w:rPr>
        <w:t>）报告期内可供出售金融资产减值的变动情况</w:t>
      </w:r>
      <w:r>
        <w:rPr>
          <w:rFonts w:ascii="宋体" w:hAnsi="宋体" w:cs="宋体" w:eastAsia="宋体" w:hint="default"/>
          <w:b/>
          <w:bCs/>
          <w:spacing w:val="10"/>
          <w:w w:val="95"/>
          <w:sz w:val="24"/>
          <w:szCs w:val="24"/>
        </w:rPr>
        <w:t> </w:t>
      </w:r>
      <w:r>
        <w:rPr>
          <w:rFonts w:ascii="宋体" w:hAnsi="宋体" w:cs="宋体" w:eastAsia="宋体" w:hint="default"/>
          <w:sz w:val="24"/>
          <w:szCs w:val="24"/>
        </w:rPr>
        <w:t>无。</w:t>
      </w:r>
    </w:p>
    <w:p>
      <w:pPr>
        <w:spacing w:line="499" w:lineRule="auto" w:before="116"/>
        <w:ind w:left="634" w:right="0" w:hanging="480"/>
        <w:jc w:val="left"/>
        <w:rPr>
          <w:rFonts w:ascii="宋体" w:hAnsi="宋体" w:cs="宋体" w:eastAsia="宋体" w:hint="default"/>
          <w:sz w:val="24"/>
          <w:szCs w:val="24"/>
        </w:rPr>
      </w:pPr>
      <w:bookmarkStart w:name="（5）可供出售权益工具期末公允价值严重下跌或非暂时性下跌但未计提减值准备的相关说" w:id="212"/>
      <w:bookmarkEnd w:id="212"/>
      <w:r>
        <w:rPr/>
      </w:r>
      <w:r>
        <w:rPr>
          <w:rFonts w:ascii="宋体" w:hAnsi="宋体" w:cs="宋体" w:eastAsia="宋体" w:hint="default"/>
          <w:b/>
          <w:bCs/>
          <w:spacing w:val="-3"/>
          <w:w w:val="99"/>
          <w:sz w:val="24"/>
          <w:szCs w:val="24"/>
        </w:rPr>
        <w:t>（</w:t>
      </w:r>
      <w:r>
        <w:rPr>
          <w:rFonts w:ascii="Times New Roman" w:hAnsi="Times New Roman" w:cs="Times New Roman" w:eastAsia="Times New Roman" w:hint="default"/>
          <w:b/>
          <w:bCs/>
          <w:spacing w:val="-3"/>
          <w:w w:val="99"/>
          <w:sz w:val="24"/>
          <w:szCs w:val="24"/>
        </w:rPr>
        <w:t>5</w:t>
      </w:r>
      <w:r>
        <w:rPr>
          <w:rFonts w:ascii="宋体" w:hAnsi="宋体" w:cs="宋体" w:eastAsia="宋体" w:hint="default"/>
          <w:b/>
          <w:bCs/>
          <w:spacing w:val="-3"/>
          <w:w w:val="99"/>
          <w:sz w:val="24"/>
          <w:szCs w:val="24"/>
        </w:rPr>
        <w:t>）可供出售权益工具期末公允价值严重下跌或非暂时性下跌但未计提减值准备的相关说明</w:t>
      </w:r>
      <w:r>
        <w:rPr>
          <w:rFonts w:ascii="宋体" w:hAnsi="宋体" w:cs="宋体" w:eastAsia="宋体" w:hint="default"/>
          <w:b/>
          <w:bCs/>
          <w:spacing w:val="-116"/>
          <w:w w:val="99"/>
          <w:sz w:val="24"/>
          <w:szCs w:val="24"/>
        </w:rPr>
        <w:t> </w:t>
      </w:r>
      <w:r>
        <w:rPr>
          <w:rFonts w:ascii="宋体" w:hAnsi="宋体" w:cs="宋体" w:eastAsia="宋体" w:hint="default"/>
          <w:b/>
          <w:bCs/>
          <w:spacing w:val="-116"/>
          <w:w w:val="99"/>
          <w:sz w:val="24"/>
          <w:szCs w:val="24"/>
        </w:rPr>
      </w:r>
      <w:r>
        <w:rPr>
          <w:rFonts w:ascii="宋体" w:hAnsi="宋体" w:cs="宋体" w:eastAsia="宋体" w:hint="default"/>
          <w:sz w:val="24"/>
          <w:szCs w:val="24"/>
        </w:rPr>
        <w:t>无。</w:t>
      </w:r>
    </w:p>
    <w:p>
      <w:pPr>
        <w:spacing w:line="499" w:lineRule="auto" w:before="116"/>
        <w:ind w:left="633" w:right="7605" w:hanging="480"/>
        <w:jc w:val="left"/>
        <w:rPr>
          <w:rFonts w:ascii="宋体" w:hAnsi="宋体" w:cs="宋体" w:eastAsia="宋体" w:hint="default"/>
          <w:sz w:val="24"/>
          <w:szCs w:val="24"/>
        </w:rPr>
      </w:pPr>
      <w:bookmarkStart w:name="15、持有至到期投资" w:id="213"/>
      <w:bookmarkEnd w:id="213"/>
      <w:r>
        <w:rPr/>
      </w:r>
      <w:r>
        <w:rPr>
          <w:rFonts w:ascii="Times New Roman" w:hAnsi="Times New Roman" w:cs="Times New Roman" w:eastAsia="Times New Roman" w:hint="default"/>
          <w:b/>
          <w:bCs/>
          <w:sz w:val="24"/>
          <w:szCs w:val="24"/>
        </w:rPr>
        <w:t>15</w:t>
      </w:r>
      <w:r>
        <w:rPr>
          <w:rFonts w:ascii="宋体" w:hAnsi="宋体" w:cs="宋体" w:eastAsia="宋体" w:hint="default"/>
          <w:b/>
          <w:bCs/>
          <w:sz w:val="24"/>
          <w:szCs w:val="24"/>
        </w:rPr>
        <w:t>、持有至到期投资</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line="499" w:lineRule="auto" w:before="116"/>
        <w:ind w:left="633" w:right="8087" w:hanging="480"/>
        <w:jc w:val="left"/>
        <w:rPr>
          <w:rFonts w:ascii="宋体" w:hAnsi="宋体" w:cs="宋体" w:eastAsia="宋体" w:hint="default"/>
          <w:sz w:val="24"/>
          <w:szCs w:val="24"/>
        </w:rPr>
      </w:pPr>
      <w:bookmarkStart w:name="16、长期应收款" w:id="214"/>
      <w:bookmarkEnd w:id="214"/>
      <w:r>
        <w:rPr/>
      </w:r>
      <w:r>
        <w:rPr>
          <w:rFonts w:ascii="Times New Roman" w:hAnsi="Times New Roman" w:cs="Times New Roman" w:eastAsia="Times New Roman" w:hint="default"/>
          <w:b/>
          <w:bCs/>
          <w:sz w:val="24"/>
          <w:szCs w:val="24"/>
        </w:rPr>
        <w:t>16</w:t>
      </w:r>
      <w:r>
        <w:rPr>
          <w:rFonts w:ascii="宋体" w:hAnsi="宋体" w:cs="宋体" w:eastAsia="宋体" w:hint="default"/>
          <w:b/>
          <w:bCs/>
          <w:sz w:val="24"/>
          <w:szCs w:val="24"/>
        </w:rPr>
        <w:t>、长期应收款</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after="0" w:line="499" w:lineRule="auto"/>
        <w:jc w:val="left"/>
        <w:rPr>
          <w:rFonts w:ascii="宋体" w:hAnsi="宋体" w:cs="宋体" w:eastAsia="宋体" w:hint="default"/>
          <w:sz w:val="24"/>
          <w:szCs w:val="24"/>
        </w:rPr>
        <w:sectPr>
          <w:pgSz w:w="11910" w:h="16840"/>
          <w:pgMar w:header="0" w:footer="979" w:top="1100" w:bottom="1160" w:left="980" w:right="980"/>
        </w:sectPr>
      </w:pPr>
    </w:p>
    <w:p>
      <w:pPr>
        <w:spacing w:before="15"/>
        <w:ind w:left="9149" w:right="0" w:firstLine="0"/>
        <w:jc w:val="left"/>
        <w:rPr>
          <w:rFonts w:ascii="宋体" w:hAnsi="宋体" w:cs="宋体" w:eastAsia="宋体" w:hint="default"/>
          <w:sz w:val="18"/>
          <w:szCs w:val="18"/>
        </w:rPr>
      </w:pPr>
      <w:r>
        <w:rPr>
          <w:rFonts w:ascii="宋体" w:hAnsi="宋体" w:cs="宋体" w:eastAsia="宋体" w:hint="default"/>
          <w:sz w:val="18"/>
          <w:szCs w:val="18"/>
        </w:rPr>
        <w:t>北京中文在线数字出版股份有限公司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5"/>
          <w:szCs w:val="15"/>
        </w:rPr>
      </w:pPr>
    </w:p>
    <w:p>
      <w:pPr>
        <w:spacing w:before="26"/>
        <w:ind w:left="140" w:right="0" w:firstLine="0"/>
        <w:jc w:val="left"/>
        <w:rPr>
          <w:rFonts w:ascii="宋体" w:hAnsi="宋体" w:cs="宋体" w:eastAsia="宋体" w:hint="default"/>
          <w:sz w:val="24"/>
          <w:szCs w:val="24"/>
        </w:rPr>
      </w:pPr>
      <w:bookmarkStart w:name="17、长期股权投资" w:id="215"/>
      <w:bookmarkEnd w:id="215"/>
      <w:r>
        <w:rPr/>
      </w:r>
      <w:r>
        <w:rPr>
          <w:rFonts w:ascii="Times New Roman" w:hAnsi="Times New Roman" w:cs="Times New Roman" w:eastAsia="Times New Roman" w:hint="default"/>
          <w:b/>
          <w:bCs/>
          <w:sz w:val="24"/>
          <w:szCs w:val="24"/>
        </w:rPr>
        <w:t>17</w:t>
      </w:r>
      <w:r>
        <w:rPr>
          <w:rFonts w:ascii="宋体" w:hAnsi="宋体" w:cs="宋体" w:eastAsia="宋体" w:hint="default"/>
          <w:b/>
          <w:bCs/>
          <w:sz w:val="24"/>
          <w:szCs w:val="24"/>
        </w:rPr>
        <w:t>、长期股权投资</w:t>
      </w:r>
      <w:r>
        <w:rPr>
          <w:rFonts w:ascii="宋体" w:hAnsi="宋体" w:cs="宋体" w:eastAsia="宋体" w:hint="default"/>
          <w:sz w:val="24"/>
          <w:szCs w:val="24"/>
        </w:rPr>
      </w:r>
    </w:p>
    <w:p>
      <w:pPr>
        <w:spacing w:line="240" w:lineRule="auto" w:before="6"/>
        <w:rPr>
          <w:rFonts w:ascii="宋体" w:hAnsi="宋体" w:cs="宋体" w:eastAsia="宋体" w:hint="default"/>
          <w:b/>
          <w:bCs/>
          <w:sz w:val="19"/>
          <w:szCs w:val="19"/>
        </w:rPr>
      </w:pPr>
    </w:p>
    <w:p>
      <w:pPr>
        <w:pStyle w:val="BodyText"/>
        <w:spacing w:line="240" w:lineRule="auto"/>
        <w:ind w:left="0" w:right="136"/>
        <w:jc w:val="right"/>
      </w:pPr>
      <w:r>
        <w:rPr/>
        <w:t>单位： 元</w:t>
      </w:r>
    </w:p>
    <w:p>
      <w:pPr>
        <w:spacing w:line="240" w:lineRule="auto" w:before="10"/>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2183"/>
        <w:gridCol w:w="1264"/>
        <w:gridCol w:w="629"/>
        <w:gridCol w:w="628"/>
        <w:gridCol w:w="1853"/>
        <w:gridCol w:w="1109"/>
        <w:gridCol w:w="869"/>
        <w:gridCol w:w="1853"/>
        <w:gridCol w:w="868"/>
        <w:gridCol w:w="388"/>
        <w:gridCol w:w="1264"/>
        <w:gridCol w:w="1109"/>
      </w:tblGrid>
      <w:tr>
        <w:trPr>
          <w:trHeight w:val="402" w:hRule="exact"/>
        </w:trPr>
        <w:tc>
          <w:tcPr>
            <w:tcW w:w="21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559" w:right="0"/>
              <w:jc w:val="left"/>
              <w:rPr>
                <w:rFonts w:ascii="宋体" w:hAnsi="宋体" w:cs="宋体" w:eastAsia="宋体" w:hint="default"/>
                <w:sz w:val="21"/>
                <w:szCs w:val="21"/>
              </w:rPr>
            </w:pPr>
            <w:r>
              <w:rPr>
                <w:rFonts w:ascii="宋体" w:hAnsi="宋体" w:cs="宋体" w:eastAsia="宋体" w:hint="default"/>
                <w:b/>
                <w:bCs/>
                <w:sz w:val="21"/>
                <w:szCs w:val="21"/>
              </w:rPr>
              <w:t>被投资单位</w:t>
            </w:r>
            <w:r>
              <w:rPr>
                <w:rFonts w:ascii="宋体" w:hAnsi="宋体" w:cs="宋体" w:eastAsia="宋体" w:hint="default"/>
                <w:sz w:val="21"/>
                <w:szCs w:val="21"/>
              </w:rPr>
            </w:r>
          </w:p>
        </w:tc>
        <w:tc>
          <w:tcPr>
            <w:tcW w:w="12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819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本期增减变动</w:t>
            </w:r>
            <w:r>
              <w:rPr>
                <w:rFonts w:ascii="宋体" w:hAnsi="宋体" w:cs="宋体" w:eastAsia="宋体" w:hint="default"/>
                <w:sz w:val="21"/>
                <w:szCs w:val="21"/>
              </w:rPr>
            </w:r>
          </w:p>
        </w:tc>
        <w:tc>
          <w:tcPr>
            <w:tcW w:w="12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1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127" w:right="125"/>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b/>
                <w:bCs/>
                <w:spacing w:val="1"/>
                <w:w w:val="99"/>
                <w:sz w:val="21"/>
                <w:szCs w:val="21"/>
              </w:rPr>
              <w:t> </w:t>
            </w: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714" w:hRule="exact"/>
        </w:trPr>
        <w:tc>
          <w:tcPr>
            <w:tcW w:w="2183" w:type="dxa"/>
            <w:vMerge/>
            <w:tcBorders>
              <w:left w:val="single" w:sz="4" w:space="0" w:color="000000"/>
              <w:bottom w:val="single" w:sz="4" w:space="0" w:color="000000"/>
              <w:right w:val="single" w:sz="4" w:space="0" w:color="000000"/>
            </w:tcBorders>
            <w:shd w:val="clear" w:color="auto" w:fill="D2D2D2"/>
          </w:tcPr>
          <w:p>
            <w:pPr/>
          </w:p>
        </w:tc>
        <w:tc>
          <w:tcPr>
            <w:tcW w:w="1264" w:type="dxa"/>
            <w:vMerge/>
            <w:tcBorders>
              <w:left w:val="single" w:sz="4" w:space="0" w:color="000000"/>
              <w:bottom w:val="single" w:sz="4" w:space="0" w:color="000000"/>
              <w:right w:val="single" w:sz="4" w:space="0" w:color="000000"/>
            </w:tcBorders>
            <w:shd w:val="clear" w:color="auto" w:fill="D2D2D2"/>
          </w:tcPr>
          <w:p>
            <w:pP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98" w:right="96"/>
              <w:jc w:val="left"/>
              <w:rPr>
                <w:rFonts w:ascii="宋体" w:hAnsi="宋体" w:cs="宋体" w:eastAsia="宋体" w:hint="default"/>
                <w:sz w:val="21"/>
                <w:szCs w:val="21"/>
              </w:rPr>
            </w:pPr>
            <w:r>
              <w:rPr>
                <w:rFonts w:ascii="宋体" w:hAnsi="宋体" w:cs="宋体" w:eastAsia="宋体" w:hint="default"/>
                <w:b/>
                <w:bCs/>
                <w:sz w:val="21"/>
                <w:szCs w:val="21"/>
              </w:rPr>
              <w:t>追加</w:t>
            </w:r>
            <w:r>
              <w:rPr>
                <w:rFonts w:ascii="宋体" w:hAnsi="宋体" w:cs="宋体" w:eastAsia="宋体" w:hint="default"/>
                <w:b/>
                <w:bCs/>
                <w:spacing w:val="1"/>
                <w:w w:val="99"/>
                <w:sz w:val="21"/>
                <w:szCs w:val="21"/>
              </w:rPr>
              <w:t> </w:t>
            </w:r>
            <w:r>
              <w:rPr>
                <w:rFonts w:ascii="宋体" w:hAnsi="宋体" w:cs="宋体" w:eastAsia="宋体" w:hint="default"/>
                <w:b/>
                <w:bCs/>
                <w:sz w:val="21"/>
                <w:szCs w:val="21"/>
              </w:rPr>
              <w:t>投资</w:t>
            </w:r>
            <w:r>
              <w:rPr>
                <w:rFonts w:ascii="宋体" w:hAnsi="宋体" w:cs="宋体" w:eastAsia="宋体" w:hint="default"/>
                <w:sz w:val="21"/>
                <w:szCs w:val="21"/>
              </w:rPr>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98" w:right="95"/>
              <w:jc w:val="left"/>
              <w:rPr>
                <w:rFonts w:ascii="宋体" w:hAnsi="宋体" w:cs="宋体" w:eastAsia="宋体" w:hint="default"/>
                <w:sz w:val="21"/>
                <w:szCs w:val="21"/>
              </w:rPr>
            </w:pPr>
            <w:r>
              <w:rPr>
                <w:rFonts w:ascii="宋体" w:hAnsi="宋体" w:cs="宋体" w:eastAsia="宋体" w:hint="default"/>
                <w:b/>
                <w:bCs/>
                <w:sz w:val="21"/>
                <w:szCs w:val="21"/>
              </w:rPr>
              <w:t>减少</w:t>
            </w:r>
            <w:r>
              <w:rPr>
                <w:rFonts w:ascii="宋体" w:hAnsi="宋体" w:cs="宋体" w:eastAsia="宋体" w:hint="default"/>
                <w:b/>
                <w:bCs/>
                <w:spacing w:val="1"/>
                <w:w w:val="99"/>
                <w:sz w:val="21"/>
                <w:szCs w:val="21"/>
              </w:rPr>
              <w:t> </w:t>
            </w:r>
            <w:r>
              <w:rPr>
                <w:rFonts w:ascii="宋体" w:hAnsi="宋体" w:cs="宋体" w:eastAsia="宋体" w:hint="default"/>
                <w:b/>
                <w:bCs/>
                <w:sz w:val="21"/>
                <w:szCs w:val="21"/>
              </w:rPr>
              <w:t>投资</w:t>
            </w:r>
            <w:r>
              <w:rPr>
                <w:rFonts w:ascii="宋体" w:hAnsi="宋体" w:cs="宋体" w:eastAsia="宋体" w:hint="default"/>
                <w:sz w:val="21"/>
                <w:szCs w:val="21"/>
              </w:rPr>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04" w:right="77" w:hanging="527"/>
              <w:jc w:val="left"/>
              <w:rPr>
                <w:rFonts w:ascii="宋体" w:hAnsi="宋体" w:cs="宋体" w:eastAsia="宋体" w:hint="default"/>
                <w:sz w:val="21"/>
                <w:szCs w:val="21"/>
              </w:rPr>
            </w:pPr>
            <w:r>
              <w:rPr>
                <w:rFonts w:ascii="宋体" w:hAnsi="宋体" w:cs="宋体" w:eastAsia="宋体" w:hint="default"/>
                <w:b/>
                <w:bCs/>
                <w:sz w:val="21"/>
                <w:szCs w:val="21"/>
              </w:rPr>
              <w:t>权益法下确认的投</w:t>
            </w:r>
            <w:r>
              <w:rPr>
                <w:rFonts w:ascii="宋体" w:hAnsi="宋体" w:cs="宋体" w:eastAsia="宋体" w:hint="default"/>
                <w:b/>
                <w:bCs/>
                <w:w w:val="99"/>
                <w:sz w:val="21"/>
                <w:szCs w:val="21"/>
              </w:rPr>
              <w:t> </w:t>
            </w:r>
            <w:r>
              <w:rPr>
                <w:rFonts w:ascii="宋体" w:hAnsi="宋体" w:cs="宋体" w:eastAsia="宋体" w:hint="default"/>
                <w:b/>
                <w:bCs/>
                <w:sz w:val="21"/>
                <w:szCs w:val="21"/>
              </w:rPr>
              <w:t>资损益</w:t>
            </w:r>
            <w:r>
              <w:rPr>
                <w:rFonts w:ascii="宋体" w:hAnsi="宋体" w:cs="宋体" w:eastAsia="宋体" w:hint="default"/>
                <w:sz w:val="21"/>
                <w:szCs w:val="21"/>
              </w:rPr>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27" w:right="125"/>
              <w:jc w:val="left"/>
              <w:rPr>
                <w:rFonts w:ascii="宋体" w:hAnsi="宋体" w:cs="宋体" w:eastAsia="宋体" w:hint="default"/>
                <w:sz w:val="21"/>
                <w:szCs w:val="21"/>
              </w:rPr>
            </w:pPr>
            <w:r>
              <w:rPr>
                <w:rFonts w:ascii="宋体" w:hAnsi="宋体" w:cs="宋体" w:eastAsia="宋体" w:hint="default"/>
                <w:b/>
                <w:bCs/>
                <w:sz w:val="21"/>
                <w:szCs w:val="21"/>
              </w:rPr>
              <w:t>其他综合</w:t>
            </w:r>
            <w:r>
              <w:rPr>
                <w:rFonts w:ascii="宋体" w:hAnsi="宋体" w:cs="宋体" w:eastAsia="宋体" w:hint="default"/>
                <w:b/>
                <w:bCs/>
                <w:spacing w:val="1"/>
                <w:w w:val="99"/>
                <w:sz w:val="21"/>
                <w:szCs w:val="21"/>
              </w:rPr>
              <w:t> </w:t>
            </w:r>
            <w:r>
              <w:rPr>
                <w:rFonts w:ascii="宋体" w:hAnsi="宋体" w:cs="宋体" w:eastAsia="宋体" w:hint="default"/>
                <w:b/>
                <w:bCs/>
                <w:sz w:val="21"/>
                <w:szCs w:val="21"/>
              </w:rPr>
              <w:t>收益调整</w:t>
            </w:r>
            <w:r>
              <w:rPr>
                <w:rFonts w:ascii="宋体" w:hAnsi="宋体" w:cs="宋体" w:eastAsia="宋体" w:hint="default"/>
                <w:sz w:val="21"/>
                <w:szCs w:val="21"/>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3" w:right="109"/>
              <w:jc w:val="left"/>
              <w:rPr>
                <w:rFonts w:ascii="宋体" w:hAnsi="宋体" w:cs="宋体" w:eastAsia="宋体" w:hint="default"/>
                <w:sz w:val="21"/>
                <w:szCs w:val="21"/>
              </w:rPr>
            </w:pPr>
            <w:r>
              <w:rPr>
                <w:rFonts w:ascii="宋体" w:hAnsi="宋体" w:cs="宋体" w:eastAsia="宋体" w:hint="default"/>
                <w:b/>
                <w:bCs/>
                <w:sz w:val="21"/>
                <w:szCs w:val="21"/>
              </w:rPr>
              <w:t>其他权</w:t>
            </w:r>
            <w:r>
              <w:rPr>
                <w:rFonts w:ascii="宋体" w:hAnsi="宋体" w:cs="宋体" w:eastAsia="宋体" w:hint="default"/>
                <w:b/>
                <w:bCs/>
                <w:spacing w:val="1"/>
                <w:w w:val="99"/>
                <w:sz w:val="21"/>
                <w:szCs w:val="21"/>
              </w:rPr>
              <w:t> </w:t>
            </w:r>
            <w:r>
              <w:rPr>
                <w:rFonts w:ascii="宋体" w:hAnsi="宋体" w:cs="宋体" w:eastAsia="宋体" w:hint="default"/>
                <w:b/>
                <w:bCs/>
                <w:sz w:val="21"/>
                <w:szCs w:val="21"/>
              </w:rPr>
              <w:t>益变动</w:t>
            </w:r>
            <w:r>
              <w:rPr>
                <w:rFonts w:ascii="宋体" w:hAnsi="宋体" w:cs="宋体" w:eastAsia="宋体" w:hint="default"/>
                <w:sz w:val="21"/>
                <w:szCs w:val="21"/>
              </w:rPr>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04" w:right="77" w:hanging="527"/>
              <w:jc w:val="left"/>
              <w:rPr>
                <w:rFonts w:ascii="宋体" w:hAnsi="宋体" w:cs="宋体" w:eastAsia="宋体" w:hint="default"/>
                <w:sz w:val="21"/>
                <w:szCs w:val="21"/>
              </w:rPr>
            </w:pPr>
            <w:r>
              <w:rPr>
                <w:rFonts w:ascii="宋体" w:hAnsi="宋体" w:cs="宋体" w:eastAsia="宋体" w:hint="default"/>
                <w:b/>
                <w:bCs/>
                <w:sz w:val="21"/>
                <w:szCs w:val="21"/>
              </w:rPr>
              <w:t>宣告发放现金股利</w:t>
            </w:r>
            <w:r>
              <w:rPr>
                <w:rFonts w:ascii="宋体" w:hAnsi="宋体" w:cs="宋体" w:eastAsia="宋体" w:hint="default"/>
                <w:b/>
                <w:bCs/>
                <w:w w:val="99"/>
                <w:sz w:val="21"/>
                <w:szCs w:val="21"/>
              </w:rPr>
              <w:t> </w:t>
            </w:r>
            <w:r>
              <w:rPr>
                <w:rFonts w:ascii="宋体" w:hAnsi="宋体" w:cs="宋体" w:eastAsia="宋体" w:hint="default"/>
                <w:b/>
                <w:bCs/>
                <w:sz w:val="21"/>
                <w:szCs w:val="21"/>
              </w:rPr>
              <w:t>或利润</w:t>
            </w:r>
            <w:r>
              <w:rPr>
                <w:rFonts w:ascii="宋体" w:hAnsi="宋体" w:cs="宋体" w:eastAsia="宋体" w:hint="default"/>
                <w:sz w:val="21"/>
                <w:szCs w:val="21"/>
              </w:rPr>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2" w:right="109"/>
              <w:jc w:val="left"/>
              <w:rPr>
                <w:rFonts w:ascii="宋体" w:hAnsi="宋体" w:cs="宋体" w:eastAsia="宋体" w:hint="default"/>
                <w:sz w:val="21"/>
                <w:szCs w:val="21"/>
              </w:rPr>
            </w:pPr>
            <w:r>
              <w:rPr>
                <w:rFonts w:ascii="宋体" w:hAnsi="宋体" w:cs="宋体" w:eastAsia="宋体" w:hint="default"/>
                <w:b/>
                <w:bCs/>
                <w:sz w:val="21"/>
                <w:szCs w:val="21"/>
              </w:rPr>
              <w:t>计提减</w:t>
            </w:r>
            <w:r>
              <w:rPr>
                <w:rFonts w:ascii="宋体" w:hAnsi="宋体" w:cs="宋体" w:eastAsia="宋体" w:hint="default"/>
                <w:b/>
                <w:bCs/>
                <w:spacing w:val="1"/>
                <w:w w:val="99"/>
                <w:sz w:val="21"/>
                <w:szCs w:val="21"/>
              </w:rPr>
              <w:t> </w:t>
            </w:r>
            <w:r>
              <w:rPr>
                <w:rFonts w:ascii="宋体" w:hAnsi="宋体" w:cs="宋体" w:eastAsia="宋体" w:hint="default"/>
                <w:b/>
                <w:bCs/>
                <w:sz w:val="21"/>
                <w:szCs w:val="21"/>
              </w:rPr>
              <w:t>值准备</w:t>
            </w:r>
            <w:r>
              <w:rPr>
                <w:rFonts w:ascii="宋体" w:hAnsi="宋体" w:cs="宋体" w:eastAsia="宋体" w:hint="default"/>
                <w:sz w:val="21"/>
                <w:szCs w:val="21"/>
              </w:rPr>
            </w:r>
          </w:p>
        </w:tc>
        <w:tc>
          <w:tcPr>
            <w:tcW w:w="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82" w:right="83"/>
              <w:jc w:val="left"/>
              <w:rPr>
                <w:rFonts w:ascii="宋体" w:hAnsi="宋体" w:cs="宋体" w:eastAsia="宋体" w:hint="default"/>
                <w:sz w:val="21"/>
                <w:szCs w:val="21"/>
              </w:rPr>
            </w:pPr>
            <w:r>
              <w:rPr>
                <w:rFonts w:ascii="宋体" w:hAnsi="宋体" w:cs="宋体" w:eastAsia="宋体" w:hint="default"/>
                <w:b/>
                <w:bCs/>
                <w:sz w:val="21"/>
                <w:szCs w:val="21"/>
              </w:rPr>
              <w:t>其</w:t>
            </w:r>
            <w:r>
              <w:rPr>
                <w:rFonts w:ascii="宋体" w:hAnsi="宋体" w:cs="宋体" w:eastAsia="宋体" w:hint="default"/>
                <w:b/>
                <w:bCs/>
                <w:w w:val="99"/>
                <w:sz w:val="21"/>
                <w:szCs w:val="21"/>
              </w:rPr>
              <w:t> </w:t>
            </w:r>
            <w:r>
              <w:rPr>
                <w:rFonts w:ascii="宋体" w:hAnsi="宋体" w:cs="宋体" w:eastAsia="宋体" w:hint="default"/>
                <w:b/>
                <w:bCs/>
                <w:sz w:val="21"/>
                <w:szCs w:val="21"/>
              </w:rPr>
              <w:t>他</w:t>
            </w:r>
            <w:r>
              <w:rPr>
                <w:rFonts w:ascii="宋体" w:hAnsi="宋体" w:cs="宋体" w:eastAsia="宋体" w:hint="default"/>
                <w:sz w:val="21"/>
                <w:szCs w:val="21"/>
              </w:rPr>
            </w:r>
          </w:p>
        </w:tc>
        <w:tc>
          <w:tcPr>
            <w:tcW w:w="1264" w:type="dxa"/>
            <w:vMerge/>
            <w:tcBorders>
              <w:left w:val="single" w:sz="4" w:space="0" w:color="000000"/>
              <w:bottom w:val="single" w:sz="4" w:space="0" w:color="000000"/>
              <w:right w:val="single" w:sz="4" w:space="0" w:color="000000"/>
            </w:tcBorders>
            <w:shd w:val="clear" w:color="auto" w:fill="D2D2D2"/>
          </w:tcPr>
          <w:p>
            <w:pPr/>
          </w:p>
        </w:tc>
        <w:tc>
          <w:tcPr>
            <w:tcW w:w="110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01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8"/>
              <w:jc w:val="left"/>
              <w:rPr>
                <w:rFonts w:ascii="宋体" w:hAnsi="宋体" w:cs="宋体" w:eastAsia="宋体" w:hint="default"/>
                <w:sz w:val="21"/>
                <w:szCs w:val="21"/>
              </w:rPr>
            </w:pPr>
            <w:r>
              <w:rPr>
                <w:rFonts w:ascii="宋体" w:hAnsi="宋体" w:cs="宋体" w:eastAsia="宋体" w:hint="default"/>
                <w:sz w:val="21"/>
                <w:szCs w:val="21"/>
              </w:rPr>
              <w:t>广州市迈步信息科技有 限公司</w:t>
            </w:r>
          </w:p>
        </w:tc>
        <w:tc>
          <w:tcPr>
            <w:tcW w:w="126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388"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8"/>
              <w:jc w:val="left"/>
              <w:rPr>
                <w:rFonts w:ascii="宋体" w:hAnsi="宋体" w:cs="宋体" w:eastAsia="宋体" w:hint="default"/>
                <w:sz w:val="21"/>
                <w:szCs w:val="21"/>
              </w:rPr>
            </w:pPr>
            <w:r>
              <w:rPr>
                <w:rFonts w:ascii="宋体" w:hAnsi="宋体" w:cs="宋体" w:eastAsia="宋体" w:hint="default"/>
                <w:sz w:val="21"/>
                <w:szCs w:val="21"/>
              </w:rPr>
              <w:t>北京学友园中少报刊发 行有限责任公司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36,825,510.31</w:t>
            </w:r>
          </w:p>
        </w:tc>
        <w:tc>
          <w:tcPr>
            <w:tcW w:w="629"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3,345,142.16</w:t>
            </w:r>
          </w:p>
        </w:tc>
        <w:tc>
          <w:tcPr>
            <w:tcW w:w="11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1,080,175.37</w:t>
            </w:r>
          </w:p>
        </w:tc>
        <w:tc>
          <w:tcPr>
            <w:tcW w:w="868" w:type="dxa"/>
            <w:tcBorders>
              <w:top w:val="single" w:sz="4" w:space="0" w:color="000000"/>
              <w:left w:val="single" w:sz="4" w:space="0" w:color="000000"/>
              <w:bottom w:val="single" w:sz="4" w:space="0" w:color="000000"/>
              <w:right w:val="single" w:sz="4" w:space="0" w:color="000000"/>
            </w:tcBorders>
          </w:tcPr>
          <w:p>
            <w:pPr/>
          </w:p>
        </w:tc>
        <w:tc>
          <w:tcPr>
            <w:tcW w:w="388"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39,090,477.10</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8"/>
              <w:jc w:val="left"/>
              <w:rPr>
                <w:rFonts w:ascii="宋体" w:hAnsi="宋体" w:cs="宋体" w:eastAsia="宋体" w:hint="default"/>
                <w:sz w:val="21"/>
                <w:szCs w:val="21"/>
              </w:rPr>
            </w:pPr>
            <w:r>
              <w:rPr>
                <w:rFonts w:ascii="宋体" w:hAnsi="宋体" w:cs="宋体" w:eastAsia="宋体" w:hint="default"/>
                <w:sz w:val="21"/>
                <w:szCs w:val="21"/>
              </w:rPr>
              <w:t>北京鸿达以太文化发展 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31,683,339.54</w:t>
            </w:r>
          </w:p>
        </w:tc>
        <w:tc>
          <w:tcPr>
            <w:tcW w:w="629"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2,731,289.17</w:t>
            </w:r>
          </w:p>
        </w:tc>
        <w:tc>
          <w:tcPr>
            <w:tcW w:w="11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388"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34,414,628.71</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68,508,849.85</w:t>
            </w:r>
          </w:p>
        </w:tc>
        <w:tc>
          <w:tcPr>
            <w:tcW w:w="629"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6,076,431.33</w:t>
            </w:r>
          </w:p>
        </w:tc>
        <w:tc>
          <w:tcPr>
            <w:tcW w:w="11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1,080,175.37</w:t>
            </w:r>
          </w:p>
        </w:tc>
        <w:tc>
          <w:tcPr>
            <w:tcW w:w="868" w:type="dxa"/>
            <w:tcBorders>
              <w:top w:val="single" w:sz="4" w:space="0" w:color="000000"/>
              <w:left w:val="single" w:sz="4" w:space="0" w:color="000000"/>
              <w:bottom w:val="single" w:sz="4" w:space="0" w:color="000000"/>
              <w:right w:val="single" w:sz="4" w:space="0" w:color="000000"/>
            </w:tcBorders>
          </w:tcPr>
          <w:p>
            <w:pPr/>
          </w:p>
        </w:tc>
        <w:tc>
          <w:tcPr>
            <w:tcW w:w="388"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73,505,105.81</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68,508,849.85</w:t>
            </w:r>
          </w:p>
        </w:tc>
        <w:tc>
          <w:tcPr>
            <w:tcW w:w="629"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6,076,431.33</w:t>
            </w:r>
          </w:p>
        </w:tc>
        <w:tc>
          <w:tcPr>
            <w:tcW w:w="11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1,080,175.37</w:t>
            </w:r>
          </w:p>
        </w:tc>
        <w:tc>
          <w:tcPr>
            <w:tcW w:w="868" w:type="dxa"/>
            <w:tcBorders>
              <w:top w:val="single" w:sz="4" w:space="0" w:color="000000"/>
              <w:left w:val="single" w:sz="4" w:space="0" w:color="000000"/>
              <w:bottom w:val="single" w:sz="4" w:space="0" w:color="000000"/>
              <w:right w:val="single" w:sz="4" w:space="0" w:color="000000"/>
            </w:tcBorders>
          </w:tcPr>
          <w:p>
            <w:pPr/>
          </w:p>
        </w:tc>
        <w:tc>
          <w:tcPr>
            <w:tcW w:w="388"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73,505,105.81</w:t>
            </w:r>
          </w:p>
        </w:tc>
        <w:tc>
          <w:tcPr>
            <w:tcW w:w="110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1"/>
        <w:ind w:left="620" w:right="0"/>
        <w:jc w:val="left"/>
      </w:pPr>
      <w:r>
        <w:rPr/>
        <w:t>因广州市迈步信息科技有限公司超额亏损，权益法核算长期股权投资账面价值已至零，年末累计未确认亏损</w:t>
      </w:r>
      <w:r>
        <w:rPr>
          <w:spacing w:val="-60"/>
        </w:rPr>
        <w:t> </w:t>
      </w:r>
      <w:r>
        <w:rPr>
          <w:rFonts w:ascii="宋体" w:hAnsi="宋体" w:cs="宋体" w:eastAsia="宋体" w:hint="default"/>
        </w:rPr>
        <w:t>698,693.01</w:t>
      </w:r>
      <w:r>
        <w:rPr>
          <w:rFonts w:ascii="宋体" w:hAnsi="宋体" w:cs="宋体" w:eastAsia="宋体" w:hint="default"/>
          <w:spacing w:val="-60"/>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before="76"/>
        <w:ind w:left="6904" w:right="6904" w:firstLine="0"/>
        <w:jc w:val="center"/>
        <w:rPr>
          <w:rFonts w:ascii="Times New Roman" w:hAnsi="Times New Roman" w:cs="Times New Roman" w:eastAsia="Times New Roman" w:hint="default"/>
          <w:sz w:val="18"/>
          <w:szCs w:val="18"/>
        </w:rPr>
      </w:pPr>
      <w:r>
        <w:rPr>
          <w:rFonts w:ascii="Times New Roman"/>
          <w:sz w:val="18"/>
        </w:rPr>
        <w:t>-120-</w:t>
      </w:r>
    </w:p>
    <w:p>
      <w:pPr>
        <w:spacing w:after="0"/>
        <w:jc w:val="center"/>
        <w:rPr>
          <w:rFonts w:ascii="Times New Roman" w:hAnsi="Times New Roman" w:cs="Times New Roman" w:eastAsia="Times New Roman" w:hint="default"/>
          <w:sz w:val="18"/>
          <w:szCs w:val="18"/>
        </w:rPr>
        <w:sectPr>
          <w:headerReference w:type="default" r:id="rId50"/>
          <w:footerReference w:type="default" r:id="rId51"/>
          <w:pgSz w:w="16840" w:h="11910" w:orient="landscape"/>
          <w:pgMar w:header="0" w:footer="0" w:top="800" w:bottom="2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spacing w:line="499" w:lineRule="auto" w:before="26"/>
        <w:ind w:left="633" w:right="7846" w:hanging="480"/>
        <w:jc w:val="left"/>
        <w:rPr>
          <w:rFonts w:ascii="宋体" w:hAnsi="宋体" w:cs="宋体" w:eastAsia="宋体" w:hint="default"/>
          <w:sz w:val="24"/>
          <w:szCs w:val="24"/>
        </w:rPr>
      </w:pPr>
      <w:bookmarkStart w:name="18、投资性房地产" w:id="216"/>
      <w:bookmarkEnd w:id="216"/>
      <w:r>
        <w:rPr/>
      </w:r>
      <w:r>
        <w:rPr>
          <w:rFonts w:ascii="Times New Roman" w:hAnsi="Times New Roman" w:cs="Times New Roman" w:eastAsia="Times New Roman" w:hint="default"/>
          <w:b/>
          <w:bCs/>
          <w:sz w:val="24"/>
          <w:szCs w:val="24"/>
        </w:rPr>
        <w:t>18</w:t>
      </w:r>
      <w:r>
        <w:rPr>
          <w:rFonts w:ascii="宋体" w:hAnsi="宋体" w:cs="宋体" w:eastAsia="宋体" w:hint="default"/>
          <w:b/>
          <w:bCs/>
          <w:sz w:val="24"/>
          <w:szCs w:val="24"/>
        </w:rPr>
        <w:t>、投资性房地产</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before="116"/>
        <w:ind w:left="153" w:right="0" w:firstLine="0"/>
        <w:jc w:val="left"/>
        <w:rPr>
          <w:rFonts w:ascii="宋体" w:hAnsi="宋体" w:cs="宋体" w:eastAsia="宋体" w:hint="default"/>
          <w:sz w:val="24"/>
          <w:szCs w:val="24"/>
        </w:rPr>
      </w:pPr>
      <w:bookmarkStart w:name="19、固定资产" w:id="217"/>
      <w:bookmarkEnd w:id="217"/>
      <w:r>
        <w:rPr/>
      </w:r>
      <w:r>
        <w:rPr>
          <w:rFonts w:ascii="Times New Roman" w:hAnsi="Times New Roman" w:cs="Times New Roman" w:eastAsia="Times New Roman" w:hint="default"/>
          <w:b/>
          <w:bCs/>
          <w:sz w:val="24"/>
          <w:szCs w:val="24"/>
        </w:rPr>
        <w:t>19</w:t>
      </w:r>
      <w:r>
        <w:rPr>
          <w:rFonts w:ascii="宋体" w:hAnsi="宋体" w:cs="宋体" w:eastAsia="宋体" w:hint="default"/>
          <w:b/>
          <w:bCs/>
          <w:sz w:val="24"/>
          <w:szCs w:val="24"/>
        </w:rPr>
        <w:t>、固定资产</w:t>
      </w:r>
      <w:r>
        <w:rPr>
          <w:rFonts w:ascii="宋体" w:hAnsi="宋体" w:cs="宋体" w:eastAsia="宋体" w:hint="default"/>
          <w:sz w:val="24"/>
          <w:szCs w:val="24"/>
        </w:rPr>
      </w:r>
    </w:p>
    <w:p>
      <w:pPr>
        <w:spacing w:line="240" w:lineRule="auto" w:before="6"/>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109"/>
        <w:gridCol w:w="1207"/>
        <w:gridCol w:w="1197"/>
        <w:gridCol w:w="1196"/>
        <w:gridCol w:w="1195"/>
        <w:gridCol w:w="1286"/>
        <w:gridCol w:w="1367"/>
      </w:tblGrid>
      <w:tr>
        <w:trPr>
          <w:trHeight w:val="161" w:hRule="exact"/>
        </w:trPr>
        <w:tc>
          <w:tcPr>
            <w:tcW w:w="21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499" w:right="64" w:hanging="422"/>
              <w:jc w:val="left"/>
              <w:rPr>
                <w:rFonts w:ascii="宋体" w:hAnsi="宋体" w:cs="宋体" w:eastAsia="宋体" w:hint="default"/>
                <w:sz w:val="21"/>
                <w:szCs w:val="21"/>
              </w:rPr>
            </w:pPr>
            <w:r>
              <w:rPr>
                <w:rFonts w:ascii="宋体" w:hAnsi="宋体" w:cs="宋体" w:eastAsia="宋体" w:hint="default"/>
                <w:b/>
                <w:bCs/>
                <w:sz w:val="21"/>
                <w:szCs w:val="21"/>
              </w:rPr>
              <w:t>房屋及建筑</w:t>
            </w:r>
            <w:r>
              <w:rPr>
                <w:rFonts w:ascii="宋体" w:hAnsi="宋体" w:cs="宋体" w:eastAsia="宋体" w:hint="default"/>
                <w:b/>
                <w:bCs/>
                <w:w w:val="99"/>
                <w:sz w:val="21"/>
                <w:szCs w:val="21"/>
              </w:rPr>
              <w:t> </w:t>
            </w:r>
            <w:r>
              <w:rPr>
                <w:rFonts w:ascii="宋体" w:hAnsi="宋体" w:cs="宋体" w:eastAsia="宋体" w:hint="default"/>
                <w:b/>
                <w:bCs/>
                <w:sz w:val="21"/>
                <w:szCs w:val="21"/>
              </w:rPr>
              <w:t>物</w:t>
            </w:r>
            <w:r>
              <w:rPr>
                <w:rFonts w:ascii="宋体" w:hAnsi="宋体" w:cs="宋体" w:eastAsia="宋体" w:hint="default"/>
                <w:sz w:val="21"/>
                <w:szCs w:val="21"/>
              </w:rPr>
            </w: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1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07" w:type="dxa"/>
            <w:vMerge/>
            <w:tcBorders>
              <w:left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71" w:right="0"/>
              <w:jc w:val="left"/>
              <w:rPr>
                <w:rFonts w:ascii="宋体" w:hAnsi="宋体" w:cs="宋体" w:eastAsia="宋体" w:hint="default"/>
                <w:sz w:val="21"/>
                <w:szCs w:val="21"/>
              </w:rPr>
            </w:pPr>
            <w:r>
              <w:rPr>
                <w:rFonts w:ascii="宋体" w:hAnsi="宋体" w:cs="宋体" w:eastAsia="宋体" w:hint="default"/>
                <w:b/>
                <w:bCs/>
                <w:sz w:val="21"/>
                <w:szCs w:val="21"/>
              </w:rPr>
              <w:t>机器设备</w:t>
            </w:r>
            <w:r>
              <w:rPr>
                <w:rFonts w:ascii="宋体" w:hAnsi="宋体" w:cs="宋体" w:eastAsia="宋体" w:hint="default"/>
                <w:sz w:val="21"/>
                <w:szCs w:val="21"/>
              </w:rPr>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电子设备</w:t>
            </w:r>
            <w:r>
              <w:rPr>
                <w:rFonts w:ascii="宋体" w:hAnsi="宋体" w:cs="宋体" w:eastAsia="宋体" w:hint="default"/>
                <w:sz w:val="21"/>
                <w:szCs w:val="21"/>
              </w:rPr>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70" w:right="0"/>
              <w:jc w:val="left"/>
              <w:rPr>
                <w:rFonts w:ascii="宋体" w:hAnsi="宋体" w:cs="宋体" w:eastAsia="宋体" w:hint="default"/>
                <w:sz w:val="21"/>
                <w:szCs w:val="21"/>
              </w:rPr>
            </w:pPr>
            <w:r>
              <w:rPr>
                <w:rFonts w:ascii="宋体" w:hAnsi="宋体" w:cs="宋体" w:eastAsia="宋体" w:hint="default"/>
                <w:b/>
                <w:bCs/>
                <w:sz w:val="21"/>
                <w:szCs w:val="21"/>
              </w:rPr>
              <w:t>运输设备</w:t>
            </w:r>
            <w:r>
              <w:rPr>
                <w:rFonts w:ascii="宋体" w:hAnsi="宋体" w:cs="宋体" w:eastAsia="宋体" w:hint="default"/>
                <w:sz w:val="21"/>
                <w:szCs w:val="21"/>
              </w:rPr>
            </w:r>
          </w:p>
        </w:tc>
        <w:tc>
          <w:tcPr>
            <w:tcW w:w="12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r>
      <w:tr>
        <w:trPr>
          <w:trHeight w:val="161" w:hRule="exact"/>
        </w:trPr>
        <w:tc>
          <w:tcPr>
            <w:tcW w:w="21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一、账面原值：</w:t>
            </w:r>
            <w:r>
              <w:rPr>
                <w:rFonts w:ascii="宋体" w:hAnsi="宋体" w:cs="宋体" w:eastAsia="宋体" w:hint="default"/>
                <w:sz w:val="21"/>
                <w:szCs w:val="21"/>
              </w:rPr>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 w:right="0"/>
              <w:jc w:val="center"/>
              <w:rPr>
                <w:rFonts w:ascii="Times New Roman" w:hAnsi="Times New Roman" w:cs="Times New Roman" w:eastAsia="Times New Roman" w:hint="default"/>
                <w:sz w:val="21"/>
                <w:szCs w:val="21"/>
              </w:rPr>
            </w:pPr>
            <w:r>
              <w:rPr>
                <w:rFonts w:ascii="Times New Roman"/>
                <w:sz w:val="21"/>
              </w:rPr>
              <w:t>5,277,361.18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2,136,030.00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95,676.00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7,509,067.18</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4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 w:right="0"/>
              <w:jc w:val="center"/>
              <w:rPr>
                <w:rFonts w:ascii="Times New Roman" w:hAnsi="Times New Roman" w:cs="Times New Roman" w:eastAsia="Times New Roman" w:hint="default"/>
                <w:sz w:val="21"/>
                <w:szCs w:val="21"/>
              </w:rPr>
            </w:pPr>
            <w:r>
              <w:rPr>
                <w:rFonts w:ascii="Times New Roman"/>
                <w:sz w:val="21"/>
              </w:rPr>
              <w:t>1,980,775.24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138,440.00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2,119,215.24</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 w:right="0"/>
              <w:jc w:val="center"/>
              <w:rPr>
                <w:rFonts w:ascii="Times New Roman" w:hAnsi="Times New Roman" w:cs="Times New Roman" w:eastAsia="Times New Roman" w:hint="default"/>
                <w:sz w:val="21"/>
                <w:szCs w:val="21"/>
              </w:rPr>
            </w:pPr>
            <w:r>
              <w:rPr>
                <w:rFonts w:ascii="Times New Roman"/>
                <w:sz w:val="21"/>
              </w:rPr>
              <w:t>1,980,775.24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138,440.00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2,119,215.24</w:t>
            </w:r>
          </w:p>
        </w:tc>
      </w:tr>
      <w:tr>
        <w:trPr>
          <w:trHeight w:val="714"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）在建工程</w:t>
            </w:r>
          </w:p>
          <w:p>
            <w:pPr>
              <w:pStyle w:val="TableParagraph"/>
              <w:spacing w:line="240" w:lineRule="auto" w:before="22"/>
              <w:ind w:left="11" w:right="0"/>
              <w:jc w:val="left"/>
              <w:rPr>
                <w:rFonts w:ascii="宋体" w:hAnsi="宋体" w:cs="宋体" w:eastAsia="宋体" w:hint="default"/>
                <w:sz w:val="21"/>
                <w:szCs w:val="21"/>
              </w:rPr>
            </w:pPr>
            <w:r>
              <w:rPr>
                <w:rFonts w:ascii="宋体" w:hAnsi="宋体" w:cs="宋体" w:eastAsia="宋体" w:hint="default"/>
                <w:sz w:val="21"/>
                <w:szCs w:val="21"/>
              </w:rPr>
              <w:t>转入</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w:t>
            </w:r>
          </w:p>
          <w:p>
            <w:pPr>
              <w:pStyle w:val="TableParagraph"/>
              <w:spacing w:line="240" w:lineRule="auto" w:before="22"/>
              <w:ind w:left="11" w:right="0"/>
              <w:jc w:val="left"/>
              <w:rPr>
                <w:rFonts w:ascii="宋体" w:hAnsi="宋体" w:cs="宋体" w:eastAsia="宋体" w:hint="default"/>
                <w:sz w:val="21"/>
                <w:szCs w:val="21"/>
              </w:rPr>
            </w:pPr>
            <w:r>
              <w:rPr>
                <w:rFonts w:ascii="宋体" w:hAnsi="宋体" w:cs="宋体" w:eastAsia="宋体" w:hint="default"/>
                <w:sz w:val="21"/>
                <w:szCs w:val="21"/>
              </w:rPr>
              <w:t>增加</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4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w:t>
            </w:r>
          </w:p>
          <w:p>
            <w:pPr>
              <w:pStyle w:val="TableParagraph"/>
              <w:spacing w:line="240" w:lineRule="auto" w:before="22"/>
              <w:ind w:left="11" w:right="0"/>
              <w:jc w:val="left"/>
              <w:rPr>
                <w:rFonts w:ascii="宋体" w:hAnsi="宋体" w:cs="宋体" w:eastAsia="宋体" w:hint="default"/>
                <w:sz w:val="21"/>
                <w:szCs w:val="21"/>
              </w:rPr>
            </w:pPr>
            <w:r>
              <w:rPr>
                <w:rFonts w:ascii="宋体" w:hAnsi="宋体" w:cs="宋体" w:eastAsia="宋体" w:hint="default"/>
                <w:sz w:val="21"/>
                <w:szCs w:val="21"/>
              </w:rPr>
              <w:t>废</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 w:right="0"/>
              <w:jc w:val="center"/>
              <w:rPr>
                <w:rFonts w:ascii="Times New Roman" w:hAnsi="Times New Roman" w:cs="Times New Roman" w:eastAsia="Times New Roman" w:hint="default"/>
                <w:sz w:val="21"/>
                <w:szCs w:val="21"/>
              </w:rPr>
            </w:pPr>
            <w:r>
              <w:rPr>
                <w:rFonts w:ascii="Times New Roman"/>
                <w:sz w:val="21"/>
              </w:rPr>
              <w:t>7,258,136.42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2,136,030.00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234,116.00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9,628,282.42</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二、累计折旧</w:t>
            </w:r>
            <w:r>
              <w:rPr>
                <w:rFonts w:ascii="宋体" w:hAnsi="宋体" w:cs="宋体" w:eastAsia="宋体" w:hint="default"/>
                <w:sz w:val="21"/>
                <w:szCs w:val="21"/>
              </w:rPr>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 w:right="0"/>
              <w:jc w:val="center"/>
              <w:rPr>
                <w:rFonts w:ascii="Times New Roman" w:hAnsi="Times New Roman" w:cs="Times New Roman" w:eastAsia="Times New Roman" w:hint="default"/>
                <w:sz w:val="21"/>
                <w:szCs w:val="21"/>
              </w:rPr>
            </w:pPr>
            <w:r>
              <w:rPr>
                <w:rFonts w:ascii="Times New Roman"/>
                <w:sz w:val="21"/>
              </w:rPr>
              <w:t>2,304,832.36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860,183.12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64,695.26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3,229,710.74</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4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 w:right="0"/>
              <w:jc w:val="center"/>
              <w:rPr>
                <w:rFonts w:ascii="Times New Roman" w:hAnsi="Times New Roman" w:cs="Times New Roman" w:eastAsia="Times New Roman" w:hint="default"/>
                <w:sz w:val="21"/>
                <w:szCs w:val="21"/>
              </w:rPr>
            </w:pPr>
            <w:r>
              <w:rPr>
                <w:rFonts w:ascii="Times New Roman"/>
                <w:sz w:val="21"/>
              </w:rPr>
              <w:t>1,123,760.01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396,182.60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28,642.55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1,548,585.16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 w:right="0"/>
              <w:jc w:val="center"/>
              <w:rPr>
                <w:rFonts w:ascii="Times New Roman" w:hAnsi="Times New Roman" w:cs="Times New Roman" w:eastAsia="Times New Roman" w:hint="default"/>
                <w:sz w:val="21"/>
                <w:szCs w:val="21"/>
              </w:rPr>
            </w:pPr>
            <w:r>
              <w:rPr>
                <w:rFonts w:ascii="Times New Roman"/>
                <w:sz w:val="21"/>
              </w:rPr>
              <w:t>1,123,760.01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396,182.60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28,642.55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1,548,585.16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4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w:t>
            </w:r>
          </w:p>
          <w:p>
            <w:pPr>
              <w:pStyle w:val="TableParagraph"/>
              <w:spacing w:line="240" w:lineRule="auto" w:before="22"/>
              <w:ind w:left="11" w:right="0"/>
              <w:jc w:val="left"/>
              <w:rPr>
                <w:rFonts w:ascii="宋体" w:hAnsi="宋体" w:cs="宋体" w:eastAsia="宋体" w:hint="default"/>
                <w:sz w:val="21"/>
                <w:szCs w:val="21"/>
              </w:rPr>
            </w:pPr>
            <w:r>
              <w:rPr>
                <w:rFonts w:ascii="宋体" w:hAnsi="宋体" w:cs="宋体" w:eastAsia="宋体" w:hint="default"/>
                <w:sz w:val="21"/>
                <w:szCs w:val="21"/>
              </w:rPr>
              <w:t>废</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 w:right="0"/>
              <w:jc w:val="center"/>
              <w:rPr>
                <w:rFonts w:ascii="Times New Roman" w:hAnsi="Times New Roman" w:cs="Times New Roman" w:eastAsia="Times New Roman" w:hint="default"/>
                <w:sz w:val="21"/>
                <w:szCs w:val="21"/>
              </w:rPr>
            </w:pPr>
            <w:r>
              <w:rPr>
                <w:rFonts w:ascii="Times New Roman"/>
                <w:sz w:val="21"/>
              </w:rPr>
              <w:t>3,428,592.37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1,256,365.72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93,337.81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4,778,295.90</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三、减值准备</w:t>
            </w:r>
            <w:r>
              <w:rPr>
                <w:rFonts w:ascii="宋体" w:hAnsi="宋体" w:cs="宋体" w:eastAsia="宋体" w:hint="default"/>
                <w:sz w:val="21"/>
                <w:szCs w:val="21"/>
              </w:rPr>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4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4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w:t>
            </w:r>
          </w:p>
          <w:p>
            <w:pPr>
              <w:pStyle w:val="TableParagraph"/>
              <w:spacing w:line="240" w:lineRule="auto" w:before="22"/>
              <w:ind w:left="11" w:right="0"/>
              <w:jc w:val="left"/>
              <w:rPr>
                <w:rFonts w:ascii="宋体" w:hAnsi="宋体" w:cs="宋体" w:eastAsia="宋体" w:hint="default"/>
                <w:sz w:val="21"/>
                <w:szCs w:val="21"/>
              </w:rPr>
            </w:pPr>
            <w:r>
              <w:rPr>
                <w:rFonts w:ascii="宋体" w:hAnsi="宋体" w:cs="宋体" w:eastAsia="宋体" w:hint="default"/>
                <w:sz w:val="21"/>
                <w:szCs w:val="21"/>
              </w:rPr>
              <w:t>废</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2"/>
          <w:pgSz w:w="11910" w:h="16840"/>
          <w:pgMar w:footer="979" w:header="0" w:top="1100" w:bottom="1160" w:left="980" w:right="980"/>
          <w:pgNumType w:start="121"/>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121"/>
        <w:gridCol w:w="1207"/>
        <w:gridCol w:w="1197"/>
        <w:gridCol w:w="1196"/>
        <w:gridCol w:w="1195"/>
        <w:gridCol w:w="1286"/>
        <w:gridCol w:w="1367"/>
      </w:tblGrid>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b/>
                <w:bCs/>
                <w:sz w:val="21"/>
                <w:szCs w:val="21"/>
              </w:rPr>
              <w:t>四、账面价值</w:t>
            </w:r>
            <w:r>
              <w:rPr>
                <w:rFonts w:ascii="宋体" w:hAnsi="宋体" w:cs="宋体" w:eastAsia="宋体" w:hint="default"/>
                <w:sz w:val="21"/>
                <w:szCs w:val="21"/>
              </w:rPr>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4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期末账面价值</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 w:right="0"/>
              <w:jc w:val="center"/>
              <w:rPr>
                <w:rFonts w:ascii="Times New Roman" w:hAnsi="Times New Roman" w:cs="Times New Roman" w:eastAsia="Times New Roman" w:hint="default"/>
                <w:sz w:val="21"/>
                <w:szCs w:val="21"/>
              </w:rPr>
            </w:pPr>
            <w:r>
              <w:rPr>
                <w:rFonts w:ascii="Times New Roman"/>
                <w:sz w:val="21"/>
              </w:rPr>
              <w:t>3,829,544.05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879,664.28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140,778.19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4,849,986.52</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4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期初账面价值</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 w:right="0"/>
              <w:jc w:val="center"/>
              <w:rPr>
                <w:rFonts w:ascii="Times New Roman" w:hAnsi="Times New Roman" w:cs="Times New Roman" w:eastAsia="Times New Roman" w:hint="default"/>
                <w:sz w:val="21"/>
                <w:szCs w:val="21"/>
              </w:rPr>
            </w:pPr>
            <w:r>
              <w:rPr>
                <w:rFonts w:ascii="Times New Roman"/>
                <w:sz w:val="21"/>
              </w:rPr>
              <w:t>2,972,528.82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1,275,846.88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30,980.74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4,279,356.44</w:t>
            </w:r>
          </w:p>
        </w:tc>
      </w:tr>
    </w:tbl>
    <w:p>
      <w:pPr>
        <w:spacing w:line="240" w:lineRule="auto" w:before="2"/>
        <w:rPr>
          <w:rFonts w:ascii="宋体" w:hAnsi="宋体" w:cs="宋体" w:eastAsia="宋体" w:hint="default"/>
          <w:sz w:val="18"/>
          <w:szCs w:val="18"/>
        </w:rPr>
      </w:pPr>
    </w:p>
    <w:p>
      <w:pPr>
        <w:spacing w:line="508" w:lineRule="auto" w:before="26"/>
        <w:ind w:left="134" w:right="8328" w:firstLine="0"/>
        <w:jc w:val="center"/>
        <w:rPr>
          <w:rFonts w:ascii="宋体" w:hAnsi="宋体" w:cs="宋体" w:eastAsia="宋体" w:hint="default"/>
          <w:sz w:val="24"/>
          <w:szCs w:val="24"/>
        </w:rPr>
      </w:pPr>
      <w:bookmarkStart w:name="20、在建工程" w:id="218"/>
      <w:bookmarkEnd w:id="218"/>
      <w:r>
        <w:rPr/>
      </w:r>
      <w:r>
        <w:rPr>
          <w:rFonts w:ascii="Times New Roman" w:hAnsi="Times New Roman" w:cs="Times New Roman" w:eastAsia="Times New Roman" w:hint="default"/>
          <w:b/>
          <w:bCs/>
          <w:w w:val="95"/>
          <w:sz w:val="24"/>
          <w:szCs w:val="24"/>
        </w:rPr>
        <w:t>20</w:t>
      </w:r>
      <w:r>
        <w:rPr>
          <w:rFonts w:ascii="宋体" w:hAnsi="宋体" w:cs="宋体" w:eastAsia="宋体" w:hint="default"/>
          <w:b/>
          <w:bCs/>
          <w:w w:val="95"/>
          <w:sz w:val="24"/>
          <w:szCs w:val="24"/>
        </w:rPr>
        <w:t>、在建工程</w:t>
      </w:r>
      <w:r>
        <w:rPr>
          <w:rFonts w:ascii="宋体" w:hAnsi="宋体" w:cs="宋体" w:eastAsia="宋体" w:hint="default"/>
          <w:b/>
          <w:bCs/>
          <w:spacing w:val="-53"/>
          <w:w w:val="95"/>
          <w:sz w:val="24"/>
          <w:szCs w:val="24"/>
        </w:rPr>
        <w:t> </w:t>
      </w:r>
      <w:r>
        <w:rPr>
          <w:rFonts w:ascii="宋体" w:hAnsi="宋体" w:cs="宋体" w:eastAsia="宋体" w:hint="default"/>
          <w:sz w:val="24"/>
          <w:szCs w:val="24"/>
        </w:rPr>
        <w:t>无。 </w:t>
      </w:r>
      <w:bookmarkStart w:name="21、工程物资" w:id="219"/>
      <w:bookmarkEnd w:id="219"/>
      <w:r>
        <w:rPr>
          <w:rFonts w:ascii="宋体" w:hAnsi="宋体" w:cs="宋体" w:eastAsia="宋体" w:hint="default"/>
          <w:sz w:val="24"/>
          <w:szCs w:val="24"/>
        </w:rPr>
      </w:r>
      <w:r>
        <w:rPr>
          <w:rFonts w:ascii="Times New Roman" w:hAnsi="Times New Roman" w:cs="Times New Roman" w:eastAsia="Times New Roman" w:hint="default"/>
          <w:b/>
          <w:bCs/>
          <w:w w:val="95"/>
          <w:sz w:val="24"/>
          <w:szCs w:val="24"/>
        </w:rPr>
        <w:t>21</w:t>
      </w:r>
      <w:r>
        <w:rPr>
          <w:rFonts w:ascii="宋体" w:hAnsi="宋体" w:cs="宋体" w:eastAsia="宋体" w:hint="default"/>
          <w:b/>
          <w:bCs/>
          <w:w w:val="95"/>
          <w:sz w:val="24"/>
          <w:szCs w:val="24"/>
        </w:rPr>
        <w:t>、工程物资</w:t>
      </w:r>
      <w:r>
        <w:rPr>
          <w:rFonts w:ascii="宋体" w:hAnsi="宋体" w:cs="宋体" w:eastAsia="宋体" w:hint="default"/>
          <w:b/>
          <w:bCs/>
          <w:spacing w:val="-53"/>
          <w:w w:val="95"/>
          <w:sz w:val="24"/>
          <w:szCs w:val="24"/>
        </w:rPr>
        <w:t> </w:t>
      </w:r>
      <w:r>
        <w:rPr>
          <w:rFonts w:ascii="宋体" w:hAnsi="宋体" w:cs="宋体" w:eastAsia="宋体" w:hint="default"/>
          <w:sz w:val="24"/>
          <w:szCs w:val="24"/>
        </w:rPr>
        <w:t>无。</w:t>
      </w:r>
    </w:p>
    <w:p>
      <w:pPr>
        <w:spacing w:line="499" w:lineRule="auto" w:before="107"/>
        <w:ind w:left="633" w:right="7846" w:hanging="480"/>
        <w:jc w:val="left"/>
        <w:rPr>
          <w:rFonts w:ascii="宋体" w:hAnsi="宋体" w:cs="宋体" w:eastAsia="宋体" w:hint="default"/>
          <w:sz w:val="24"/>
          <w:szCs w:val="24"/>
        </w:rPr>
      </w:pPr>
      <w:bookmarkStart w:name="22、固定资产清理" w:id="220"/>
      <w:bookmarkEnd w:id="220"/>
      <w:r>
        <w:rPr/>
      </w:r>
      <w:r>
        <w:rPr>
          <w:rFonts w:ascii="Times New Roman" w:hAnsi="Times New Roman" w:cs="Times New Roman" w:eastAsia="Times New Roman" w:hint="default"/>
          <w:b/>
          <w:bCs/>
          <w:sz w:val="24"/>
          <w:szCs w:val="24"/>
        </w:rPr>
        <w:t>22</w:t>
      </w:r>
      <w:r>
        <w:rPr>
          <w:rFonts w:ascii="宋体" w:hAnsi="宋体" w:cs="宋体" w:eastAsia="宋体" w:hint="default"/>
          <w:b/>
          <w:bCs/>
          <w:sz w:val="24"/>
          <w:szCs w:val="24"/>
        </w:rPr>
        <w:t>、固定资产清理</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line="501" w:lineRule="auto" w:before="115"/>
        <w:ind w:left="633" w:right="7605" w:hanging="480"/>
        <w:jc w:val="left"/>
        <w:rPr>
          <w:rFonts w:ascii="宋体" w:hAnsi="宋体" w:cs="宋体" w:eastAsia="宋体" w:hint="default"/>
          <w:sz w:val="24"/>
          <w:szCs w:val="24"/>
        </w:rPr>
      </w:pPr>
      <w:bookmarkStart w:name="23、生产性生物资产" w:id="221"/>
      <w:bookmarkEnd w:id="221"/>
      <w:r>
        <w:rPr/>
      </w:r>
      <w:r>
        <w:rPr>
          <w:rFonts w:ascii="Times New Roman" w:hAnsi="Times New Roman" w:cs="Times New Roman" w:eastAsia="Times New Roman" w:hint="default"/>
          <w:b/>
          <w:bCs/>
          <w:sz w:val="24"/>
          <w:szCs w:val="24"/>
        </w:rPr>
        <w:t>23</w:t>
      </w:r>
      <w:r>
        <w:rPr>
          <w:rFonts w:ascii="宋体" w:hAnsi="宋体" w:cs="宋体" w:eastAsia="宋体" w:hint="default"/>
          <w:b/>
          <w:bCs/>
          <w:sz w:val="24"/>
          <w:szCs w:val="24"/>
        </w:rPr>
        <w:t>、生产性生物资产</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line="513" w:lineRule="auto" w:before="113"/>
        <w:ind w:left="134" w:right="8328" w:firstLine="0"/>
        <w:jc w:val="center"/>
        <w:rPr>
          <w:rFonts w:ascii="宋体" w:hAnsi="宋体" w:cs="宋体" w:eastAsia="宋体" w:hint="default"/>
          <w:sz w:val="24"/>
          <w:szCs w:val="24"/>
        </w:rPr>
      </w:pPr>
      <w:bookmarkStart w:name="24、油气资产" w:id="222"/>
      <w:bookmarkEnd w:id="222"/>
      <w:r>
        <w:rPr/>
      </w:r>
      <w:r>
        <w:rPr>
          <w:rFonts w:ascii="Times New Roman" w:hAnsi="Times New Roman" w:cs="Times New Roman" w:eastAsia="Times New Roman" w:hint="default"/>
          <w:b/>
          <w:bCs/>
          <w:w w:val="95"/>
          <w:sz w:val="24"/>
          <w:szCs w:val="24"/>
        </w:rPr>
        <w:t>24</w:t>
      </w:r>
      <w:r>
        <w:rPr>
          <w:rFonts w:ascii="宋体" w:hAnsi="宋体" w:cs="宋体" w:eastAsia="宋体" w:hint="default"/>
          <w:b/>
          <w:bCs/>
          <w:w w:val="95"/>
          <w:sz w:val="24"/>
          <w:szCs w:val="24"/>
        </w:rPr>
        <w:t>、油气资产</w:t>
      </w:r>
      <w:r>
        <w:rPr>
          <w:rFonts w:ascii="宋体" w:hAnsi="宋体" w:cs="宋体" w:eastAsia="宋体" w:hint="default"/>
          <w:b/>
          <w:bCs/>
          <w:spacing w:val="-53"/>
          <w:w w:val="95"/>
          <w:sz w:val="24"/>
          <w:szCs w:val="24"/>
        </w:rPr>
        <w:t> </w:t>
      </w:r>
      <w:r>
        <w:rPr>
          <w:rFonts w:ascii="宋体" w:hAnsi="宋体" w:cs="宋体" w:eastAsia="宋体" w:hint="default"/>
          <w:sz w:val="24"/>
          <w:szCs w:val="24"/>
        </w:rPr>
        <w:t>无。 </w:t>
      </w:r>
      <w:bookmarkStart w:name="25、无形资产" w:id="223"/>
      <w:bookmarkEnd w:id="223"/>
      <w:r>
        <w:rPr>
          <w:rFonts w:ascii="宋体" w:hAnsi="宋体" w:cs="宋体" w:eastAsia="宋体" w:hint="default"/>
          <w:sz w:val="24"/>
          <w:szCs w:val="24"/>
        </w:rPr>
      </w:r>
      <w:r>
        <w:rPr>
          <w:rFonts w:ascii="Times New Roman" w:hAnsi="Times New Roman" w:cs="Times New Roman" w:eastAsia="Times New Roman" w:hint="default"/>
          <w:b/>
          <w:bCs/>
          <w:w w:val="95"/>
          <w:sz w:val="24"/>
          <w:szCs w:val="24"/>
        </w:rPr>
        <w:t>25</w:t>
      </w:r>
      <w:r>
        <w:rPr>
          <w:rFonts w:ascii="宋体" w:hAnsi="宋体" w:cs="宋体" w:eastAsia="宋体" w:hint="default"/>
          <w:b/>
          <w:bCs/>
          <w:w w:val="95"/>
          <w:sz w:val="24"/>
          <w:szCs w:val="24"/>
        </w:rPr>
        <w:t>、无形资产</w:t>
      </w:r>
      <w:r>
        <w:rPr>
          <w:rFonts w:ascii="宋体" w:hAnsi="宋体" w:cs="宋体" w:eastAsia="宋体" w:hint="default"/>
          <w:sz w:val="24"/>
          <w:szCs w:val="24"/>
        </w:rPr>
      </w:r>
    </w:p>
    <w:p>
      <w:pPr>
        <w:pStyle w:val="BodyText"/>
        <w:spacing w:line="292" w:lineRule="exact" w:before="0"/>
        <w:ind w:left="0" w:right="15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77" w:right="0"/>
              <w:jc w:val="left"/>
              <w:rPr>
                <w:rFonts w:ascii="宋体" w:hAnsi="宋体" w:cs="宋体" w:eastAsia="宋体" w:hint="default"/>
                <w:sz w:val="21"/>
                <w:szCs w:val="21"/>
              </w:rPr>
            </w:pPr>
            <w:r>
              <w:rPr>
                <w:rFonts w:ascii="宋体" w:hAnsi="宋体" w:cs="宋体" w:eastAsia="宋体" w:hint="default"/>
                <w:b/>
                <w:bCs/>
                <w:sz w:val="21"/>
                <w:szCs w:val="21"/>
              </w:rPr>
              <w:t>土地使用权</w:t>
            </w:r>
            <w:r>
              <w:rPr>
                <w:rFonts w:ascii="宋体" w:hAnsi="宋体" w:cs="宋体" w:eastAsia="宋体" w:hint="default"/>
                <w:sz w:val="21"/>
                <w:szCs w:val="21"/>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62" w:right="0"/>
              <w:jc w:val="left"/>
              <w:rPr>
                <w:rFonts w:ascii="宋体" w:hAnsi="宋体" w:cs="宋体" w:eastAsia="宋体" w:hint="default"/>
                <w:sz w:val="21"/>
                <w:szCs w:val="21"/>
              </w:rPr>
            </w:pPr>
            <w:r>
              <w:rPr>
                <w:rFonts w:ascii="宋体" w:hAnsi="宋体" w:cs="宋体" w:eastAsia="宋体" w:hint="default"/>
                <w:b/>
                <w:bCs/>
                <w:sz w:val="21"/>
                <w:szCs w:val="21"/>
              </w:rPr>
              <w:t>专利权</w:t>
            </w:r>
            <w:r>
              <w:rPr>
                <w:rFonts w:ascii="宋体" w:hAnsi="宋体" w:cs="宋体" w:eastAsia="宋体" w:hint="default"/>
                <w:sz w:val="21"/>
                <w:szCs w:val="21"/>
              </w:rPr>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58" w:right="0"/>
              <w:jc w:val="left"/>
              <w:rPr>
                <w:rFonts w:ascii="宋体" w:hAnsi="宋体" w:cs="宋体" w:eastAsia="宋体" w:hint="default"/>
                <w:sz w:val="21"/>
                <w:szCs w:val="21"/>
              </w:rPr>
            </w:pPr>
            <w:r>
              <w:rPr>
                <w:rFonts w:ascii="宋体" w:hAnsi="宋体" w:cs="宋体" w:eastAsia="宋体" w:hint="default"/>
                <w:b/>
                <w:bCs/>
                <w:sz w:val="21"/>
                <w:szCs w:val="21"/>
              </w:rPr>
              <w:t>非专利技术</w:t>
            </w:r>
            <w:r>
              <w:rPr>
                <w:rFonts w:ascii="宋体" w:hAnsi="宋体" w:cs="宋体" w:eastAsia="宋体" w:hint="default"/>
                <w:sz w:val="21"/>
                <w:szCs w:val="21"/>
              </w:rPr>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b/>
                <w:bCs/>
                <w:sz w:val="21"/>
                <w:szCs w:val="21"/>
              </w:rPr>
              <w:t>一、账面原值</w:t>
            </w:r>
            <w:r>
              <w:rPr>
                <w:rFonts w:ascii="宋体" w:hAnsi="宋体" w:cs="宋体" w:eastAsia="宋体" w:hint="default"/>
                <w:sz w:val="21"/>
                <w:szCs w:val="21"/>
              </w:rPr>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3,000,000.00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74,309,247.81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77,309,247.81</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25,232,421.42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25,232,421.42</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25,232,421.42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25,232,421.42</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）内部研发</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）企业合并增加</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3,000,000.00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99,541,669.23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102,541,669.23</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b/>
                <w:bCs/>
                <w:sz w:val="21"/>
                <w:szCs w:val="21"/>
              </w:rPr>
              <w:t>二、累计摊销</w:t>
            </w:r>
            <w:r>
              <w:rPr>
                <w:rFonts w:ascii="宋体" w:hAnsi="宋体" w:cs="宋体" w:eastAsia="宋体" w:hint="default"/>
                <w:sz w:val="21"/>
                <w:szCs w:val="21"/>
              </w:rPr>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1,400,000.00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25,994,082.86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27,394,082.86</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580"/>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13,358,193.09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13,658,193.09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13,358,193.09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13,658,193.09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580"/>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1,700,000.00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39,352,275.95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41,052,275.95</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b/>
                <w:bCs/>
                <w:sz w:val="21"/>
                <w:szCs w:val="21"/>
              </w:rPr>
              <w:t>三、减值准备</w:t>
            </w:r>
            <w:r>
              <w:rPr>
                <w:rFonts w:ascii="宋体" w:hAnsi="宋体" w:cs="宋体" w:eastAsia="宋体" w:hint="default"/>
                <w:sz w:val="21"/>
                <w:szCs w:val="21"/>
              </w:rPr>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580"/>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580"/>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b/>
                <w:bCs/>
                <w:sz w:val="21"/>
                <w:szCs w:val="21"/>
              </w:rPr>
              <w:t>四、账面价值</w:t>
            </w:r>
            <w:r>
              <w:rPr>
                <w:rFonts w:ascii="宋体" w:hAnsi="宋体" w:cs="宋体" w:eastAsia="宋体" w:hint="default"/>
                <w:sz w:val="21"/>
                <w:szCs w:val="21"/>
              </w:rPr>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580"/>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1,300,000.00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60,189,393.28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61,489,393.28</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580"/>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1,600,000.00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48,315,164.95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49,915,164.95</w:t>
            </w:r>
          </w:p>
        </w:tc>
      </w:tr>
    </w:tbl>
    <w:p>
      <w:pPr>
        <w:pStyle w:val="BodyText"/>
        <w:spacing w:line="240" w:lineRule="auto" w:before="81"/>
        <w:ind w:left="634" w:right="0"/>
        <w:jc w:val="left"/>
      </w:pPr>
      <w:r>
        <w:rPr/>
        <w:t>本期末通过公司内部研发形成的无形资产占无形资产余额的比例。</w:t>
      </w:r>
    </w:p>
    <w:p>
      <w:pPr>
        <w:spacing w:line="240" w:lineRule="auto" w:before="10"/>
        <w:rPr>
          <w:rFonts w:ascii="宋体" w:hAnsi="宋体" w:cs="宋体" w:eastAsia="宋体" w:hint="default"/>
          <w:sz w:val="28"/>
          <w:szCs w:val="28"/>
        </w:rPr>
      </w:pPr>
    </w:p>
    <w:p>
      <w:pPr>
        <w:spacing w:line="499" w:lineRule="auto" w:before="0"/>
        <w:ind w:left="634" w:right="8327" w:hanging="480"/>
        <w:jc w:val="left"/>
        <w:rPr>
          <w:rFonts w:ascii="宋体" w:hAnsi="宋体" w:cs="宋体" w:eastAsia="宋体" w:hint="default"/>
          <w:sz w:val="24"/>
          <w:szCs w:val="24"/>
        </w:rPr>
      </w:pPr>
      <w:bookmarkStart w:name="26、开发支出" w:id="224"/>
      <w:bookmarkEnd w:id="224"/>
      <w:r>
        <w:rPr/>
      </w:r>
      <w:r>
        <w:rPr>
          <w:rFonts w:ascii="Times New Roman" w:hAnsi="Times New Roman" w:cs="Times New Roman" w:eastAsia="Times New Roman" w:hint="default"/>
          <w:b/>
          <w:bCs/>
          <w:sz w:val="24"/>
          <w:szCs w:val="24"/>
        </w:rPr>
        <w:t>26</w:t>
      </w:r>
      <w:r>
        <w:rPr>
          <w:rFonts w:ascii="宋体" w:hAnsi="宋体" w:cs="宋体" w:eastAsia="宋体" w:hint="default"/>
          <w:b/>
          <w:bCs/>
          <w:sz w:val="24"/>
          <w:szCs w:val="24"/>
        </w:rPr>
        <w:t>、开发支出</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before="115"/>
        <w:ind w:left="154" w:right="0" w:firstLine="0"/>
        <w:jc w:val="left"/>
        <w:rPr>
          <w:rFonts w:ascii="宋体" w:hAnsi="宋体" w:cs="宋体" w:eastAsia="宋体" w:hint="default"/>
          <w:sz w:val="24"/>
          <w:szCs w:val="24"/>
        </w:rPr>
      </w:pPr>
      <w:bookmarkStart w:name="27、商誉" w:id="225"/>
      <w:bookmarkEnd w:id="225"/>
      <w:r>
        <w:rPr/>
      </w:r>
      <w:r>
        <w:rPr>
          <w:rFonts w:ascii="Times New Roman" w:hAnsi="Times New Roman" w:cs="Times New Roman" w:eastAsia="Times New Roman" w:hint="default"/>
          <w:b/>
          <w:bCs/>
          <w:sz w:val="24"/>
          <w:szCs w:val="24"/>
        </w:rPr>
        <w:t>27</w:t>
      </w:r>
      <w:r>
        <w:rPr>
          <w:rFonts w:ascii="宋体" w:hAnsi="宋体" w:cs="宋体" w:eastAsia="宋体" w:hint="default"/>
          <w:b/>
          <w:bCs/>
          <w:sz w:val="24"/>
          <w:szCs w:val="24"/>
        </w:rPr>
        <w:t>、商誉</w:t>
      </w:r>
      <w:r>
        <w:rPr>
          <w:rFonts w:ascii="宋体" w:hAnsi="宋体" w:cs="宋体" w:eastAsia="宋体" w:hint="default"/>
          <w:sz w:val="24"/>
          <w:szCs w:val="24"/>
        </w:rPr>
      </w:r>
    </w:p>
    <w:p>
      <w:pPr>
        <w:spacing w:line="240" w:lineRule="auto" w:before="7"/>
        <w:rPr>
          <w:rFonts w:ascii="宋体" w:hAnsi="宋体" w:cs="宋体" w:eastAsia="宋体" w:hint="default"/>
          <w:b/>
          <w:bCs/>
          <w:sz w:val="21"/>
          <w:szCs w:val="21"/>
        </w:rPr>
      </w:pPr>
    </w:p>
    <w:p>
      <w:pPr>
        <w:spacing w:before="0"/>
        <w:ind w:left="154" w:right="0" w:firstLine="0"/>
        <w:jc w:val="left"/>
        <w:rPr>
          <w:rFonts w:ascii="宋体" w:hAnsi="宋体" w:cs="宋体" w:eastAsia="宋体" w:hint="default"/>
          <w:sz w:val="24"/>
          <w:szCs w:val="24"/>
        </w:rPr>
      </w:pPr>
      <w:bookmarkStart w:name="（1）商誉账面原值" w:id="226"/>
      <w:bookmarkEnd w:id="226"/>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）商誉账面原值</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1"/>
              <w:ind w:left="45" w:right="46"/>
              <w:jc w:val="center"/>
              <w:rPr>
                <w:rFonts w:ascii="宋体" w:hAnsi="宋体" w:cs="宋体" w:eastAsia="宋体" w:hint="default"/>
                <w:sz w:val="21"/>
                <w:szCs w:val="21"/>
              </w:rPr>
            </w:pPr>
            <w:r>
              <w:rPr>
                <w:rFonts w:ascii="宋体" w:hAnsi="宋体" w:cs="宋体" w:eastAsia="宋体" w:hint="default"/>
                <w:b/>
                <w:bCs/>
                <w:sz w:val="21"/>
                <w:szCs w:val="21"/>
              </w:rPr>
              <w:t>被投资单位名</w:t>
            </w:r>
            <w:r>
              <w:rPr>
                <w:rFonts w:ascii="宋体" w:hAnsi="宋体" w:cs="宋体" w:eastAsia="宋体" w:hint="default"/>
                <w:b/>
                <w:bCs/>
                <w:w w:val="99"/>
                <w:sz w:val="21"/>
                <w:szCs w:val="21"/>
              </w:rPr>
              <w:t> </w:t>
            </w:r>
            <w:r>
              <w:rPr>
                <w:rFonts w:ascii="宋体" w:hAnsi="宋体" w:cs="宋体" w:eastAsia="宋体" w:hint="default"/>
                <w:b/>
                <w:bCs/>
                <w:sz w:val="21"/>
                <w:szCs w:val="21"/>
              </w:rPr>
              <w:t>称或形成商誉</w:t>
            </w:r>
            <w:r>
              <w:rPr>
                <w:rFonts w:ascii="宋体" w:hAnsi="宋体" w:cs="宋体" w:eastAsia="宋体" w:hint="default"/>
                <w:b/>
                <w:bCs/>
                <w:w w:val="99"/>
                <w:sz w:val="21"/>
                <w:szCs w:val="21"/>
              </w:rPr>
              <w:t> </w:t>
            </w:r>
            <w:r>
              <w:rPr>
                <w:rFonts w:ascii="宋体" w:hAnsi="宋体" w:cs="宋体" w:eastAsia="宋体" w:hint="default"/>
                <w:b/>
                <w:bCs/>
                <w:sz w:val="21"/>
                <w:szCs w:val="21"/>
              </w:rPr>
              <w:t>的事项</w:t>
            </w:r>
            <w:r>
              <w:rPr>
                <w:rFonts w:ascii="宋体" w:hAnsi="宋体" w:cs="宋体" w:eastAsia="宋体" w:hint="default"/>
                <w:sz w:val="21"/>
                <w:szCs w:val="21"/>
              </w:rPr>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71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72" w:right="46" w:hanging="527"/>
              <w:jc w:val="left"/>
              <w:rPr>
                <w:rFonts w:ascii="宋体" w:hAnsi="宋体" w:cs="宋体" w:eastAsia="宋体" w:hint="default"/>
                <w:sz w:val="21"/>
                <w:szCs w:val="21"/>
              </w:rPr>
            </w:pPr>
            <w:r>
              <w:rPr>
                <w:rFonts w:ascii="宋体" w:hAnsi="宋体" w:cs="宋体" w:eastAsia="宋体" w:hint="default"/>
                <w:b/>
                <w:bCs/>
                <w:sz w:val="21"/>
                <w:szCs w:val="21"/>
              </w:rPr>
              <w:t>企业合并形成</w:t>
            </w:r>
            <w:r>
              <w:rPr>
                <w:rFonts w:ascii="宋体" w:hAnsi="宋体" w:cs="宋体" w:eastAsia="宋体" w:hint="default"/>
                <w:b/>
                <w:bCs/>
                <w:w w:val="99"/>
                <w:sz w:val="21"/>
                <w:szCs w:val="21"/>
              </w:rPr>
              <w:t> </w:t>
            </w:r>
            <w:r>
              <w:rPr>
                <w:rFonts w:ascii="宋体" w:hAnsi="宋体" w:cs="宋体" w:eastAsia="宋体" w:hint="default"/>
                <w:b/>
                <w:bCs/>
                <w:sz w:val="21"/>
                <w:szCs w:val="21"/>
              </w:rPr>
              <w:t>的</w:t>
            </w:r>
            <w:r>
              <w:rPr>
                <w:rFonts w:ascii="宋体" w:hAnsi="宋体" w:cs="宋体" w:eastAsia="宋体" w:hint="default"/>
                <w:sz w:val="21"/>
                <w:szCs w:val="21"/>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处置</w:t>
            </w:r>
            <w:r>
              <w:rPr>
                <w:rFonts w:ascii="宋体" w:hAnsi="宋体" w:cs="宋体" w:eastAsia="宋体" w:hint="default"/>
                <w:sz w:val="21"/>
                <w:szCs w:val="21"/>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72"/>
              <w:jc w:val="both"/>
              <w:rPr>
                <w:rFonts w:ascii="宋体" w:hAnsi="宋体" w:cs="宋体" w:eastAsia="宋体" w:hint="default"/>
                <w:sz w:val="21"/>
                <w:szCs w:val="21"/>
              </w:rPr>
            </w:pPr>
            <w:r>
              <w:rPr>
                <w:rFonts w:ascii="宋体" w:hAnsi="宋体" w:cs="宋体" w:eastAsia="宋体" w:hint="default"/>
                <w:sz w:val="21"/>
                <w:szCs w:val="21"/>
              </w:rPr>
              <w:t>广州市四月天 信息科技有限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1,654,444.08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1,654,444.08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1,654,444.08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1,654,444.08</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00" w:bottom="1160" w:left="980" w:right="980"/>
        </w:sectPr>
      </w:pPr>
    </w:p>
    <w:p>
      <w:pPr>
        <w:spacing w:line="240" w:lineRule="auto" w:before="9"/>
        <w:rPr>
          <w:rFonts w:ascii="宋体" w:hAnsi="宋体" w:cs="宋体" w:eastAsia="宋体" w:hint="default"/>
          <w:sz w:val="19"/>
          <w:szCs w:val="19"/>
        </w:rPr>
      </w:pPr>
    </w:p>
    <w:p>
      <w:pPr>
        <w:spacing w:line="499" w:lineRule="auto" w:before="26"/>
        <w:ind w:left="633" w:right="7725" w:hanging="480"/>
        <w:jc w:val="left"/>
        <w:rPr>
          <w:rFonts w:ascii="宋体" w:hAnsi="宋体" w:cs="宋体" w:eastAsia="宋体" w:hint="default"/>
          <w:sz w:val="24"/>
          <w:szCs w:val="24"/>
        </w:rPr>
      </w:pPr>
      <w:bookmarkStart w:name="（2）商誉减值准备" w:id="227"/>
      <w:bookmarkEnd w:id="227"/>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）商誉减值准备</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before="116"/>
        <w:ind w:left="153" w:right="0" w:firstLine="0"/>
        <w:jc w:val="left"/>
        <w:rPr>
          <w:rFonts w:ascii="宋体" w:hAnsi="宋体" w:cs="宋体" w:eastAsia="宋体" w:hint="default"/>
          <w:sz w:val="24"/>
          <w:szCs w:val="24"/>
        </w:rPr>
      </w:pPr>
      <w:bookmarkStart w:name="28、长期待摊费用" w:id="228"/>
      <w:bookmarkEnd w:id="228"/>
      <w:r>
        <w:rPr/>
      </w:r>
      <w:r>
        <w:rPr>
          <w:rFonts w:ascii="Times New Roman" w:hAnsi="Times New Roman" w:cs="Times New Roman" w:eastAsia="Times New Roman" w:hint="default"/>
          <w:b/>
          <w:bCs/>
          <w:sz w:val="24"/>
          <w:szCs w:val="24"/>
        </w:rPr>
        <w:t>28</w:t>
      </w:r>
      <w:r>
        <w:rPr>
          <w:rFonts w:ascii="宋体" w:hAnsi="宋体" w:cs="宋体" w:eastAsia="宋体" w:hint="default"/>
          <w:b/>
          <w:bCs/>
          <w:sz w:val="24"/>
          <w:szCs w:val="24"/>
        </w:rPr>
        <w:t>、长期待摊费用</w:t>
      </w:r>
      <w:r>
        <w:rPr>
          <w:rFonts w:ascii="宋体" w:hAnsi="宋体" w:cs="宋体" w:eastAsia="宋体" w:hint="default"/>
          <w:sz w:val="24"/>
          <w:szCs w:val="24"/>
        </w:rPr>
      </w:r>
    </w:p>
    <w:p>
      <w:pPr>
        <w:spacing w:line="240" w:lineRule="auto" w:before="6"/>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60" w:right="0"/>
              <w:jc w:val="left"/>
              <w:rPr>
                <w:rFonts w:ascii="宋体" w:hAnsi="宋体" w:cs="宋体" w:eastAsia="宋体" w:hint="default"/>
                <w:sz w:val="21"/>
                <w:szCs w:val="21"/>
              </w:rPr>
            </w:pPr>
            <w:r>
              <w:rPr>
                <w:rFonts w:ascii="宋体" w:hAnsi="宋体" w:cs="宋体" w:eastAsia="宋体" w:hint="default"/>
                <w:b/>
                <w:bCs/>
                <w:sz w:val="21"/>
                <w:szCs w:val="21"/>
              </w:rPr>
              <w:t>本期增加金额</w:t>
            </w:r>
            <w:r>
              <w:rPr>
                <w:rFonts w:ascii="宋体" w:hAnsi="宋体" w:cs="宋体" w:eastAsia="宋体"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59" w:right="0"/>
              <w:jc w:val="left"/>
              <w:rPr>
                <w:rFonts w:ascii="宋体" w:hAnsi="宋体" w:cs="宋体" w:eastAsia="宋体" w:hint="default"/>
                <w:sz w:val="21"/>
                <w:szCs w:val="21"/>
              </w:rPr>
            </w:pPr>
            <w:r>
              <w:rPr>
                <w:rFonts w:ascii="宋体" w:hAnsi="宋体" w:cs="宋体" w:eastAsia="宋体" w:hint="default"/>
                <w:b/>
                <w:bCs/>
                <w:sz w:val="21"/>
                <w:szCs w:val="21"/>
              </w:rPr>
              <w:t>本期摊销金额</w:t>
            </w:r>
            <w:r>
              <w:rPr>
                <w:rFonts w:ascii="宋体" w:hAnsi="宋体" w:cs="宋体" w:eastAsia="宋体"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59" w:right="0"/>
              <w:jc w:val="left"/>
              <w:rPr>
                <w:rFonts w:ascii="宋体" w:hAnsi="宋体" w:cs="宋体" w:eastAsia="宋体" w:hint="default"/>
                <w:sz w:val="21"/>
                <w:szCs w:val="21"/>
              </w:rPr>
            </w:pPr>
            <w:r>
              <w:rPr>
                <w:rFonts w:ascii="宋体" w:hAnsi="宋体" w:cs="宋体" w:eastAsia="宋体" w:hint="default"/>
                <w:b/>
                <w:bCs/>
                <w:sz w:val="21"/>
                <w:szCs w:val="21"/>
              </w:rPr>
              <w:t>其他减少金额</w:t>
            </w:r>
            <w:r>
              <w:rPr>
                <w:rFonts w:ascii="宋体" w:hAnsi="宋体" w:cs="宋体" w:eastAsia="宋体" w:hint="default"/>
                <w:sz w:val="21"/>
                <w:szCs w:val="21"/>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0"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办公室装修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321,465.94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64,293.18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257,172.76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6"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321,465.94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64,293.18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257,172.76</w:t>
            </w: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29、递延所得税资产/递延所得税负债" w:id="229"/>
      <w:bookmarkEnd w:id="229"/>
      <w:r>
        <w:rPr/>
      </w:r>
      <w:r>
        <w:rPr>
          <w:rFonts w:ascii="Times New Roman" w:hAnsi="Times New Roman" w:cs="Times New Roman" w:eastAsia="Times New Roman" w:hint="default"/>
          <w:b/>
          <w:bCs/>
          <w:sz w:val="24"/>
          <w:szCs w:val="24"/>
        </w:rPr>
        <w:t>29</w:t>
      </w:r>
      <w:r>
        <w:rPr>
          <w:rFonts w:ascii="宋体" w:hAnsi="宋体" w:cs="宋体" w:eastAsia="宋体" w:hint="default"/>
          <w:b/>
          <w:bCs/>
          <w:sz w:val="24"/>
          <w:szCs w:val="24"/>
        </w:rPr>
        <w:t>、递延所得税资产</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递延所得税负债</w:t>
      </w:r>
      <w:r>
        <w:rPr>
          <w:rFonts w:ascii="宋体" w:hAnsi="宋体" w:cs="宋体" w:eastAsia="宋体" w:hint="default"/>
          <w:sz w:val="24"/>
          <w:szCs w:val="24"/>
        </w:rPr>
      </w:r>
    </w:p>
    <w:p>
      <w:pPr>
        <w:spacing w:line="240" w:lineRule="auto" w:before="6"/>
        <w:rPr>
          <w:rFonts w:ascii="宋体" w:hAnsi="宋体" w:cs="宋体" w:eastAsia="宋体" w:hint="default"/>
          <w:b/>
          <w:bCs/>
          <w:sz w:val="21"/>
          <w:szCs w:val="21"/>
        </w:rPr>
      </w:pPr>
    </w:p>
    <w:p>
      <w:pPr>
        <w:spacing w:before="0"/>
        <w:ind w:left="153" w:right="0" w:firstLine="0"/>
        <w:jc w:val="left"/>
        <w:rPr>
          <w:rFonts w:ascii="宋体" w:hAnsi="宋体" w:cs="宋体" w:eastAsia="宋体" w:hint="default"/>
          <w:sz w:val="24"/>
          <w:szCs w:val="24"/>
        </w:rPr>
      </w:pPr>
      <w:bookmarkStart w:name="（1）未经抵销的递延所得税资产" w:id="230"/>
      <w:bookmarkEnd w:id="230"/>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）未经抵销的递延所得税资产</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10" w:right="0"/>
              <w:jc w:val="left"/>
              <w:rPr>
                <w:rFonts w:ascii="宋体" w:hAnsi="宋体" w:cs="宋体" w:eastAsia="宋体" w:hint="default"/>
                <w:sz w:val="21"/>
                <w:szCs w:val="21"/>
              </w:rPr>
            </w:pPr>
            <w:r>
              <w:rPr>
                <w:rFonts w:ascii="宋体" w:hAnsi="宋体" w:cs="宋体" w:eastAsia="宋体" w:hint="default"/>
                <w:b/>
                <w:bCs/>
                <w:sz w:val="21"/>
                <w:szCs w:val="21"/>
              </w:rPr>
              <w:t>可抵扣暂时性差异</w:t>
            </w:r>
            <w:r>
              <w:rPr>
                <w:rFonts w:ascii="宋体" w:hAnsi="宋体" w:cs="宋体" w:eastAsia="宋体" w:hint="default"/>
                <w:sz w:val="21"/>
                <w:szCs w:val="21"/>
              </w:rPr>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13" w:right="0"/>
              <w:jc w:val="left"/>
              <w:rPr>
                <w:rFonts w:ascii="宋体" w:hAnsi="宋体" w:cs="宋体" w:eastAsia="宋体" w:hint="default"/>
                <w:sz w:val="21"/>
                <w:szCs w:val="21"/>
              </w:rPr>
            </w:pPr>
            <w:r>
              <w:rPr>
                <w:rFonts w:ascii="宋体" w:hAnsi="宋体" w:cs="宋体" w:eastAsia="宋体" w:hint="default"/>
                <w:b/>
                <w:bCs/>
                <w:sz w:val="21"/>
                <w:szCs w:val="21"/>
              </w:rPr>
              <w:t>递延所得税资产</w:t>
            </w:r>
            <w:r>
              <w:rPr>
                <w:rFonts w:ascii="宋体" w:hAnsi="宋体" w:cs="宋体" w:eastAsia="宋体" w:hint="default"/>
                <w:sz w:val="21"/>
                <w:szCs w:val="21"/>
              </w:rPr>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b/>
                <w:bCs/>
                <w:sz w:val="21"/>
                <w:szCs w:val="21"/>
              </w:rPr>
              <w:t>可抵扣暂时性差异</w:t>
            </w:r>
            <w:r>
              <w:rPr>
                <w:rFonts w:ascii="宋体" w:hAnsi="宋体" w:cs="宋体" w:eastAsia="宋体" w:hint="default"/>
                <w:sz w:val="21"/>
                <w:szCs w:val="21"/>
              </w:rPr>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13" w:right="0"/>
              <w:jc w:val="left"/>
              <w:rPr>
                <w:rFonts w:ascii="宋体" w:hAnsi="宋体" w:cs="宋体" w:eastAsia="宋体" w:hint="default"/>
                <w:sz w:val="21"/>
                <w:szCs w:val="21"/>
              </w:rPr>
            </w:pPr>
            <w:r>
              <w:rPr>
                <w:rFonts w:ascii="宋体" w:hAnsi="宋体" w:cs="宋体" w:eastAsia="宋体" w:hint="default"/>
                <w:b/>
                <w:bCs/>
                <w:sz w:val="21"/>
                <w:szCs w:val="21"/>
              </w:rPr>
              <w:t>递延所得税资产</w:t>
            </w:r>
            <w:r>
              <w:rPr>
                <w:rFonts w:ascii="宋体" w:hAnsi="宋体" w:cs="宋体" w:eastAsia="宋体" w:hint="default"/>
                <w:sz w:val="21"/>
                <w:szCs w:val="21"/>
              </w:rPr>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4,790,811.02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758,134.02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4,674,353.18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756,333.09</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2" w:right="197"/>
              <w:jc w:val="left"/>
              <w:rPr>
                <w:rFonts w:ascii="宋体" w:hAnsi="宋体" w:cs="宋体" w:eastAsia="宋体" w:hint="default"/>
                <w:sz w:val="21"/>
                <w:szCs w:val="21"/>
              </w:rPr>
            </w:pPr>
            <w:r>
              <w:rPr>
                <w:rFonts w:ascii="宋体" w:hAnsi="宋体" w:cs="宋体" w:eastAsia="宋体" w:hint="default"/>
                <w:sz w:val="21"/>
                <w:szCs w:val="21"/>
              </w:rPr>
              <w:t>内部交易未实现利 润</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7,570,934.35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1,135,640.15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97"/>
              <w:jc w:val="left"/>
              <w:rPr>
                <w:rFonts w:ascii="宋体" w:hAnsi="宋体" w:cs="宋体" w:eastAsia="宋体" w:hint="default"/>
                <w:sz w:val="21"/>
                <w:szCs w:val="21"/>
              </w:rPr>
            </w:pPr>
            <w:r>
              <w:rPr>
                <w:rFonts w:ascii="宋体" w:hAnsi="宋体" w:cs="宋体" w:eastAsia="宋体" w:hint="default"/>
                <w:sz w:val="21"/>
                <w:szCs w:val="21"/>
              </w:rPr>
              <w:t>联营企业权益法累 计损失</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150,000.00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97"/>
              <w:jc w:val="left"/>
              <w:rPr>
                <w:rFonts w:ascii="宋体" w:hAnsi="宋体" w:cs="宋体" w:eastAsia="宋体" w:hint="default"/>
                <w:sz w:val="21"/>
                <w:szCs w:val="21"/>
              </w:rPr>
            </w:pPr>
            <w:r>
              <w:rPr>
                <w:rFonts w:ascii="宋体" w:hAnsi="宋体" w:cs="宋体" w:eastAsia="宋体" w:hint="default"/>
                <w:sz w:val="21"/>
                <w:szCs w:val="21"/>
              </w:rPr>
              <w:t>尚未发放的职工薪 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730,343.48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109,551.52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3,173,753.16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476,062.98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400,000.25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60,000.04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3,719,738.51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557,960.78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1,795,799.87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290,441.68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1,403,182.42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210,477.36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16,287,888.97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2,503,767.41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13,971,027.27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2,150,834.21</w:t>
            </w:r>
          </w:p>
        </w:tc>
      </w:tr>
    </w:tbl>
    <w:p>
      <w:pPr>
        <w:spacing w:line="240" w:lineRule="auto" w:before="2"/>
        <w:rPr>
          <w:rFonts w:ascii="宋体" w:hAnsi="宋体" w:cs="宋体" w:eastAsia="宋体" w:hint="default"/>
          <w:sz w:val="18"/>
          <w:szCs w:val="18"/>
        </w:rPr>
      </w:pPr>
    </w:p>
    <w:p>
      <w:pPr>
        <w:spacing w:line="499" w:lineRule="auto" w:before="26"/>
        <w:ind w:left="633" w:right="6172" w:hanging="480"/>
        <w:jc w:val="left"/>
        <w:rPr>
          <w:rFonts w:ascii="宋体" w:hAnsi="宋体" w:cs="宋体" w:eastAsia="宋体" w:hint="default"/>
          <w:sz w:val="24"/>
          <w:szCs w:val="24"/>
        </w:rPr>
      </w:pPr>
      <w:bookmarkStart w:name="（2）未经抵销的递延所得税负债" w:id="231"/>
      <w:bookmarkEnd w:id="231"/>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2</w:t>
      </w:r>
      <w:r>
        <w:rPr>
          <w:rFonts w:ascii="宋体" w:hAnsi="宋体" w:cs="宋体" w:eastAsia="宋体" w:hint="default"/>
          <w:b/>
          <w:bCs/>
          <w:w w:val="95"/>
          <w:sz w:val="24"/>
          <w:szCs w:val="24"/>
        </w:rPr>
        <w:t>）未经抵销的递延所得税负债</w:t>
      </w:r>
      <w:r>
        <w:rPr>
          <w:rFonts w:ascii="宋体" w:hAnsi="宋体" w:cs="宋体" w:eastAsia="宋体" w:hint="default"/>
          <w:b/>
          <w:bCs/>
          <w:spacing w:val="47"/>
          <w:w w:val="95"/>
          <w:sz w:val="24"/>
          <w:szCs w:val="24"/>
        </w:rPr>
        <w:t> </w:t>
      </w:r>
      <w:r>
        <w:rPr>
          <w:rFonts w:ascii="宋体" w:hAnsi="宋体" w:cs="宋体" w:eastAsia="宋体" w:hint="default"/>
          <w:sz w:val="24"/>
          <w:szCs w:val="24"/>
        </w:rPr>
        <w:t>无。</w:t>
      </w:r>
    </w:p>
    <w:p>
      <w:pPr>
        <w:spacing w:before="115"/>
        <w:ind w:left="153" w:right="0" w:firstLine="0"/>
        <w:jc w:val="left"/>
        <w:rPr>
          <w:rFonts w:ascii="宋体" w:hAnsi="宋体" w:cs="宋体" w:eastAsia="宋体" w:hint="default"/>
          <w:sz w:val="24"/>
          <w:szCs w:val="24"/>
        </w:rPr>
      </w:pPr>
      <w:bookmarkStart w:name="（3）以抵销后净额列示的递延所得税资产或负债" w:id="232"/>
      <w:bookmarkEnd w:id="232"/>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）以抵销后净额列示的递延所得税资产或负债</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99"/>
        <w:ind w:left="0" w:right="150"/>
        <w:jc w:val="right"/>
      </w:pPr>
      <w:r>
        <w:rPr/>
        <w:t>单位： 元</w:t>
      </w:r>
    </w:p>
    <w:p>
      <w:pPr>
        <w:spacing w:after="0" w:line="240" w:lineRule="auto"/>
        <w:jc w:val="right"/>
        <w:sectPr>
          <w:pgSz w:w="11910" w:h="16840"/>
          <w:pgMar w:header="0"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vMerge w:val="restart"/>
            <w:tcBorders>
              <w:top w:val="single" w:sz="4" w:space="0" w:color="000000"/>
              <w:left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07" w:right="109"/>
              <w:jc w:val="center"/>
              <w:rPr>
                <w:rFonts w:ascii="宋体" w:hAnsi="宋体" w:cs="宋体" w:eastAsia="宋体" w:hint="default"/>
                <w:sz w:val="21"/>
                <w:szCs w:val="21"/>
              </w:rPr>
            </w:pPr>
            <w:r>
              <w:rPr>
                <w:rFonts w:ascii="宋体" w:hAnsi="宋体" w:cs="宋体" w:eastAsia="宋体" w:hint="default"/>
                <w:b/>
                <w:bCs/>
                <w:sz w:val="21"/>
                <w:szCs w:val="21"/>
              </w:rPr>
              <w:t>抵销后递延所得税</w:t>
            </w:r>
            <w:r>
              <w:rPr>
                <w:rFonts w:ascii="宋体" w:hAnsi="宋体" w:cs="宋体" w:eastAsia="宋体" w:hint="default"/>
                <w:b/>
                <w:bCs/>
                <w:w w:val="99"/>
                <w:sz w:val="21"/>
                <w:szCs w:val="21"/>
              </w:rPr>
              <w:t> </w:t>
            </w:r>
            <w:r>
              <w:rPr>
                <w:rFonts w:ascii="宋体" w:hAnsi="宋体" w:cs="宋体" w:eastAsia="宋体" w:hint="default"/>
                <w:b/>
                <w:bCs/>
                <w:sz w:val="21"/>
                <w:szCs w:val="21"/>
              </w:rPr>
              <w:t>资产或负债期末余</w:t>
            </w:r>
            <w:r>
              <w:rPr>
                <w:rFonts w:ascii="宋体" w:hAnsi="宋体" w:cs="宋体" w:eastAsia="宋体" w:hint="default"/>
                <w:b/>
                <w:bCs/>
                <w:w w:val="99"/>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08" w:right="109"/>
              <w:jc w:val="center"/>
              <w:rPr>
                <w:rFonts w:ascii="宋体" w:hAnsi="宋体" w:cs="宋体" w:eastAsia="宋体" w:hint="default"/>
                <w:sz w:val="21"/>
                <w:szCs w:val="21"/>
              </w:rPr>
            </w:pPr>
            <w:r>
              <w:rPr>
                <w:rFonts w:ascii="宋体" w:hAnsi="宋体" w:cs="宋体" w:eastAsia="宋体" w:hint="default"/>
                <w:b/>
                <w:bCs/>
                <w:sz w:val="21"/>
                <w:szCs w:val="21"/>
              </w:rPr>
              <w:t>抵销后递延所得税</w:t>
            </w:r>
            <w:r>
              <w:rPr>
                <w:rFonts w:ascii="宋体" w:hAnsi="宋体" w:cs="宋体" w:eastAsia="宋体" w:hint="default"/>
                <w:b/>
                <w:bCs/>
                <w:w w:val="99"/>
                <w:sz w:val="21"/>
                <w:szCs w:val="21"/>
              </w:rPr>
              <w:t> </w:t>
            </w:r>
            <w:r>
              <w:rPr>
                <w:rFonts w:ascii="宋体" w:hAnsi="宋体" w:cs="宋体" w:eastAsia="宋体" w:hint="default"/>
                <w:b/>
                <w:bCs/>
                <w:sz w:val="21"/>
                <w:szCs w:val="21"/>
              </w:rPr>
              <w:t>资产或负债期初余</w:t>
            </w:r>
            <w:r>
              <w:rPr>
                <w:rFonts w:ascii="宋体" w:hAnsi="宋体" w:cs="宋体" w:eastAsia="宋体" w:hint="default"/>
                <w:b/>
                <w:bCs/>
                <w:w w:val="99"/>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r>
      <w:tr>
        <w:trPr>
          <w:trHeight w:val="15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10" w:right="109"/>
              <w:jc w:val="left"/>
              <w:rPr>
                <w:rFonts w:ascii="宋体" w:hAnsi="宋体" w:cs="宋体" w:eastAsia="宋体" w:hint="default"/>
                <w:sz w:val="21"/>
                <w:szCs w:val="21"/>
              </w:rPr>
            </w:pPr>
            <w:r>
              <w:rPr>
                <w:rFonts w:ascii="宋体" w:hAnsi="宋体" w:cs="宋体" w:eastAsia="宋体" w:hint="default"/>
                <w:b/>
                <w:bCs/>
                <w:sz w:val="21"/>
                <w:szCs w:val="21"/>
              </w:rPr>
              <w:t>递延所得税资产和</w:t>
            </w:r>
            <w:r>
              <w:rPr>
                <w:rFonts w:ascii="宋体" w:hAnsi="宋体" w:cs="宋体" w:eastAsia="宋体" w:hint="default"/>
                <w:b/>
                <w:bCs/>
                <w:w w:val="99"/>
                <w:sz w:val="21"/>
                <w:szCs w:val="21"/>
              </w:rPr>
              <w:t> </w:t>
            </w:r>
            <w:r>
              <w:rPr>
                <w:rFonts w:ascii="宋体" w:hAnsi="宋体" w:cs="宋体" w:eastAsia="宋体" w:hint="default"/>
                <w:b/>
                <w:bCs/>
                <w:sz w:val="21"/>
                <w:szCs w:val="21"/>
              </w:rPr>
              <w:t>负债期末互抵金额</w:t>
            </w:r>
            <w:r>
              <w:rPr>
                <w:rFonts w:ascii="宋体" w:hAnsi="宋体" w:cs="宋体" w:eastAsia="宋体" w:hint="default"/>
                <w:sz w:val="21"/>
                <w:szCs w:val="21"/>
              </w:rPr>
            </w:r>
          </w:p>
        </w:tc>
        <w:tc>
          <w:tcPr>
            <w:tcW w:w="1914" w:type="dxa"/>
            <w:vMerge/>
            <w:tcBorders>
              <w:left w:val="single" w:sz="4" w:space="0" w:color="000000"/>
              <w:right w:val="single" w:sz="4" w:space="0" w:color="000000"/>
            </w:tcBorders>
            <w:shd w:val="clear" w:color="auto" w:fill="D2D2D2"/>
          </w:tcPr>
          <w:p>
            <w:pPr/>
          </w:p>
        </w:tc>
        <w:tc>
          <w:tcPr>
            <w:tcW w:w="191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07" w:right="109"/>
              <w:jc w:val="left"/>
              <w:rPr>
                <w:rFonts w:ascii="宋体" w:hAnsi="宋体" w:cs="宋体" w:eastAsia="宋体" w:hint="default"/>
                <w:sz w:val="21"/>
                <w:szCs w:val="21"/>
              </w:rPr>
            </w:pPr>
            <w:r>
              <w:rPr>
                <w:rFonts w:ascii="宋体" w:hAnsi="宋体" w:cs="宋体" w:eastAsia="宋体" w:hint="default"/>
                <w:b/>
                <w:bCs/>
                <w:sz w:val="21"/>
                <w:szCs w:val="21"/>
              </w:rPr>
              <w:t>递延所得税资产和</w:t>
            </w:r>
            <w:r>
              <w:rPr>
                <w:rFonts w:ascii="宋体" w:hAnsi="宋体" w:cs="宋体" w:eastAsia="宋体" w:hint="default"/>
                <w:b/>
                <w:bCs/>
                <w:w w:val="99"/>
                <w:sz w:val="21"/>
                <w:szCs w:val="21"/>
              </w:rPr>
              <w:t> </w:t>
            </w:r>
            <w:r>
              <w:rPr>
                <w:rFonts w:ascii="宋体" w:hAnsi="宋体" w:cs="宋体" w:eastAsia="宋体" w:hint="default"/>
                <w:b/>
                <w:bCs/>
                <w:sz w:val="21"/>
                <w:szCs w:val="21"/>
              </w:rPr>
              <w:t>负债期初互抵金额</w:t>
            </w:r>
            <w:r>
              <w:rPr>
                <w:rFonts w:ascii="宋体" w:hAnsi="宋体" w:cs="宋体" w:eastAsia="宋体" w:hint="default"/>
                <w:sz w:val="21"/>
                <w:szCs w:val="21"/>
              </w:rPr>
            </w:r>
          </w:p>
        </w:tc>
        <w:tc>
          <w:tcPr>
            <w:tcW w:w="1914" w:type="dxa"/>
            <w:vMerge/>
            <w:tcBorders>
              <w:left w:val="single" w:sz="4" w:space="0" w:color="000000"/>
              <w:right w:val="single" w:sz="4" w:space="0" w:color="000000"/>
            </w:tcBorders>
            <w:shd w:val="clear" w:color="auto" w:fill="D2D2D2"/>
          </w:tcPr>
          <w:p>
            <w:pP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56" w:hRule="exact"/>
        </w:trPr>
        <w:tc>
          <w:tcPr>
            <w:tcW w:w="1912" w:type="dxa"/>
            <w:vMerge w:val="restart"/>
            <w:tcBorders>
              <w:top w:val="nil" w:sz="6" w:space="0" w:color="auto"/>
              <w:left w:val="single" w:sz="4" w:space="0" w:color="000000"/>
              <w:right w:val="single" w:sz="4" w:space="0" w:color="000000"/>
            </w:tcBorders>
            <w:shd w:val="clear" w:color="auto" w:fill="D2D2D2"/>
          </w:tcPr>
          <w:p>
            <w:pPr/>
          </w:p>
        </w:tc>
        <w:tc>
          <w:tcPr>
            <w:tcW w:w="1917" w:type="dxa"/>
            <w:vMerge/>
            <w:tcBorders>
              <w:left w:val="single" w:sz="4" w:space="0" w:color="000000"/>
              <w:bottom w:val="nil" w:sz="6" w:space="0" w:color="auto"/>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bottom w:val="nil" w:sz="6" w:space="0" w:color="auto"/>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77" w:right="0"/>
              <w:jc w:val="left"/>
              <w:rPr>
                <w:rFonts w:ascii="Times New Roman" w:hAnsi="Times New Roman" w:cs="Times New Roman" w:eastAsia="Times New Roman" w:hint="default"/>
                <w:sz w:val="21"/>
                <w:szCs w:val="21"/>
              </w:rPr>
            </w:pPr>
            <w:r>
              <w:rPr>
                <w:rFonts w:ascii="Times New Roman"/>
                <w:sz w:val="21"/>
              </w:rPr>
              <w:t>2,503,767.41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77" w:right="0"/>
              <w:jc w:val="left"/>
              <w:rPr>
                <w:rFonts w:ascii="Times New Roman" w:hAnsi="Times New Roman" w:cs="Times New Roman" w:eastAsia="Times New Roman" w:hint="default"/>
                <w:sz w:val="21"/>
                <w:szCs w:val="21"/>
              </w:rPr>
            </w:pPr>
            <w:r>
              <w:rPr>
                <w:rFonts w:ascii="Times New Roman"/>
                <w:sz w:val="21"/>
              </w:rPr>
              <w:t>2,150,834.21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4）未确认递延所得税资产明细" w:id="233"/>
      <w:bookmarkEnd w:id="233"/>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）未确认递延所得税资产明细</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3,046,323.32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293,374.88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6,225,850.93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4,140,484.33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9,272,174.25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4,433,859.21</w:t>
            </w: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5）未确认递延所得税资产的可抵扣亏损将于以下年度到期" w:id="234"/>
      <w:bookmarkEnd w:id="234"/>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）未确认递延所得税资产的可抵扣亏损将于以下年度到期</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年份</w:t>
            </w:r>
            <w:r>
              <w:rPr>
                <w:rFonts w:ascii="宋体" w:hAnsi="宋体" w:cs="宋体" w:eastAsia="宋体" w:hint="default"/>
                <w:sz w:val="21"/>
                <w:szCs w:val="21"/>
              </w:rPr>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0" w:right="0"/>
              <w:jc w:val="left"/>
              <w:rPr>
                <w:rFonts w:ascii="宋体" w:hAnsi="宋体" w:cs="宋体" w:eastAsia="宋体" w:hint="default"/>
                <w:sz w:val="21"/>
                <w:szCs w:val="21"/>
              </w:rPr>
            </w:pPr>
            <w:r>
              <w:rPr>
                <w:rFonts w:ascii="宋体" w:hAnsi="宋体" w:cs="宋体" w:eastAsia="宋体" w:hint="default"/>
                <w:b/>
                <w:bCs/>
                <w:sz w:val="21"/>
                <w:szCs w:val="21"/>
              </w:rPr>
              <w:t>期末金额</w:t>
            </w:r>
            <w:r>
              <w:rPr>
                <w:rFonts w:ascii="宋体" w:hAnsi="宋体" w:cs="宋体" w:eastAsia="宋体" w:hint="default"/>
                <w:sz w:val="21"/>
                <w:szCs w:val="21"/>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9" w:right="0"/>
              <w:jc w:val="left"/>
              <w:rPr>
                <w:rFonts w:ascii="宋体" w:hAnsi="宋体" w:cs="宋体" w:eastAsia="宋体" w:hint="default"/>
                <w:sz w:val="21"/>
                <w:szCs w:val="21"/>
              </w:rPr>
            </w:pPr>
            <w:r>
              <w:rPr>
                <w:rFonts w:ascii="宋体" w:hAnsi="宋体" w:cs="宋体" w:eastAsia="宋体" w:hint="default"/>
                <w:b/>
                <w:bCs/>
                <w:sz w:val="21"/>
                <w:szCs w:val="21"/>
              </w:rPr>
              <w:t>期初金额</w:t>
            </w:r>
            <w:r>
              <w:rPr>
                <w:rFonts w:ascii="宋体" w:hAnsi="宋体" w:cs="宋体" w:eastAsia="宋体" w:hint="default"/>
                <w:sz w:val="21"/>
                <w:szCs w:val="21"/>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4,125,254.22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4,125,254.22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w w:val="95"/>
                <w:sz w:val="21"/>
              </w:rPr>
              <w:t>11,715.91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w w:val="95"/>
                <w:sz w:val="21"/>
              </w:rPr>
              <w:t>11,715.91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3,514.20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3,514.20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2,085,366.60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6,225,850.93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4,140,484.33</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8"/>
          <w:szCs w:val="18"/>
        </w:rPr>
      </w:pPr>
    </w:p>
    <w:p>
      <w:pPr>
        <w:spacing w:line="499" w:lineRule="auto" w:before="26"/>
        <w:ind w:left="633" w:right="7605" w:hanging="480"/>
        <w:jc w:val="left"/>
        <w:rPr>
          <w:rFonts w:ascii="宋体" w:hAnsi="宋体" w:cs="宋体" w:eastAsia="宋体" w:hint="default"/>
          <w:sz w:val="24"/>
          <w:szCs w:val="24"/>
        </w:rPr>
      </w:pPr>
      <w:bookmarkStart w:name="30、其他非流动资产" w:id="235"/>
      <w:bookmarkEnd w:id="235"/>
      <w:r>
        <w:rPr/>
      </w:r>
      <w:r>
        <w:rPr>
          <w:rFonts w:ascii="Times New Roman" w:hAnsi="Times New Roman" w:cs="Times New Roman" w:eastAsia="Times New Roman" w:hint="default"/>
          <w:b/>
          <w:bCs/>
          <w:sz w:val="24"/>
          <w:szCs w:val="24"/>
        </w:rPr>
        <w:t>30</w:t>
      </w:r>
      <w:r>
        <w:rPr>
          <w:rFonts w:ascii="宋体" w:hAnsi="宋体" w:cs="宋体" w:eastAsia="宋体" w:hint="default"/>
          <w:b/>
          <w:bCs/>
          <w:sz w:val="24"/>
          <w:szCs w:val="24"/>
        </w:rPr>
        <w:t>、其他非流动资产</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before="115"/>
        <w:ind w:left="153" w:right="0" w:firstLine="0"/>
        <w:jc w:val="left"/>
        <w:rPr>
          <w:rFonts w:ascii="宋体" w:hAnsi="宋体" w:cs="宋体" w:eastAsia="宋体" w:hint="default"/>
          <w:sz w:val="24"/>
          <w:szCs w:val="24"/>
        </w:rPr>
      </w:pPr>
      <w:bookmarkStart w:name="31、短期借款" w:id="236"/>
      <w:bookmarkEnd w:id="236"/>
      <w:r>
        <w:rPr/>
      </w:r>
      <w:r>
        <w:rPr>
          <w:rFonts w:ascii="Times New Roman" w:hAnsi="Times New Roman" w:cs="Times New Roman" w:eastAsia="Times New Roman" w:hint="default"/>
          <w:b/>
          <w:bCs/>
          <w:sz w:val="24"/>
          <w:szCs w:val="24"/>
        </w:rPr>
        <w:t>31</w:t>
      </w:r>
      <w:r>
        <w:rPr>
          <w:rFonts w:ascii="宋体" w:hAnsi="宋体" w:cs="宋体" w:eastAsia="宋体" w:hint="default"/>
          <w:b/>
          <w:bCs/>
          <w:sz w:val="24"/>
          <w:szCs w:val="24"/>
        </w:rPr>
        <w:t>、短期借款</w:t>
      </w:r>
      <w:r>
        <w:rPr>
          <w:rFonts w:ascii="宋体" w:hAnsi="宋体" w:cs="宋体" w:eastAsia="宋体" w:hint="default"/>
          <w:sz w:val="24"/>
          <w:szCs w:val="24"/>
        </w:rPr>
      </w:r>
    </w:p>
    <w:p>
      <w:pPr>
        <w:spacing w:line="240" w:lineRule="auto" w:before="7"/>
        <w:rPr>
          <w:rFonts w:ascii="宋体" w:hAnsi="宋体" w:cs="宋体" w:eastAsia="宋体" w:hint="default"/>
          <w:b/>
          <w:bCs/>
          <w:sz w:val="21"/>
          <w:szCs w:val="21"/>
        </w:rPr>
      </w:pPr>
    </w:p>
    <w:p>
      <w:pPr>
        <w:spacing w:before="0"/>
        <w:ind w:left="154" w:right="0" w:firstLine="0"/>
        <w:jc w:val="left"/>
        <w:rPr>
          <w:rFonts w:ascii="宋体" w:hAnsi="宋体" w:cs="宋体" w:eastAsia="宋体" w:hint="default"/>
          <w:sz w:val="24"/>
          <w:szCs w:val="24"/>
        </w:rPr>
      </w:pPr>
      <w:bookmarkStart w:name="（1）短期借款分类" w:id="237"/>
      <w:bookmarkEnd w:id="237"/>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）短期借款分类</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55,000,000.00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1"/>
        <w:ind w:left="634" w:right="0"/>
        <w:jc w:val="left"/>
      </w:pPr>
      <w:r>
        <w:rPr/>
        <w:t>短期借款分类的说明：</w:t>
      </w:r>
    </w:p>
    <w:p>
      <w:pPr>
        <w:pStyle w:val="BodyText"/>
        <w:spacing w:line="240" w:lineRule="auto" w:before="193"/>
        <w:ind w:left="634" w:right="0"/>
        <w:jc w:val="left"/>
      </w:pPr>
      <w:r>
        <w:rPr>
          <w:rFonts w:ascii="宋体" w:hAnsi="宋体" w:cs="宋体" w:eastAsia="宋体" w:hint="default"/>
          <w:color w:val="212121"/>
        </w:rPr>
        <w:t>2014</w:t>
      </w:r>
      <w:r>
        <w:rPr>
          <w:rFonts w:ascii="宋体" w:hAnsi="宋体" w:cs="宋体" w:eastAsia="宋体" w:hint="default"/>
          <w:color w:val="212121"/>
          <w:spacing w:val="-60"/>
        </w:rPr>
        <w:t> </w:t>
      </w:r>
      <w:r>
        <w:rPr>
          <w:color w:val="212121"/>
        </w:rPr>
        <w:t>年</w:t>
      </w:r>
      <w:r>
        <w:rPr>
          <w:color w:val="212121"/>
          <w:spacing w:val="-60"/>
        </w:rPr>
        <w:t> </w:t>
      </w:r>
      <w:r>
        <w:rPr>
          <w:rFonts w:ascii="宋体" w:hAnsi="宋体" w:cs="宋体" w:eastAsia="宋体" w:hint="default"/>
          <w:color w:val="212121"/>
        </w:rPr>
        <w:t>6</w:t>
      </w:r>
      <w:r>
        <w:rPr>
          <w:rFonts w:ascii="宋体" w:hAnsi="宋体" w:cs="宋体" w:eastAsia="宋体" w:hint="default"/>
          <w:color w:val="212121"/>
          <w:spacing w:val="-60"/>
        </w:rPr>
        <w:t> </w:t>
      </w:r>
      <w:r>
        <w:rPr>
          <w:color w:val="212121"/>
        </w:rPr>
        <w:t>月</w:t>
      </w:r>
      <w:r>
        <w:rPr>
          <w:color w:val="212121"/>
          <w:spacing w:val="-60"/>
        </w:rPr>
        <w:t> </w:t>
      </w:r>
      <w:r>
        <w:rPr>
          <w:rFonts w:ascii="宋体" w:hAnsi="宋体" w:cs="宋体" w:eastAsia="宋体" w:hint="default"/>
          <w:color w:val="212121"/>
        </w:rPr>
        <w:t>27</w:t>
      </w:r>
      <w:r>
        <w:rPr>
          <w:rFonts w:ascii="宋体" w:hAnsi="宋体" w:cs="宋体" w:eastAsia="宋体" w:hint="default"/>
          <w:color w:val="212121"/>
          <w:spacing w:val="-60"/>
        </w:rPr>
        <w:t> </w:t>
      </w:r>
      <w:r>
        <w:rPr>
          <w:color w:val="212121"/>
        </w:rPr>
        <w:t>日，本公司与江苏银行股份有限公司北京中关村支行签订流动资金借款</w:t>
      </w:r>
      <w:r>
        <w:rPr/>
      </w:r>
    </w:p>
    <w:p>
      <w:pPr>
        <w:pStyle w:val="BodyText"/>
        <w:spacing w:line="357" w:lineRule="auto" w:before="154"/>
        <w:ind w:right="137"/>
        <w:jc w:val="left"/>
      </w:pPr>
      <w:r>
        <w:rPr>
          <w:color w:val="212121"/>
        </w:rPr>
        <w:t>合同，借款金额为</w:t>
      </w:r>
      <w:r>
        <w:rPr>
          <w:color w:val="212121"/>
          <w:spacing w:val="-66"/>
        </w:rPr>
        <w:t> </w:t>
      </w:r>
      <w:r>
        <w:rPr>
          <w:rFonts w:ascii="宋体" w:hAnsi="宋体" w:cs="宋体" w:eastAsia="宋体" w:hint="default"/>
          <w:color w:val="212121"/>
        </w:rPr>
        <w:t>5,000.00</w:t>
      </w:r>
      <w:r>
        <w:rPr>
          <w:rFonts w:ascii="宋体" w:hAnsi="宋体" w:cs="宋体" w:eastAsia="宋体" w:hint="default"/>
          <w:color w:val="212121"/>
          <w:spacing w:val="-66"/>
        </w:rPr>
        <w:t> </w:t>
      </w:r>
      <w:r>
        <w:rPr>
          <w:color w:val="212121"/>
        </w:rPr>
        <w:t>万元，借款期限为</w:t>
      </w:r>
      <w:r>
        <w:rPr>
          <w:color w:val="212121"/>
          <w:spacing w:val="-66"/>
        </w:rPr>
        <w:t> </w:t>
      </w:r>
      <w:r>
        <w:rPr>
          <w:rFonts w:ascii="宋体" w:hAnsi="宋体" w:cs="宋体" w:eastAsia="宋体" w:hint="default"/>
          <w:color w:val="212121"/>
        </w:rPr>
        <w:t>2014</w:t>
      </w:r>
      <w:r>
        <w:rPr>
          <w:rFonts w:ascii="宋体" w:hAnsi="宋体" w:cs="宋体" w:eastAsia="宋体" w:hint="default"/>
          <w:color w:val="212121"/>
          <w:spacing w:val="-66"/>
        </w:rPr>
        <w:t> </w:t>
      </w:r>
      <w:r>
        <w:rPr>
          <w:color w:val="212121"/>
        </w:rPr>
        <w:t>年</w:t>
      </w:r>
      <w:r>
        <w:rPr>
          <w:color w:val="212121"/>
          <w:spacing w:val="-66"/>
        </w:rPr>
        <w:t> </w:t>
      </w:r>
      <w:r>
        <w:rPr>
          <w:rFonts w:ascii="宋体" w:hAnsi="宋体" w:cs="宋体" w:eastAsia="宋体" w:hint="default"/>
          <w:color w:val="212121"/>
        </w:rPr>
        <w:t>6</w:t>
      </w:r>
      <w:r>
        <w:rPr>
          <w:rFonts w:ascii="宋体" w:hAnsi="宋体" w:cs="宋体" w:eastAsia="宋体" w:hint="default"/>
          <w:color w:val="212121"/>
          <w:spacing w:val="-66"/>
        </w:rPr>
        <w:t> </w:t>
      </w:r>
      <w:r>
        <w:rPr>
          <w:color w:val="212121"/>
        </w:rPr>
        <w:t>月</w:t>
      </w:r>
      <w:r>
        <w:rPr>
          <w:color w:val="212121"/>
          <w:spacing w:val="-66"/>
        </w:rPr>
        <w:t> </w:t>
      </w:r>
      <w:r>
        <w:rPr>
          <w:rFonts w:ascii="宋体" w:hAnsi="宋体" w:cs="宋体" w:eastAsia="宋体" w:hint="default"/>
          <w:color w:val="212121"/>
        </w:rPr>
        <w:t>27</w:t>
      </w:r>
      <w:r>
        <w:rPr>
          <w:rFonts w:ascii="宋体" w:hAnsi="宋体" w:cs="宋体" w:eastAsia="宋体" w:hint="default"/>
          <w:color w:val="212121"/>
          <w:spacing w:val="-66"/>
        </w:rPr>
        <w:t> </w:t>
      </w:r>
      <w:r>
        <w:rPr>
          <w:color w:val="212121"/>
        </w:rPr>
        <w:t>日至</w:t>
      </w:r>
      <w:r>
        <w:rPr>
          <w:color w:val="212121"/>
          <w:spacing w:val="-66"/>
        </w:rPr>
        <w:t> </w:t>
      </w:r>
      <w:r>
        <w:rPr>
          <w:rFonts w:ascii="宋体" w:hAnsi="宋体" w:cs="宋体" w:eastAsia="宋体" w:hint="default"/>
          <w:color w:val="212121"/>
        </w:rPr>
        <w:t>2015</w:t>
      </w:r>
      <w:r>
        <w:rPr>
          <w:rFonts w:ascii="宋体" w:hAnsi="宋体" w:cs="宋体" w:eastAsia="宋体" w:hint="default"/>
          <w:color w:val="212121"/>
          <w:spacing w:val="-66"/>
        </w:rPr>
        <w:t> </w:t>
      </w:r>
      <w:r>
        <w:rPr>
          <w:color w:val="212121"/>
        </w:rPr>
        <w:t>年</w:t>
      </w:r>
      <w:r>
        <w:rPr>
          <w:color w:val="212121"/>
          <w:spacing w:val="-66"/>
        </w:rPr>
        <w:t> </w:t>
      </w:r>
      <w:r>
        <w:rPr>
          <w:rFonts w:ascii="宋体" w:hAnsi="宋体" w:cs="宋体" w:eastAsia="宋体" w:hint="default"/>
          <w:color w:val="212121"/>
        </w:rPr>
        <w:t>6</w:t>
      </w:r>
      <w:r>
        <w:rPr>
          <w:rFonts w:ascii="宋体" w:hAnsi="宋体" w:cs="宋体" w:eastAsia="宋体" w:hint="default"/>
          <w:color w:val="212121"/>
          <w:spacing w:val="-66"/>
        </w:rPr>
        <w:t> </w:t>
      </w:r>
      <w:r>
        <w:rPr>
          <w:color w:val="212121"/>
        </w:rPr>
        <w:t>月</w:t>
      </w:r>
      <w:r>
        <w:rPr>
          <w:color w:val="212121"/>
          <w:spacing w:val="-66"/>
        </w:rPr>
        <w:t> </w:t>
      </w:r>
      <w:r>
        <w:rPr>
          <w:rFonts w:ascii="宋体" w:hAnsi="宋体" w:cs="宋体" w:eastAsia="宋体" w:hint="default"/>
          <w:color w:val="212121"/>
        </w:rPr>
        <w:t>27</w:t>
      </w:r>
      <w:r>
        <w:rPr>
          <w:rFonts w:ascii="宋体" w:hAnsi="宋体" w:cs="宋体" w:eastAsia="宋体" w:hint="default"/>
          <w:color w:val="212121"/>
          <w:spacing w:val="-66"/>
        </w:rPr>
        <w:t> </w:t>
      </w:r>
      <w:r>
        <w:rPr>
          <w:color w:val="212121"/>
        </w:rPr>
        <w:t>日，由本 公司之股东童之磊提供保证担保。</w:t>
      </w:r>
      <w:r>
        <w:rPr/>
      </w:r>
    </w:p>
    <w:p>
      <w:pPr>
        <w:pStyle w:val="BodyText"/>
        <w:spacing w:line="240" w:lineRule="auto" w:before="74"/>
        <w:ind w:left="633" w:right="0"/>
        <w:jc w:val="left"/>
      </w:pPr>
      <w:r>
        <w:rPr>
          <w:rFonts w:ascii="宋体" w:hAnsi="宋体" w:cs="宋体" w:eastAsia="宋体" w:hint="default"/>
          <w:color w:val="212121"/>
        </w:rPr>
        <w:t>2014</w:t>
      </w:r>
      <w:r>
        <w:rPr>
          <w:rFonts w:ascii="宋体" w:hAnsi="宋体" w:cs="宋体" w:eastAsia="宋体" w:hint="default"/>
          <w:color w:val="212121"/>
          <w:spacing w:val="-60"/>
        </w:rPr>
        <w:t> </w:t>
      </w:r>
      <w:r>
        <w:rPr>
          <w:color w:val="212121"/>
        </w:rPr>
        <w:t>年</w:t>
      </w:r>
      <w:r>
        <w:rPr>
          <w:color w:val="212121"/>
          <w:spacing w:val="-60"/>
        </w:rPr>
        <w:t> </w:t>
      </w:r>
      <w:r>
        <w:rPr>
          <w:rFonts w:ascii="宋体" w:hAnsi="宋体" w:cs="宋体" w:eastAsia="宋体" w:hint="default"/>
          <w:color w:val="212121"/>
        </w:rPr>
        <w:t>12</w:t>
      </w:r>
      <w:r>
        <w:rPr>
          <w:rFonts w:ascii="宋体" w:hAnsi="宋体" w:cs="宋体" w:eastAsia="宋体" w:hint="default"/>
          <w:color w:val="212121"/>
          <w:spacing w:val="-60"/>
        </w:rPr>
        <w:t> </w:t>
      </w:r>
      <w:r>
        <w:rPr>
          <w:color w:val="212121"/>
        </w:rPr>
        <w:t>月</w:t>
      </w:r>
      <w:r>
        <w:rPr>
          <w:color w:val="212121"/>
          <w:spacing w:val="-60"/>
        </w:rPr>
        <w:t> </w:t>
      </w:r>
      <w:r>
        <w:rPr>
          <w:rFonts w:ascii="宋体" w:hAnsi="宋体" w:cs="宋体" w:eastAsia="宋体" w:hint="default"/>
          <w:color w:val="212121"/>
        </w:rPr>
        <w:t>9</w:t>
      </w:r>
      <w:r>
        <w:rPr>
          <w:rFonts w:ascii="宋体" w:hAnsi="宋体" w:cs="宋体" w:eastAsia="宋体" w:hint="default"/>
          <w:color w:val="212121"/>
          <w:spacing w:val="-60"/>
        </w:rPr>
        <w:t> </w:t>
      </w:r>
      <w:r>
        <w:rPr>
          <w:color w:val="212121"/>
        </w:rPr>
        <w:t>日，本公司与中信银行股份有限公司总行营业部签订人民币额度贷款合</w:t>
      </w:r>
      <w:r>
        <w:rPr/>
      </w:r>
    </w:p>
    <w:p>
      <w:pPr>
        <w:pStyle w:val="BodyText"/>
        <w:spacing w:line="240" w:lineRule="auto" w:before="154"/>
        <w:ind w:right="0"/>
        <w:jc w:val="left"/>
      </w:pPr>
      <w:r>
        <w:rPr>
          <w:color w:val="212121"/>
        </w:rPr>
        <w:t>同，合同项下贷款额度为</w:t>
      </w:r>
      <w:r>
        <w:rPr>
          <w:color w:val="212121"/>
          <w:spacing w:val="-60"/>
        </w:rPr>
        <w:t> </w:t>
      </w:r>
      <w:r>
        <w:rPr>
          <w:rFonts w:ascii="宋体" w:hAnsi="宋体" w:cs="宋体" w:eastAsia="宋体" w:hint="default"/>
          <w:color w:val="212121"/>
        </w:rPr>
        <w:t>3,000.00</w:t>
      </w:r>
      <w:r>
        <w:rPr>
          <w:rFonts w:ascii="宋体" w:hAnsi="宋体" w:cs="宋体" w:eastAsia="宋体" w:hint="default"/>
          <w:color w:val="212121"/>
          <w:spacing w:val="-60"/>
        </w:rPr>
        <w:t> </w:t>
      </w:r>
      <w:r>
        <w:rPr>
          <w:color w:val="212121"/>
        </w:rPr>
        <w:t>万元；本公司于</w:t>
      </w:r>
      <w:r>
        <w:rPr>
          <w:color w:val="212121"/>
          <w:spacing w:val="-60"/>
        </w:rPr>
        <w:t> </w:t>
      </w:r>
      <w:r>
        <w:rPr>
          <w:rFonts w:ascii="宋体" w:hAnsi="宋体" w:cs="宋体" w:eastAsia="宋体" w:hint="default"/>
          <w:color w:val="212121"/>
        </w:rPr>
        <w:t>2014</w:t>
      </w:r>
      <w:r>
        <w:rPr>
          <w:rFonts w:ascii="宋体" w:hAnsi="宋体" w:cs="宋体" w:eastAsia="宋体" w:hint="default"/>
          <w:color w:val="212121"/>
          <w:spacing w:val="-60"/>
        </w:rPr>
        <w:t> </w:t>
      </w:r>
      <w:r>
        <w:rPr>
          <w:color w:val="212121"/>
        </w:rPr>
        <w:t>年</w:t>
      </w:r>
      <w:r>
        <w:rPr>
          <w:color w:val="212121"/>
          <w:spacing w:val="-60"/>
        </w:rPr>
        <w:t> </w:t>
      </w:r>
      <w:r>
        <w:rPr>
          <w:rFonts w:ascii="宋体" w:hAnsi="宋体" w:cs="宋体" w:eastAsia="宋体" w:hint="default"/>
          <w:color w:val="212121"/>
        </w:rPr>
        <w:t>12</w:t>
      </w:r>
      <w:r>
        <w:rPr>
          <w:rFonts w:ascii="宋体" w:hAnsi="宋体" w:cs="宋体" w:eastAsia="宋体" w:hint="default"/>
          <w:color w:val="212121"/>
          <w:spacing w:val="-60"/>
        </w:rPr>
        <w:t> </w:t>
      </w:r>
      <w:r>
        <w:rPr>
          <w:color w:val="212121"/>
        </w:rPr>
        <w:t>月</w:t>
      </w:r>
      <w:r>
        <w:rPr>
          <w:color w:val="212121"/>
          <w:spacing w:val="-60"/>
        </w:rPr>
        <w:t> </w:t>
      </w:r>
      <w:r>
        <w:rPr>
          <w:rFonts w:ascii="宋体" w:hAnsi="宋体" w:cs="宋体" w:eastAsia="宋体" w:hint="default"/>
          <w:color w:val="212121"/>
        </w:rPr>
        <w:t>9</w:t>
      </w:r>
      <w:r>
        <w:rPr>
          <w:rFonts w:ascii="宋体" w:hAnsi="宋体" w:cs="宋体" w:eastAsia="宋体" w:hint="default"/>
          <w:color w:val="212121"/>
          <w:spacing w:val="-60"/>
        </w:rPr>
        <w:t> </w:t>
      </w:r>
      <w:r>
        <w:rPr>
          <w:color w:val="212121"/>
        </w:rPr>
        <w:t>日借款</w:t>
      </w:r>
      <w:r>
        <w:rPr>
          <w:color w:val="212121"/>
          <w:spacing w:val="-60"/>
        </w:rPr>
        <w:t> </w:t>
      </w:r>
      <w:r>
        <w:rPr>
          <w:rFonts w:ascii="宋体" w:hAnsi="宋体" w:cs="宋体" w:eastAsia="宋体" w:hint="default"/>
          <w:color w:val="212121"/>
        </w:rPr>
        <w:t>500.00</w:t>
      </w:r>
      <w:r>
        <w:rPr>
          <w:rFonts w:ascii="宋体" w:hAnsi="宋体" w:cs="宋体" w:eastAsia="宋体" w:hint="default"/>
          <w:color w:val="212121"/>
          <w:spacing w:val="-60"/>
        </w:rPr>
        <w:t> </w:t>
      </w:r>
      <w:r>
        <w:rPr>
          <w:color w:val="212121"/>
        </w:rPr>
        <w:t>万元，借</w:t>
      </w:r>
      <w:r>
        <w:rPr/>
      </w:r>
    </w:p>
    <w:p>
      <w:pPr>
        <w:pStyle w:val="BodyText"/>
        <w:spacing w:line="240" w:lineRule="auto" w:before="155"/>
        <w:ind w:right="0"/>
        <w:jc w:val="left"/>
      </w:pPr>
      <w:r>
        <w:rPr>
          <w:color w:val="212121"/>
        </w:rPr>
        <w:t>款期限为</w:t>
      </w:r>
      <w:r>
        <w:rPr>
          <w:color w:val="212121"/>
          <w:spacing w:val="-60"/>
        </w:rPr>
        <w:t> </w:t>
      </w:r>
      <w:r>
        <w:rPr>
          <w:rFonts w:ascii="宋体" w:hAnsi="宋体" w:cs="宋体" w:eastAsia="宋体" w:hint="default"/>
          <w:color w:val="212121"/>
        </w:rPr>
        <w:t>2014</w:t>
      </w:r>
      <w:r>
        <w:rPr>
          <w:rFonts w:ascii="宋体" w:hAnsi="宋体" w:cs="宋体" w:eastAsia="宋体" w:hint="default"/>
          <w:color w:val="212121"/>
          <w:spacing w:val="-60"/>
        </w:rPr>
        <w:t> </w:t>
      </w:r>
      <w:r>
        <w:rPr>
          <w:color w:val="212121"/>
        </w:rPr>
        <w:t>年</w:t>
      </w:r>
      <w:r>
        <w:rPr>
          <w:color w:val="212121"/>
          <w:spacing w:val="-60"/>
        </w:rPr>
        <w:t> </w:t>
      </w:r>
      <w:r>
        <w:rPr>
          <w:rFonts w:ascii="宋体" w:hAnsi="宋体" w:cs="宋体" w:eastAsia="宋体" w:hint="default"/>
          <w:color w:val="212121"/>
        </w:rPr>
        <w:t>12</w:t>
      </w:r>
      <w:r>
        <w:rPr>
          <w:rFonts w:ascii="宋体" w:hAnsi="宋体" w:cs="宋体" w:eastAsia="宋体" w:hint="default"/>
          <w:color w:val="212121"/>
          <w:spacing w:val="-60"/>
        </w:rPr>
        <w:t> </w:t>
      </w:r>
      <w:r>
        <w:rPr>
          <w:color w:val="212121"/>
        </w:rPr>
        <w:t>月</w:t>
      </w:r>
      <w:r>
        <w:rPr>
          <w:color w:val="212121"/>
          <w:spacing w:val="-60"/>
        </w:rPr>
        <w:t> </w:t>
      </w:r>
      <w:r>
        <w:rPr>
          <w:rFonts w:ascii="宋体" w:hAnsi="宋体" w:cs="宋体" w:eastAsia="宋体" w:hint="default"/>
          <w:color w:val="212121"/>
        </w:rPr>
        <w:t>9</w:t>
      </w:r>
      <w:r>
        <w:rPr>
          <w:rFonts w:ascii="宋体" w:hAnsi="宋体" w:cs="宋体" w:eastAsia="宋体" w:hint="default"/>
          <w:color w:val="212121"/>
          <w:spacing w:val="-60"/>
        </w:rPr>
        <w:t> </w:t>
      </w:r>
      <w:r>
        <w:rPr>
          <w:color w:val="212121"/>
        </w:rPr>
        <w:t>日至</w:t>
      </w:r>
      <w:r>
        <w:rPr>
          <w:color w:val="212121"/>
          <w:spacing w:val="-60"/>
        </w:rPr>
        <w:t> </w:t>
      </w:r>
      <w:r>
        <w:rPr>
          <w:rFonts w:ascii="宋体" w:hAnsi="宋体" w:cs="宋体" w:eastAsia="宋体" w:hint="default"/>
          <w:color w:val="212121"/>
        </w:rPr>
        <w:t>2015</w:t>
      </w:r>
      <w:r>
        <w:rPr>
          <w:rFonts w:ascii="宋体" w:hAnsi="宋体" w:cs="宋体" w:eastAsia="宋体" w:hint="default"/>
          <w:color w:val="212121"/>
          <w:spacing w:val="-60"/>
        </w:rPr>
        <w:t> </w:t>
      </w:r>
      <w:r>
        <w:rPr>
          <w:color w:val="212121"/>
        </w:rPr>
        <w:t>年</w:t>
      </w:r>
      <w:r>
        <w:rPr>
          <w:color w:val="212121"/>
          <w:spacing w:val="-60"/>
        </w:rPr>
        <w:t> </w:t>
      </w:r>
      <w:r>
        <w:rPr>
          <w:rFonts w:ascii="宋体" w:hAnsi="宋体" w:cs="宋体" w:eastAsia="宋体" w:hint="default"/>
          <w:color w:val="212121"/>
        </w:rPr>
        <w:t>12</w:t>
      </w:r>
      <w:r>
        <w:rPr>
          <w:rFonts w:ascii="宋体" w:hAnsi="宋体" w:cs="宋体" w:eastAsia="宋体" w:hint="default"/>
          <w:color w:val="212121"/>
          <w:spacing w:val="-60"/>
        </w:rPr>
        <w:t> </w:t>
      </w:r>
      <w:r>
        <w:rPr>
          <w:color w:val="212121"/>
        </w:rPr>
        <w:t>月</w:t>
      </w:r>
      <w:r>
        <w:rPr>
          <w:color w:val="212121"/>
          <w:spacing w:val="-60"/>
        </w:rPr>
        <w:t> </w:t>
      </w:r>
      <w:r>
        <w:rPr>
          <w:rFonts w:ascii="宋体" w:hAnsi="宋体" w:cs="宋体" w:eastAsia="宋体" w:hint="default"/>
          <w:color w:val="212121"/>
        </w:rPr>
        <w:t>8</w:t>
      </w:r>
      <w:r>
        <w:rPr>
          <w:rFonts w:ascii="宋体" w:hAnsi="宋体" w:cs="宋体" w:eastAsia="宋体" w:hint="default"/>
          <w:color w:val="212121"/>
          <w:spacing w:val="-60"/>
        </w:rPr>
        <w:t> </w:t>
      </w:r>
      <w:r>
        <w:rPr>
          <w:color w:val="212121"/>
        </w:rPr>
        <w:t>日，由本公司之股东童之磊提供保证担保。</w:t>
      </w:r>
      <w:r>
        <w:rPr/>
      </w:r>
    </w:p>
    <w:p>
      <w:pPr>
        <w:spacing w:line="240" w:lineRule="auto" w:before="10"/>
        <w:rPr>
          <w:rFonts w:ascii="宋体" w:hAnsi="宋体" w:cs="宋体" w:eastAsia="宋体" w:hint="default"/>
          <w:sz w:val="28"/>
          <w:szCs w:val="28"/>
        </w:rPr>
      </w:pPr>
    </w:p>
    <w:p>
      <w:pPr>
        <w:spacing w:line="499" w:lineRule="auto" w:before="0"/>
        <w:ind w:left="633" w:right="6172" w:hanging="480"/>
        <w:jc w:val="left"/>
        <w:rPr>
          <w:rFonts w:ascii="宋体" w:hAnsi="宋体" w:cs="宋体" w:eastAsia="宋体" w:hint="default"/>
          <w:sz w:val="24"/>
          <w:szCs w:val="24"/>
        </w:rPr>
      </w:pPr>
      <w:bookmarkStart w:name="（2）已逾期未偿还的短期借款情况" w:id="238"/>
      <w:bookmarkEnd w:id="238"/>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2</w:t>
      </w:r>
      <w:r>
        <w:rPr>
          <w:rFonts w:ascii="宋体" w:hAnsi="宋体" w:cs="宋体" w:eastAsia="宋体" w:hint="default"/>
          <w:b/>
          <w:bCs/>
          <w:w w:val="95"/>
          <w:sz w:val="24"/>
          <w:szCs w:val="24"/>
        </w:rPr>
        <w:t>）已逾期未偿还的短期借款情况</w:t>
      </w:r>
      <w:r>
        <w:rPr>
          <w:rFonts w:ascii="宋体" w:hAnsi="宋体" w:cs="宋体" w:eastAsia="宋体" w:hint="default"/>
          <w:b/>
          <w:bCs/>
          <w:spacing w:val="58"/>
          <w:w w:val="95"/>
          <w:sz w:val="24"/>
          <w:szCs w:val="24"/>
        </w:rPr>
        <w:t> </w:t>
      </w:r>
      <w:r>
        <w:rPr>
          <w:rFonts w:ascii="宋体" w:hAnsi="宋体" w:cs="宋体" w:eastAsia="宋体" w:hint="default"/>
          <w:sz w:val="24"/>
          <w:szCs w:val="24"/>
        </w:rPr>
        <w:t>无。</w:t>
      </w:r>
    </w:p>
    <w:p>
      <w:pPr>
        <w:spacing w:line="499" w:lineRule="auto" w:before="116"/>
        <w:ind w:left="633" w:right="4012" w:hanging="480"/>
        <w:jc w:val="left"/>
        <w:rPr>
          <w:rFonts w:ascii="宋体" w:hAnsi="宋体" w:cs="宋体" w:eastAsia="宋体" w:hint="default"/>
          <w:sz w:val="24"/>
          <w:szCs w:val="24"/>
        </w:rPr>
      </w:pPr>
      <w:bookmarkStart w:name="32、以公允价值计量且其变动计入当期损益的金融负债" w:id="239"/>
      <w:bookmarkEnd w:id="239"/>
      <w:r>
        <w:rPr/>
      </w:r>
      <w:r>
        <w:rPr>
          <w:rFonts w:ascii="Times New Roman" w:hAnsi="Times New Roman" w:cs="Times New Roman" w:eastAsia="Times New Roman" w:hint="default"/>
          <w:b/>
          <w:bCs/>
          <w:w w:val="95"/>
          <w:sz w:val="24"/>
          <w:szCs w:val="24"/>
        </w:rPr>
        <w:t>32</w:t>
      </w:r>
      <w:r>
        <w:rPr>
          <w:rFonts w:ascii="宋体" w:hAnsi="宋体" w:cs="宋体" w:eastAsia="宋体" w:hint="default"/>
          <w:b/>
          <w:bCs/>
          <w:w w:val="95"/>
          <w:sz w:val="24"/>
          <w:szCs w:val="24"/>
        </w:rPr>
        <w:t>、以公允价值计量且其变动计入当期损益的金融负债</w:t>
      </w:r>
      <w:r>
        <w:rPr>
          <w:rFonts w:ascii="宋体" w:hAnsi="宋体" w:cs="宋体" w:eastAsia="宋体" w:hint="default"/>
          <w:b/>
          <w:bCs/>
          <w:spacing w:val="37"/>
          <w:w w:val="95"/>
          <w:sz w:val="24"/>
          <w:szCs w:val="24"/>
        </w:rPr>
        <w:t> </w:t>
      </w:r>
      <w:r>
        <w:rPr>
          <w:rFonts w:ascii="宋体" w:hAnsi="宋体" w:cs="宋体" w:eastAsia="宋体" w:hint="default"/>
          <w:sz w:val="24"/>
          <w:szCs w:val="24"/>
        </w:rPr>
        <w:t>无。</w:t>
      </w:r>
    </w:p>
    <w:p>
      <w:pPr>
        <w:spacing w:line="499" w:lineRule="auto" w:before="116"/>
        <w:ind w:left="633" w:right="7846" w:hanging="480"/>
        <w:jc w:val="left"/>
        <w:rPr>
          <w:rFonts w:ascii="宋体" w:hAnsi="宋体" w:cs="宋体" w:eastAsia="宋体" w:hint="default"/>
          <w:sz w:val="24"/>
          <w:szCs w:val="24"/>
        </w:rPr>
      </w:pPr>
      <w:bookmarkStart w:name="33、衍生金融负债" w:id="240"/>
      <w:bookmarkEnd w:id="240"/>
      <w:r>
        <w:rPr/>
      </w:r>
      <w:r>
        <w:rPr>
          <w:rFonts w:ascii="Times New Roman" w:hAnsi="Times New Roman" w:cs="Times New Roman" w:eastAsia="Times New Roman" w:hint="default"/>
          <w:b/>
          <w:bCs/>
          <w:sz w:val="24"/>
          <w:szCs w:val="24"/>
        </w:rPr>
        <w:t>33</w:t>
      </w:r>
      <w:r>
        <w:rPr>
          <w:rFonts w:ascii="宋体" w:hAnsi="宋体" w:cs="宋体" w:eastAsia="宋体" w:hint="default"/>
          <w:b/>
          <w:bCs/>
          <w:sz w:val="24"/>
          <w:szCs w:val="24"/>
        </w:rPr>
        <w:t>、衍生金融负债</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line="513" w:lineRule="auto" w:before="115"/>
        <w:ind w:left="134" w:right="8328" w:firstLine="0"/>
        <w:jc w:val="center"/>
        <w:rPr>
          <w:rFonts w:ascii="宋体" w:hAnsi="宋体" w:cs="宋体" w:eastAsia="宋体" w:hint="default"/>
          <w:sz w:val="24"/>
          <w:szCs w:val="24"/>
        </w:rPr>
      </w:pPr>
      <w:bookmarkStart w:name="34、应付票据" w:id="241"/>
      <w:bookmarkEnd w:id="241"/>
      <w:r>
        <w:rPr/>
      </w:r>
      <w:r>
        <w:rPr>
          <w:rFonts w:ascii="Times New Roman" w:hAnsi="Times New Roman" w:cs="Times New Roman" w:eastAsia="Times New Roman" w:hint="default"/>
          <w:b/>
          <w:bCs/>
          <w:w w:val="95"/>
          <w:sz w:val="24"/>
          <w:szCs w:val="24"/>
        </w:rPr>
        <w:t>34</w:t>
      </w:r>
      <w:r>
        <w:rPr>
          <w:rFonts w:ascii="宋体" w:hAnsi="宋体" w:cs="宋体" w:eastAsia="宋体" w:hint="default"/>
          <w:b/>
          <w:bCs/>
          <w:w w:val="95"/>
          <w:sz w:val="24"/>
          <w:szCs w:val="24"/>
        </w:rPr>
        <w:t>、应付票据</w:t>
      </w:r>
      <w:r>
        <w:rPr>
          <w:rFonts w:ascii="宋体" w:hAnsi="宋体" w:cs="宋体" w:eastAsia="宋体" w:hint="default"/>
          <w:b/>
          <w:bCs/>
          <w:spacing w:val="-53"/>
          <w:w w:val="95"/>
          <w:sz w:val="24"/>
          <w:szCs w:val="24"/>
        </w:rPr>
        <w:t> </w:t>
      </w:r>
      <w:r>
        <w:rPr>
          <w:rFonts w:ascii="宋体" w:hAnsi="宋体" w:cs="宋体" w:eastAsia="宋体" w:hint="default"/>
          <w:sz w:val="24"/>
          <w:szCs w:val="24"/>
        </w:rPr>
        <w:t>无。 </w:t>
      </w:r>
      <w:bookmarkStart w:name="35、应付账款" w:id="242"/>
      <w:bookmarkEnd w:id="242"/>
      <w:r>
        <w:rPr>
          <w:rFonts w:ascii="宋体" w:hAnsi="宋体" w:cs="宋体" w:eastAsia="宋体" w:hint="default"/>
          <w:sz w:val="24"/>
          <w:szCs w:val="24"/>
        </w:rPr>
      </w:r>
      <w:r>
        <w:rPr>
          <w:rFonts w:ascii="Times New Roman" w:hAnsi="Times New Roman" w:cs="Times New Roman" w:eastAsia="Times New Roman" w:hint="default"/>
          <w:b/>
          <w:bCs/>
          <w:w w:val="95"/>
          <w:sz w:val="24"/>
          <w:szCs w:val="24"/>
        </w:rPr>
        <w:t>35</w:t>
      </w:r>
      <w:r>
        <w:rPr>
          <w:rFonts w:ascii="宋体" w:hAnsi="宋体" w:cs="宋体" w:eastAsia="宋体" w:hint="default"/>
          <w:b/>
          <w:bCs/>
          <w:w w:val="95"/>
          <w:sz w:val="24"/>
          <w:szCs w:val="24"/>
        </w:rPr>
        <w:t>、应付账款</w:t>
      </w:r>
      <w:r>
        <w:rPr>
          <w:rFonts w:ascii="宋体" w:hAnsi="宋体" w:cs="宋体" w:eastAsia="宋体" w:hint="default"/>
          <w:sz w:val="24"/>
          <w:szCs w:val="24"/>
        </w:rPr>
      </w:r>
    </w:p>
    <w:p>
      <w:pPr>
        <w:spacing w:line="311" w:lineRule="exact" w:before="0"/>
        <w:ind w:left="154" w:right="0" w:firstLine="0"/>
        <w:jc w:val="left"/>
        <w:rPr>
          <w:rFonts w:ascii="宋体" w:hAnsi="宋体" w:cs="宋体" w:eastAsia="宋体" w:hint="default"/>
          <w:sz w:val="24"/>
          <w:szCs w:val="24"/>
        </w:rPr>
      </w:pPr>
      <w:bookmarkStart w:name="（1）应付账款列示" w:id="243"/>
      <w:bookmarkEnd w:id="243"/>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）应付账款列示</w:t>
      </w:r>
      <w:r>
        <w:rPr>
          <w:rFonts w:ascii="宋体" w:hAnsi="宋体" w:cs="宋体" w:eastAsia="宋体" w:hint="default"/>
          <w:sz w:val="24"/>
          <w:szCs w:val="24"/>
        </w:rPr>
      </w:r>
    </w:p>
    <w:p>
      <w:pPr>
        <w:spacing w:line="240" w:lineRule="auto" w:before="5"/>
        <w:rPr>
          <w:rFonts w:ascii="宋体" w:hAnsi="宋体" w:cs="宋体" w:eastAsia="宋体" w:hint="default"/>
          <w:b/>
          <w:bCs/>
          <w:sz w:val="21"/>
          <w:szCs w:val="21"/>
        </w:rPr>
      </w:pPr>
    </w:p>
    <w:p>
      <w:pPr>
        <w:pStyle w:val="BodyText"/>
        <w:spacing w:line="240" w:lineRule="auto" w:before="0"/>
        <w:ind w:left="0" w:right="15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32,480,250.85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23,919,186.41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32,480,250.85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23,919,186.41</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00" w:bottom="1160" w:left="980" w:right="980"/>
        </w:sectPr>
      </w:pPr>
    </w:p>
    <w:p>
      <w:pPr>
        <w:spacing w:line="240" w:lineRule="auto" w:before="9"/>
        <w:rPr>
          <w:rFonts w:ascii="宋体" w:hAnsi="宋体" w:cs="宋体" w:eastAsia="宋体" w:hint="default"/>
          <w:sz w:val="19"/>
          <w:szCs w:val="19"/>
        </w:rPr>
      </w:pPr>
    </w:p>
    <w:p>
      <w:pPr>
        <w:spacing w:before="26"/>
        <w:ind w:left="154" w:right="0" w:firstLine="0"/>
        <w:jc w:val="left"/>
        <w:rPr>
          <w:rFonts w:ascii="宋体" w:hAnsi="宋体" w:cs="宋体" w:eastAsia="宋体" w:hint="default"/>
          <w:sz w:val="24"/>
          <w:szCs w:val="24"/>
        </w:rPr>
      </w:pPr>
      <w:bookmarkStart w:name="（2）账龄超过1年的重要应付账款" w:id="244"/>
      <w:bookmarkEnd w:id="244"/>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）账龄超过</w:t>
      </w:r>
      <w:r>
        <w:rPr>
          <w:rFonts w:ascii="宋体" w:hAnsi="宋体" w:cs="宋体" w:eastAsia="宋体" w:hint="default"/>
          <w:b/>
          <w:bCs/>
          <w:spacing w:val="-66"/>
          <w:sz w:val="24"/>
          <w:szCs w:val="24"/>
        </w:rPr>
        <w:t> </w:t>
      </w: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6"/>
          <w:sz w:val="24"/>
          <w:szCs w:val="24"/>
        </w:rPr>
        <w:t> </w:t>
      </w:r>
      <w:r>
        <w:rPr>
          <w:rFonts w:ascii="宋体" w:hAnsi="宋体" w:cs="宋体" w:eastAsia="宋体" w:hint="default"/>
          <w:b/>
          <w:bCs/>
          <w:sz w:val="24"/>
          <w:szCs w:val="24"/>
        </w:rPr>
        <w:t>年的重要应付账款</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b/>
                <w:bCs/>
                <w:sz w:val="21"/>
                <w:szCs w:val="21"/>
              </w:rPr>
              <w:t>未偿还或结转的原因</w:t>
            </w:r>
            <w:r>
              <w:rPr>
                <w:rFonts w:ascii="宋体" w:hAnsi="宋体" w:cs="宋体" w:eastAsia="宋体" w:hint="default"/>
                <w:sz w:val="21"/>
                <w:szCs w:val="21"/>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安徽国信教育科技有限公司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北京网文欣阅科技有限公司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412,921.69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广州亚盟信息技术有限公司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345,338.09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华文出版社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218,752.68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北京鸿达以太文化发展有限公司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182,737.82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1,689,750.28</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36、预收款项" w:id="245"/>
      <w:bookmarkEnd w:id="245"/>
      <w:r>
        <w:rPr/>
      </w:r>
      <w:r>
        <w:rPr>
          <w:rFonts w:ascii="Times New Roman" w:hAnsi="Times New Roman" w:cs="Times New Roman" w:eastAsia="Times New Roman" w:hint="default"/>
          <w:b/>
          <w:bCs/>
          <w:sz w:val="24"/>
          <w:szCs w:val="24"/>
        </w:rPr>
        <w:t>36</w:t>
      </w:r>
      <w:r>
        <w:rPr>
          <w:rFonts w:ascii="宋体" w:hAnsi="宋体" w:cs="宋体" w:eastAsia="宋体" w:hint="default"/>
          <w:b/>
          <w:bCs/>
          <w:sz w:val="24"/>
          <w:szCs w:val="24"/>
        </w:rPr>
        <w:t>、预收款项</w:t>
      </w:r>
      <w:r>
        <w:rPr>
          <w:rFonts w:ascii="宋体" w:hAnsi="宋体" w:cs="宋体" w:eastAsia="宋体" w:hint="default"/>
          <w:sz w:val="24"/>
          <w:szCs w:val="24"/>
        </w:rPr>
      </w:r>
    </w:p>
    <w:p>
      <w:pPr>
        <w:spacing w:line="240" w:lineRule="auto" w:before="6"/>
        <w:rPr>
          <w:rFonts w:ascii="宋体" w:hAnsi="宋体" w:cs="宋体" w:eastAsia="宋体" w:hint="default"/>
          <w:b/>
          <w:bCs/>
          <w:sz w:val="21"/>
          <w:szCs w:val="21"/>
        </w:rPr>
      </w:pPr>
    </w:p>
    <w:p>
      <w:pPr>
        <w:spacing w:before="0"/>
        <w:ind w:left="154" w:right="0" w:firstLine="0"/>
        <w:jc w:val="left"/>
        <w:rPr>
          <w:rFonts w:ascii="宋体" w:hAnsi="宋体" w:cs="宋体" w:eastAsia="宋体" w:hint="default"/>
          <w:sz w:val="24"/>
          <w:szCs w:val="24"/>
        </w:rPr>
      </w:pPr>
      <w:bookmarkStart w:name="（1）预收款项列示" w:id="246"/>
      <w:bookmarkEnd w:id="246"/>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）预收款项列示</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12,110,316.70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6,691,807.30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12,110,316.70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6,691,807.30</w:t>
            </w: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2）账龄超过1年的重要预收款项" w:id="247"/>
      <w:bookmarkEnd w:id="247"/>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）账龄超过</w:t>
      </w:r>
      <w:r>
        <w:rPr>
          <w:rFonts w:ascii="宋体" w:hAnsi="宋体" w:cs="宋体" w:eastAsia="宋体" w:hint="default"/>
          <w:b/>
          <w:bCs/>
          <w:spacing w:val="-66"/>
          <w:sz w:val="24"/>
          <w:szCs w:val="24"/>
        </w:rPr>
        <w:t> </w:t>
      </w: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6"/>
          <w:sz w:val="24"/>
          <w:szCs w:val="24"/>
        </w:rPr>
        <w:t> </w:t>
      </w:r>
      <w:r>
        <w:rPr>
          <w:rFonts w:ascii="宋体" w:hAnsi="宋体" w:cs="宋体" w:eastAsia="宋体" w:hint="default"/>
          <w:b/>
          <w:bCs/>
          <w:sz w:val="24"/>
          <w:szCs w:val="24"/>
        </w:rPr>
        <w:t>年的重要预收款项</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b/>
                <w:bCs/>
                <w:sz w:val="21"/>
                <w:szCs w:val="21"/>
              </w:rPr>
              <w:t>未偿还或结转的原因</w:t>
            </w:r>
            <w:r>
              <w:rPr>
                <w:rFonts w:ascii="宋体" w:hAnsi="宋体" w:cs="宋体" w:eastAsia="宋体" w:hint="default"/>
                <w:sz w:val="21"/>
                <w:szCs w:val="21"/>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山东广电新媒体有限责任公司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北京艺泰传媒有限公司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630,000.00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8"/>
          <w:szCs w:val="18"/>
        </w:rPr>
      </w:pPr>
    </w:p>
    <w:p>
      <w:pPr>
        <w:spacing w:line="499" w:lineRule="auto" w:before="26"/>
        <w:ind w:left="633" w:right="4732" w:hanging="480"/>
        <w:jc w:val="left"/>
        <w:rPr>
          <w:rFonts w:ascii="宋体" w:hAnsi="宋体" w:cs="宋体" w:eastAsia="宋体" w:hint="default"/>
          <w:sz w:val="24"/>
          <w:szCs w:val="24"/>
        </w:rPr>
      </w:pPr>
      <w:bookmarkStart w:name="（3）期末建造合同形成的已结算未完工项目情况" w:id="248"/>
      <w:bookmarkEnd w:id="248"/>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3</w:t>
      </w:r>
      <w:r>
        <w:rPr>
          <w:rFonts w:ascii="宋体" w:hAnsi="宋体" w:cs="宋体" w:eastAsia="宋体" w:hint="default"/>
          <w:b/>
          <w:bCs/>
          <w:w w:val="95"/>
          <w:sz w:val="24"/>
          <w:szCs w:val="24"/>
        </w:rPr>
        <w:t>）期末建造合同形成的已结算未完工项目情况</w:t>
      </w:r>
      <w:r>
        <w:rPr>
          <w:rFonts w:ascii="宋体" w:hAnsi="宋体" w:cs="宋体" w:eastAsia="宋体" w:hint="default"/>
          <w:b/>
          <w:bCs/>
          <w:spacing w:val="12"/>
          <w:w w:val="95"/>
          <w:sz w:val="24"/>
          <w:szCs w:val="24"/>
        </w:rPr>
        <w:t> </w:t>
      </w:r>
      <w:r>
        <w:rPr>
          <w:rFonts w:ascii="宋体" w:hAnsi="宋体" w:cs="宋体" w:eastAsia="宋体" w:hint="default"/>
          <w:b/>
          <w:bCs/>
          <w:spacing w:val="12"/>
          <w:w w:val="95"/>
          <w:sz w:val="24"/>
          <w:szCs w:val="24"/>
        </w:rPr>
      </w:r>
      <w:r>
        <w:rPr>
          <w:rFonts w:ascii="宋体" w:hAnsi="宋体" w:cs="宋体" w:eastAsia="宋体" w:hint="default"/>
          <w:sz w:val="24"/>
          <w:szCs w:val="24"/>
        </w:rPr>
        <w:t>无。</w:t>
      </w:r>
    </w:p>
    <w:p>
      <w:pPr>
        <w:spacing w:before="116"/>
        <w:ind w:left="153" w:right="0" w:firstLine="0"/>
        <w:jc w:val="left"/>
        <w:rPr>
          <w:rFonts w:ascii="宋体" w:hAnsi="宋体" w:cs="宋体" w:eastAsia="宋体" w:hint="default"/>
          <w:sz w:val="24"/>
          <w:szCs w:val="24"/>
        </w:rPr>
      </w:pPr>
      <w:bookmarkStart w:name="37、应付职工薪酬" w:id="249"/>
      <w:bookmarkEnd w:id="249"/>
      <w:r>
        <w:rPr/>
      </w:r>
      <w:r>
        <w:rPr>
          <w:rFonts w:ascii="Times New Roman" w:hAnsi="Times New Roman" w:cs="Times New Roman" w:eastAsia="Times New Roman" w:hint="default"/>
          <w:b/>
          <w:bCs/>
          <w:sz w:val="24"/>
          <w:szCs w:val="24"/>
        </w:rPr>
        <w:t>37</w:t>
      </w:r>
      <w:r>
        <w:rPr>
          <w:rFonts w:ascii="宋体" w:hAnsi="宋体" w:cs="宋体" w:eastAsia="宋体" w:hint="default"/>
          <w:b/>
          <w:bCs/>
          <w:sz w:val="24"/>
          <w:szCs w:val="24"/>
        </w:rPr>
        <w:t>、应付职工薪酬</w:t>
      </w:r>
      <w:r>
        <w:rPr>
          <w:rFonts w:ascii="宋体" w:hAnsi="宋体" w:cs="宋体" w:eastAsia="宋体" w:hint="default"/>
          <w:sz w:val="24"/>
          <w:szCs w:val="24"/>
        </w:rPr>
      </w:r>
    </w:p>
    <w:p>
      <w:pPr>
        <w:spacing w:line="240" w:lineRule="auto" w:before="6"/>
        <w:rPr>
          <w:rFonts w:ascii="宋体" w:hAnsi="宋体" w:cs="宋体" w:eastAsia="宋体" w:hint="default"/>
          <w:b/>
          <w:bCs/>
          <w:sz w:val="21"/>
          <w:szCs w:val="21"/>
        </w:rPr>
      </w:pPr>
    </w:p>
    <w:p>
      <w:pPr>
        <w:spacing w:before="0"/>
        <w:ind w:left="153" w:right="0" w:firstLine="0"/>
        <w:jc w:val="left"/>
        <w:rPr>
          <w:rFonts w:ascii="宋体" w:hAnsi="宋体" w:cs="宋体" w:eastAsia="宋体" w:hint="default"/>
          <w:sz w:val="24"/>
          <w:szCs w:val="24"/>
        </w:rPr>
      </w:pPr>
      <w:bookmarkStart w:name="（1）应付职工薪酬列示" w:id="250"/>
      <w:bookmarkEnd w:id="250"/>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）应付职工薪酬列示</w:t>
      </w:r>
      <w:r>
        <w:rPr>
          <w:rFonts w:ascii="宋体" w:hAnsi="宋体" w:cs="宋体" w:eastAsia="宋体" w:hint="default"/>
          <w:sz w:val="24"/>
          <w:szCs w:val="24"/>
        </w:rPr>
      </w:r>
    </w:p>
    <w:p>
      <w:pPr>
        <w:spacing w:line="240" w:lineRule="auto" w:before="7"/>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29"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29"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29"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665" w:right="0"/>
              <w:jc w:val="left"/>
              <w:rPr>
                <w:rFonts w:ascii="Times New Roman" w:hAnsi="Times New Roman" w:cs="Times New Roman" w:eastAsia="Times New Roman" w:hint="default"/>
                <w:sz w:val="21"/>
                <w:szCs w:val="21"/>
              </w:rPr>
            </w:pPr>
            <w:r>
              <w:rPr>
                <w:rFonts w:ascii="Times New Roman"/>
                <w:sz w:val="21"/>
              </w:rPr>
              <w:t>10,522,685.52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73" w:right="0"/>
              <w:jc w:val="left"/>
              <w:rPr>
                <w:rFonts w:ascii="Times New Roman" w:hAnsi="Times New Roman" w:cs="Times New Roman" w:eastAsia="Times New Roman" w:hint="default"/>
                <w:sz w:val="21"/>
                <w:szCs w:val="21"/>
              </w:rPr>
            </w:pPr>
            <w:r>
              <w:rPr>
                <w:rFonts w:ascii="Times New Roman"/>
                <w:sz w:val="21"/>
              </w:rPr>
              <w:t>85,520,085.76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73" w:right="0"/>
              <w:jc w:val="left"/>
              <w:rPr>
                <w:rFonts w:ascii="Times New Roman" w:hAnsi="Times New Roman" w:cs="Times New Roman" w:eastAsia="Times New Roman" w:hint="default"/>
                <w:sz w:val="21"/>
                <w:szCs w:val="21"/>
              </w:rPr>
            </w:pPr>
            <w:r>
              <w:rPr>
                <w:rFonts w:ascii="Times New Roman"/>
                <w:sz w:val="21"/>
              </w:rPr>
              <w:t>85,213,725.12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73" w:right="0"/>
              <w:jc w:val="left"/>
              <w:rPr>
                <w:rFonts w:ascii="Times New Roman" w:hAnsi="Times New Roman" w:cs="Times New Roman" w:eastAsia="Times New Roman" w:hint="default"/>
                <w:sz w:val="21"/>
                <w:szCs w:val="21"/>
              </w:rPr>
            </w:pPr>
            <w:r>
              <w:rPr>
                <w:rFonts w:ascii="Times New Roman"/>
                <w:sz w:val="21"/>
              </w:rPr>
              <w:t>10,829,046.16</w:t>
            </w:r>
          </w:p>
        </w:tc>
      </w:tr>
    </w:tbl>
    <w:p>
      <w:pPr>
        <w:spacing w:after="0" w:line="240" w:lineRule="auto"/>
        <w:jc w:val="left"/>
        <w:rPr>
          <w:rFonts w:ascii="Times New Roman" w:hAnsi="Times New Roman" w:cs="Times New Roman" w:eastAsia="Times New Roman" w:hint="default"/>
          <w:sz w:val="21"/>
          <w:szCs w:val="21"/>
        </w:rPr>
        <w:sectPr>
          <w:pgSz w:w="11910" w:h="16840"/>
          <w:pgMar w:header="0"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22" w:right="23"/>
              <w:jc w:val="left"/>
              <w:rPr>
                <w:rFonts w:ascii="宋体" w:hAnsi="宋体" w:cs="宋体" w:eastAsia="宋体" w:hint="default"/>
                <w:sz w:val="21"/>
                <w:szCs w:val="21"/>
              </w:rPr>
            </w:pPr>
            <w:r>
              <w:rPr>
                <w:rFonts w:ascii="宋体" w:hAnsi="宋体" w:cs="宋体" w:eastAsia="宋体" w:hint="default"/>
                <w:spacing w:val="-11"/>
                <w:sz w:val="21"/>
                <w:szCs w:val="21"/>
              </w:rPr>
              <w:t>二、离职后福利</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设定</w:t>
            </w:r>
            <w:r>
              <w:rPr>
                <w:rFonts w:ascii="宋体" w:hAnsi="宋体" w:cs="宋体" w:eastAsia="宋体" w:hint="default"/>
                <w:spacing w:val="-101"/>
                <w:sz w:val="21"/>
                <w:szCs w:val="21"/>
              </w:rPr>
              <w:t> </w:t>
            </w:r>
            <w:r>
              <w:rPr>
                <w:rFonts w:ascii="宋体" w:hAnsi="宋体" w:cs="宋体" w:eastAsia="宋体" w:hint="default"/>
                <w:sz w:val="21"/>
                <w:szCs w:val="21"/>
              </w:rPr>
              <w:t>提存计划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207,074.35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3,097,566.92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3,003,689.64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300,951.63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579,918.90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579,918.90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1"/>
              <w:jc w:val="left"/>
              <w:rPr>
                <w:rFonts w:ascii="宋体" w:hAnsi="宋体" w:cs="宋体" w:eastAsia="宋体" w:hint="default"/>
                <w:sz w:val="21"/>
                <w:szCs w:val="21"/>
              </w:rPr>
            </w:pPr>
            <w:r>
              <w:rPr>
                <w:rFonts w:ascii="宋体" w:hAnsi="宋体" w:cs="宋体" w:eastAsia="宋体" w:hint="default"/>
                <w:spacing w:val="-4"/>
                <w:sz w:val="21"/>
                <w:szCs w:val="21"/>
              </w:rPr>
              <w:t>四、一年内到期的其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他福利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10,729,759.87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89,197,571.58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88,797,333.66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11,129,997.79</w:t>
            </w: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2）短期薪酬列示" w:id="251"/>
      <w:bookmarkEnd w:id="251"/>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）短期薪酬列示</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4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29"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29"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29"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6"/>
              <w:ind w:left="11" w:right="8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、工资、奖金、津 贴和补贴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6,784,272.96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72,851,628.26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74,082,543.30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5,553,357.92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2"/>
                <w:sz w:val="21"/>
              </w:rPr>
              <w:t>9,948.11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3,963,903.98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3,973,852.09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162,463.81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2,274,040.05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2,223,954.32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212,549.54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pacing w:val="-5"/>
                <w:sz w:val="21"/>
                <w:szCs w:val="21"/>
              </w:rPr>
              <w:t>其中：医疗保险</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144,725.66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2,026,897.12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1,982,033.12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189,589.66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工伤保</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5,216.38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72,494.84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70,972.26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6,738.96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生育保</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12,521.77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174,648.09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170,948.94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16,220.92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3,335,373.00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3,328,656.00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6,717.00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6"/>
              <w:ind w:left="11" w:right="81"/>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、工会经费和职工 教育经费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3,566,000.64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3,095,140.47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1,604,719.41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5,056,421.70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、短期带薪缺勤</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6"/>
              <w:ind w:left="11" w:right="81"/>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、短期利润分享计 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10,522,685.52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85,520,085.76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85,213,725.12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10,829,046.16</w:t>
            </w: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3）设定提存计划列示" w:id="252"/>
      <w:bookmarkEnd w:id="252"/>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）设定提存计划列示</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4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29"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29"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29"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193,134.49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2,892,669.36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2,803,854.13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281,949.72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z w:val="21"/>
              </w:rPr>
              <w:t>13,939.86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204,897.56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199,835.51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19,001.91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、企业年金缴费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207,074.35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3,097,566.92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3,003,689.64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300,951.63</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00" w:bottom="1160" w:left="980" w:right="980"/>
        </w:sectPr>
      </w:pPr>
    </w:p>
    <w:p>
      <w:pPr>
        <w:spacing w:line="240" w:lineRule="auto" w:before="9"/>
        <w:rPr>
          <w:rFonts w:ascii="宋体" w:hAnsi="宋体" w:cs="宋体" w:eastAsia="宋体" w:hint="default"/>
          <w:sz w:val="19"/>
          <w:szCs w:val="19"/>
        </w:rPr>
      </w:pPr>
    </w:p>
    <w:p>
      <w:pPr>
        <w:spacing w:before="26"/>
        <w:ind w:left="154" w:right="0" w:firstLine="0"/>
        <w:jc w:val="left"/>
        <w:rPr>
          <w:rFonts w:ascii="宋体" w:hAnsi="宋体" w:cs="宋体" w:eastAsia="宋体" w:hint="default"/>
          <w:sz w:val="24"/>
          <w:szCs w:val="24"/>
        </w:rPr>
      </w:pPr>
      <w:bookmarkStart w:name="38、应交税费" w:id="253"/>
      <w:bookmarkEnd w:id="253"/>
      <w:r>
        <w:rPr/>
      </w:r>
      <w:r>
        <w:rPr>
          <w:rFonts w:ascii="Times New Roman" w:hAnsi="Times New Roman" w:cs="Times New Roman" w:eastAsia="Times New Roman" w:hint="default"/>
          <w:b/>
          <w:bCs/>
          <w:sz w:val="24"/>
          <w:szCs w:val="24"/>
        </w:rPr>
        <w:t>38</w:t>
      </w:r>
      <w:r>
        <w:rPr>
          <w:rFonts w:ascii="宋体" w:hAnsi="宋体" w:cs="宋体" w:eastAsia="宋体" w:hint="default"/>
          <w:b/>
          <w:bCs/>
          <w:sz w:val="24"/>
          <w:szCs w:val="24"/>
        </w:rPr>
        <w:t>、应交税费</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6,753,350.13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2,965,213.00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259,961.23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1,972,698.07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5,721,156.19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3,816,188.70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932,915.70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638,467.16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558,006.82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347,068.88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408,716.49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256,464.26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38,194.67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24,581.22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14,672,301.23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10,020,681.29</w:t>
            </w: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39、应付利息" w:id="254"/>
      <w:bookmarkEnd w:id="254"/>
      <w:r>
        <w:rPr/>
      </w:r>
      <w:r>
        <w:rPr>
          <w:rFonts w:ascii="Times New Roman" w:hAnsi="Times New Roman" w:cs="Times New Roman" w:eastAsia="Times New Roman" w:hint="default"/>
          <w:b/>
          <w:bCs/>
          <w:sz w:val="24"/>
          <w:szCs w:val="24"/>
        </w:rPr>
        <w:t>39</w:t>
      </w:r>
      <w:r>
        <w:rPr>
          <w:rFonts w:ascii="宋体" w:hAnsi="宋体" w:cs="宋体" w:eastAsia="宋体" w:hint="default"/>
          <w:b/>
          <w:bCs/>
          <w:sz w:val="24"/>
          <w:szCs w:val="24"/>
        </w:rPr>
        <w:t>、应付利息</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201"/>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 息</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101,077.78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11" w:right="143"/>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Times New Roman" w:hAnsi="Times New Roman" w:cs="Times New Roman" w:eastAsia="Times New Roman" w:hint="default"/>
                <w:sz w:val="21"/>
                <w:szCs w:val="21"/>
              </w:rPr>
              <w:t>\</w:t>
            </w:r>
            <w:r>
              <w:rPr>
                <w:rFonts w:ascii="宋体" w:hAnsi="宋体" w:cs="宋体" w:eastAsia="宋体" w:hint="default"/>
                <w:sz w:val="21"/>
                <w:szCs w:val="21"/>
              </w:rPr>
              <w:t>永续债 利息</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101,077.78</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1"/>
        <w:ind w:left="634" w:right="0"/>
        <w:jc w:val="left"/>
      </w:pPr>
      <w:r>
        <w:rPr/>
        <w:t>重要的已逾期未支付的利息情况：无。</w:t>
      </w:r>
    </w:p>
    <w:p>
      <w:pPr>
        <w:spacing w:line="240" w:lineRule="auto" w:before="10"/>
        <w:rPr>
          <w:rFonts w:ascii="宋体" w:hAnsi="宋体" w:cs="宋体" w:eastAsia="宋体" w:hint="default"/>
          <w:sz w:val="28"/>
          <w:szCs w:val="28"/>
        </w:rPr>
      </w:pPr>
    </w:p>
    <w:p>
      <w:pPr>
        <w:spacing w:line="499" w:lineRule="auto" w:before="0"/>
        <w:ind w:left="634" w:right="8327" w:hanging="480"/>
        <w:jc w:val="left"/>
        <w:rPr>
          <w:rFonts w:ascii="宋体" w:hAnsi="宋体" w:cs="宋体" w:eastAsia="宋体" w:hint="default"/>
          <w:sz w:val="24"/>
          <w:szCs w:val="24"/>
        </w:rPr>
      </w:pPr>
      <w:bookmarkStart w:name="40、应付股利" w:id="255"/>
      <w:bookmarkEnd w:id="255"/>
      <w:r>
        <w:rPr/>
      </w:r>
      <w:r>
        <w:rPr>
          <w:rFonts w:ascii="Times New Roman" w:hAnsi="Times New Roman" w:cs="Times New Roman" w:eastAsia="Times New Roman" w:hint="default"/>
          <w:b/>
          <w:bCs/>
          <w:sz w:val="24"/>
          <w:szCs w:val="24"/>
        </w:rPr>
        <w:t>40</w:t>
      </w:r>
      <w:r>
        <w:rPr>
          <w:rFonts w:ascii="宋体" w:hAnsi="宋体" w:cs="宋体" w:eastAsia="宋体" w:hint="default"/>
          <w:b/>
          <w:bCs/>
          <w:sz w:val="24"/>
          <w:szCs w:val="24"/>
        </w:rPr>
        <w:t>、应付股利</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before="115"/>
        <w:ind w:left="154" w:right="0" w:firstLine="0"/>
        <w:jc w:val="left"/>
        <w:rPr>
          <w:rFonts w:ascii="宋体" w:hAnsi="宋体" w:cs="宋体" w:eastAsia="宋体" w:hint="default"/>
          <w:sz w:val="24"/>
          <w:szCs w:val="24"/>
        </w:rPr>
      </w:pPr>
      <w:bookmarkStart w:name="41、其他应付款" w:id="256"/>
      <w:bookmarkEnd w:id="256"/>
      <w:r>
        <w:rPr/>
      </w:r>
      <w:r>
        <w:rPr>
          <w:rFonts w:ascii="Times New Roman" w:hAnsi="Times New Roman" w:cs="Times New Roman" w:eastAsia="Times New Roman" w:hint="default"/>
          <w:b/>
          <w:bCs/>
          <w:sz w:val="24"/>
          <w:szCs w:val="24"/>
        </w:rPr>
        <w:t>41</w:t>
      </w:r>
      <w:r>
        <w:rPr>
          <w:rFonts w:ascii="宋体" w:hAnsi="宋体" w:cs="宋体" w:eastAsia="宋体" w:hint="default"/>
          <w:b/>
          <w:bCs/>
          <w:sz w:val="24"/>
          <w:szCs w:val="24"/>
        </w:rPr>
        <w:t>、其他应付款</w:t>
      </w:r>
      <w:r>
        <w:rPr>
          <w:rFonts w:ascii="宋体" w:hAnsi="宋体" w:cs="宋体" w:eastAsia="宋体" w:hint="default"/>
          <w:sz w:val="24"/>
          <w:szCs w:val="24"/>
        </w:rPr>
      </w:r>
    </w:p>
    <w:p>
      <w:pPr>
        <w:spacing w:line="240" w:lineRule="auto" w:before="8"/>
        <w:rPr>
          <w:rFonts w:ascii="宋体" w:hAnsi="宋体" w:cs="宋体" w:eastAsia="宋体" w:hint="default"/>
          <w:b/>
          <w:bCs/>
          <w:sz w:val="21"/>
          <w:szCs w:val="21"/>
        </w:rPr>
      </w:pPr>
    </w:p>
    <w:p>
      <w:pPr>
        <w:spacing w:before="0"/>
        <w:ind w:left="154" w:right="0" w:firstLine="0"/>
        <w:jc w:val="left"/>
        <w:rPr>
          <w:rFonts w:ascii="宋体" w:hAnsi="宋体" w:cs="宋体" w:eastAsia="宋体" w:hint="default"/>
          <w:sz w:val="24"/>
          <w:szCs w:val="24"/>
        </w:rPr>
      </w:pPr>
      <w:bookmarkStart w:name="（1）按款项性质列示其他应付款" w:id="257"/>
      <w:bookmarkEnd w:id="257"/>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）按款项性质列示其他应付款</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3"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bl>
    <w:p>
      <w:pPr>
        <w:spacing w:after="0" w:line="240" w:lineRule="auto"/>
        <w:jc w:val="center"/>
        <w:rPr>
          <w:rFonts w:ascii="宋体" w:hAnsi="宋体" w:cs="宋体" w:eastAsia="宋体" w:hint="default"/>
          <w:sz w:val="21"/>
          <w:szCs w:val="21"/>
        </w:rPr>
        <w:sectPr>
          <w:pgSz w:w="11910" w:h="16840"/>
          <w:pgMar w:header="0"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527,625.70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153,056.86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527,625.70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153,056.86</w:t>
            </w:r>
          </w:p>
        </w:tc>
      </w:tr>
    </w:tbl>
    <w:p>
      <w:pPr>
        <w:spacing w:line="240" w:lineRule="auto" w:before="2"/>
        <w:rPr>
          <w:rFonts w:ascii="宋体" w:hAnsi="宋体" w:cs="宋体" w:eastAsia="宋体" w:hint="default"/>
          <w:sz w:val="18"/>
          <w:szCs w:val="18"/>
        </w:rPr>
      </w:pPr>
    </w:p>
    <w:p>
      <w:pPr>
        <w:spacing w:line="499" w:lineRule="auto" w:before="26"/>
        <w:ind w:left="634" w:right="5808" w:hanging="480"/>
        <w:jc w:val="left"/>
        <w:rPr>
          <w:rFonts w:ascii="宋体" w:hAnsi="宋体" w:cs="宋体" w:eastAsia="宋体" w:hint="default"/>
          <w:sz w:val="24"/>
          <w:szCs w:val="24"/>
        </w:rPr>
      </w:pPr>
      <w:bookmarkStart w:name="（2）账龄超过1年的重要其他应付款" w:id="258"/>
      <w:bookmarkEnd w:id="258"/>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）账龄超过</w:t>
      </w:r>
      <w:r>
        <w:rPr>
          <w:rFonts w:ascii="宋体" w:hAnsi="宋体" w:cs="宋体" w:eastAsia="宋体" w:hint="default"/>
          <w:b/>
          <w:bCs/>
          <w:spacing w:val="-65"/>
          <w:sz w:val="24"/>
          <w:szCs w:val="24"/>
        </w:rPr>
        <w:t> </w:t>
      </w: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6"/>
          <w:sz w:val="24"/>
          <w:szCs w:val="24"/>
        </w:rPr>
        <w:t> </w:t>
      </w:r>
      <w:r>
        <w:rPr>
          <w:rFonts w:ascii="宋体" w:hAnsi="宋体" w:cs="宋体" w:eastAsia="宋体" w:hint="default"/>
          <w:b/>
          <w:bCs/>
          <w:sz w:val="24"/>
          <w:szCs w:val="24"/>
        </w:rPr>
        <w:t>年的重要其他应付款</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line="499" w:lineRule="auto" w:before="116"/>
        <w:ind w:left="633" w:right="6652" w:hanging="480"/>
        <w:jc w:val="left"/>
        <w:rPr>
          <w:rFonts w:ascii="宋体" w:hAnsi="宋体" w:cs="宋体" w:eastAsia="宋体" w:hint="default"/>
          <w:sz w:val="24"/>
          <w:szCs w:val="24"/>
        </w:rPr>
      </w:pPr>
      <w:bookmarkStart w:name="42、划分为持有待售的负债" w:id="259"/>
      <w:bookmarkEnd w:id="259"/>
      <w:r>
        <w:rPr/>
      </w:r>
      <w:r>
        <w:rPr>
          <w:rFonts w:ascii="Times New Roman" w:hAnsi="Times New Roman" w:cs="Times New Roman" w:eastAsia="Times New Roman" w:hint="default"/>
          <w:b/>
          <w:bCs/>
          <w:w w:val="95"/>
          <w:sz w:val="24"/>
          <w:szCs w:val="24"/>
        </w:rPr>
        <w:t>42</w:t>
      </w:r>
      <w:r>
        <w:rPr>
          <w:rFonts w:ascii="宋体" w:hAnsi="宋体" w:cs="宋体" w:eastAsia="宋体" w:hint="default"/>
          <w:b/>
          <w:bCs/>
          <w:w w:val="95"/>
          <w:sz w:val="24"/>
          <w:szCs w:val="24"/>
        </w:rPr>
        <w:t>、划分为持有待售的负债</w:t>
      </w:r>
      <w:r>
        <w:rPr>
          <w:rFonts w:ascii="宋体" w:hAnsi="宋体" w:cs="宋体" w:eastAsia="宋体" w:hint="default"/>
          <w:b/>
          <w:bCs/>
          <w:spacing w:val="19"/>
          <w:w w:val="95"/>
          <w:sz w:val="24"/>
          <w:szCs w:val="24"/>
        </w:rPr>
        <w:t> </w:t>
      </w:r>
      <w:r>
        <w:rPr>
          <w:rFonts w:ascii="宋体" w:hAnsi="宋体" w:cs="宋体" w:eastAsia="宋体" w:hint="default"/>
          <w:sz w:val="24"/>
          <w:szCs w:val="24"/>
        </w:rPr>
        <w:t>无。</w:t>
      </w:r>
    </w:p>
    <w:p>
      <w:pPr>
        <w:spacing w:line="499" w:lineRule="auto" w:before="116"/>
        <w:ind w:left="633" w:right="6652" w:hanging="480"/>
        <w:jc w:val="left"/>
        <w:rPr>
          <w:rFonts w:ascii="宋体" w:hAnsi="宋体" w:cs="宋体" w:eastAsia="宋体" w:hint="default"/>
          <w:sz w:val="24"/>
          <w:szCs w:val="24"/>
        </w:rPr>
      </w:pPr>
      <w:bookmarkStart w:name="43、一年内到期的非流动负债" w:id="260"/>
      <w:bookmarkEnd w:id="260"/>
      <w:r>
        <w:rPr/>
      </w:r>
      <w:r>
        <w:rPr>
          <w:rFonts w:ascii="Times New Roman" w:hAnsi="Times New Roman" w:cs="Times New Roman" w:eastAsia="Times New Roman" w:hint="default"/>
          <w:b/>
          <w:bCs/>
          <w:w w:val="95"/>
          <w:sz w:val="24"/>
          <w:szCs w:val="24"/>
        </w:rPr>
        <w:t>43</w:t>
      </w:r>
      <w:r>
        <w:rPr>
          <w:rFonts w:ascii="宋体" w:hAnsi="宋体" w:cs="宋体" w:eastAsia="宋体" w:hint="default"/>
          <w:b/>
          <w:bCs/>
          <w:w w:val="95"/>
          <w:sz w:val="24"/>
          <w:szCs w:val="24"/>
        </w:rPr>
        <w:t>、一年内到期的非流动负债</w:t>
      </w:r>
      <w:r>
        <w:rPr>
          <w:rFonts w:ascii="宋体" w:hAnsi="宋体" w:cs="宋体" w:eastAsia="宋体" w:hint="default"/>
          <w:b/>
          <w:bCs/>
          <w:spacing w:val="30"/>
          <w:w w:val="95"/>
          <w:sz w:val="24"/>
          <w:szCs w:val="24"/>
        </w:rPr>
        <w:t> </w:t>
      </w:r>
      <w:r>
        <w:rPr>
          <w:rFonts w:ascii="宋体" w:hAnsi="宋体" w:cs="宋体" w:eastAsia="宋体" w:hint="default"/>
          <w:sz w:val="24"/>
          <w:szCs w:val="24"/>
        </w:rPr>
        <w:t>无。</w:t>
      </w:r>
    </w:p>
    <w:p>
      <w:pPr>
        <w:spacing w:line="499" w:lineRule="auto" w:before="115"/>
        <w:ind w:left="633" w:right="7846" w:hanging="480"/>
        <w:jc w:val="left"/>
        <w:rPr>
          <w:rFonts w:ascii="宋体" w:hAnsi="宋体" w:cs="宋体" w:eastAsia="宋体" w:hint="default"/>
          <w:sz w:val="24"/>
          <w:szCs w:val="24"/>
        </w:rPr>
      </w:pPr>
      <w:bookmarkStart w:name="44、其他流动负债" w:id="261"/>
      <w:bookmarkEnd w:id="261"/>
      <w:r>
        <w:rPr/>
      </w:r>
      <w:r>
        <w:rPr>
          <w:rFonts w:ascii="Times New Roman" w:hAnsi="Times New Roman" w:cs="Times New Roman" w:eastAsia="Times New Roman" w:hint="default"/>
          <w:b/>
          <w:bCs/>
          <w:sz w:val="24"/>
          <w:szCs w:val="24"/>
        </w:rPr>
        <w:t>44</w:t>
      </w:r>
      <w:r>
        <w:rPr>
          <w:rFonts w:ascii="宋体" w:hAnsi="宋体" w:cs="宋体" w:eastAsia="宋体" w:hint="default"/>
          <w:b/>
          <w:bCs/>
          <w:sz w:val="24"/>
          <w:szCs w:val="24"/>
        </w:rPr>
        <w:t>、其他流动负债</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line="508" w:lineRule="auto" w:before="115"/>
        <w:ind w:left="134" w:right="8328" w:firstLine="0"/>
        <w:jc w:val="center"/>
        <w:rPr>
          <w:rFonts w:ascii="宋体" w:hAnsi="宋体" w:cs="宋体" w:eastAsia="宋体" w:hint="default"/>
          <w:sz w:val="24"/>
          <w:szCs w:val="24"/>
        </w:rPr>
      </w:pPr>
      <w:bookmarkStart w:name="45、长期借款" w:id="262"/>
      <w:bookmarkEnd w:id="262"/>
      <w:r>
        <w:rPr/>
      </w:r>
      <w:r>
        <w:rPr>
          <w:rFonts w:ascii="Times New Roman" w:hAnsi="Times New Roman" w:cs="Times New Roman" w:eastAsia="Times New Roman" w:hint="default"/>
          <w:b/>
          <w:bCs/>
          <w:w w:val="95"/>
          <w:sz w:val="24"/>
          <w:szCs w:val="24"/>
        </w:rPr>
        <w:t>45</w:t>
      </w:r>
      <w:r>
        <w:rPr>
          <w:rFonts w:ascii="宋体" w:hAnsi="宋体" w:cs="宋体" w:eastAsia="宋体" w:hint="default"/>
          <w:b/>
          <w:bCs/>
          <w:w w:val="95"/>
          <w:sz w:val="24"/>
          <w:szCs w:val="24"/>
        </w:rPr>
        <w:t>、长期借款</w:t>
      </w:r>
      <w:r>
        <w:rPr>
          <w:rFonts w:ascii="宋体" w:hAnsi="宋体" w:cs="宋体" w:eastAsia="宋体" w:hint="default"/>
          <w:b/>
          <w:bCs/>
          <w:spacing w:val="-53"/>
          <w:w w:val="95"/>
          <w:sz w:val="24"/>
          <w:szCs w:val="24"/>
        </w:rPr>
        <w:t> </w:t>
      </w:r>
      <w:r>
        <w:rPr>
          <w:rFonts w:ascii="宋体" w:hAnsi="宋体" w:cs="宋体" w:eastAsia="宋体" w:hint="default"/>
          <w:sz w:val="24"/>
          <w:szCs w:val="24"/>
        </w:rPr>
        <w:t>无。 </w:t>
      </w:r>
      <w:bookmarkStart w:name="46、应付债券" w:id="263"/>
      <w:bookmarkEnd w:id="263"/>
      <w:r>
        <w:rPr>
          <w:rFonts w:ascii="宋体" w:hAnsi="宋体" w:cs="宋体" w:eastAsia="宋体" w:hint="default"/>
          <w:sz w:val="24"/>
          <w:szCs w:val="24"/>
        </w:rPr>
      </w:r>
      <w:r>
        <w:rPr>
          <w:rFonts w:ascii="Times New Roman" w:hAnsi="Times New Roman" w:cs="Times New Roman" w:eastAsia="Times New Roman" w:hint="default"/>
          <w:b/>
          <w:bCs/>
          <w:w w:val="95"/>
          <w:sz w:val="24"/>
          <w:szCs w:val="24"/>
        </w:rPr>
        <w:t>46</w:t>
      </w:r>
      <w:r>
        <w:rPr>
          <w:rFonts w:ascii="宋体" w:hAnsi="宋体" w:cs="宋体" w:eastAsia="宋体" w:hint="default"/>
          <w:b/>
          <w:bCs/>
          <w:w w:val="95"/>
          <w:sz w:val="24"/>
          <w:szCs w:val="24"/>
        </w:rPr>
        <w:t>、应付债券</w:t>
      </w:r>
      <w:r>
        <w:rPr>
          <w:rFonts w:ascii="宋体" w:hAnsi="宋体" w:cs="宋体" w:eastAsia="宋体" w:hint="default"/>
          <w:b/>
          <w:bCs/>
          <w:spacing w:val="-53"/>
          <w:w w:val="95"/>
          <w:sz w:val="24"/>
          <w:szCs w:val="24"/>
        </w:rPr>
        <w:t> </w:t>
      </w:r>
      <w:r>
        <w:rPr>
          <w:rFonts w:ascii="宋体" w:hAnsi="宋体" w:cs="宋体" w:eastAsia="宋体" w:hint="default"/>
          <w:sz w:val="24"/>
          <w:szCs w:val="24"/>
        </w:rPr>
        <w:t>无。</w:t>
      </w:r>
    </w:p>
    <w:p>
      <w:pPr>
        <w:spacing w:line="499" w:lineRule="auto" w:before="106"/>
        <w:ind w:left="633" w:right="8087" w:hanging="480"/>
        <w:jc w:val="left"/>
        <w:rPr>
          <w:rFonts w:ascii="宋体" w:hAnsi="宋体" w:cs="宋体" w:eastAsia="宋体" w:hint="default"/>
          <w:sz w:val="24"/>
          <w:szCs w:val="24"/>
        </w:rPr>
      </w:pPr>
      <w:bookmarkStart w:name="47、长期应付款" w:id="264"/>
      <w:bookmarkEnd w:id="264"/>
      <w:r>
        <w:rPr/>
      </w:r>
      <w:r>
        <w:rPr>
          <w:rFonts w:ascii="Times New Roman" w:hAnsi="Times New Roman" w:cs="Times New Roman" w:eastAsia="Times New Roman" w:hint="default"/>
          <w:b/>
          <w:bCs/>
          <w:sz w:val="24"/>
          <w:szCs w:val="24"/>
        </w:rPr>
        <w:t>47</w:t>
      </w:r>
      <w:r>
        <w:rPr>
          <w:rFonts w:ascii="宋体" w:hAnsi="宋体" w:cs="宋体" w:eastAsia="宋体" w:hint="default"/>
          <w:b/>
          <w:bCs/>
          <w:sz w:val="24"/>
          <w:szCs w:val="24"/>
        </w:rPr>
        <w:t>、长期应付款</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line="499" w:lineRule="auto" w:before="115"/>
        <w:ind w:left="633" w:right="7364" w:hanging="480"/>
        <w:jc w:val="left"/>
        <w:rPr>
          <w:rFonts w:ascii="宋体" w:hAnsi="宋体" w:cs="宋体" w:eastAsia="宋体" w:hint="default"/>
          <w:sz w:val="24"/>
          <w:szCs w:val="24"/>
        </w:rPr>
      </w:pPr>
      <w:bookmarkStart w:name="48、长期应付职工薪酬" w:id="265"/>
      <w:bookmarkEnd w:id="265"/>
      <w:r>
        <w:rPr/>
      </w:r>
      <w:r>
        <w:rPr>
          <w:rFonts w:ascii="Times New Roman" w:hAnsi="Times New Roman" w:cs="Times New Roman" w:eastAsia="Times New Roman" w:hint="default"/>
          <w:b/>
          <w:bCs/>
          <w:sz w:val="24"/>
          <w:szCs w:val="24"/>
        </w:rPr>
        <w:t>48</w:t>
      </w:r>
      <w:r>
        <w:rPr>
          <w:rFonts w:ascii="宋体" w:hAnsi="宋体" w:cs="宋体" w:eastAsia="宋体" w:hint="default"/>
          <w:b/>
          <w:bCs/>
          <w:sz w:val="24"/>
          <w:szCs w:val="24"/>
        </w:rPr>
        <w:t>、长期应付职工薪酬</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line="501" w:lineRule="auto" w:before="115"/>
        <w:ind w:left="633" w:right="8087" w:hanging="480"/>
        <w:jc w:val="left"/>
        <w:rPr>
          <w:rFonts w:ascii="宋体" w:hAnsi="宋体" w:cs="宋体" w:eastAsia="宋体" w:hint="default"/>
          <w:sz w:val="24"/>
          <w:szCs w:val="24"/>
        </w:rPr>
      </w:pPr>
      <w:bookmarkStart w:name="49、专项应付款" w:id="266"/>
      <w:bookmarkEnd w:id="266"/>
      <w:r>
        <w:rPr/>
      </w:r>
      <w:r>
        <w:rPr>
          <w:rFonts w:ascii="Times New Roman" w:hAnsi="Times New Roman" w:cs="Times New Roman" w:eastAsia="Times New Roman" w:hint="default"/>
          <w:b/>
          <w:bCs/>
          <w:sz w:val="24"/>
          <w:szCs w:val="24"/>
        </w:rPr>
        <w:t>49</w:t>
      </w:r>
      <w:r>
        <w:rPr>
          <w:rFonts w:ascii="宋体" w:hAnsi="宋体" w:cs="宋体" w:eastAsia="宋体" w:hint="default"/>
          <w:b/>
          <w:bCs/>
          <w:sz w:val="24"/>
          <w:szCs w:val="24"/>
        </w:rPr>
        <w:t>、专项应付款</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after="0" w:line="501" w:lineRule="auto"/>
        <w:jc w:val="left"/>
        <w:rPr>
          <w:rFonts w:ascii="宋体" w:hAnsi="宋体" w:cs="宋体" w:eastAsia="宋体" w:hint="default"/>
          <w:sz w:val="24"/>
          <w:szCs w:val="24"/>
        </w:rPr>
        <w:sectPr>
          <w:pgSz w:w="11910" w:h="16840"/>
          <w:pgMar w:header="0" w:footer="979" w:top="1100" w:bottom="1160" w:left="980" w:right="980"/>
        </w:sectPr>
      </w:pPr>
    </w:p>
    <w:p>
      <w:pPr>
        <w:spacing w:line="240" w:lineRule="auto" w:before="8"/>
        <w:rPr>
          <w:rFonts w:ascii="宋体" w:hAnsi="宋体" w:cs="宋体" w:eastAsia="宋体" w:hint="default"/>
          <w:sz w:val="19"/>
          <w:szCs w:val="19"/>
        </w:rPr>
      </w:pPr>
    </w:p>
    <w:p>
      <w:pPr>
        <w:spacing w:line="513" w:lineRule="auto" w:before="26"/>
        <w:ind w:left="134" w:right="8327" w:firstLine="0"/>
        <w:jc w:val="center"/>
        <w:rPr>
          <w:rFonts w:ascii="宋体" w:hAnsi="宋体" w:cs="宋体" w:eastAsia="宋体" w:hint="default"/>
          <w:sz w:val="24"/>
          <w:szCs w:val="24"/>
        </w:rPr>
      </w:pPr>
      <w:bookmarkStart w:name="50、预计负债" w:id="267"/>
      <w:bookmarkEnd w:id="267"/>
      <w:r>
        <w:rPr/>
      </w:r>
      <w:r>
        <w:rPr>
          <w:rFonts w:ascii="Times New Roman" w:hAnsi="Times New Roman" w:cs="Times New Roman" w:eastAsia="Times New Roman" w:hint="default"/>
          <w:b/>
          <w:bCs/>
          <w:w w:val="95"/>
          <w:sz w:val="24"/>
          <w:szCs w:val="24"/>
        </w:rPr>
        <w:t>50</w:t>
      </w:r>
      <w:r>
        <w:rPr>
          <w:rFonts w:ascii="宋体" w:hAnsi="宋体" w:cs="宋体" w:eastAsia="宋体" w:hint="default"/>
          <w:b/>
          <w:bCs/>
          <w:w w:val="95"/>
          <w:sz w:val="24"/>
          <w:szCs w:val="24"/>
        </w:rPr>
        <w:t>、预计负债</w:t>
      </w:r>
      <w:r>
        <w:rPr>
          <w:rFonts w:ascii="宋体" w:hAnsi="宋体" w:cs="宋体" w:eastAsia="宋体" w:hint="default"/>
          <w:b/>
          <w:bCs/>
          <w:spacing w:val="-52"/>
          <w:w w:val="95"/>
          <w:sz w:val="24"/>
          <w:szCs w:val="24"/>
        </w:rPr>
        <w:t> </w:t>
      </w:r>
      <w:r>
        <w:rPr>
          <w:rFonts w:ascii="宋体" w:hAnsi="宋体" w:cs="宋体" w:eastAsia="宋体" w:hint="default"/>
          <w:sz w:val="24"/>
          <w:szCs w:val="24"/>
        </w:rPr>
        <w:t>无。 </w:t>
      </w:r>
      <w:bookmarkStart w:name="51、递延收益" w:id="268"/>
      <w:bookmarkEnd w:id="268"/>
      <w:r>
        <w:rPr>
          <w:rFonts w:ascii="宋体" w:hAnsi="宋体" w:cs="宋体" w:eastAsia="宋体" w:hint="default"/>
          <w:sz w:val="24"/>
          <w:szCs w:val="24"/>
        </w:rPr>
      </w:r>
      <w:r>
        <w:rPr>
          <w:rFonts w:ascii="Times New Roman" w:hAnsi="Times New Roman" w:cs="Times New Roman" w:eastAsia="Times New Roman" w:hint="default"/>
          <w:b/>
          <w:bCs/>
          <w:w w:val="95"/>
          <w:sz w:val="24"/>
          <w:szCs w:val="24"/>
        </w:rPr>
        <w:t>51</w:t>
      </w:r>
      <w:r>
        <w:rPr>
          <w:rFonts w:ascii="宋体" w:hAnsi="宋体" w:cs="宋体" w:eastAsia="宋体" w:hint="default"/>
          <w:b/>
          <w:bCs/>
          <w:w w:val="95"/>
          <w:sz w:val="24"/>
          <w:szCs w:val="24"/>
        </w:rPr>
        <w:t>、递延收益</w:t>
      </w:r>
      <w:r>
        <w:rPr>
          <w:rFonts w:ascii="宋体" w:hAnsi="宋体" w:cs="宋体" w:eastAsia="宋体" w:hint="default"/>
          <w:sz w:val="24"/>
          <w:szCs w:val="24"/>
        </w:rPr>
      </w:r>
    </w:p>
    <w:p>
      <w:pPr>
        <w:pStyle w:val="BodyText"/>
        <w:spacing w:line="292" w:lineRule="exact" w:before="0"/>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0"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69"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69"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形成原因</w:t>
            </w:r>
            <w:r>
              <w:rPr>
                <w:rFonts w:ascii="宋体" w:hAnsi="宋体" w:cs="宋体" w:eastAsia="宋体" w:hint="default"/>
                <w:sz w:val="21"/>
                <w:szCs w:val="21"/>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pacing w:val="-1"/>
                <w:sz w:val="20"/>
              </w:rPr>
              <w:t>3,719,738.51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pacing w:val="-1"/>
                <w:sz w:val="20"/>
              </w:rPr>
              <w:t>8,577,584.91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pacing w:val="-1"/>
                <w:sz w:val="20"/>
              </w:rPr>
              <w:t>8,897,323.17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pacing w:val="-1"/>
                <w:sz w:val="20"/>
              </w:rPr>
              <w:t>3,400,000.25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递延服务收入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pacing w:val="-1"/>
                <w:sz w:val="20"/>
              </w:rPr>
              <w:t>1,403,182.42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pacing w:val="-1"/>
                <w:sz w:val="20"/>
              </w:rPr>
              <w:t>777,377.86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pacing w:val="-1"/>
                <w:sz w:val="20"/>
              </w:rPr>
              <w:t>384,760.41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pacing w:val="-1"/>
                <w:sz w:val="20"/>
              </w:rPr>
              <w:t>1,795,799.87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pacing w:val="-1"/>
                <w:sz w:val="20"/>
              </w:rPr>
              <w:t>5,122,920.93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pacing w:val="-1"/>
                <w:sz w:val="20"/>
              </w:rPr>
              <w:t>9,354,962.77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pacing w:val="-1"/>
                <w:sz w:val="20"/>
              </w:rPr>
              <w:t>9,282,083.58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pacing w:val="-1"/>
                <w:sz w:val="20"/>
              </w:rPr>
              <w:t>5,195,800.12</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81"/>
        <w:ind w:left="634" w:right="0"/>
        <w:jc w:val="left"/>
      </w:pPr>
      <w:r>
        <w:rPr/>
        <w:t>涉及政府补助的项目：</w:t>
      </w:r>
    </w:p>
    <w:p>
      <w:pPr>
        <w:pStyle w:val="BodyText"/>
        <w:spacing w:line="240" w:lineRule="auto" w:before="114"/>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b/>
                <w:bCs/>
                <w:sz w:val="21"/>
                <w:szCs w:val="21"/>
              </w:rPr>
              <w:t>负债项目</w:t>
            </w:r>
            <w:r>
              <w:rPr>
                <w:rFonts w:ascii="宋体" w:hAnsi="宋体" w:cs="宋体" w:eastAsia="宋体" w:hint="default"/>
                <w:sz w:val="21"/>
                <w:szCs w:val="21"/>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69"/>
              <w:jc w:val="left"/>
              <w:rPr>
                <w:rFonts w:ascii="宋体" w:hAnsi="宋体" w:cs="宋体" w:eastAsia="宋体" w:hint="default"/>
                <w:sz w:val="21"/>
                <w:szCs w:val="21"/>
              </w:rPr>
            </w:pPr>
            <w:r>
              <w:rPr>
                <w:rFonts w:ascii="宋体" w:hAnsi="宋体" w:cs="宋体" w:eastAsia="宋体" w:hint="default"/>
                <w:b/>
                <w:bCs/>
                <w:sz w:val="21"/>
                <w:szCs w:val="21"/>
              </w:rPr>
              <w:t>本期新增补助</w:t>
            </w:r>
            <w:r>
              <w:rPr>
                <w:rFonts w:ascii="宋体" w:hAnsi="宋体" w:cs="宋体" w:eastAsia="宋体" w:hint="default"/>
                <w:b/>
                <w:bCs/>
                <w:w w:val="99"/>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69"/>
              <w:jc w:val="left"/>
              <w:rPr>
                <w:rFonts w:ascii="宋体" w:hAnsi="宋体" w:cs="宋体" w:eastAsia="宋体" w:hint="default"/>
                <w:sz w:val="21"/>
                <w:szCs w:val="21"/>
              </w:rPr>
            </w:pPr>
            <w:r>
              <w:rPr>
                <w:rFonts w:ascii="宋体" w:hAnsi="宋体" w:cs="宋体" w:eastAsia="宋体" w:hint="default"/>
                <w:b/>
                <w:bCs/>
                <w:sz w:val="21"/>
                <w:szCs w:val="21"/>
              </w:rPr>
              <w:t>本期计入营业</w:t>
            </w:r>
            <w:r>
              <w:rPr>
                <w:rFonts w:ascii="宋体" w:hAnsi="宋体" w:cs="宋体" w:eastAsia="宋体" w:hint="default"/>
                <w:b/>
                <w:bCs/>
                <w:w w:val="99"/>
                <w:sz w:val="21"/>
                <w:szCs w:val="21"/>
              </w:rPr>
              <w:t> </w:t>
            </w:r>
            <w:r>
              <w:rPr>
                <w:rFonts w:ascii="宋体" w:hAnsi="宋体" w:cs="宋体" w:eastAsia="宋体" w:hint="default"/>
                <w:b/>
                <w:bCs/>
                <w:sz w:val="21"/>
                <w:szCs w:val="21"/>
              </w:rPr>
              <w:t>外收入金额</w:t>
            </w:r>
            <w:r>
              <w:rPr>
                <w:rFonts w:ascii="宋体" w:hAnsi="宋体" w:cs="宋体" w:eastAsia="宋体" w:hint="default"/>
                <w:sz w:val="21"/>
                <w:szCs w:val="21"/>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b/>
                <w:bCs/>
                <w:sz w:val="21"/>
                <w:szCs w:val="21"/>
              </w:rPr>
              <w:t>其他变动</w:t>
            </w:r>
            <w:r>
              <w:rPr>
                <w:rFonts w:ascii="宋体" w:hAnsi="宋体" w:cs="宋体" w:eastAsia="宋体" w:hint="default"/>
                <w:sz w:val="21"/>
                <w:szCs w:val="21"/>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6"/>
              <w:ind w:left="22" w:right="219"/>
              <w:jc w:val="left"/>
              <w:rPr>
                <w:rFonts w:ascii="宋体" w:hAnsi="宋体" w:cs="宋体" w:eastAsia="宋体" w:hint="default"/>
                <w:sz w:val="21"/>
                <w:szCs w:val="21"/>
              </w:rPr>
            </w:pPr>
            <w:r>
              <w:rPr>
                <w:rFonts w:ascii="宋体" w:hAnsi="宋体" w:cs="宋体" w:eastAsia="宋体" w:hint="default"/>
                <w:b/>
                <w:bCs/>
                <w:sz w:val="21"/>
                <w:szCs w:val="21"/>
              </w:rPr>
              <w:t>与资产相关</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与收益相关</w:t>
            </w:r>
            <w:r>
              <w:rPr>
                <w:rFonts w:ascii="宋体" w:hAnsi="宋体" w:cs="宋体" w:eastAsia="宋体" w:hint="default"/>
                <w:sz w:val="21"/>
                <w:szCs w:val="21"/>
              </w:rPr>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2"/>
              <w:jc w:val="both"/>
              <w:rPr>
                <w:rFonts w:ascii="宋体" w:hAnsi="宋体" w:cs="宋体" w:eastAsia="宋体" w:hint="default"/>
                <w:sz w:val="21"/>
                <w:szCs w:val="21"/>
              </w:rPr>
            </w:pPr>
            <w:r>
              <w:rPr>
                <w:rFonts w:ascii="宋体" w:hAnsi="宋体" w:cs="宋体" w:eastAsia="宋体" w:hint="default"/>
                <w:sz w:val="21"/>
                <w:szCs w:val="21"/>
              </w:rPr>
              <w:t>文化创意产业 发展专项资金 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69,999.97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140,000.03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2"/>
              <w:jc w:val="both"/>
              <w:rPr>
                <w:rFonts w:ascii="宋体" w:hAnsi="宋体" w:cs="宋体" w:eastAsia="宋体" w:hint="default"/>
                <w:sz w:val="21"/>
                <w:szCs w:val="21"/>
              </w:rPr>
            </w:pPr>
            <w:r>
              <w:rPr>
                <w:rFonts w:ascii="宋体" w:hAnsi="宋体" w:cs="宋体" w:eastAsia="宋体" w:hint="default"/>
                <w:sz w:val="21"/>
                <w:szCs w:val="21"/>
              </w:rPr>
              <w:t>基于原创模式 的协同出版服 务与应用平台 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1,556,666.83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1,560,000.00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2,856,666.61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260,000.22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购房补贴</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2"/>
              <w:jc w:val="both"/>
              <w:rPr>
                <w:rFonts w:ascii="宋体" w:hAnsi="宋体" w:cs="宋体" w:eastAsia="宋体" w:hint="default"/>
                <w:sz w:val="21"/>
                <w:szCs w:val="21"/>
              </w:rPr>
            </w:pPr>
            <w:r>
              <w:rPr>
                <w:rFonts w:ascii="宋体" w:hAnsi="宋体" w:cs="宋体" w:eastAsia="宋体" w:hint="default"/>
                <w:sz w:val="21"/>
                <w:szCs w:val="21"/>
              </w:rPr>
              <w:t>书香湖北互联 网数字图书馆 补助款</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4,000,000.00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4,000,000.00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9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26"/>
              <w:ind w:left="22" w:right="72"/>
              <w:jc w:val="left"/>
              <w:rPr>
                <w:rFonts w:ascii="宋体" w:hAnsi="宋体" w:cs="宋体" w:eastAsia="宋体" w:hint="default"/>
                <w:sz w:val="21"/>
                <w:szCs w:val="21"/>
              </w:rPr>
            </w:pPr>
            <w:r>
              <w:rPr>
                <w:rFonts w:ascii="宋体" w:hAnsi="宋体" w:cs="宋体" w:eastAsia="宋体" w:hint="default"/>
                <w:sz w:val="21"/>
                <w:szCs w:val="21"/>
              </w:rPr>
              <w:t>基于数字出版 技术与企业文 化建设融合的 </w:t>
            </w:r>
            <w:r>
              <w:rPr>
                <w:rFonts w:ascii="Times New Roman" w:hAnsi="Times New Roman" w:cs="Times New Roman" w:eastAsia="Times New Roman" w:hint="default"/>
                <w:sz w:val="21"/>
                <w:szCs w:val="21"/>
              </w:rPr>
              <w:t>"</w:t>
            </w:r>
            <w:r>
              <w:rPr>
                <w:rFonts w:ascii="宋体" w:hAnsi="宋体" w:cs="宋体" w:eastAsia="宋体" w:hint="default"/>
                <w:sz w:val="21"/>
                <w:szCs w:val="21"/>
              </w:rPr>
              <w:t>红云非公党 建平台</w:t>
            </w:r>
            <w:r>
              <w:rPr>
                <w:rFonts w:ascii="Times New Roman" w:hAnsi="Times New Roman" w:cs="Times New Roman" w:eastAsia="Times New Roman" w:hint="default"/>
                <w:sz w:val="21"/>
                <w:szCs w:val="21"/>
              </w:rPr>
              <w:t>"</w:t>
            </w:r>
            <w:r>
              <w:rPr>
                <w:rFonts w:ascii="宋体" w:hAnsi="宋体" w:cs="宋体" w:eastAsia="宋体" w:hint="default"/>
                <w:sz w:val="21"/>
                <w:szCs w:val="21"/>
              </w:rPr>
              <w:t>开发 与应用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1,320,000.00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1,320,000.00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2,640,000.00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入区奖励</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2"/>
              <w:jc w:val="both"/>
              <w:rPr>
                <w:rFonts w:ascii="宋体" w:hAnsi="宋体" w:cs="宋体" w:eastAsia="宋体" w:hint="default"/>
                <w:sz w:val="21"/>
                <w:szCs w:val="21"/>
              </w:rPr>
            </w:pPr>
            <w:r>
              <w:rPr>
                <w:rFonts w:ascii="宋体" w:hAnsi="宋体" w:cs="宋体" w:eastAsia="宋体" w:hint="default"/>
                <w:sz w:val="21"/>
                <w:szCs w:val="21"/>
              </w:rPr>
              <w:t>文化内容多维 度评价体系研 发补贴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255,471.68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373,584.91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629,056.59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98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6"/>
              <w:ind w:left="22" w:right="72"/>
              <w:jc w:val="both"/>
              <w:rPr>
                <w:rFonts w:ascii="宋体" w:hAnsi="宋体" w:cs="宋体" w:eastAsia="宋体" w:hint="default"/>
                <w:sz w:val="21"/>
                <w:szCs w:val="21"/>
              </w:rPr>
            </w:pPr>
            <w:r>
              <w:rPr>
                <w:rFonts w:ascii="宋体" w:hAnsi="宋体" w:cs="宋体" w:eastAsia="宋体" w:hint="default"/>
                <w:sz w:val="21"/>
                <w:szCs w:val="21"/>
              </w:rPr>
              <w:t>出版内容多业 态协同发布支 撑技术研究补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324,000.00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584,000.00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0" w:lineRule="auto"/>
        <w:jc w:val="left"/>
        <w:rPr>
          <w:rFonts w:ascii="宋体" w:hAnsi="宋体" w:cs="宋体" w:eastAsia="宋体" w:hint="default"/>
          <w:sz w:val="21"/>
          <w:szCs w:val="21"/>
        </w:rPr>
        <w:sectPr>
          <w:pgSz w:w="11910" w:h="16840"/>
          <w:pgMar w:header="0"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贴</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2"/>
              <w:jc w:val="left"/>
              <w:rPr>
                <w:rFonts w:ascii="宋体" w:hAnsi="宋体" w:cs="宋体" w:eastAsia="宋体" w:hint="default"/>
                <w:sz w:val="21"/>
                <w:szCs w:val="21"/>
              </w:rPr>
            </w:pPr>
            <w:r>
              <w:rPr>
                <w:rFonts w:ascii="宋体" w:hAnsi="宋体" w:cs="宋体" w:eastAsia="宋体" w:hint="default"/>
                <w:sz w:val="21"/>
                <w:szCs w:val="21"/>
              </w:rPr>
              <w:t>张江管委会财 政扶持款</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466,000.00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466,000.00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117,600.00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628,474.21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746,074.21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11" w:right="0"/>
              <w:jc w:val="left"/>
              <w:rPr>
                <w:rFonts w:ascii="Times New Roman" w:hAnsi="Times New Roman" w:cs="Times New Roman" w:eastAsia="Times New Roman" w:hint="default"/>
                <w:sz w:val="21"/>
                <w:szCs w:val="21"/>
              </w:rPr>
            </w:pPr>
            <w:r>
              <w:rPr>
                <w:rFonts w:ascii="Times New Roman"/>
                <w:sz w:val="21"/>
              </w:rPr>
              <w:t>3,719,738.51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13,672,059.12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13,991,797.38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3,400,000.25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8"/>
          <w:szCs w:val="18"/>
        </w:rPr>
      </w:pPr>
    </w:p>
    <w:p>
      <w:pPr>
        <w:spacing w:line="499" w:lineRule="auto" w:before="26"/>
        <w:ind w:left="633" w:right="7605" w:hanging="480"/>
        <w:jc w:val="left"/>
        <w:rPr>
          <w:rFonts w:ascii="宋体" w:hAnsi="宋体" w:cs="宋体" w:eastAsia="宋体" w:hint="default"/>
          <w:sz w:val="24"/>
          <w:szCs w:val="24"/>
        </w:rPr>
      </w:pPr>
      <w:bookmarkStart w:name="52、其他非流动负债" w:id="269"/>
      <w:bookmarkEnd w:id="269"/>
      <w:r>
        <w:rPr/>
      </w:r>
      <w:r>
        <w:rPr>
          <w:rFonts w:ascii="Times New Roman" w:hAnsi="Times New Roman" w:cs="Times New Roman" w:eastAsia="Times New Roman" w:hint="default"/>
          <w:b/>
          <w:bCs/>
          <w:sz w:val="24"/>
          <w:szCs w:val="24"/>
        </w:rPr>
        <w:t>52</w:t>
      </w:r>
      <w:r>
        <w:rPr>
          <w:rFonts w:ascii="宋体" w:hAnsi="宋体" w:cs="宋体" w:eastAsia="宋体" w:hint="default"/>
          <w:b/>
          <w:bCs/>
          <w:sz w:val="24"/>
          <w:szCs w:val="24"/>
        </w:rPr>
        <w:t>、其他非流动负债</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before="115"/>
        <w:ind w:left="153" w:right="0" w:firstLine="0"/>
        <w:jc w:val="left"/>
        <w:rPr>
          <w:rFonts w:ascii="宋体" w:hAnsi="宋体" w:cs="宋体" w:eastAsia="宋体" w:hint="default"/>
          <w:sz w:val="24"/>
          <w:szCs w:val="24"/>
        </w:rPr>
      </w:pPr>
      <w:bookmarkStart w:name="53、股本" w:id="270"/>
      <w:bookmarkEnd w:id="270"/>
      <w:r>
        <w:rPr/>
      </w:r>
      <w:r>
        <w:rPr>
          <w:rFonts w:ascii="Times New Roman" w:hAnsi="Times New Roman" w:cs="Times New Roman" w:eastAsia="Times New Roman" w:hint="default"/>
          <w:b/>
          <w:bCs/>
          <w:sz w:val="24"/>
          <w:szCs w:val="24"/>
        </w:rPr>
        <w:t>53</w:t>
      </w:r>
      <w:r>
        <w:rPr>
          <w:rFonts w:ascii="宋体" w:hAnsi="宋体" w:cs="宋体" w:eastAsia="宋体" w:hint="default"/>
          <w:b/>
          <w:bCs/>
          <w:sz w:val="24"/>
          <w:szCs w:val="24"/>
        </w:rPr>
        <w:t>、股本</w:t>
      </w:r>
      <w:r>
        <w:rPr>
          <w:rFonts w:ascii="宋体" w:hAnsi="宋体" w:cs="宋体" w:eastAsia="宋体" w:hint="default"/>
          <w:sz w:val="24"/>
          <w:szCs w:val="24"/>
        </w:rPr>
      </w:r>
    </w:p>
    <w:p>
      <w:pPr>
        <w:spacing w:line="240" w:lineRule="auto" w:before="6"/>
        <w:rPr>
          <w:rFonts w:ascii="宋体" w:hAnsi="宋体" w:cs="宋体" w:eastAsia="宋体" w:hint="default"/>
          <w:b/>
          <w:bCs/>
          <w:sz w:val="19"/>
          <w:szCs w:val="19"/>
        </w:rPr>
      </w:pPr>
    </w:p>
    <w:p>
      <w:pPr>
        <w:pStyle w:val="BodyText"/>
        <w:spacing w:line="240" w:lineRule="auto"/>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184"/>
        <w:gridCol w:w="1357"/>
        <w:gridCol w:w="103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5821"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792" w:right="0"/>
              <w:jc w:val="left"/>
              <w:rPr>
                <w:rFonts w:ascii="宋体" w:hAnsi="宋体" w:cs="宋体" w:eastAsia="宋体" w:hint="default"/>
                <w:sz w:val="21"/>
                <w:szCs w:val="21"/>
              </w:rPr>
            </w:pPr>
            <w:r>
              <w:rPr>
                <w:rFonts w:ascii="宋体" w:hAnsi="宋体" w:cs="宋体" w:eastAsia="宋体" w:hint="default"/>
                <w:b/>
                <w:bCs/>
                <w:sz w:val="21"/>
                <w:szCs w:val="21"/>
              </w:rPr>
              <w:t>本次变动增减（</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50"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5821"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70"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357" w:type="dxa"/>
            <w:vMerge/>
            <w:tcBorders>
              <w:left w:val="single" w:sz="4" w:space="0" w:color="000000"/>
              <w:bottom w:val="nil" w:sz="6" w:space="0" w:color="auto"/>
              <w:right w:val="single" w:sz="4" w:space="0" w:color="000000"/>
            </w:tcBorders>
            <w:shd w:val="clear" w:color="auto" w:fill="D2D2D2"/>
          </w:tcPr>
          <w:p>
            <w:pPr/>
          </w:p>
        </w:tc>
        <w:tc>
          <w:tcPr>
            <w:tcW w:w="10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b/>
                <w:bCs/>
                <w:sz w:val="21"/>
                <w:szCs w:val="21"/>
              </w:rPr>
              <w:t>发行新股</w:t>
            </w:r>
            <w:r>
              <w:rPr>
                <w:rFonts w:ascii="宋体" w:hAnsi="宋体" w:cs="宋体" w:eastAsia="宋体" w:hint="default"/>
                <w:sz w:val="21"/>
                <w:szCs w:val="21"/>
              </w:rPr>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81" w:right="0"/>
              <w:jc w:val="left"/>
              <w:rPr>
                <w:rFonts w:ascii="宋体" w:hAnsi="宋体" w:cs="宋体" w:eastAsia="宋体" w:hint="default"/>
                <w:sz w:val="21"/>
                <w:szCs w:val="21"/>
              </w:rPr>
            </w:pPr>
            <w:r>
              <w:rPr>
                <w:rFonts w:ascii="宋体" w:hAnsi="宋体" w:cs="宋体" w:eastAsia="宋体" w:hint="default"/>
                <w:b/>
                <w:bCs/>
                <w:sz w:val="21"/>
                <w:szCs w:val="21"/>
              </w:rPr>
              <w:t>送股</w:t>
            </w:r>
            <w:r>
              <w:rPr>
                <w:rFonts w:ascii="宋体" w:hAnsi="宋体" w:cs="宋体" w:eastAsia="宋体" w:hint="default"/>
                <w:sz w:val="21"/>
                <w:szCs w:val="21"/>
              </w:rPr>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65" w:right="0"/>
              <w:jc w:val="left"/>
              <w:rPr>
                <w:rFonts w:ascii="宋体" w:hAnsi="宋体" w:cs="宋体" w:eastAsia="宋体" w:hint="default"/>
                <w:sz w:val="21"/>
                <w:szCs w:val="21"/>
              </w:rPr>
            </w:pPr>
            <w:r>
              <w:rPr>
                <w:rFonts w:ascii="宋体" w:hAnsi="宋体" w:cs="宋体" w:eastAsia="宋体" w:hint="default"/>
                <w:b/>
                <w:bCs/>
                <w:sz w:val="21"/>
                <w:szCs w:val="21"/>
              </w:rPr>
              <w:t>公积金转股</w:t>
            </w:r>
            <w:r>
              <w:rPr>
                <w:rFonts w:ascii="宋体" w:hAnsi="宋体" w:cs="宋体" w:eastAsia="宋体" w:hint="default"/>
                <w:sz w:val="21"/>
                <w:szCs w:val="21"/>
              </w:rPr>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82" w:right="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81"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7" w:type="dxa"/>
            <w:vMerge w:val="restart"/>
            <w:tcBorders>
              <w:top w:val="single" w:sz="4" w:space="0" w:color="000000"/>
              <w:left w:val="single" w:sz="10" w:space="0" w:color="D2D2D2"/>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9" w:right="0"/>
              <w:jc w:val="left"/>
              <w:rPr>
                <w:rFonts w:ascii="Times New Roman" w:hAnsi="Times New Roman" w:cs="Times New Roman" w:eastAsia="Times New Roman" w:hint="default"/>
                <w:sz w:val="21"/>
                <w:szCs w:val="21"/>
              </w:rPr>
            </w:pPr>
            <w:r>
              <w:rPr>
                <w:rFonts w:ascii="Times New Roman"/>
                <w:sz w:val="21"/>
              </w:rPr>
              <w:t>90,000,000.00</w:t>
            </w:r>
          </w:p>
        </w:tc>
        <w:tc>
          <w:tcPr>
            <w:tcW w:w="1036"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90,000,000.0</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0</w:t>
            </w:r>
          </w:p>
        </w:tc>
      </w:tr>
      <w:tr>
        <w:trPr>
          <w:trHeight w:val="391"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357" w:type="dxa"/>
            <w:vMerge/>
            <w:tcBorders>
              <w:left w:val="single" w:sz="10" w:space="0" w:color="D2D2D2"/>
              <w:right w:val="single" w:sz="4" w:space="0" w:color="000000"/>
            </w:tcBorders>
          </w:tcPr>
          <w:p>
            <w:pPr/>
          </w:p>
        </w:tc>
        <w:tc>
          <w:tcPr>
            <w:tcW w:w="103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2"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7" w:type="dxa"/>
            <w:vMerge/>
            <w:tcBorders>
              <w:left w:val="single" w:sz="10" w:space="0" w:color="D2D2D2"/>
              <w:bottom w:val="single" w:sz="4" w:space="0" w:color="000000"/>
              <w:right w:val="single" w:sz="4" w:space="0" w:color="000000"/>
            </w:tcBorders>
          </w:tcPr>
          <w:p>
            <w:pPr/>
          </w:p>
        </w:tc>
        <w:tc>
          <w:tcPr>
            <w:tcW w:w="103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spacing w:line="499" w:lineRule="auto" w:before="26"/>
        <w:ind w:left="633" w:right="7846" w:hanging="480"/>
        <w:jc w:val="left"/>
        <w:rPr>
          <w:rFonts w:ascii="宋体" w:hAnsi="宋体" w:cs="宋体" w:eastAsia="宋体" w:hint="default"/>
          <w:sz w:val="24"/>
          <w:szCs w:val="24"/>
        </w:rPr>
      </w:pPr>
      <w:bookmarkStart w:name="54、其他权益工具" w:id="271"/>
      <w:bookmarkEnd w:id="271"/>
      <w:r>
        <w:rPr/>
      </w:r>
      <w:r>
        <w:rPr>
          <w:rFonts w:ascii="Times New Roman" w:hAnsi="Times New Roman" w:cs="Times New Roman" w:eastAsia="Times New Roman" w:hint="default"/>
          <w:b/>
          <w:bCs/>
          <w:sz w:val="24"/>
          <w:szCs w:val="24"/>
        </w:rPr>
        <w:t>54</w:t>
      </w:r>
      <w:r>
        <w:rPr>
          <w:rFonts w:ascii="宋体" w:hAnsi="宋体" w:cs="宋体" w:eastAsia="宋体" w:hint="default"/>
          <w:b/>
          <w:bCs/>
          <w:sz w:val="24"/>
          <w:szCs w:val="24"/>
        </w:rPr>
        <w:t>、其他权益工具</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before="115"/>
        <w:ind w:left="153" w:right="0" w:firstLine="0"/>
        <w:jc w:val="left"/>
        <w:rPr>
          <w:rFonts w:ascii="宋体" w:hAnsi="宋体" w:cs="宋体" w:eastAsia="宋体" w:hint="default"/>
          <w:sz w:val="24"/>
          <w:szCs w:val="24"/>
        </w:rPr>
      </w:pPr>
      <w:bookmarkStart w:name="55、资本公积" w:id="272"/>
      <w:bookmarkEnd w:id="272"/>
      <w:r>
        <w:rPr/>
      </w:r>
      <w:r>
        <w:rPr>
          <w:rFonts w:ascii="Times New Roman" w:hAnsi="Times New Roman" w:cs="Times New Roman" w:eastAsia="Times New Roman" w:hint="default"/>
          <w:b/>
          <w:bCs/>
          <w:sz w:val="24"/>
          <w:szCs w:val="24"/>
        </w:rPr>
        <w:t>55</w:t>
      </w:r>
      <w:r>
        <w:rPr>
          <w:rFonts w:ascii="宋体" w:hAnsi="宋体" w:cs="宋体" w:eastAsia="宋体" w:hint="default"/>
          <w:b/>
          <w:bCs/>
          <w:sz w:val="24"/>
          <w:szCs w:val="24"/>
        </w:rPr>
        <w:t>、资本公积</w:t>
      </w:r>
      <w:r>
        <w:rPr>
          <w:rFonts w:ascii="宋体" w:hAnsi="宋体" w:cs="宋体" w:eastAsia="宋体" w:hint="default"/>
          <w:sz w:val="24"/>
          <w:szCs w:val="24"/>
        </w:rPr>
      </w:r>
    </w:p>
    <w:p>
      <w:pPr>
        <w:spacing w:line="240" w:lineRule="auto" w:before="6"/>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4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29"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29"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29"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86"/>
              <w:jc w:val="left"/>
              <w:rPr>
                <w:rFonts w:ascii="宋体" w:hAnsi="宋体" w:cs="宋体" w:eastAsia="宋体" w:hint="default"/>
                <w:sz w:val="21"/>
                <w:szCs w:val="21"/>
              </w:rPr>
            </w:pPr>
            <w:r>
              <w:rPr>
                <w:rFonts w:ascii="宋体" w:hAnsi="宋体" w:cs="宋体" w:eastAsia="宋体" w:hint="default"/>
                <w:sz w:val="21"/>
                <w:szCs w:val="21"/>
              </w:rPr>
              <w:t>资本溢价（股本溢 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29,880,245.78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29,880,245.78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29,880,245.78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29,880,245.78</w:t>
            </w: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56、库存股" w:id="273"/>
      <w:bookmarkEnd w:id="273"/>
      <w:r>
        <w:rPr/>
      </w:r>
      <w:r>
        <w:rPr>
          <w:rFonts w:ascii="Times New Roman" w:hAnsi="Times New Roman" w:cs="Times New Roman" w:eastAsia="Times New Roman" w:hint="default"/>
          <w:b/>
          <w:bCs/>
          <w:sz w:val="24"/>
          <w:szCs w:val="24"/>
        </w:rPr>
        <w:t>56</w:t>
      </w:r>
      <w:r>
        <w:rPr>
          <w:rFonts w:ascii="宋体" w:hAnsi="宋体" w:cs="宋体" w:eastAsia="宋体" w:hint="default"/>
          <w:b/>
          <w:bCs/>
          <w:sz w:val="24"/>
          <w:szCs w:val="24"/>
        </w:rPr>
        <w:t>、库存股</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pStyle w:val="BodyText"/>
        <w:spacing w:line="240" w:lineRule="auto" w:before="0"/>
        <w:ind w:left="634" w:right="0"/>
        <w:jc w:val="left"/>
      </w:pPr>
      <w:r>
        <w:rPr/>
        <w:t>无。</w:t>
      </w:r>
    </w:p>
    <w:p>
      <w:pPr>
        <w:spacing w:line="240" w:lineRule="auto" w:before="9"/>
        <w:rPr>
          <w:rFonts w:ascii="宋体" w:hAnsi="宋体" w:cs="宋体" w:eastAsia="宋体" w:hint="default"/>
          <w:sz w:val="28"/>
          <w:szCs w:val="28"/>
        </w:rPr>
      </w:pPr>
    </w:p>
    <w:p>
      <w:pPr>
        <w:spacing w:line="499" w:lineRule="auto" w:before="0"/>
        <w:ind w:left="633" w:right="7846" w:hanging="480"/>
        <w:jc w:val="left"/>
        <w:rPr>
          <w:rFonts w:ascii="宋体" w:hAnsi="宋体" w:cs="宋体" w:eastAsia="宋体" w:hint="default"/>
          <w:sz w:val="24"/>
          <w:szCs w:val="24"/>
        </w:rPr>
      </w:pPr>
      <w:bookmarkStart w:name="57、其他综合收益" w:id="274"/>
      <w:bookmarkEnd w:id="274"/>
      <w:r>
        <w:rPr/>
      </w:r>
      <w:r>
        <w:rPr>
          <w:rFonts w:ascii="Times New Roman" w:hAnsi="Times New Roman" w:cs="Times New Roman" w:eastAsia="Times New Roman" w:hint="default"/>
          <w:b/>
          <w:bCs/>
          <w:sz w:val="24"/>
          <w:szCs w:val="24"/>
        </w:rPr>
        <w:t>57</w:t>
      </w:r>
      <w:r>
        <w:rPr>
          <w:rFonts w:ascii="宋体" w:hAnsi="宋体" w:cs="宋体" w:eastAsia="宋体" w:hint="default"/>
          <w:b/>
          <w:bCs/>
          <w:sz w:val="24"/>
          <w:szCs w:val="24"/>
        </w:rPr>
        <w:t>、其他综合收益</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after="0" w:line="499" w:lineRule="auto"/>
        <w:jc w:val="left"/>
        <w:rPr>
          <w:rFonts w:ascii="宋体" w:hAnsi="宋体" w:cs="宋体" w:eastAsia="宋体" w:hint="default"/>
          <w:sz w:val="24"/>
          <w:szCs w:val="24"/>
        </w:rPr>
        <w:sectPr>
          <w:pgSz w:w="11910" w:h="16840"/>
          <w:pgMar w:header="0" w:footer="979" w:top="1100" w:bottom="1160" w:left="980" w:right="980"/>
        </w:sectPr>
      </w:pPr>
    </w:p>
    <w:p>
      <w:pPr>
        <w:spacing w:line="240" w:lineRule="auto" w:before="8"/>
        <w:rPr>
          <w:rFonts w:ascii="宋体" w:hAnsi="宋体" w:cs="宋体" w:eastAsia="宋体" w:hint="default"/>
          <w:sz w:val="19"/>
          <w:szCs w:val="19"/>
        </w:rPr>
      </w:pPr>
    </w:p>
    <w:p>
      <w:pPr>
        <w:spacing w:line="513" w:lineRule="auto" w:before="26"/>
        <w:ind w:left="134" w:right="8327" w:firstLine="0"/>
        <w:jc w:val="center"/>
        <w:rPr>
          <w:rFonts w:ascii="宋体" w:hAnsi="宋体" w:cs="宋体" w:eastAsia="宋体" w:hint="default"/>
          <w:sz w:val="24"/>
          <w:szCs w:val="24"/>
        </w:rPr>
      </w:pPr>
      <w:bookmarkStart w:name="58、专项储备" w:id="275"/>
      <w:bookmarkEnd w:id="275"/>
      <w:r>
        <w:rPr/>
      </w:r>
      <w:r>
        <w:rPr>
          <w:rFonts w:ascii="Times New Roman" w:hAnsi="Times New Roman" w:cs="Times New Roman" w:eastAsia="Times New Roman" w:hint="default"/>
          <w:b/>
          <w:bCs/>
          <w:w w:val="95"/>
          <w:sz w:val="24"/>
          <w:szCs w:val="24"/>
        </w:rPr>
        <w:t>58</w:t>
      </w:r>
      <w:r>
        <w:rPr>
          <w:rFonts w:ascii="宋体" w:hAnsi="宋体" w:cs="宋体" w:eastAsia="宋体" w:hint="default"/>
          <w:b/>
          <w:bCs/>
          <w:w w:val="95"/>
          <w:sz w:val="24"/>
          <w:szCs w:val="24"/>
        </w:rPr>
        <w:t>、专项储备</w:t>
      </w:r>
      <w:r>
        <w:rPr>
          <w:rFonts w:ascii="宋体" w:hAnsi="宋体" w:cs="宋体" w:eastAsia="宋体" w:hint="default"/>
          <w:b/>
          <w:bCs/>
          <w:spacing w:val="-52"/>
          <w:w w:val="95"/>
          <w:sz w:val="24"/>
          <w:szCs w:val="24"/>
        </w:rPr>
        <w:t> </w:t>
      </w:r>
      <w:r>
        <w:rPr>
          <w:rFonts w:ascii="宋体" w:hAnsi="宋体" w:cs="宋体" w:eastAsia="宋体" w:hint="default"/>
          <w:sz w:val="24"/>
          <w:szCs w:val="24"/>
        </w:rPr>
        <w:t>无。 </w:t>
      </w:r>
      <w:bookmarkStart w:name="59、盈余公积" w:id="276"/>
      <w:bookmarkEnd w:id="276"/>
      <w:r>
        <w:rPr>
          <w:rFonts w:ascii="宋体" w:hAnsi="宋体" w:cs="宋体" w:eastAsia="宋体" w:hint="default"/>
          <w:sz w:val="24"/>
          <w:szCs w:val="24"/>
        </w:rPr>
      </w:r>
      <w:r>
        <w:rPr>
          <w:rFonts w:ascii="Times New Roman" w:hAnsi="Times New Roman" w:cs="Times New Roman" w:eastAsia="Times New Roman" w:hint="default"/>
          <w:b/>
          <w:bCs/>
          <w:w w:val="95"/>
          <w:sz w:val="24"/>
          <w:szCs w:val="24"/>
        </w:rPr>
        <w:t>59</w:t>
      </w:r>
      <w:r>
        <w:rPr>
          <w:rFonts w:ascii="宋体" w:hAnsi="宋体" w:cs="宋体" w:eastAsia="宋体" w:hint="default"/>
          <w:b/>
          <w:bCs/>
          <w:w w:val="95"/>
          <w:sz w:val="24"/>
          <w:szCs w:val="24"/>
        </w:rPr>
        <w:t>、盈余公积</w:t>
      </w:r>
      <w:r>
        <w:rPr>
          <w:rFonts w:ascii="宋体" w:hAnsi="宋体" w:cs="宋体" w:eastAsia="宋体" w:hint="default"/>
          <w:sz w:val="24"/>
          <w:szCs w:val="24"/>
        </w:rPr>
      </w:r>
    </w:p>
    <w:p>
      <w:pPr>
        <w:pStyle w:val="BodyText"/>
        <w:spacing w:line="292" w:lineRule="exact" w:before="0"/>
        <w:ind w:left="0" w:right="15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4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29"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29"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29"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13,794,398.76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6,403,951.32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20,198,350.08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13,794,398.76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6,403,951.32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20,198,350.08</w:t>
            </w: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60、未分配利润" w:id="277"/>
      <w:bookmarkEnd w:id="277"/>
      <w:r>
        <w:rPr/>
      </w:r>
      <w:r>
        <w:rPr>
          <w:rFonts w:ascii="Times New Roman" w:hAnsi="Times New Roman" w:cs="Times New Roman" w:eastAsia="Times New Roman" w:hint="default"/>
          <w:b/>
          <w:bCs/>
          <w:sz w:val="24"/>
          <w:szCs w:val="24"/>
        </w:rPr>
        <w:t>60</w:t>
      </w:r>
      <w:r>
        <w:rPr>
          <w:rFonts w:ascii="宋体" w:hAnsi="宋体" w:cs="宋体" w:eastAsia="宋体" w:hint="default"/>
          <w:b/>
          <w:bCs/>
          <w:sz w:val="24"/>
          <w:szCs w:val="24"/>
        </w:rPr>
        <w:t>、未分配利润</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b/>
                <w:bCs/>
                <w:sz w:val="21"/>
                <w:szCs w:val="21"/>
              </w:rPr>
              <w:t>本期</w:t>
            </w:r>
            <w:r>
              <w:rPr>
                <w:rFonts w:ascii="宋体" w:hAnsi="宋体" w:cs="宋体" w:eastAsia="宋体" w:hint="default"/>
                <w:sz w:val="21"/>
                <w:szCs w:val="21"/>
              </w:rPr>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上期</w:t>
            </w:r>
            <w:r>
              <w:rPr>
                <w:rFonts w:ascii="宋体" w:hAnsi="宋体" w:cs="宋体" w:eastAsia="宋体" w:hint="default"/>
                <w:sz w:val="21"/>
                <w:szCs w:val="21"/>
              </w:rPr>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129,661,894.51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100,970,867.51</w:t>
            </w:r>
          </w:p>
        </w:tc>
      </w:tr>
      <w:tr>
        <w:trPr>
          <w:trHeight w:val="714"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6"/>
              <w:ind w:left="22" w:right="20"/>
              <w:jc w:val="left"/>
              <w:rPr>
                <w:rFonts w:ascii="宋体" w:hAnsi="宋体" w:cs="宋体" w:eastAsia="宋体" w:hint="default"/>
                <w:sz w:val="21"/>
                <w:szCs w:val="21"/>
              </w:rPr>
            </w:pPr>
            <w:r>
              <w:rPr>
                <w:rFonts w:ascii="宋体" w:hAnsi="宋体" w:cs="宋体" w:eastAsia="宋体" w:hint="default"/>
                <w:spacing w:val="-2"/>
                <w:sz w:val="21"/>
                <w:szCs w:val="21"/>
              </w:rPr>
              <w:t>调整期初未分配利润合计数（调增</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，调</w:t>
            </w:r>
            <w:r>
              <w:rPr>
                <w:rFonts w:ascii="宋体" w:hAnsi="宋体" w:cs="宋体" w:eastAsia="宋体" w:hint="default"/>
                <w:spacing w:val="-99"/>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129,661,894.51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100,970,867.51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46,169,543.67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44,873,935.32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6,403,951.32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4,611,000.17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8,299,800.31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11,571,908.15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161,127,686.55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129,661,894.51</w:t>
            </w:r>
          </w:p>
        </w:tc>
      </w:tr>
    </w:tbl>
    <w:p>
      <w:pPr>
        <w:pStyle w:val="BodyText"/>
        <w:spacing w:line="388" w:lineRule="auto" w:before="81"/>
        <w:ind w:left="634" w:right="652"/>
        <w:jc w:val="left"/>
      </w:pPr>
      <w:r>
        <w:rPr/>
        <w:t>调整期初未分配利润明细： </w:t>
      </w:r>
      <w:r>
        <w:rPr>
          <w:rFonts w:ascii="宋体" w:hAnsi="宋体" w:cs="宋体" w:eastAsia="宋体" w:hint="default"/>
        </w:rPr>
        <w:t>1)</w:t>
      </w:r>
      <w:r>
        <w:rPr/>
        <w:t>由于《企业会计准则》及其相关新规定进行追溯调整，影响期初未分配利润元。</w:t>
      </w:r>
    </w:p>
    <w:p>
      <w:pPr>
        <w:pStyle w:val="BodyText"/>
        <w:spacing w:line="240" w:lineRule="auto" w:before="46"/>
        <w:ind w:left="633" w:right="0"/>
        <w:jc w:val="left"/>
      </w:pPr>
      <w:r>
        <w:rPr>
          <w:rFonts w:ascii="宋体" w:hAnsi="宋体" w:cs="宋体" w:eastAsia="宋体" w:hint="default"/>
        </w:rPr>
        <w:t>2)</w:t>
      </w:r>
      <w:r>
        <w:rPr/>
        <w:t>由于会计政策变更，影响期初未分配利润元。</w:t>
      </w:r>
    </w:p>
    <w:p>
      <w:pPr>
        <w:pStyle w:val="BodyText"/>
        <w:spacing w:line="240" w:lineRule="auto" w:before="194"/>
        <w:ind w:left="634" w:right="0"/>
        <w:jc w:val="left"/>
      </w:pPr>
      <w:r>
        <w:rPr>
          <w:rFonts w:ascii="宋体" w:hAnsi="宋体" w:cs="宋体" w:eastAsia="宋体" w:hint="default"/>
        </w:rPr>
        <w:t>3)</w:t>
      </w:r>
      <w:r>
        <w:rPr/>
        <w:t>由于重大会计差错更正，影响期初未分配利润元。</w:t>
      </w:r>
    </w:p>
    <w:p>
      <w:pPr>
        <w:pStyle w:val="BodyText"/>
        <w:spacing w:line="240" w:lineRule="auto" w:before="193"/>
        <w:ind w:left="633" w:right="0"/>
        <w:jc w:val="left"/>
      </w:pPr>
      <w:r>
        <w:rPr>
          <w:rFonts w:ascii="宋体" w:hAnsi="宋体" w:cs="宋体" w:eastAsia="宋体" w:hint="default"/>
        </w:rPr>
        <w:t>4)</w:t>
      </w:r>
      <w:r>
        <w:rPr/>
        <w:t>由于同一控制导致的合并范围变更，影响期初未分配利润元。</w:t>
      </w:r>
    </w:p>
    <w:p>
      <w:pPr>
        <w:spacing w:after="0" w:line="240" w:lineRule="auto"/>
        <w:jc w:val="left"/>
        <w:sectPr>
          <w:pgSz w:w="11910" w:h="16840"/>
          <w:pgMar w:header="0" w:footer="979" w:top="1100" w:bottom="1160" w:left="980" w:right="980"/>
        </w:sectPr>
      </w:pPr>
    </w:p>
    <w:p>
      <w:pPr>
        <w:spacing w:line="240" w:lineRule="auto" w:before="9"/>
        <w:rPr>
          <w:rFonts w:ascii="宋体" w:hAnsi="宋体" w:cs="宋体" w:eastAsia="宋体" w:hint="default"/>
          <w:sz w:val="25"/>
          <w:szCs w:val="25"/>
        </w:rPr>
      </w:pPr>
    </w:p>
    <w:p>
      <w:pPr>
        <w:pStyle w:val="BodyText"/>
        <w:spacing w:line="240" w:lineRule="auto"/>
        <w:ind w:left="634" w:right="0"/>
        <w:jc w:val="left"/>
      </w:pPr>
      <w:r>
        <w:rPr>
          <w:rFonts w:ascii="宋体" w:hAnsi="宋体" w:cs="宋体" w:eastAsia="宋体" w:hint="default"/>
        </w:rPr>
        <w:t>5)</w:t>
      </w:r>
      <w:r>
        <w:rPr/>
        <w:t>其他调整合计影响期初未分配利润元。</w:t>
      </w:r>
    </w:p>
    <w:p>
      <w:pPr>
        <w:spacing w:line="240" w:lineRule="auto" w:before="8"/>
        <w:rPr>
          <w:rFonts w:ascii="宋体" w:hAnsi="宋体" w:cs="宋体" w:eastAsia="宋体" w:hint="default"/>
          <w:sz w:val="28"/>
          <w:szCs w:val="28"/>
        </w:rPr>
      </w:pPr>
    </w:p>
    <w:p>
      <w:pPr>
        <w:spacing w:before="0"/>
        <w:ind w:left="154" w:right="0" w:firstLine="0"/>
        <w:jc w:val="left"/>
        <w:rPr>
          <w:rFonts w:ascii="宋体" w:hAnsi="宋体" w:cs="宋体" w:eastAsia="宋体" w:hint="default"/>
          <w:sz w:val="24"/>
          <w:szCs w:val="24"/>
        </w:rPr>
      </w:pPr>
      <w:bookmarkStart w:name="61、营业收入和营业成本" w:id="278"/>
      <w:bookmarkEnd w:id="278"/>
      <w:r>
        <w:rPr/>
      </w:r>
      <w:r>
        <w:rPr>
          <w:rFonts w:ascii="Times New Roman" w:hAnsi="Times New Roman" w:cs="Times New Roman" w:eastAsia="Times New Roman" w:hint="default"/>
          <w:b/>
          <w:bCs/>
          <w:sz w:val="24"/>
          <w:szCs w:val="24"/>
        </w:rPr>
        <w:t>61</w:t>
      </w:r>
      <w:r>
        <w:rPr>
          <w:rFonts w:ascii="宋体" w:hAnsi="宋体" w:cs="宋体" w:eastAsia="宋体" w:hint="default"/>
          <w:b/>
          <w:bCs/>
          <w:sz w:val="24"/>
          <w:szCs w:val="24"/>
        </w:rPr>
        <w:t>、营业收入和营业成本</w:t>
      </w:r>
      <w:r>
        <w:rPr>
          <w:rFonts w:ascii="宋体" w:hAnsi="宋体" w:cs="宋体" w:eastAsia="宋体" w:hint="default"/>
          <w:sz w:val="24"/>
          <w:szCs w:val="24"/>
        </w:rPr>
      </w:r>
    </w:p>
    <w:p>
      <w:pPr>
        <w:spacing w:line="240" w:lineRule="auto" w:before="7"/>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成本</w:t>
            </w:r>
            <w:r>
              <w:rPr>
                <w:rFonts w:ascii="宋体" w:hAnsi="宋体" w:cs="宋体" w:eastAsia="宋体" w:hint="default"/>
                <w:sz w:val="21"/>
                <w:szCs w:val="21"/>
              </w:rPr>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成本</w:t>
            </w:r>
            <w:r>
              <w:rPr>
                <w:rFonts w:ascii="宋体" w:hAnsi="宋体" w:cs="宋体" w:eastAsia="宋体" w:hint="default"/>
                <w:sz w:val="21"/>
                <w:szCs w:val="21"/>
              </w:rPr>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269,738,063.00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144,735,750.21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220,336,179.37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110,675,015.48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269,738,063.00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144,735,750.21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220,336,179.37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110,675,015.48</w:t>
            </w: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62、营业税金及附加" w:id="279"/>
      <w:bookmarkEnd w:id="279"/>
      <w:r>
        <w:rPr/>
      </w:r>
      <w:r>
        <w:rPr>
          <w:rFonts w:ascii="Times New Roman" w:hAnsi="Times New Roman" w:cs="Times New Roman" w:eastAsia="Times New Roman" w:hint="default"/>
          <w:b/>
          <w:bCs/>
          <w:sz w:val="24"/>
          <w:szCs w:val="24"/>
        </w:rPr>
        <w:t>62</w:t>
      </w:r>
      <w:r>
        <w:rPr>
          <w:rFonts w:ascii="宋体" w:hAnsi="宋体" w:cs="宋体" w:eastAsia="宋体" w:hint="default"/>
          <w:b/>
          <w:bCs/>
          <w:sz w:val="24"/>
          <w:szCs w:val="24"/>
        </w:rPr>
        <w:t>、营业税金及附加</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652,863.56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2,376,697.76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860,006.11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618,192.12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653,548.64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455,178.72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357,080.18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225,202.76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2,523,498.49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3,675,271.36</w:t>
            </w: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63、销售费用" w:id="280"/>
      <w:bookmarkEnd w:id="280"/>
      <w:r>
        <w:rPr/>
      </w:r>
      <w:r>
        <w:rPr>
          <w:rFonts w:ascii="Times New Roman" w:hAnsi="Times New Roman" w:cs="Times New Roman" w:eastAsia="Times New Roman" w:hint="default"/>
          <w:b/>
          <w:bCs/>
          <w:sz w:val="24"/>
          <w:szCs w:val="24"/>
        </w:rPr>
        <w:t>63</w:t>
      </w:r>
      <w:r>
        <w:rPr>
          <w:rFonts w:ascii="宋体" w:hAnsi="宋体" w:cs="宋体" w:eastAsia="宋体" w:hint="default"/>
          <w:b/>
          <w:bCs/>
          <w:sz w:val="24"/>
          <w:szCs w:val="24"/>
        </w:rPr>
        <w:t>、销售费用</w:t>
      </w:r>
      <w:r>
        <w:rPr>
          <w:rFonts w:ascii="宋体" w:hAnsi="宋体" w:cs="宋体" w:eastAsia="宋体" w:hint="default"/>
          <w:sz w:val="24"/>
          <w:szCs w:val="24"/>
        </w:rPr>
      </w:r>
    </w:p>
    <w:p>
      <w:pPr>
        <w:spacing w:line="240" w:lineRule="auto" w:before="6"/>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22,250,735.06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15,198,584.42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271,674.33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72,590.84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565,647.60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465,941.87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差旅及交通费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1,476,164.16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1,234,288.03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1,481,507.90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1,222,271.89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141,842.84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58,017.60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369,779.49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406,977.23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1,720,093.69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1,270,940.10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28,277,445.07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19,929,611.98</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00" w:bottom="1160" w:left="980" w:right="980"/>
        </w:sectPr>
      </w:pPr>
    </w:p>
    <w:p>
      <w:pPr>
        <w:spacing w:line="240" w:lineRule="auto" w:before="9"/>
        <w:rPr>
          <w:rFonts w:ascii="宋体" w:hAnsi="宋体" w:cs="宋体" w:eastAsia="宋体" w:hint="default"/>
          <w:sz w:val="19"/>
          <w:szCs w:val="19"/>
        </w:rPr>
      </w:pPr>
    </w:p>
    <w:p>
      <w:pPr>
        <w:spacing w:before="26"/>
        <w:ind w:left="154" w:right="0" w:firstLine="0"/>
        <w:jc w:val="left"/>
        <w:rPr>
          <w:rFonts w:ascii="宋体" w:hAnsi="宋体" w:cs="宋体" w:eastAsia="宋体" w:hint="default"/>
          <w:sz w:val="24"/>
          <w:szCs w:val="24"/>
        </w:rPr>
      </w:pPr>
      <w:bookmarkStart w:name="64、管理费用" w:id="281"/>
      <w:bookmarkEnd w:id="281"/>
      <w:r>
        <w:rPr/>
      </w:r>
      <w:r>
        <w:rPr>
          <w:rFonts w:ascii="Times New Roman" w:hAnsi="Times New Roman" w:cs="Times New Roman" w:eastAsia="Times New Roman" w:hint="default"/>
          <w:b/>
          <w:bCs/>
          <w:sz w:val="24"/>
          <w:szCs w:val="24"/>
        </w:rPr>
        <w:t>64</w:t>
      </w:r>
      <w:r>
        <w:rPr>
          <w:rFonts w:ascii="宋体" w:hAnsi="宋体" w:cs="宋体" w:eastAsia="宋体" w:hint="default"/>
          <w:b/>
          <w:bCs/>
          <w:sz w:val="24"/>
          <w:szCs w:val="24"/>
        </w:rPr>
        <w:t>、管理费用</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31,924,600.61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24,059,864.58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12,485,000.14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12,164,945.53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6,331,166.02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6,441,871.20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2,349,151.18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863,458.49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197,430.91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185,759.82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752,044.19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589,360.90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差旅及交通费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556,967.57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442,427.40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613,851.13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669,531.89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邮电通讯费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195,579.93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211,983.21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404,988.58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352,876.95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379,165.83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410,094.51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478,739.12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382,820.24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387,444.78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367,746.30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232,700.66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198,362.03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董事会费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313,800.00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316,484.00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315,968.56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207,451.55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57,918,599.21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47,865,038.60</w:t>
            </w: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65、财务费用" w:id="282"/>
      <w:bookmarkEnd w:id="282"/>
      <w:r>
        <w:rPr/>
      </w:r>
      <w:r>
        <w:rPr>
          <w:rFonts w:ascii="Times New Roman" w:hAnsi="Times New Roman" w:cs="Times New Roman" w:eastAsia="Times New Roman" w:hint="default"/>
          <w:b/>
          <w:bCs/>
          <w:sz w:val="24"/>
          <w:szCs w:val="24"/>
        </w:rPr>
        <w:t>65</w:t>
      </w:r>
      <w:r>
        <w:rPr>
          <w:rFonts w:ascii="宋体" w:hAnsi="宋体" w:cs="宋体" w:eastAsia="宋体" w:hint="default"/>
          <w:b/>
          <w:bCs/>
          <w:sz w:val="24"/>
          <w:szCs w:val="24"/>
        </w:rPr>
        <w:t>、财务费用</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1,570,233.35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1,283,078.59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928,967.29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加：汇兑损失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25,961.39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加：其他支出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80,291.93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55,143.51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393,408.08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-873,823.78</w:t>
            </w:r>
            <w:r>
              <w:rPr>
                <w:rFonts w:ascii="Times New Roman"/>
                <w:sz w:val="21"/>
              </w:rPr>
            </w: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66、资产减值损失" w:id="283"/>
      <w:bookmarkEnd w:id="283"/>
      <w:r>
        <w:rPr/>
      </w:r>
      <w:r>
        <w:rPr>
          <w:rFonts w:ascii="Times New Roman" w:hAnsi="Times New Roman" w:cs="Times New Roman" w:eastAsia="Times New Roman" w:hint="default"/>
          <w:b/>
          <w:bCs/>
          <w:sz w:val="24"/>
          <w:szCs w:val="24"/>
        </w:rPr>
        <w:t>66</w:t>
      </w:r>
      <w:r>
        <w:rPr>
          <w:rFonts w:ascii="宋体" w:hAnsi="宋体" w:cs="宋体" w:eastAsia="宋体" w:hint="default"/>
          <w:b/>
          <w:bCs/>
          <w:sz w:val="24"/>
          <w:szCs w:val="24"/>
        </w:rPr>
        <w:t>、资产减值损失</w:t>
      </w:r>
      <w:r>
        <w:rPr>
          <w:rFonts w:ascii="宋体" w:hAnsi="宋体" w:cs="宋体" w:eastAsia="宋体" w:hint="default"/>
          <w:sz w:val="24"/>
          <w:szCs w:val="24"/>
        </w:rPr>
      </w:r>
    </w:p>
    <w:p>
      <w:pPr>
        <w:spacing w:line="240" w:lineRule="auto" w:before="7"/>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0"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2,045,610.23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2,074,321.64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2,045,610.23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2,074,321.64</w:t>
            </w:r>
          </w:p>
        </w:tc>
      </w:tr>
    </w:tbl>
    <w:p>
      <w:pPr>
        <w:spacing w:line="240" w:lineRule="auto" w:before="2"/>
        <w:rPr>
          <w:rFonts w:ascii="宋体" w:hAnsi="宋体" w:cs="宋体" w:eastAsia="宋体" w:hint="default"/>
          <w:sz w:val="18"/>
          <w:szCs w:val="18"/>
        </w:rPr>
      </w:pPr>
    </w:p>
    <w:p>
      <w:pPr>
        <w:spacing w:line="499" w:lineRule="auto" w:before="26"/>
        <w:ind w:left="633" w:right="7364" w:hanging="480"/>
        <w:jc w:val="left"/>
        <w:rPr>
          <w:rFonts w:ascii="宋体" w:hAnsi="宋体" w:cs="宋体" w:eastAsia="宋体" w:hint="default"/>
          <w:sz w:val="24"/>
          <w:szCs w:val="24"/>
        </w:rPr>
      </w:pPr>
      <w:bookmarkStart w:name="67、公允价值变动收益" w:id="284"/>
      <w:bookmarkEnd w:id="284"/>
      <w:r>
        <w:rPr/>
      </w:r>
      <w:r>
        <w:rPr>
          <w:rFonts w:ascii="Times New Roman" w:hAnsi="Times New Roman" w:cs="Times New Roman" w:eastAsia="Times New Roman" w:hint="default"/>
          <w:b/>
          <w:bCs/>
          <w:sz w:val="24"/>
          <w:szCs w:val="24"/>
        </w:rPr>
        <w:t>67</w:t>
      </w:r>
      <w:r>
        <w:rPr>
          <w:rFonts w:ascii="宋体" w:hAnsi="宋体" w:cs="宋体" w:eastAsia="宋体" w:hint="default"/>
          <w:b/>
          <w:bCs/>
          <w:sz w:val="24"/>
          <w:szCs w:val="24"/>
        </w:rPr>
        <w:t>、公允价值变动收益</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before="116"/>
        <w:ind w:left="153" w:right="0" w:firstLine="0"/>
        <w:jc w:val="left"/>
        <w:rPr>
          <w:rFonts w:ascii="宋体" w:hAnsi="宋体" w:cs="宋体" w:eastAsia="宋体" w:hint="default"/>
          <w:sz w:val="24"/>
          <w:szCs w:val="24"/>
        </w:rPr>
      </w:pPr>
      <w:bookmarkStart w:name="68、投资收益" w:id="285"/>
      <w:bookmarkEnd w:id="285"/>
      <w:r>
        <w:rPr/>
      </w:r>
      <w:r>
        <w:rPr>
          <w:rFonts w:ascii="Times New Roman" w:hAnsi="Times New Roman" w:cs="Times New Roman" w:eastAsia="Times New Roman" w:hint="default"/>
          <w:b/>
          <w:bCs/>
          <w:sz w:val="24"/>
          <w:szCs w:val="24"/>
        </w:rPr>
        <w:t>68</w:t>
      </w:r>
      <w:r>
        <w:rPr>
          <w:rFonts w:ascii="宋体" w:hAnsi="宋体" w:cs="宋体" w:eastAsia="宋体" w:hint="default"/>
          <w:b/>
          <w:bCs/>
          <w:sz w:val="24"/>
          <w:szCs w:val="24"/>
        </w:rPr>
        <w:t>、投资收益</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6"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2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2056" w:right="0"/>
              <w:jc w:val="left"/>
              <w:rPr>
                <w:rFonts w:ascii="Times New Roman" w:hAnsi="Times New Roman" w:cs="Times New Roman" w:eastAsia="Times New Roman" w:hint="default"/>
                <w:sz w:val="21"/>
                <w:szCs w:val="21"/>
              </w:rPr>
            </w:pPr>
            <w:r>
              <w:rPr>
                <w:rFonts w:ascii="Times New Roman"/>
                <w:sz w:val="21"/>
              </w:rPr>
              <w:t>6,076,431.33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82" w:right="0"/>
              <w:jc w:val="left"/>
              <w:rPr>
                <w:rFonts w:ascii="Times New Roman" w:hAnsi="Times New Roman" w:cs="Times New Roman" w:eastAsia="Times New Roman" w:hint="default"/>
                <w:sz w:val="21"/>
                <w:szCs w:val="21"/>
              </w:rPr>
            </w:pPr>
            <w:r>
              <w:rPr>
                <w:rFonts w:ascii="Times New Roman"/>
                <w:sz w:val="21"/>
              </w:rPr>
              <w:t>3,602,419.43</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54"/>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 益的金融资产在持有期间的投资收益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54"/>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 期损益的金融资产取得的投资收益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54"/>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 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54"/>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 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54"/>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 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36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重新计量产生的利得</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56" w:right="0"/>
              <w:jc w:val="left"/>
              <w:rPr>
                <w:rFonts w:ascii="Times New Roman" w:hAnsi="Times New Roman" w:cs="Times New Roman" w:eastAsia="Times New Roman" w:hint="default"/>
                <w:sz w:val="21"/>
                <w:szCs w:val="21"/>
              </w:rPr>
            </w:pPr>
            <w:r>
              <w:rPr>
                <w:rFonts w:ascii="Times New Roman"/>
                <w:sz w:val="21"/>
              </w:rPr>
              <w:t>6,076,431.33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82" w:right="0"/>
              <w:jc w:val="left"/>
              <w:rPr>
                <w:rFonts w:ascii="Times New Roman" w:hAnsi="Times New Roman" w:cs="Times New Roman" w:eastAsia="Times New Roman" w:hint="default"/>
                <w:sz w:val="21"/>
                <w:szCs w:val="21"/>
              </w:rPr>
            </w:pPr>
            <w:r>
              <w:rPr>
                <w:rFonts w:ascii="Times New Roman"/>
                <w:sz w:val="21"/>
              </w:rPr>
              <w:t>3,602,419.43</w:t>
            </w: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69、营业外收入" w:id="286"/>
      <w:bookmarkEnd w:id="286"/>
      <w:r>
        <w:rPr/>
      </w:r>
      <w:r>
        <w:rPr>
          <w:rFonts w:ascii="Times New Roman" w:hAnsi="Times New Roman" w:cs="Times New Roman" w:eastAsia="Times New Roman" w:hint="default"/>
          <w:b/>
          <w:bCs/>
          <w:sz w:val="24"/>
          <w:szCs w:val="24"/>
        </w:rPr>
        <w:t>69</w:t>
      </w:r>
      <w:r>
        <w:rPr>
          <w:rFonts w:ascii="宋体" w:hAnsi="宋体" w:cs="宋体" w:eastAsia="宋体" w:hint="default"/>
          <w:b/>
          <w:bCs/>
          <w:sz w:val="24"/>
          <w:szCs w:val="24"/>
        </w:rPr>
        <w:t>、营业外收入</w:t>
      </w:r>
      <w:r>
        <w:rPr>
          <w:rFonts w:ascii="宋体" w:hAnsi="宋体" w:cs="宋体" w:eastAsia="宋体" w:hint="default"/>
          <w:sz w:val="24"/>
          <w:szCs w:val="24"/>
        </w:rPr>
      </w:r>
    </w:p>
    <w:p>
      <w:pPr>
        <w:spacing w:line="240" w:lineRule="auto" w:before="6"/>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980" w:right="31" w:hanging="950"/>
              <w:jc w:val="left"/>
              <w:rPr>
                <w:rFonts w:ascii="宋体" w:hAnsi="宋体" w:cs="宋体" w:eastAsia="宋体" w:hint="default"/>
                <w:sz w:val="21"/>
                <w:szCs w:val="21"/>
              </w:rPr>
            </w:pPr>
            <w:r>
              <w:rPr>
                <w:rFonts w:ascii="宋体" w:hAnsi="宋体" w:cs="宋体" w:eastAsia="宋体" w:hint="default"/>
                <w:b/>
                <w:bCs/>
                <w:sz w:val="21"/>
                <w:szCs w:val="21"/>
              </w:rPr>
              <w:t>计入当期非经常性损益的</w:t>
            </w:r>
            <w:r>
              <w:rPr>
                <w:rFonts w:ascii="宋体" w:hAnsi="宋体" w:cs="宋体" w:eastAsia="宋体" w:hint="default"/>
                <w:b/>
                <w:bCs/>
                <w:w w:val="99"/>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66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66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653"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13,991,797.38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11,034,282.30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13,991,797.38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增值税返还收入</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197,743.61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912.50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z w:val="21"/>
              </w:rPr>
              <w:t>69,823.58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13,992,709.88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11,301,849.49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13,991,797.38</w:t>
            </w:r>
          </w:p>
        </w:tc>
      </w:tr>
    </w:tbl>
    <w:p>
      <w:pPr>
        <w:pStyle w:val="BodyText"/>
        <w:spacing w:line="240" w:lineRule="auto" w:before="81"/>
        <w:ind w:left="634" w:right="0"/>
        <w:jc w:val="left"/>
      </w:pPr>
      <w:r>
        <w:rPr/>
        <w:t>计入当期损益的政府补助：</w:t>
      </w:r>
    </w:p>
    <w:p>
      <w:pPr>
        <w:pStyle w:val="BodyText"/>
        <w:spacing w:line="240" w:lineRule="auto" w:before="114"/>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7" w:right="0"/>
              <w:jc w:val="left"/>
              <w:rPr>
                <w:rFonts w:ascii="宋体" w:hAnsi="宋体" w:cs="宋体" w:eastAsia="宋体" w:hint="default"/>
                <w:sz w:val="21"/>
                <w:szCs w:val="21"/>
              </w:rPr>
            </w:pPr>
            <w:r>
              <w:rPr>
                <w:rFonts w:ascii="宋体" w:hAnsi="宋体" w:cs="宋体" w:eastAsia="宋体" w:hint="default"/>
                <w:b/>
                <w:bCs/>
                <w:sz w:val="21"/>
                <w:szCs w:val="21"/>
              </w:rPr>
              <w:t>补助项目</w:t>
            </w:r>
            <w:r>
              <w:rPr>
                <w:rFonts w:ascii="宋体" w:hAnsi="宋体" w:cs="宋体" w:eastAsia="宋体" w:hint="default"/>
                <w:sz w:val="21"/>
                <w:szCs w:val="21"/>
              </w:rPr>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59" w:right="0"/>
              <w:jc w:val="left"/>
              <w:rPr>
                <w:rFonts w:ascii="宋体" w:hAnsi="宋体" w:cs="宋体" w:eastAsia="宋体" w:hint="default"/>
                <w:sz w:val="21"/>
                <w:szCs w:val="21"/>
              </w:rPr>
            </w:pPr>
            <w:r>
              <w:rPr>
                <w:rFonts w:ascii="宋体" w:hAnsi="宋体" w:cs="宋体" w:eastAsia="宋体" w:hint="default"/>
                <w:b/>
                <w:bCs/>
                <w:sz w:val="21"/>
                <w:szCs w:val="21"/>
              </w:rPr>
              <w:t>本期发生金额</w:t>
            </w:r>
            <w:r>
              <w:rPr>
                <w:rFonts w:ascii="宋体" w:hAnsi="宋体" w:cs="宋体" w:eastAsia="宋体" w:hint="default"/>
                <w:sz w:val="21"/>
                <w:szCs w:val="21"/>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57" w:right="0"/>
              <w:jc w:val="left"/>
              <w:rPr>
                <w:rFonts w:ascii="宋体" w:hAnsi="宋体" w:cs="宋体" w:eastAsia="宋体" w:hint="default"/>
                <w:sz w:val="21"/>
                <w:szCs w:val="21"/>
              </w:rPr>
            </w:pPr>
            <w:r>
              <w:rPr>
                <w:rFonts w:ascii="宋体" w:hAnsi="宋体" w:cs="宋体" w:eastAsia="宋体" w:hint="default"/>
                <w:b/>
                <w:bCs/>
                <w:sz w:val="21"/>
                <w:szCs w:val="21"/>
              </w:rPr>
              <w:t>上期发生金额</w:t>
            </w:r>
            <w:r>
              <w:rPr>
                <w:rFonts w:ascii="宋体" w:hAnsi="宋体" w:cs="宋体" w:eastAsia="宋体" w:hint="default"/>
                <w:sz w:val="21"/>
                <w:szCs w:val="21"/>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b/>
                <w:bCs/>
                <w:sz w:val="21"/>
                <w:szCs w:val="21"/>
              </w:rPr>
              <w:t>与资产相关</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与收益相关</w:t>
            </w:r>
            <w:r>
              <w:rPr>
                <w:rFonts w:ascii="宋体" w:hAnsi="宋体" w:cs="宋体" w:eastAsia="宋体" w:hint="default"/>
                <w:sz w:val="21"/>
                <w:szCs w:val="21"/>
              </w:rPr>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5"/>
              <w:jc w:val="left"/>
              <w:rPr>
                <w:rFonts w:ascii="宋体" w:hAnsi="宋体" w:cs="宋体" w:eastAsia="宋体" w:hint="default"/>
                <w:sz w:val="21"/>
                <w:szCs w:val="21"/>
              </w:rPr>
            </w:pPr>
            <w:r>
              <w:rPr>
                <w:rFonts w:ascii="宋体" w:hAnsi="宋体" w:cs="宋体" w:eastAsia="宋体" w:hint="default"/>
                <w:sz w:val="21"/>
                <w:szCs w:val="21"/>
              </w:rPr>
              <w:t>文化创意产业发展专项资 金补助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69,999.97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1,169,592.00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5"/>
              <w:jc w:val="left"/>
              <w:rPr>
                <w:rFonts w:ascii="宋体" w:hAnsi="宋体" w:cs="宋体" w:eastAsia="宋体" w:hint="default"/>
                <w:sz w:val="21"/>
                <w:szCs w:val="21"/>
              </w:rPr>
            </w:pPr>
            <w:r>
              <w:rPr>
                <w:rFonts w:ascii="宋体" w:hAnsi="宋体" w:cs="宋体" w:eastAsia="宋体" w:hint="default"/>
                <w:sz w:val="21"/>
                <w:szCs w:val="21"/>
              </w:rPr>
              <w:t>基于原创模式的协同出版 服务与应用平台补助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2,856,666.61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1,109,999.89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5"/>
              <w:jc w:val="left"/>
              <w:rPr>
                <w:rFonts w:ascii="宋体" w:hAnsi="宋体" w:cs="宋体" w:eastAsia="宋体" w:hint="default"/>
                <w:sz w:val="21"/>
                <w:szCs w:val="21"/>
              </w:rPr>
            </w:pPr>
            <w:r>
              <w:rPr>
                <w:rFonts w:ascii="宋体" w:hAnsi="宋体" w:cs="宋体" w:eastAsia="宋体" w:hint="default"/>
                <w:sz w:val="21"/>
                <w:szCs w:val="21"/>
              </w:rPr>
              <w:t>书香湖北互联网数字图书 馆补助款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6"/>
              <w:ind w:left="22" w:right="45"/>
              <w:jc w:val="left"/>
              <w:rPr>
                <w:rFonts w:ascii="宋体" w:hAnsi="宋体" w:cs="宋体" w:eastAsia="宋体" w:hint="default"/>
                <w:sz w:val="21"/>
                <w:szCs w:val="21"/>
              </w:rPr>
            </w:pPr>
            <w:r>
              <w:rPr>
                <w:rFonts w:ascii="宋体" w:hAnsi="宋体" w:cs="宋体" w:eastAsia="宋体" w:hint="default"/>
                <w:sz w:val="21"/>
                <w:szCs w:val="21"/>
              </w:rPr>
              <w:t>基于数字出版技术与企业 文化建设融合的</w:t>
            </w:r>
            <w:r>
              <w:rPr>
                <w:rFonts w:ascii="Times New Roman" w:hAnsi="Times New Roman" w:cs="Times New Roman" w:eastAsia="Times New Roman" w:hint="default"/>
                <w:sz w:val="21"/>
                <w:szCs w:val="21"/>
              </w:rPr>
              <w:t>"</w:t>
            </w:r>
            <w:r>
              <w:rPr>
                <w:rFonts w:ascii="宋体" w:hAnsi="宋体" w:cs="宋体" w:eastAsia="宋体" w:hint="default"/>
                <w:sz w:val="21"/>
                <w:szCs w:val="21"/>
              </w:rPr>
              <w:t>红云非 公党建平台</w:t>
            </w:r>
            <w:r>
              <w:rPr>
                <w:rFonts w:ascii="Times New Roman" w:hAnsi="Times New Roman" w:cs="Times New Roman" w:eastAsia="Times New Roman" w:hint="default"/>
                <w:sz w:val="21"/>
                <w:szCs w:val="21"/>
              </w:rPr>
              <w:t>"</w:t>
            </w:r>
            <w:r>
              <w:rPr>
                <w:rFonts w:ascii="宋体" w:hAnsi="宋体" w:cs="宋体" w:eastAsia="宋体" w:hint="default"/>
                <w:sz w:val="21"/>
                <w:szCs w:val="21"/>
              </w:rPr>
              <w:t>开发与应用</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2,640,000.00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入区奖励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5"/>
              <w:jc w:val="left"/>
              <w:rPr>
                <w:rFonts w:ascii="宋体" w:hAnsi="宋体" w:cs="宋体" w:eastAsia="宋体" w:hint="default"/>
                <w:sz w:val="21"/>
                <w:szCs w:val="21"/>
              </w:rPr>
            </w:pPr>
            <w:r>
              <w:rPr>
                <w:rFonts w:ascii="宋体" w:hAnsi="宋体" w:cs="宋体" w:eastAsia="宋体" w:hint="default"/>
                <w:sz w:val="21"/>
                <w:szCs w:val="21"/>
              </w:rPr>
              <w:t>文化内容多维度评价体系 研发补贴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629,056.59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330,943.41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5"/>
              <w:jc w:val="left"/>
              <w:rPr>
                <w:rFonts w:ascii="宋体" w:hAnsi="宋体" w:cs="宋体" w:eastAsia="宋体" w:hint="default"/>
                <w:sz w:val="21"/>
                <w:szCs w:val="21"/>
              </w:rPr>
            </w:pPr>
            <w:r>
              <w:rPr>
                <w:rFonts w:ascii="宋体" w:hAnsi="宋体" w:cs="宋体" w:eastAsia="宋体" w:hint="default"/>
                <w:sz w:val="21"/>
                <w:szCs w:val="21"/>
              </w:rPr>
              <w:t>出版内容多业态协同发布 支撑技术研究补贴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584,000.00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张江管委会财政扶持款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466,000.00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131,000.00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中关村</w:t>
            </w:r>
            <w:r>
              <w:rPr>
                <w:rFonts w:ascii="Times New Roman" w:hAnsi="Times New Roman" w:cs="Times New Roman" w:eastAsia="Times New Roman" w:hint="default"/>
                <w:sz w:val="21"/>
                <w:szCs w:val="21"/>
              </w:rPr>
              <w:t>-</w:t>
            </w:r>
            <w:r>
              <w:rPr>
                <w:rFonts w:ascii="宋体" w:hAnsi="宋体" w:cs="宋体" w:eastAsia="宋体" w:hint="default"/>
                <w:sz w:val="21"/>
                <w:szCs w:val="21"/>
              </w:rPr>
              <w:t>现代服务业试点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0" w:lineRule="auto"/>
        <w:jc w:val="left"/>
        <w:rPr>
          <w:rFonts w:ascii="宋体" w:hAnsi="宋体" w:cs="宋体" w:eastAsia="宋体" w:hint="default"/>
          <w:sz w:val="21"/>
          <w:szCs w:val="21"/>
        </w:rPr>
        <w:sectPr>
          <w:pgSz w:w="11910" w:h="16840"/>
          <w:pgMar w:header="0"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746,074.21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652,747.00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13,991,797.38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11,034,282.30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70、营业外支出" w:id="287"/>
      <w:bookmarkEnd w:id="287"/>
      <w:r>
        <w:rPr/>
      </w:r>
      <w:r>
        <w:rPr>
          <w:rFonts w:ascii="Times New Roman" w:hAnsi="Times New Roman" w:cs="Times New Roman" w:eastAsia="Times New Roman" w:hint="default"/>
          <w:b/>
          <w:bCs/>
          <w:sz w:val="24"/>
          <w:szCs w:val="24"/>
        </w:rPr>
        <w:t>70</w:t>
      </w:r>
      <w:r>
        <w:rPr>
          <w:rFonts w:ascii="宋体" w:hAnsi="宋体" w:cs="宋体" w:eastAsia="宋体" w:hint="default"/>
          <w:b/>
          <w:bCs/>
          <w:sz w:val="24"/>
          <w:szCs w:val="24"/>
        </w:rPr>
        <w:t>、营业外支出</w:t>
      </w:r>
      <w:r>
        <w:rPr>
          <w:rFonts w:ascii="宋体" w:hAnsi="宋体" w:cs="宋体" w:eastAsia="宋体" w:hint="default"/>
          <w:sz w:val="24"/>
          <w:szCs w:val="24"/>
        </w:rPr>
      </w:r>
    </w:p>
    <w:p>
      <w:pPr>
        <w:spacing w:line="240" w:lineRule="auto" w:before="6"/>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161" w:hRule="exact"/>
        </w:trPr>
        <w:tc>
          <w:tcPr>
            <w:tcW w:w="2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980" w:right="31" w:hanging="950"/>
              <w:jc w:val="left"/>
              <w:rPr>
                <w:rFonts w:ascii="宋体" w:hAnsi="宋体" w:cs="宋体" w:eastAsia="宋体" w:hint="default"/>
                <w:sz w:val="21"/>
                <w:szCs w:val="21"/>
              </w:rPr>
            </w:pPr>
            <w:r>
              <w:rPr>
                <w:rFonts w:ascii="宋体" w:hAnsi="宋体" w:cs="宋体" w:eastAsia="宋体" w:hint="default"/>
                <w:b/>
                <w:bCs/>
                <w:sz w:val="21"/>
                <w:szCs w:val="21"/>
              </w:rPr>
              <w:t>计入当期非经常性损益的</w:t>
            </w:r>
            <w:r>
              <w:rPr>
                <w:rFonts w:ascii="宋体" w:hAnsi="宋体" w:cs="宋体" w:eastAsia="宋体" w:hint="default"/>
                <w:b/>
                <w:bCs/>
                <w:w w:val="99"/>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392" w:hRule="exact"/>
        </w:trPr>
        <w:tc>
          <w:tcPr>
            <w:tcW w:w="2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676"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66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218,673.85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343,790.00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218,673.85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343,790.00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71、所得税费用" w:id="288"/>
      <w:bookmarkEnd w:id="288"/>
      <w:r>
        <w:rPr/>
      </w:r>
      <w:r>
        <w:rPr>
          <w:rFonts w:ascii="Times New Roman" w:hAnsi="Times New Roman" w:cs="Times New Roman" w:eastAsia="Times New Roman" w:hint="default"/>
          <w:b/>
          <w:bCs/>
          <w:sz w:val="24"/>
          <w:szCs w:val="24"/>
        </w:rPr>
        <w:t>71</w:t>
      </w:r>
      <w:r>
        <w:rPr>
          <w:rFonts w:ascii="宋体" w:hAnsi="宋体" w:cs="宋体" w:eastAsia="宋体" w:hint="default"/>
          <w:b/>
          <w:bCs/>
          <w:sz w:val="24"/>
          <w:szCs w:val="24"/>
        </w:rPr>
        <w:t>、所得税费用</w:t>
      </w:r>
      <w:r>
        <w:rPr>
          <w:rFonts w:ascii="宋体" w:hAnsi="宋体" w:cs="宋体" w:eastAsia="宋体" w:hint="default"/>
          <w:sz w:val="24"/>
          <w:szCs w:val="24"/>
        </w:rPr>
      </w:r>
    </w:p>
    <w:p>
      <w:pPr>
        <w:spacing w:line="240" w:lineRule="auto" w:before="7"/>
        <w:rPr>
          <w:rFonts w:ascii="宋体" w:hAnsi="宋体" w:cs="宋体" w:eastAsia="宋体" w:hint="default"/>
          <w:b/>
          <w:bCs/>
          <w:sz w:val="21"/>
          <w:szCs w:val="21"/>
        </w:rPr>
      </w:pPr>
    </w:p>
    <w:p>
      <w:pPr>
        <w:spacing w:before="0"/>
        <w:ind w:left="153" w:right="0" w:firstLine="0"/>
        <w:jc w:val="left"/>
        <w:rPr>
          <w:rFonts w:ascii="宋体" w:hAnsi="宋体" w:cs="宋体" w:eastAsia="宋体" w:hint="default"/>
          <w:sz w:val="24"/>
          <w:szCs w:val="24"/>
        </w:rPr>
      </w:pPr>
      <w:bookmarkStart w:name="（1）所得税费用表" w:id="289"/>
      <w:bookmarkEnd w:id="289"/>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）所得税费用表</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7,945,967.00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6,710,450.38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-352,933.20</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-283,221.61</w:t>
            </w:r>
            <w:r>
              <w:rPr>
                <w:rFonts w:ascii="Times New Roman"/>
                <w:sz w:val="21"/>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7,593,033.80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6,427,228.77</w:t>
            </w: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2）会计利润与所得税费用调整过程" w:id="290"/>
      <w:bookmarkEnd w:id="290"/>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）会计利润与所得税费用调整过程</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53,694,219.07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13,423,554.77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-5,477,886.40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101,528.05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-1,245,978.92</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-576,384.36</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25"/>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 响</w:t>
            </w:r>
          </w:p>
        </w:tc>
        <w:tc>
          <w:tcPr>
            <w:tcW w:w="47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26"/>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 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1,368,200.66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7,593,033.80</w:t>
            </w:r>
          </w:p>
        </w:tc>
      </w:tr>
    </w:tbl>
    <w:p>
      <w:pPr>
        <w:spacing w:line="240" w:lineRule="auto" w:before="2"/>
        <w:rPr>
          <w:rFonts w:ascii="宋体" w:hAnsi="宋体" w:cs="宋体" w:eastAsia="宋体" w:hint="default"/>
          <w:sz w:val="18"/>
          <w:szCs w:val="18"/>
        </w:rPr>
      </w:pPr>
    </w:p>
    <w:p>
      <w:pPr>
        <w:spacing w:line="499" w:lineRule="auto" w:before="26"/>
        <w:ind w:left="633" w:right="7846" w:hanging="480"/>
        <w:jc w:val="left"/>
        <w:rPr>
          <w:rFonts w:ascii="宋体" w:hAnsi="宋体" w:cs="宋体" w:eastAsia="宋体" w:hint="default"/>
          <w:sz w:val="24"/>
          <w:szCs w:val="24"/>
        </w:rPr>
      </w:pPr>
      <w:bookmarkStart w:name="72、其他综合收益" w:id="291"/>
      <w:bookmarkEnd w:id="291"/>
      <w:r>
        <w:rPr/>
      </w:r>
      <w:r>
        <w:rPr>
          <w:rFonts w:ascii="Times New Roman" w:hAnsi="Times New Roman" w:cs="Times New Roman" w:eastAsia="Times New Roman" w:hint="default"/>
          <w:b/>
          <w:bCs/>
          <w:sz w:val="24"/>
          <w:szCs w:val="24"/>
        </w:rPr>
        <w:t>72</w:t>
      </w:r>
      <w:r>
        <w:rPr>
          <w:rFonts w:ascii="宋体" w:hAnsi="宋体" w:cs="宋体" w:eastAsia="宋体" w:hint="default"/>
          <w:b/>
          <w:bCs/>
          <w:sz w:val="24"/>
          <w:szCs w:val="24"/>
        </w:rPr>
        <w:t>、其他综合收益</w:t>
      </w:r>
      <w:r>
        <w:rPr>
          <w:rFonts w:ascii="宋体" w:hAnsi="宋体" w:cs="宋体" w:eastAsia="宋体" w:hint="default"/>
          <w:b/>
          <w:bCs/>
          <w:w w:val="99"/>
          <w:sz w:val="24"/>
          <w:szCs w:val="24"/>
        </w:rPr>
        <w:t> </w:t>
      </w:r>
      <w:r>
        <w:rPr>
          <w:rFonts w:ascii="宋体" w:hAnsi="宋体" w:cs="宋体" w:eastAsia="宋体" w:hint="default"/>
          <w:sz w:val="24"/>
          <w:szCs w:val="24"/>
        </w:rPr>
        <w:t>详见附注。</w:t>
      </w:r>
    </w:p>
    <w:p>
      <w:pPr>
        <w:spacing w:before="116"/>
        <w:ind w:left="154" w:right="0" w:firstLine="0"/>
        <w:jc w:val="left"/>
        <w:rPr>
          <w:rFonts w:ascii="宋体" w:hAnsi="宋体" w:cs="宋体" w:eastAsia="宋体" w:hint="default"/>
          <w:sz w:val="24"/>
          <w:szCs w:val="24"/>
        </w:rPr>
      </w:pPr>
      <w:bookmarkStart w:name="73、现金流量表项目" w:id="292"/>
      <w:bookmarkEnd w:id="292"/>
      <w:r>
        <w:rPr/>
      </w:r>
      <w:r>
        <w:rPr>
          <w:rFonts w:ascii="Times New Roman" w:hAnsi="Times New Roman" w:cs="Times New Roman" w:eastAsia="Times New Roman" w:hint="default"/>
          <w:b/>
          <w:bCs/>
          <w:sz w:val="24"/>
          <w:szCs w:val="24"/>
        </w:rPr>
        <w:t>73</w:t>
      </w:r>
      <w:r>
        <w:rPr>
          <w:rFonts w:ascii="宋体" w:hAnsi="宋体" w:cs="宋体" w:eastAsia="宋体" w:hint="default"/>
          <w:b/>
          <w:bCs/>
          <w:sz w:val="24"/>
          <w:szCs w:val="24"/>
        </w:rPr>
        <w:t>、现金流量表项目</w:t>
      </w:r>
      <w:r>
        <w:rPr>
          <w:rFonts w:ascii="宋体" w:hAnsi="宋体" w:cs="宋体" w:eastAsia="宋体" w:hint="default"/>
          <w:sz w:val="24"/>
          <w:szCs w:val="24"/>
        </w:rPr>
      </w:r>
    </w:p>
    <w:p>
      <w:pPr>
        <w:spacing w:line="240" w:lineRule="auto" w:before="6"/>
        <w:rPr>
          <w:rFonts w:ascii="宋体" w:hAnsi="宋体" w:cs="宋体" w:eastAsia="宋体" w:hint="default"/>
          <w:b/>
          <w:bCs/>
          <w:sz w:val="21"/>
          <w:szCs w:val="21"/>
        </w:rPr>
      </w:pPr>
    </w:p>
    <w:p>
      <w:pPr>
        <w:spacing w:before="0"/>
        <w:ind w:left="153" w:right="0" w:firstLine="0"/>
        <w:jc w:val="left"/>
        <w:rPr>
          <w:rFonts w:ascii="宋体" w:hAnsi="宋体" w:cs="宋体" w:eastAsia="宋体" w:hint="default"/>
          <w:sz w:val="24"/>
          <w:szCs w:val="24"/>
        </w:rPr>
      </w:pPr>
      <w:bookmarkStart w:name="（1）收到的其他与经营活动有关的现金" w:id="293"/>
      <w:bookmarkEnd w:id="293"/>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）收到的其他与经营活动有关的现金</w:t>
      </w:r>
      <w:r>
        <w:rPr>
          <w:rFonts w:ascii="宋体" w:hAnsi="宋体" w:cs="宋体" w:eastAsia="宋体" w:hint="default"/>
          <w:sz w:val="24"/>
          <w:szCs w:val="24"/>
        </w:rPr>
      </w:r>
    </w:p>
    <w:p>
      <w:pPr>
        <w:spacing w:line="240" w:lineRule="auto" w:before="6"/>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1,283,078.59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928,967.29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13,672,059.12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11,869,090.09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4,011,205.16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657,630.70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18,966,342.87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13,455,688.08</w:t>
            </w: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2）支付的其他与经营活动有关的现金" w:id="294"/>
      <w:bookmarkEnd w:id="294"/>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）支付的其他与经营活动有关的现金</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差旅及交通费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2,234,978.42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1,676,715.43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1,297,206.11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1,055,302.77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交际应酬费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2,018,500.58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1,891,803.78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621,280.15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605,339.26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审计及其他专业机构服务费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2,989,718.97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2,387,177.74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邮电通讯费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314,483.24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341,177.53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6,408,566.02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7,055,254.40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421,486.19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258,350.66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313,800.00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316,484.00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385,425.10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352,876.95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研究开发费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7,079,292.43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5,585,368.32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7,403,803.55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4,211,788.42</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52" w:right="0"/>
              <w:jc w:val="left"/>
              <w:rPr>
                <w:rFonts w:ascii="Times New Roman" w:hAnsi="Times New Roman" w:cs="Times New Roman" w:eastAsia="Times New Roman" w:hint="default"/>
                <w:sz w:val="21"/>
                <w:szCs w:val="21"/>
              </w:rPr>
            </w:pPr>
            <w:r>
              <w:rPr>
                <w:rFonts w:ascii="Times New Roman"/>
                <w:sz w:val="21"/>
              </w:rPr>
              <w:t>31,488,540.76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49" w:right="0"/>
              <w:jc w:val="left"/>
              <w:rPr>
                <w:rFonts w:ascii="Times New Roman" w:hAnsi="Times New Roman" w:cs="Times New Roman" w:eastAsia="Times New Roman" w:hint="default"/>
                <w:sz w:val="21"/>
                <w:szCs w:val="21"/>
              </w:rPr>
            </w:pPr>
            <w:r>
              <w:rPr>
                <w:rFonts w:ascii="Times New Roman"/>
                <w:sz w:val="21"/>
              </w:rPr>
              <w:t>25,737,639.26</w:t>
            </w:r>
          </w:p>
        </w:tc>
      </w:tr>
    </w:tbl>
    <w:p>
      <w:pPr>
        <w:spacing w:line="240" w:lineRule="auto" w:before="2"/>
        <w:rPr>
          <w:rFonts w:ascii="宋体" w:hAnsi="宋体" w:cs="宋体" w:eastAsia="宋体" w:hint="default"/>
          <w:sz w:val="18"/>
          <w:szCs w:val="18"/>
        </w:rPr>
      </w:pPr>
    </w:p>
    <w:p>
      <w:pPr>
        <w:spacing w:line="499" w:lineRule="auto" w:before="26"/>
        <w:ind w:left="633" w:right="5692" w:hanging="480"/>
        <w:jc w:val="left"/>
        <w:rPr>
          <w:rFonts w:ascii="宋体" w:hAnsi="宋体" w:cs="宋体" w:eastAsia="宋体" w:hint="default"/>
          <w:sz w:val="24"/>
          <w:szCs w:val="24"/>
        </w:rPr>
      </w:pPr>
      <w:bookmarkStart w:name="（3）收到的其他与投资活动有关的现金" w:id="295"/>
      <w:bookmarkEnd w:id="295"/>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3</w:t>
      </w:r>
      <w:r>
        <w:rPr>
          <w:rFonts w:ascii="宋体" w:hAnsi="宋体" w:cs="宋体" w:eastAsia="宋体" w:hint="default"/>
          <w:b/>
          <w:bCs/>
          <w:w w:val="95"/>
          <w:sz w:val="24"/>
          <w:szCs w:val="24"/>
        </w:rPr>
        <w:t>）收到的其他与投资活动有关的现金</w:t>
      </w:r>
      <w:r>
        <w:rPr>
          <w:rFonts w:ascii="宋体" w:hAnsi="宋体" w:cs="宋体" w:eastAsia="宋体" w:hint="default"/>
          <w:b/>
          <w:bCs/>
          <w:spacing w:val="80"/>
          <w:w w:val="95"/>
          <w:sz w:val="24"/>
          <w:szCs w:val="24"/>
        </w:rPr>
        <w:t> </w:t>
      </w:r>
      <w:r>
        <w:rPr>
          <w:rFonts w:ascii="宋体" w:hAnsi="宋体" w:cs="宋体" w:eastAsia="宋体" w:hint="default"/>
          <w:sz w:val="24"/>
          <w:szCs w:val="24"/>
        </w:rPr>
        <w:t>无。</w:t>
      </w:r>
    </w:p>
    <w:p>
      <w:pPr>
        <w:spacing w:line="499" w:lineRule="auto" w:before="116"/>
        <w:ind w:left="633" w:right="5692" w:hanging="480"/>
        <w:jc w:val="left"/>
        <w:rPr>
          <w:rFonts w:ascii="宋体" w:hAnsi="宋体" w:cs="宋体" w:eastAsia="宋体" w:hint="default"/>
          <w:sz w:val="24"/>
          <w:szCs w:val="24"/>
        </w:rPr>
      </w:pPr>
      <w:bookmarkStart w:name="（4）支付的其他与投资活动有关的现金" w:id="296"/>
      <w:bookmarkEnd w:id="296"/>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4</w:t>
      </w:r>
      <w:r>
        <w:rPr>
          <w:rFonts w:ascii="宋体" w:hAnsi="宋体" w:cs="宋体" w:eastAsia="宋体" w:hint="default"/>
          <w:b/>
          <w:bCs/>
          <w:w w:val="95"/>
          <w:sz w:val="24"/>
          <w:szCs w:val="24"/>
        </w:rPr>
        <w:t>）支付的其他与投资活动有关的现金</w:t>
      </w:r>
      <w:r>
        <w:rPr>
          <w:rFonts w:ascii="宋体" w:hAnsi="宋体" w:cs="宋体" w:eastAsia="宋体" w:hint="default"/>
          <w:b/>
          <w:bCs/>
          <w:spacing w:val="80"/>
          <w:w w:val="95"/>
          <w:sz w:val="24"/>
          <w:szCs w:val="24"/>
        </w:rPr>
        <w:t> </w:t>
      </w:r>
      <w:r>
        <w:rPr>
          <w:rFonts w:ascii="宋体" w:hAnsi="宋体" w:cs="宋体" w:eastAsia="宋体" w:hint="default"/>
          <w:sz w:val="24"/>
          <w:szCs w:val="24"/>
        </w:rPr>
        <w:t>无。</w:t>
      </w:r>
    </w:p>
    <w:p>
      <w:pPr>
        <w:spacing w:line="499" w:lineRule="auto" w:before="116"/>
        <w:ind w:left="633" w:right="5692" w:hanging="480"/>
        <w:jc w:val="left"/>
        <w:rPr>
          <w:rFonts w:ascii="宋体" w:hAnsi="宋体" w:cs="宋体" w:eastAsia="宋体" w:hint="default"/>
          <w:sz w:val="24"/>
          <w:szCs w:val="24"/>
        </w:rPr>
      </w:pPr>
      <w:bookmarkStart w:name="（5）收到的其他与筹资活动有关的现金" w:id="297"/>
      <w:bookmarkEnd w:id="297"/>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5</w:t>
      </w:r>
      <w:r>
        <w:rPr>
          <w:rFonts w:ascii="宋体" w:hAnsi="宋体" w:cs="宋体" w:eastAsia="宋体" w:hint="default"/>
          <w:b/>
          <w:bCs/>
          <w:w w:val="95"/>
          <w:sz w:val="24"/>
          <w:szCs w:val="24"/>
        </w:rPr>
        <w:t>）收到的其他与筹资活动有关的现金</w:t>
      </w:r>
      <w:r>
        <w:rPr>
          <w:rFonts w:ascii="宋体" w:hAnsi="宋体" w:cs="宋体" w:eastAsia="宋体" w:hint="default"/>
          <w:b/>
          <w:bCs/>
          <w:spacing w:val="80"/>
          <w:w w:val="95"/>
          <w:sz w:val="24"/>
          <w:szCs w:val="24"/>
        </w:rPr>
        <w:t> </w:t>
      </w:r>
      <w:r>
        <w:rPr>
          <w:rFonts w:ascii="宋体" w:hAnsi="宋体" w:cs="宋体" w:eastAsia="宋体" w:hint="default"/>
          <w:sz w:val="24"/>
          <w:szCs w:val="24"/>
        </w:rPr>
        <w:t>无。</w:t>
      </w:r>
    </w:p>
    <w:p>
      <w:pPr>
        <w:spacing w:line="499" w:lineRule="auto" w:before="115"/>
        <w:ind w:left="633" w:right="5557" w:hanging="480"/>
        <w:jc w:val="left"/>
        <w:rPr>
          <w:rFonts w:ascii="宋体" w:hAnsi="宋体" w:cs="宋体" w:eastAsia="宋体" w:hint="default"/>
          <w:sz w:val="24"/>
          <w:szCs w:val="24"/>
        </w:rPr>
      </w:pPr>
      <w:bookmarkStart w:name="（6）支付的其他与筹资活动有关的现金" w:id="298"/>
      <w:bookmarkEnd w:id="298"/>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）支付的其他与筹资活动有关的现金</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before="115"/>
        <w:ind w:left="153" w:right="0" w:firstLine="0"/>
        <w:jc w:val="left"/>
        <w:rPr>
          <w:rFonts w:ascii="宋体" w:hAnsi="宋体" w:cs="宋体" w:eastAsia="宋体" w:hint="default"/>
          <w:sz w:val="24"/>
          <w:szCs w:val="24"/>
        </w:rPr>
      </w:pPr>
      <w:bookmarkStart w:name="74、现金流量表补充资料" w:id="299"/>
      <w:bookmarkEnd w:id="299"/>
      <w:r>
        <w:rPr/>
      </w:r>
      <w:r>
        <w:rPr>
          <w:rFonts w:ascii="Times New Roman" w:hAnsi="Times New Roman" w:cs="Times New Roman" w:eastAsia="Times New Roman" w:hint="default"/>
          <w:b/>
          <w:bCs/>
          <w:sz w:val="24"/>
          <w:szCs w:val="24"/>
        </w:rPr>
        <w:t>74</w:t>
      </w:r>
      <w:r>
        <w:rPr>
          <w:rFonts w:ascii="宋体" w:hAnsi="宋体" w:cs="宋体" w:eastAsia="宋体" w:hint="default"/>
          <w:b/>
          <w:bCs/>
          <w:sz w:val="24"/>
          <w:szCs w:val="24"/>
        </w:rPr>
        <w:t>、现金流量表补充资料</w:t>
      </w:r>
      <w:r>
        <w:rPr>
          <w:rFonts w:ascii="宋体" w:hAnsi="宋体" w:cs="宋体" w:eastAsia="宋体" w:hint="default"/>
          <w:sz w:val="24"/>
          <w:szCs w:val="24"/>
        </w:rPr>
      </w:r>
    </w:p>
    <w:p>
      <w:pPr>
        <w:spacing w:line="240" w:lineRule="auto" w:before="8"/>
        <w:rPr>
          <w:rFonts w:ascii="宋体" w:hAnsi="宋体" w:cs="宋体" w:eastAsia="宋体" w:hint="default"/>
          <w:b/>
          <w:bCs/>
          <w:sz w:val="21"/>
          <w:szCs w:val="21"/>
        </w:rPr>
      </w:pPr>
    </w:p>
    <w:p>
      <w:pPr>
        <w:spacing w:before="0"/>
        <w:ind w:left="153" w:right="0" w:firstLine="0"/>
        <w:jc w:val="left"/>
        <w:rPr>
          <w:rFonts w:ascii="宋体" w:hAnsi="宋体" w:cs="宋体" w:eastAsia="宋体" w:hint="default"/>
          <w:sz w:val="24"/>
          <w:szCs w:val="24"/>
        </w:rPr>
      </w:pPr>
      <w:bookmarkStart w:name="（1）现金流量表补充资料" w:id="300"/>
      <w:bookmarkEnd w:id="300"/>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）现金流量表补充资料</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17"/>
        <w:gridCol w:w="3057"/>
        <w:gridCol w:w="3184"/>
      </w:tblGrid>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0"/>
              <w:jc w:val="center"/>
              <w:rPr>
                <w:rFonts w:ascii="宋体" w:hAnsi="宋体" w:cs="宋体" w:eastAsia="宋体" w:hint="default"/>
                <w:sz w:val="21"/>
                <w:szCs w:val="21"/>
              </w:rPr>
            </w:pPr>
            <w:r>
              <w:rPr>
                <w:rFonts w:ascii="宋体" w:hAnsi="宋体" w:cs="宋体" w:eastAsia="宋体" w:hint="default"/>
                <w:b/>
                <w:bCs/>
                <w:sz w:val="21"/>
                <w:szCs w:val="21"/>
              </w:rPr>
              <w:t>补充资料</w:t>
            </w:r>
            <w:r>
              <w:rPr>
                <w:rFonts w:ascii="宋体" w:hAnsi="宋体" w:cs="宋体" w:eastAsia="宋体" w:hint="default"/>
                <w:sz w:val="21"/>
                <w:szCs w:val="21"/>
              </w:rPr>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161" w:hRule="exact"/>
        </w:trPr>
        <w:tc>
          <w:tcPr>
            <w:tcW w:w="3317" w:type="dxa"/>
            <w:vMerge w:val="restart"/>
            <w:tcBorders>
              <w:top w:val="single" w:sz="4" w:space="0" w:color="000000"/>
              <w:left w:val="single" w:sz="4" w:space="0" w:color="000000"/>
              <w:right w:val="single" w:sz="4" w:space="0" w:color="000000"/>
            </w:tcBorders>
            <w:shd w:val="clear" w:color="auto" w:fill="D2D2D2"/>
          </w:tcPr>
          <w:p>
            <w:pPr>
              <w:pStyle w:val="TableParagraph"/>
              <w:spacing w:line="259" w:lineRule="auto" w:before="26"/>
              <w:ind w:left="11" w:right="2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b/>
                <w:bCs/>
                <w:w w:val="99"/>
                <w:sz w:val="21"/>
                <w:szCs w:val="21"/>
              </w:rPr>
              <w:t> </w:t>
            </w:r>
            <w:r>
              <w:rPr>
                <w:rFonts w:ascii="宋体" w:hAnsi="宋体" w:cs="宋体" w:eastAsia="宋体" w:hint="default"/>
                <w:b/>
                <w:bCs/>
                <w:sz w:val="21"/>
                <w:szCs w:val="21"/>
              </w:rPr>
              <w:t>量：</w:t>
            </w:r>
            <w:r>
              <w:rPr>
                <w:rFonts w:ascii="宋体" w:hAnsi="宋体" w:cs="宋体" w:eastAsia="宋体" w:hint="default"/>
                <w:sz w:val="21"/>
                <w:szCs w:val="21"/>
              </w:rPr>
            </w:r>
          </w:p>
        </w:tc>
        <w:tc>
          <w:tcPr>
            <w:tcW w:w="3057"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17" w:type="dxa"/>
            <w:vMerge/>
            <w:tcBorders>
              <w:left w:val="single" w:sz="4" w:space="0" w:color="000000"/>
              <w:right w:val="single" w:sz="4" w:space="0" w:color="000000"/>
            </w:tcBorders>
            <w:shd w:val="clear" w:color="auto" w:fill="D2D2D2"/>
          </w:tcPr>
          <w:p>
            <w:pPr/>
          </w:p>
        </w:tc>
        <w:tc>
          <w:tcPr>
            <w:tcW w:w="30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r>
      <w:tr>
        <w:trPr>
          <w:trHeight w:val="161" w:hRule="exact"/>
        </w:trPr>
        <w:tc>
          <w:tcPr>
            <w:tcW w:w="3317" w:type="dxa"/>
            <w:vMerge/>
            <w:tcBorders>
              <w:left w:val="single" w:sz="4" w:space="0" w:color="000000"/>
              <w:bottom w:val="single" w:sz="4" w:space="0" w:color="000000"/>
              <w:right w:val="single" w:sz="4" w:space="0" w:color="000000"/>
            </w:tcBorders>
            <w:shd w:val="clear" w:color="auto" w:fill="D2D2D2"/>
          </w:tcPr>
          <w:p>
            <w:pPr/>
          </w:p>
        </w:tc>
        <w:tc>
          <w:tcPr>
            <w:tcW w:w="3057"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46,101,185.27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45,123,994.24</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2,045,610.23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2,074,321.64</w:t>
            </w:r>
          </w:p>
        </w:tc>
      </w:tr>
      <w:tr>
        <w:trPr>
          <w:trHeight w:val="714"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22"/>
              <w:jc w:val="left"/>
              <w:rPr>
                <w:rFonts w:ascii="宋体" w:hAnsi="宋体" w:cs="宋体" w:eastAsia="宋体" w:hint="default"/>
                <w:sz w:val="21"/>
                <w:szCs w:val="21"/>
              </w:rPr>
            </w:pPr>
            <w:r>
              <w:rPr>
                <w:rFonts w:ascii="宋体" w:hAnsi="宋体" w:cs="宋体" w:eastAsia="宋体" w:hint="default"/>
                <w:spacing w:val="-6"/>
                <w:sz w:val="21"/>
                <w:szCs w:val="21"/>
              </w:rPr>
              <w:t>固定资产折旧、油气资产折耗、生产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性生物资产折旧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1,548,585.16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1,245,964.13</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13,658,193.09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9,970,843.33</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64,293.18</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22"/>
              <w:jc w:val="left"/>
              <w:rPr>
                <w:rFonts w:ascii="宋体" w:hAnsi="宋体" w:cs="宋体" w:eastAsia="宋体" w:hint="default"/>
                <w:sz w:val="21"/>
                <w:szCs w:val="21"/>
              </w:rPr>
            </w:pPr>
            <w:r>
              <w:rPr>
                <w:rFonts w:ascii="宋体" w:hAnsi="宋体" w:cs="宋体" w:eastAsia="宋体" w:hint="default"/>
                <w:spacing w:val="-6"/>
                <w:sz w:val="21"/>
                <w:szCs w:val="21"/>
              </w:rPr>
              <w:t>处置固定资产、无形资产和其他长期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资产的损失（收益以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057"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11" w:right="23"/>
              <w:jc w:val="left"/>
              <w:rPr>
                <w:rFonts w:ascii="宋体" w:hAnsi="宋体" w:cs="宋体" w:eastAsia="宋体" w:hint="default"/>
                <w:sz w:val="21"/>
                <w:szCs w:val="21"/>
              </w:rPr>
            </w:pPr>
            <w:r>
              <w:rPr>
                <w:rFonts w:ascii="宋体" w:hAnsi="宋体" w:cs="宋体" w:eastAsia="宋体" w:hint="default"/>
                <w:spacing w:val="-4"/>
                <w:sz w:val="21"/>
                <w:szCs w:val="21"/>
              </w:rPr>
              <w:t>固定资产报废损失（收益以</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号填</w:t>
            </w:r>
            <w:r>
              <w:rPr>
                <w:rFonts w:ascii="宋体" w:hAnsi="宋体" w:cs="宋体" w:eastAsia="宋体" w:hint="default"/>
                <w:sz w:val="21"/>
                <w:szCs w:val="21"/>
              </w:rPr>
              <w:t> 列）</w:t>
            </w:r>
          </w:p>
        </w:tc>
        <w:tc>
          <w:tcPr>
            <w:tcW w:w="3057"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11" w:right="23"/>
              <w:jc w:val="left"/>
              <w:rPr>
                <w:rFonts w:ascii="宋体" w:hAnsi="宋体" w:cs="宋体" w:eastAsia="宋体" w:hint="default"/>
                <w:sz w:val="21"/>
                <w:szCs w:val="21"/>
              </w:rPr>
            </w:pPr>
            <w:r>
              <w:rPr>
                <w:rFonts w:ascii="宋体" w:hAnsi="宋体" w:cs="宋体" w:eastAsia="宋体" w:hint="default"/>
                <w:spacing w:val="-4"/>
                <w:sz w:val="21"/>
                <w:szCs w:val="21"/>
              </w:rPr>
              <w:t>公允价值变动损失（收益以</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号填</w:t>
            </w:r>
            <w:r>
              <w:rPr>
                <w:rFonts w:ascii="宋体" w:hAnsi="宋体" w:cs="宋体" w:eastAsia="宋体" w:hint="default"/>
                <w:sz w:val="21"/>
                <w:szCs w:val="21"/>
              </w:rPr>
              <w:t> 列）</w:t>
            </w:r>
          </w:p>
        </w:tc>
        <w:tc>
          <w:tcPr>
            <w:tcW w:w="3057"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057"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-6,076,431.33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-3,602,419.43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11" w:right="155"/>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-352,933.20</w:t>
            </w:r>
            <w:r>
              <w:rPr>
                <w:rFonts w:ascii="Times New Roman"/>
                <w:sz w:val="21"/>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-283,221.61</w:t>
            </w:r>
            <w:r>
              <w:rPr>
                <w:rFonts w:ascii="Times New Roman"/>
                <w:sz w:val="21"/>
              </w:rPr>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11" w:right="155"/>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号填列）</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-1,446,666.98</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11" w:right="11"/>
              <w:jc w:val="left"/>
              <w:rPr>
                <w:rFonts w:ascii="宋体" w:hAnsi="宋体" w:cs="宋体" w:eastAsia="宋体" w:hint="default"/>
                <w:sz w:val="21"/>
                <w:szCs w:val="21"/>
              </w:rPr>
            </w:pPr>
            <w:r>
              <w:rPr>
                <w:rFonts w:ascii="宋体" w:hAnsi="宋体" w:cs="宋体" w:eastAsia="宋体" w:hint="default"/>
                <w:spacing w:val="-4"/>
                <w:sz w:val="21"/>
                <w:szCs w:val="21"/>
              </w:rPr>
              <w:t>经营性应收项目的减少（增加以</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-29,349,933.48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-20,359,569.87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11" w:right="11"/>
              <w:jc w:val="left"/>
              <w:rPr>
                <w:rFonts w:ascii="宋体" w:hAnsi="宋体" w:cs="宋体" w:eastAsia="宋体" w:hint="default"/>
                <w:sz w:val="21"/>
                <w:szCs w:val="21"/>
              </w:rPr>
            </w:pPr>
            <w:r>
              <w:rPr>
                <w:rFonts w:ascii="宋体" w:hAnsi="宋体" w:cs="宋体" w:eastAsia="宋体" w:hint="default"/>
                <w:spacing w:val="-4"/>
                <w:sz w:val="21"/>
                <w:szCs w:val="21"/>
              </w:rPr>
              <w:t>经营性应付项目的增加（减少以</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12,134,051.14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14,541,382.49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38,325,953.08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48,711,294.92</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259" w:lineRule="auto" w:before="26"/>
              <w:ind w:left="11" w:right="1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b/>
                <w:bCs/>
                <w:w w:val="99"/>
                <w:sz w:val="21"/>
                <w:szCs w:val="21"/>
              </w:rPr>
              <w:t> </w:t>
            </w:r>
            <w:r>
              <w:rPr>
                <w:rFonts w:ascii="宋体" w:hAnsi="宋体" w:cs="宋体" w:eastAsia="宋体" w:hint="default"/>
                <w:b/>
                <w:bCs/>
                <w:sz w:val="21"/>
                <w:szCs w:val="21"/>
              </w:rPr>
              <w:t>资活动：</w:t>
            </w:r>
            <w:r>
              <w:rPr>
                <w:rFonts w:ascii="宋体" w:hAnsi="宋体" w:cs="宋体" w:eastAsia="宋体" w:hint="default"/>
                <w:sz w:val="21"/>
                <w:szCs w:val="21"/>
              </w:rPr>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7"/>
              <w:ind w:left="1465" w:right="0"/>
              <w:jc w:val="left"/>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7"/>
              <w:ind w:left="1517" w:right="0"/>
              <w:jc w:val="left"/>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465" w:right="0"/>
              <w:jc w:val="left"/>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517" w:right="0"/>
              <w:jc w:val="left"/>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59,140,818.95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116,330,817.83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116,330,817.83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104,499,198.35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-57,189,998.88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11,831,619.48</w:t>
            </w:r>
          </w:p>
        </w:tc>
      </w:tr>
    </w:tbl>
    <w:p>
      <w:pPr>
        <w:spacing w:line="240" w:lineRule="auto" w:before="2"/>
        <w:rPr>
          <w:rFonts w:ascii="宋体" w:hAnsi="宋体" w:cs="宋体" w:eastAsia="宋体" w:hint="default"/>
          <w:sz w:val="18"/>
          <w:szCs w:val="18"/>
        </w:rPr>
      </w:pPr>
    </w:p>
    <w:p>
      <w:pPr>
        <w:spacing w:line="499" w:lineRule="auto" w:before="26"/>
        <w:ind w:left="633" w:right="5692" w:hanging="480"/>
        <w:jc w:val="left"/>
        <w:rPr>
          <w:rFonts w:ascii="宋体" w:hAnsi="宋体" w:cs="宋体" w:eastAsia="宋体" w:hint="default"/>
          <w:sz w:val="24"/>
          <w:szCs w:val="24"/>
        </w:rPr>
      </w:pPr>
      <w:bookmarkStart w:name="（2）本期支付的取得子公司的现金净额" w:id="301"/>
      <w:bookmarkEnd w:id="301"/>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2</w:t>
      </w:r>
      <w:r>
        <w:rPr>
          <w:rFonts w:ascii="宋体" w:hAnsi="宋体" w:cs="宋体" w:eastAsia="宋体" w:hint="default"/>
          <w:b/>
          <w:bCs/>
          <w:w w:val="95"/>
          <w:sz w:val="24"/>
          <w:szCs w:val="24"/>
        </w:rPr>
        <w:t>）本期支付的取得子公司的现金净额</w:t>
      </w:r>
      <w:r>
        <w:rPr>
          <w:rFonts w:ascii="宋体" w:hAnsi="宋体" w:cs="宋体" w:eastAsia="宋体" w:hint="default"/>
          <w:b/>
          <w:bCs/>
          <w:spacing w:val="80"/>
          <w:w w:val="95"/>
          <w:sz w:val="24"/>
          <w:szCs w:val="24"/>
        </w:rPr>
        <w:t> </w:t>
      </w:r>
      <w:r>
        <w:rPr>
          <w:rFonts w:ascii="宋体" w:hAnsi="宋体" w:cs="宋体" w:eastAsia="宋体" w:hint="default"/>
          <w:sz w:val="24"/>
          <w:szCs w:val="24"/>
        </w:rPr>
        <w:t>无。</w:t>
      </w:r>
    </w:p>
    <w:p>
      <w:pPr>
        <w:spacing w:line="499" w:lineRule="auto" w:before="116"/>
        <w:ind w:left="633" w:right="5692" w:hanging="480"/>
        <w:jc w:val="left"/>
        <w:rPr>
          <w:rFonts w:ascii="宋体" w:hAnsi="宋体" w:cs="宋体" w:eastAsia="宋体" w:hint="default"/>
          <w:sz w:val="24"/>
          <w:szCs w:val="24"/>
        </w:rPr>
      </w:pPr>
      <w:bookmarkStart w:name="（3）本期收到的处置子公司的现金净额" w:id="302"/>
      <w:bookmarkEnd w:id="302"/>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3</w:t>
      </w:r>
      <w:r>
        <w:rPr>
          <w:rFonts w:ascii="宋体" w:hAnsi="宋体" w:cs="宋体" w:eastAsia="宋体" w:hint="default"/>
          <w:b/>
          <w:bCs/>
          <w:w w:val="95"/>
          <w:sz w:val="24"/>
          <w:szCs w:val="24"/>
        </w:rPr>
        <w:t>）本期收到的处置子公司的现金净额</w:t>
      </w:r>
      <w:r>
        <w:rPr>
          <w:rFonts w:ascii="宋体" w:hAnsi="宋体" w:cs="宋体" w:eastAsia="宋体" w:hint="default"/>
          <w:b/>
          <w:bCs/>
          <w:spacing w:val="80"/>
          <w:w w:val="95"/>
          <w:sz w:val="24"/>
          <w:szCs w:val="24"/>
        </w:rPr>
        <w:t> </w:t>
      </w:r>
      <w:r>
        <w:rPr>
          <w:rFonts w:ascii="宋体" w:hAnsi="宋体" w:cs="宋体" w:eastAsia="宋体" w:hint="default"/>
          <w:sz w:val="24"/>
          <w:szCs w:val="24"/>
        </w:rPr>
        <w:t>无。</w:t>
      </w:r>
    </w:p>
    <w:p>
      <w:pPr>
        <w:spacing w:before="116"/>
        <w:ind w:left="153" w:right="0" w:firstLine="0"/>
        <w:jc w:val="left"/>
        <w:rPr>
          <w:rFonts w:ascii="宋体" w:hAnsi="宋体" w:cs="宋体" w:eastAsia="宋体" w:hint="default"/>
          <w:sz w:val="24"/>
          <w:szCs w:val="24"/>
        </w:rPr>
      </w:pPr>
      <w:bookmarkStart w:name="（4）现金和现金等价物的构成" w:id="303"/>
      <w:bookmarkEnd w:id="303"/>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）现金和现金等价物的构成</w:t>
      </w:r>
      <w:r>
        <w:rPr>
          <w:rFonts w:ascii="宋体" w:hAnsi="宋体" w:cs="宋体" w:eastAsia="宋体" w:hint="default"/>
          <w:sz w:val="24"/>
          <w:szCs w:val="24"/>
        </w:rPr>
      </w:r>
    </w:p>
    <w:p>
      <w:pPr>
        <w:spacing w:line="240" w:lineRule="auto" w:before="7"/>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3"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一、现金</w:t>
            </w:r>
            <w:r>
              <w:rPr>
                <w:rFonts w:ascii="宋体" w:hAnsi="宋体" w:cs="宋体" w:eastAsia="宋体" w:hint="default"/>
                <w:sz w:val="21"/>
                <w:szCs w:val="21"/>
              </w:rPr>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1817" w:right="0"/>
              <w:jc w:val="left"/>
              <w:rPr>
                <w:rFonts w:ascii="Times New Roman" w:hAnsi="Times New Roman" w:cs="Times New Roman" w:eastAsia="Times New Roman" w:hint="default"/>
                <w:sz w:val="21"/>
                <w:szCs w:val="21"/>
              </w:rPr>
            </w:pPr>
            <w:r>
              <w:rPr>
                <w:rFonts w:ascii="Times New Roman"/>
                <w:sz w:val="21"/>
              </w:rPr>
              <w:t>59,140,818.95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47" w:right="0"/>
              <w:jc w:val="left"/>
              <w:rPr>
                <w:rFonts w:ascii="Times New Roman" w:hAnsi="Times New Roman" w:cs="Times New Roman" w:eastAsia="Times New Roman" w:hint="default"/>
                <w:sz w:val="21"/>
                <w:szCs w:val="21"/>
              </w:rPr>
            </w:pPr>
            <w:r>
              <w:rPr>
                <w:rFonts w:ascii="Times New Roman"/>
                <w:sz w:val="21"/>
              </w:rPr>
              <w:t>116,330,817.83</w:t>
            </w:r>
          </w:p>
        </w:tc>
      </w:tr>
    </w:tbl>
    <w:p>
      <w:pPr>
        <w:spacing w:after="0" w:line="240" w:lineRule="auto"/>
        <w:jc w:val="left"/>
        <w:rPr>
          <w:rFonts w:ascii="Times New Roman" w:hAnsi="Times New Roman" w:cs="Times New Roman" w:eastAsia="Times New Roman" w:hint="default"/>
          <w:sz w:val="21"/>
          <w:szCs w:val="21"/>
        </w:rPr>
        <w:sectPr>
          <w:pgSz w:w="11910" w:h="16840"/>
          <w:pgMar w:header="0"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234,544.38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143,433.62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58,906,274.57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116,187,384.21</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b/>
                <w:bCs/>
                <w:sz w:val="21"/>
                <w:szCs w:val="21"/>
              </w:rPr>
              <w:t>二、现金等价物</w:t>
            </w:r>
            <w:r>
              <w:rPr>
                <w:rFonts w:ascii="宋体" w:hAnsi="宋体" w:cs="宋体" w:eastAsia="宋体" w:hint="default"/>
                <w:sz w:val="21"/>
                <w:szCs w:val="21"/>
              </w:rPr>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b/>
                <w:bCs/>
                <w:sz w:val="21"/>
                <w:szCs w:val="21"/>
              </w:rPr>
              <w:t>三、期末现金及现金等价物余额</w:t>
            </w:r>
            <w:r>
              <w:rPr>
                <w:rFonts w:ascii="宋体" w:hAnsi="宋体" w:cs="宋体" w:eastAsia="宋体" w:hint="default"/>
                <w:sz w:val="21"/>
                <w:szCs w:val="21"/>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59,140,818.95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116,330,817.83</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1"/>
              <w:jc w:val="left"/>
              <w:rPr>
                <w:rFonts w:ascii="宋体" w:hAnsi="宋体" w:cs="宋体" w:eastAsia="宋体" w:hint="default"/>
                <w:sz w:val="21"/>
                <w:szCs w:val="21"/>
              </w:rPr>
            </w:pPr>
            <w:r>
              <w:rPr>
                <w:rFonts w:ascii="宋体" w:hAnsi="宋体" w:cs="宋体" w:eastAsia="宋体" w:hint="default"/>
                <w:spacing w:val="-6"/>
                <w:sz w:val="21"/>
                <w:szCs w:val="21"/>
              </w:rPr>
              <w:t>其中：母公司或集团内子公司使用受</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限制的现金和现金等价物</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spacing w:line="499" w:lineRule="auto" w:before="26"/>
        <w:ind w:left="633" w:right="1652" w:hanging="480"/>
        <w:jc w:val="left"/>
        <w:rPr>
          <w:rFonts w:ascii="宋体" w:hAnsi="宋体" w:cs="宋体" w:eastAsia="宋体" w:hint="default"/>
          <w:sz w:val="24"/>
          <w:szCs w:val="24"/>
        </w:rPr>
      </w:pPr>
      <w:bookmarkStart w:name="75、所有者权益变动表项目注释" w:id="304"/>
      <w:bookmarkEnd w:id="304"/>
      <w:r>
        <w:rPr/>
      </w:r>
      <w:r>
        <w:rPr>
          <w:rFonts w:ascii="Times New Roman" w:hAnsi="Times New Roman" w:cs="Times New Roman" w:eastAsia="Times New Roman" w:hint="default"/>
          <w:b/>
          <w:bCs/>
          <w:sz w:val="24"/>
          <w:szCs w:val="24"/>
        </w:rPr>
        <w:t>75</w:t>
      </w:r>
      <w:r>
        <w:rPr>
          <w:rFonts w:ascii="宋体" w:hAnsi="宋体" w:cs="宋体" w:eastAsia="宋体" w:hint="default"/>
          <w:b/>
          <w:bCs/>
          <w:sz w:val="24"/>
          <w:szCs w:val="24"/>
        </w:rPr>
        <w:t>、所有者权益变动表项目注释</w:t>
      </w:r>
      <w:r>
        <w:rPr>
          <w:rFonts w:ascii="宋体" w:hAnsi="宋体" w:cs="宋体" w:eastAsia="宋体" w:hint="default"/>
          <w:b/>
          <w:bCs/>
          <w:w w:val="99"/>
          <w:sz w:val="24"/>
          <w:szCs w:val="24"/>
        </w:rPr>
        <w:t> </w:t>
      </w:r>
      <w:r>
        <w:rPr>
          <w:rFonts w:ascii="宋体" w:hAnsi="宋体" w:cs="宋体" w:eastAsia="宋体" w:hint="default"/>
          <w:sz w:val="24"/>
          <w:szCs w:val="24"/>
        </w:rPr>
        <w:t>说明对上年期末余额进行调整的</w:t>
      </w:r>
      <w:r>
        <w:rPr>
          <w:rFonts w:ascii="Calibri" w:hAnsi="Calibri" w:cs="Calibri" w:eastAsia="Calibri" w:hint="default"/>
          <w:sz w:val="24"/>
          <w:szCs w:val="24"/>
        </w:rPr>
        <w:t>“</w:t>
      </w:r>
      <w:r>
        <w:rPr>
          <w:rFonts w:ascii="宋体" w:hAnsi="宋体" w:cs="宋体" w:eastAsia="宋体" w:hint="default"/>
          <w:sz w:val="24"/>
          <w:szCs w:val="24"/>
        </w:rPr>
        <w:t>其他</w:t>
      </w:r>
      <w:r>
        <w:rPr>
          <w:rFonts w:ascii="Calibri" w:hAnsi="Calibri" w:cs="Calibri" w:eastAsia="Calibri" w:hint="default"/>
          <w:sz w:val="24"/>
          <w:szCs w:val="24"/>
        </w:rPr>
        <w:t>”</w:t>
      </w:r>
      <w:r>
        <w:rPr>
          <w:rFonts w:ascii="宋体" w:hAnsi="宋体" w:cs="宋体" w:eastAsia="宋体" w:hint="default"/>
          <w:sz w:val="24"/>
          <w:szCs w:val="24"/>
        </w:rPr>
        <w:t>项目名称及调整金额等事项：无。</w:t>
      </w:r>
    </w:p>
    <w:p>
      <w:pPr>
        <w:spacing w:before="29"/>
        <w:ind w:left="153" w:right="0" w:firstLine="0"/>
        <w:jc w:val="left"/>
        <w:rPr>
          <w:rFonts w:ascii="宋体" w:hAnsi="宋体" w:cs="宋体" w:eastAsia="宋体" w:hint="default"/>
          <w:sz w:val="24"/>
          <w:szCs w:val="24"/>
        </w:rPr>
      </w:pPr>
      <w:bookmarkStart w:name="76、所有权或使用权受到限制的资产" w:id="305"/>
      <w:bookmarkEnd w:id="305"/>
      <w:r>
        <w:rPr/>
      </w:r>
      <w:r>
        <w:rPr>
          <w:rFonts w:ascii="Times New Roman" w:hAnsi="Times New Roman" w:cs="Times New Roman" w:eastAsia="Times New Roman" w:hint="default"/>
          <w:b/>
          <w:bCs/>
          <w:sz w:val="24"/>
          <w:szCs w:val="24"/>
        </w:rPr>
        <w:t>76</w:t>
      </w:r>
      <w:r>
        <w:rPr>
          <w:rFonts w:ascii="宋体" w:hAnsi="宋体" w:cs="宋体" w:eastAsia="宋体" w:hint="default"/>
          <w:b/>
          <w:bCs/>
          <w:sz w:val="24"/>
          <w:szCs w:val="24"/>
        </w:rPr>
        <w:t>、所有权或使用权受到限制的资产</w:t>
      </w:r>
      <w:r>
        <w:rPr>
          <w:rFonts w:ascii="宋体" w:hAnsi="宋体" w:cs="宋体" w:eastAsia="宋体" w:hint="default"/>
          <w:sz w:val="24"/>
          <w:szCs w:val="24"/>
        </w:rPr>
      </w:r>
    </w:p>
    <w:p>
      <w:pPr>
        <w:spacing w:line="240" w:lineRule="auto" w:before="6"/>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02" w:right="0"/>
              <w:jc w:val="left"/>
              <w:rPr>
                <w:rFonts w:ascii="宋体" w:hAnsi="宋体" w:cs="宋体" w:eastAsia="宋体" w:hint="default"/>
                <w:sz w:val="21"/>
                <w:szCs w:val="21"/>
              </w:rPr>
            </w:pPr>
            <w:r>
              <w:rPr>
                <w:rFonts w:ascii="宋体" w:hAnsi="宋体" w:cs="宋体" w:eastAsia="宋体" w:hint="default"/>
                <w:b/>
                <w:bCs/>
                <w:sz w:val="21"/>
                <w:szCs w:val="21"/>
              </w:rPr>
              <w:t>期末账面价值</w:t>
            </w:r>
            <w:r>
              <w:rPr>
                <w:rFonts w:ascii="宋体" w:hAnsi="宋体" w:cs="宋体" w:eastAsia="宋体" w:hint="default"/>
                <w:sz w:val="21"/>
                <w:szCs w:val="21"/>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受限原因</w:t>
            </w:r>
            <w:r>
              <w:rPr>
                <w:rFonts w:ascii="宋体" w:hAnsi="宋体" w:cs="宋体" w:eastAsia="宋体" w:hint="default"/>
                <w:sz w:val="21"/>
                <w:szCs w:val="21"/>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816,000.00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银行保函</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5"/>
              <w:ind w:right="9"/>
              <w:jc w:val="right"/>
              <w:rPr>
                <w:rFonts w:ascii="Times New Roman" w:hAnsi="Times New Roman" w:cs="Times New Roman" w:eastAsia="Times New Roman" w:hint="default"/>
                <w:sz w:val="21"/>
                <w:szCs w:val="21"/>
              </w:rPr>
            </w:pPr>
            <w:r>
              <w:rPr>
                <w:rFonts w:ascii="Times New Roman"/>
                <w:spacing w:val="-1"/>
                <w:sz w:val="21"/>
              </w:rPr>
              <w:t>816,000.00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77、外币货币性项目" w:id="306"/>
      <w:bookmarkEnd w:id="306"/>
      <w:r>
        <w:rPr/>
      </w:r>
      <w:r>
        <w:rPr>
          <w:rFonts w:ascii="Times New Roman" w:hAnsi="Times New Roman" w:cs="Times New Roman" w:eastAsia="Times New Roman" w:hint="default"/>
          <w:b/>
          <w:bCs/>
          <w:sz w:val="24"/>
          <w:szCs w:val="24"/>
        </w:rPr>
        <w:t>77</w:t>
      </w:r>
      <w:r>
        <w:rPr>
          <w:rFonts w:ascii="宋体" w:hAnsi="宋体" w:cs="宋体" w:eastAsia="宋体" w:hint="default"/>
          <w:b/>
          <w:bCs/>
          <w:sz w:val="24"/>
          <w:szCs w:val="24"/>
        </w:rPr>
        <w:t>、外币货币性项目</w:t>
      </w:r>
      <w:r>
        <w:rPr>
          <w:rFonts w:ascii="宋体" w:hAnsi="宋体" w:cs="宋体" w:eastAsia="宋体" w:hint="default"/>
          <w:sz w:val="24"/>
          <w:szCs w:val="24"/>
        </w:rPr>
      </w:r>
    </w:p>
    <w:p>
      <w:pPr>
        <w:spacing w:line="240" w:lineRule="auto" w:before="6"/>
        <w:rPr>
          <w:rFonts w:ascii="宋体" w:hAnsi="宋体" w:cs="宋体" w:eastAsia="宋体" w:hint="default"/>
          <w:b/>
          <w:bCs/>
          <w:sz w:val="21"/>
          <w:szCs w:val="21"/>
        </w:rPr>
      </w:pPr>
    </w:p>
    <w:p>
      <w:pPr>
        <w:spacing w:before="0"/>
        <w:ind w:left="153" w:right="0" w:firstLine="0"/>
        <w:jc w:val="left"/>
        <w:rPr>
          <w:rFonts w:ascii="宋体" w:hAnsi="宋体" w:cs="宋体" w:eastAsia="宋体" w:hint="default"/>
          <w:sz w:val="24"/>
          <w:szCs w:val="24"/>
        </w:rPr>
      </w:pPr>
      <w:bookmarkStart w:name="（1）外币货币性项目" w:id="307"/>
      <w:bookmarkEnd w:id="307"/>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）外币货币性项目</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20" w:right="0"/>
              <w:jc w:val="left"/>
              <w:rPr>
                <w:rFonts w:ascii="宋体" w:hAnsi="宋体" w:cs="宋体" w:eastAsia="宋体" w:hint="default"/>
                <w:sz w:val="21"/>
                <w:szCs w:val="21"/>
              </w:rPr>
            </w:pPr>
            <w:r>
              <w:rPr>
                <w:rFonts w:ascii="宋体" w:hAnsi="宋体" w:cs="宋体" w:eastAsia="宋体" w:hint="default"/>
                <w:b/>
                <w:bCs/>
                <w:sz w:val="21"/>
                <w:szCs w:val="21"/>
              </w:rPr>
              <w:t>期末外币余额</w:t>
            </w:r>
            <w:r>
              <w:rPr>
                <w:rFonts w:ascii="宋体" w:hAnsi="宋体" w:cs="宋体" w:eastAsia="宋体" w:hint="default"/>
                <w:sz w:val="21"/>
                <w:szCs w:val="21"/>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7" w:right="0"/>
              <w:jc w:val="left"/>
              <w:rPr>
                <w:rFonts w:ascii="宋体" w:hAnsi="宋体" w:cs="宋体" w:eastAsia="宋体" w:hint="default"/>
                <w:sz w:val="21"/>
                <w:szCs w:val="21"/>
              </w:rPr>
            </w:pPr>
            <w:r>
              <w:rPr>
                <w:rFonts w:ascii="宋体" w:hAnsi="宋体" w:cs="宋体" w:eastAsia="宋体" w:hint="default"/>
                <w:b/>
                <w:bCs/>
                <w:sz w:val="21"/>
                <w:szCs w:val="21"/>
              </w:rPr>
              <w:t>折算汇率</w:t>
            </w:r>
            <w:r>
              <w:rPr>
                <w:rFonts w:ascii="宋体" w:hAnsi="宋体" w:cs="宋体" w:eastAsia="宋体" w:hint="default"/>
                <w:sz w:val="21"/>
                <w:szCs w:val="21"/>
              </w:rPr>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1" w:right="0"/>
              <w:jc w:val="left"/>
              <w:rPr>
                <w:rFonts w:ascii="宋体" w:hAnsi="宋体" w:cs="宋体" w:eastAsia="宋体" w:hint="default"/>
                <w:sz w:val="21"/>
                <w:szCs w:val="21"/>
              </w:rPr>
            </w:pPr>
            <w:r>
              <w:rPr>
                <w:rFonts w:ascii="宋体" w:hAnsi="宋体" w:cs="宋体" w:eastAsia="宋体" w:hint="default"/>
                <w:b/>
                <w:bCs/>
                <w:sz w:val="21"/>
                <w:szCs w:val="21"/>
              </w:rPr>
              <w:t>期末折算人民币余额</w:t>
            </w:r>
            <w:r>
              <w:rPr>
                <w:rFonts w:ascii="宋体" w:hAnsi="宋体" w:cs="宋体" w:eastAsia="宋体" w:hint="default"/>
                <w:sz w:val="21"/>
                <w:szCs w:val="21"/>
              </w:rPr>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7" w:right="0"/>
              <w:jc w:val="center"/>
              <w:rPr>
                <w:rFonts w:ascii="Times New Roman" w:hAnsi="Times New Roman" w:cs="Times New Roman" w:eastAsia="Times New Roman" w:hint="default"/>
                <w:sz w:val="21"/>
                <w:szCs w:val="21"/>
              </w:rPr>
            </w:pPr>
            <w:r>
              <w:rPr>
                <w:rFonts w:ascii="Times New Roman"/>
                <w:sz w:val="21"/>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2389"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50.01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306.01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400"/>
              <w:jc w:val="right"/>
              <w:rPr>
                <w:rFonts w:ascii="宋体" w:hAnsi="宋体" w:cs="宋体" w:eastAsia="宋体" w:hint="default"/>
                <w:sz w:val="21"/>
                <w:szCs w:val="21"/>
              </w:rPr>
            </w:pPr>
            <w:r>
              <w:rPr>
                <w:rFonts w:ascii="宋体" w:hAnsi="宋体" w:cs="宋体" w:eastAsia="宋体" w:hint="default"/>
                <w:sz w:val="21"/>
                <w:szCs w:val="21"/>
              </w:rPr>
              <w:t>港币</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07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400"/>
              <w:jc w:val="right"/>
              <w:rPr>
                <w:rFonts w:ascii="宋体" w:hAnsi="宋体" w:cs="宋体" w:eastAsia="宋体" w:hint="default"/>
                <w:sz w:val="21"/>
                <w:szCs w:val="21"/>
              </w:rPr>
            </w:pPr>
            <w:r>
              <w:rPr>
                <w:rFonts w:ascii="宋体" w:hAnsi="宋体" w:cs="宋体" w:eastAsia="宋体" w:hint="default"/>
                <w:sz w:val="21"/>
                <w:szCs w:val="21"/>
              </w:rPr>
              <w:t>欧元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400"/>
              <w:jc w:val="right"/>
              <w:rPr>
                <w:rFonts w:ascii="宋体" w:hAnsi="宋体" w:cs="宋体" w:eastAsia="宋体" w:hint="default"/>
                <w:sz w:val="21"/>
                <w:szCs w:val="21"/>
              </w:rPr>
            </w:pPr>
            <w:r>
              <w:rPr>
                <w:rFonts w:ascii="宋体" w:hAnsi="宋体" w:cs="宋体" w:eastAsia="宋体" w:hint="default"/>
                <w:sz w:val="21"/>
                <w:szCs w:val="21"/>
              </w:rPr>
              <w:t>港币</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07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400"/>
              <w:jc w:val="right"/>
              <w:rPr>
                <w:rFonts w:ascii="宋体" w:hAnsi="宋体" w:cs="宋体" w:eastAsia="宋体" w:hint="default"/>
                <w:sz w:val="21"/>
                <w:szCs w:val="21"/>
              </w:rPr>
            </w:pPr>
            <w:r>
              <w:rPr>
                <w:rFonts w:ascii="宋体" w:hAnsi="宋体" w:cs="宋体" w:eastAsia="宋体" w:hint="default"/>
                <w:sz w:val="21"/>
                <w:szCs w:val="21"/>
              </w:rPr>
              <w:t>欧元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400"/>
              <w:jc w:val="right"/>
              <w:rPr>
                <w:rFonts w:ascii="宋体" w:hAnsi="宋体" w:cs="宋体" w:eastAsia="宋体" w:hint="default"/>
                <w:sz w:val="21"/>
                <w:szCs w:val="21"/>
              </w:rPr>
            </w:pPr>
            <w:r>
              <w:rPr>
                <w:rFonts w:ascii="宋体" w:hAnsi="宋体" w:cs="宋体" w:eastAsia="宋体" w:hint="default"/>
                <w:sz w:val="21"/>
                <w:szCs w:val="21"/>
              </w:rPr>
              <w:t>港币</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spacing w:line="314" w:lineRule="exact" w:before="55"/>
        <w:ind w:left="154" w:right="0" w:firstLine="0"/>
        <w:jc w:val="left"/>
        <w:rPr>
          <w:rFonts w:ascii="宋体" w:hAnsi="宋体" w:cs="宋体" w:eastAsia="宋体" w:hint="default"/>
          <w:sz w:val="24"/>
          <w:szCs w:val="24"/>
        </w:rPr>
      </w:pPr>
      <w:bookmarkStart w:name="（2）境外经营实体说明，包括对于重要的境外经营实体，应披露其境外主要经营地、记账" w:id="308"/>
      <w:bookmarkEnd w:id="308"/>
      <w:r>
        <w:rPr/>
      </w:r>
      <w:r>
        <w:rPr>
          <w:rFonts w:ascii="宋体" w:hAnsi="宋体" w:cs="宋体" w:eastAsia="宋体" w:hint="default"/>
          <w:b/>
          <w:bCs/>
          <w:spacing w:val="-3"/>
          <w:w w:val="95"/>
          <w:sz w:val="24"/>
          <w:szCs w:val="24"/>
        </w:rPr>
        <w:t>（</w:t>
      </w:r>
      <w:r>
        <w:rPr>
          <w:rFonts w:ascii="Times New Roman" w:hAnsi="Times New Roman" w:cs="Times New Roman" w:eastAsia="Times New Roman" w:hint="default"/>
          <w:b/>
          <w:bCs/>
          <w:spacing w:val="-3"/>
          <w:w w:val="95"/>
          <w:sz w:val="24"/>
          <w:szCs w:val="24"/>
        </w:rPr>
        <w:t>2</w:t>
      </w:r>
      <w:r>
        <w:rPr>
          <w:rFonts w:ascii="宋体" w:hAnsi="宋体" w:cs="宋体" w:eastAsia="宋体" w:hint="default"/>
          <w:b/>
          <w:bCs/>
          <w:spacing w:val="-3"/>
          <w:w w:val="95"/>
          <w:sz w:val="24"/>
          <w:szCs w:val="24"/>
        </w:rPr>
        <w:t>）境外经营实体说明，包括对于重要的境外经营实体，应披露其境外主要经营地、记账本</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r>
        <w:rPr>
          <w:rFonts w:ascii="宋体" w:hAnsi="宋体" w:cs="宋体" w:eastAsia="宋体" w:hint="default"/>
          <w:b/>
          <w:bCs/>
          <w:sz w:val="24"/>
          <w:szCs w:val="24"/>
        </w:rPr>
        <w:t>位币及选择依据，记账本位币发生变化的还应披露原因。</w:t>
      </w:r>
      <w:r>
        <w:rPr>
          <w:rFonts w:ascii="宋体" w:hAnsi="宋体" w:cs="宋体" w:eastAsia="宋体" w:hint="default"/>
          <w:sz w:val="24"/>
          <w:szCs w:val="24"/>
        </w:rPr>
      </w:r>
    </w:p>
    <w:p>
      <w:pPr>
        <w:spacing w:line="240" w:lineRule="auto" w:before="7"/>
        <w:rPr>
          <w:rFonts w:ascii="宋体" w:hAnsi="宋体" w:cs="宋体" w:eastAsia="宋体" w:hint="default"/>
          <w:b/>
          <w:bCs/>
          <w:sz w:val="20"/>
          <w:szCs w:val="20"/>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6"/>
        <w:rPr>
          <w:rFonts w:ascii="宋体" w:hAnsi="宋体" w:cs="宋体" w:eastAsia="宋体" w:hint="default"/>
          <w:sz w:val="21"/>
          <w:szCs w:val="21"/>
        </w:rPr>
      </w:pPr>
    </w:p>
    <w:p>
      <w:pPr>
        <w:spacing w:before="0"/>
        <w:ind w:left="154" w:right="0" w:firstLine="0"/>
        <w:jc w:val="left"/>
        <w:rPr>
          <w:rFonts w:ascii="宋体" w:hAnsi="宋体" w:cs="宋体" w:eastAsia="宋体" w:hint="default"/>
          <w:sz w:val="24"/>
          <w:szCs w:val="24"/>
        </w:rPr>
      </w:pPr>
      <w:bookmarkStart w:name="78、套期" w:id="309"/>
      <w:bookmarkEnd w:id="309"/>
      <w:r>
        <w:rPr/>
      </w:r>
      <w:r>
        <w:rPr>
          <w:rFonts w:ascii="Times New Roman" w:hAnsi="Times New Roman" w:cs="Times New Roman" w:eastAsia="Times New Roman" w:hint="default"/>
          <w:b/>
          <w:bCs/>
          <w:sz w:val="24"/>
          <w:szCs w:val="24"/>
        </w:rPr>
        <w:t>78</w:t>
      </w:r>
      <w:r>
        <w:rPr>
          <w:rFonts w:ascii="宋体" w:hAnsi="宋体" w:cs="宋体" w:eastAsia="宋体" w:hint="default"/>
          <w:b/>
          <w:bCs/>
          <w:sz w:val="24"/>
          <w:szCs w:val="24"/>
        </w:rPr>
        <w:t>、套期</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pStyle w:val="BodyText"/>
        <w:spacing w:line="240" w:lineRule="auto" w:before="0"/>
        <w:ind w:left="634" w:right="0"/>
        <w:jc w:val="left"/>
      </w:pPr>
      <w:r>
        <w:rPr/>
        <w:t>按照套期类别披露套期项目及相关套期工具、被套期风险的定性和定量信息：无。</w:t>
      </w:r>
    </w:p>
    <w:p>
      <w:pPr>
        <w:spacing w:line="240" w:lineRule="auto" w:before="9"/>
        <w:rPr>
          <w:rFonts w:ascii="宋体" w:hAnsi="宋体" w:cs="宋体" w:eastAsia="宋体" w:hint="default"/>
          <w:sz w:val="28"/>
          <w:szCs w:val="28"/>
        </w:rPr>
      </w:pPr>
    </w:p>
    <w:p>
      <w:pPr>
        <w:spacing w:before="0"/>
        <w:ind w:left="153" w:right="0" w:firstLine="0"/>
        <w:jc w:val="left"/>
        <w:rPr>
          <w:rFonts w:ascii="宋体" w:hAnsi="宋体" w:cs="宋体" w:eastAsia="宋体" w:hint="default"/>
          <w:sz w:val="24"/>
          <w:szCs w:val="24"/>
        </w:rPr>
      </w:pPr>
      <w:bookmarkStart w:name="79、其他" w:id="310"/>
      <w:bookmarkEnd w:id="310"/>
      <w:r>
        <w:rPr/>
      </w:r>
      <w:r>
        <w:rPr>
          <w:rFonts w:ascii="Times New Roman" w:hAnsi="Times New Roman" w:cs="Times New Roman" w:eastAsia="Times New Roman" w:hint="default"/>
          <w:b/>
          <w:bCs/>
          <w:sz w:val="24"/>
          <w:szCs w:val="24"/>
        </w:rPr>
        <w:t>79</w:t>
      </w:r>
      <w:r>
        <w:rPr>
          <w:rFonts w:ascii="宋体" w:hAnsi="宋体" w:cs="宋体" w:eastAsia="宋体" w:hint="default"/>
          <w:b/>
          <w:bCs/>
          <w:sz w:val="24"/>
          <w:szCs w:val="24"/>
        </w:rPr>
        <w:t>、其他</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spacing w:line="525" w:lineRule="auto" w:before="0"/>
        <w:ind w:left="153" w:right="7132" w:firstLine="480"/>
        <w:jc w:val="left"/>
        <w:rPr>
          <w:rFonts w:ascii="宋体" w:hAnsi="宋体" w:cs="宋体" w:eastAsia="宋体" w:hint="default"/>
          <w:sz w:val="24"/>
          <w:szCs w:val="24"/>
        </w:rPr>
      </w:pPr>
      <w:r>
        <w:rPr>
          <w:rFonts w:ascii="宋体" w:hAnsi="宋体" w:cs="宋体" w:eastAsia="宋体" w:hint="default"/>
          <w:sz w:val="24"/>
          <w:szCs w:val="24"/>
        </w:rPr>
        <w:t>无。 </w:t>
      </w:r>
      <w:bookmarkStart w:name="八、合并范围的变更" w:id="311"/>
      <w:bookmarkEnd w:id="311"/>
      <w:r>
        <w:rPr>
          <w:rFonts w:ascii="宋体" w:hAnsi="宋体" w:cs="宋体" w:eastAsia="宋体" w:hint="default"/>
          <w:sz w:val="24"/>
          <w:szCs w:val="24"/>
        </w:rPr>
      </w:r>
      <w:r>
        <w:rPr>
          <w:rFonts w:ascii="宋体" w:hAnsi="宋体" w:cs="宋体" w:eastAsia="宋体" w:hint="default"/>
          <w:b/>
          <w:bCs/>
          <w:sz w:val="24"/>
          <w:szCs w:val="24"/>
        </w:rPr>
        <w:t>八、合并范围的变更</w:t>
      </w:r>
      <w:r>
        <w:rPr>
          <w:rFonts w:ascii="宋体" w:hAnsi="宋体" w:cs="宋体" w:eastAsia="宋体" w:hint="default"/>
          <w:sz w:val="24"/>
          <w:szCs w:val="24"/>
        </w:rPr>
      </w:r>
    </w:p>
    <w:p>
      <w:pPr>
        <w:spacing w:line="499" w:lineRule="auto" w:before="14"/>
        <w:ind w:left="633" w:right="6893" w:hanging="480"/>
        <w:jc w:val="left"/>
        <w:rPr>
          <w:rFonts w:ascii="宋体" w:hAnsi="宋体" w:cs="宋体" w:eastAsia="宋体" w:hint="default"/>
          <w:sz w:val="24"/>
          <w:szCs w:val="24"/>
        </w:rPr>
      </w:pPr>
      <w:bookmarkStart w:name="1、非同一控制下企业合并" w:id="312"/>
      <w:bookmarkEnd w:id="312"/>
      <w:r>
        <w:rPr/>
      </w:r>
      <w:r>
        <w:rPr>
          <w:rFonts w:ascii="Times New Roman" w:hAnsi="Times New Roman" w:cs="Times New Roman" w:eastAsia="Times New Roman" w:hint="default"/>
          <w:b/>
          <w:bCs/>
          <w:w w:val="95"/>
          <w:sz w:val="24"/>
          <w:szCs w:val="24"/>
        </w:rPr>
        <w:t>1</w:t>
      </w:r>
      <w:r>
        <w:rPr>
          <w:rFonts w:ascii="宋体" w:hAnsi="宋体" w:cs="宋体" w:eastAsia="宋体" w:hint="default"/>
          <w:b/>
          <w:bCs/>
          <w:w w:val="95"/>
          <w:sz w:val="24"/>
          <w:szCs w:val="24"/>
        </w:rPr>
        <w:t>、非同一控制下企业合并</w:t>
      </w:r>
      <w:r>
        <w:rPr>
          <w:rFonts w:ascii="宋体" w:hAnsi="宋体" w:cs="宋体" w:eastAsia="宋体" w:hint="default"/>
          <w:b/>
          <w:bCs/>
          <w:spacing w:val="13"/>
          <w:w w:val="95"/>
          <w:sz w:val="24"/>
          <w:szCs w:val="24"/>
        </w:rPr>
        <w:t> </w:t>
      </w:r>
      <w:r>
        <w:rPr>
          <w:rFonts w:ascii="宋体" w:hAnsi="宋体" w:cs="宋体" w:eastAsia="宋体" w:hint="default"/>
          <w:sz w:val="24"/>
          <w:szCs w:val="24"/>
        </w:rPr>
        <w:t>无。</w:t>
      </w:r>
    </w:p>
    <w:p>
      <w:pPr>
        <w:spacing w:line="499" w:lineRule="auto" w:before="115"/>
        <w:ind w:left="633" w:right="7244" w:hanging="480"/>
        <w:jc w:val="left"/>
        <w:rPr>
          <w:rFonts w:ascii="宋体" w:hAnsi="宋体" w:cs="宋体" w:eastAsia="宋体" w:hint="default"/>
          <w:sz w:val="24"/>
          <w:szCs w:val="24"/>
        </w:rPr>
      </w:pPr>
      <w:bookmarkStart w:name="2、同一控制下企业合并" w:id="313"/>
      <w:bookmarkEnd w:id="313"/>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、同一控制下企业合并</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before="115"/>
        <w:ind w:left="153" w:right="0" w:firstLine="0"/>
        <w:jc w:val="left"/>
        <w:rPr>
          <w:rFonts w:ascii="宋体" w:hAnsi="宋体" w:cs="宋体" w:eastAsia="宋体" w:hint="default"/>
          <w:sz w:val="24"/>
          <w:szCs w:val="24"/>
        </w:rPr>
      </w:pPr>
      <w:bookmarkStart w:name="3、反向购买" w:id="314"/>
      <w:bookmarkEnd w:id="314"/>
      <w:r>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、反向购买</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pStyle w:val="BodyText"/>
        <w:spacing w:line="360" w:lineRule="auto" w:before="0"/>
        <w:ind w:left="154" w:right="172" w:firstLine="480"/>
        <w:jc w:val="left"/>
      </w:pPr>
      <w:r>
        <w:rPr/>
        <w:t>交易基本信息、交易构成反向购买的依据、上市公司保留的资产、负债是否构成业务及 其依据、合并成本的确定、按照权益性交易处理时调整权益的金额及其计算：</w:t>
      </w:r>
    </w:p>
    <w:p>
      <w:pPr>
        <w:spacing w:after="0" w:line="360" w:lineRule="auto"/>
        <w:jc w:val="left"/>
        <w:sectPr>
          <w:pgSz w:w="11910" w:h="16840"/>
          <w:pgMar w:header="0" w:footer="979" w:top="1100" w:bottom="1160" w:left="980" w:right="980"/>
        </w:sectPr>
      </w:pPr>
    </w:p>
    <w:p>
      <w:pPr>
        <w:spacing w:line="240" w:lineRule="auto" w:before="8"/>
        <w:rPr>
          <w:rFonts w:ascii="宋体" w:hAnsi="宋体" w:cs="宋体" w:eastAsia="宋体" w:hint="default"/>
          <w:sz w:val="19"/>
          <w:szCs w:val="19"/>
        </w:rPr>
      </w:pPr>
    </w:p>
    <w:p>
      <w:pPr>
        <w:spacing w:before="26"/>
        <w:ind w:left="154" w:right="0" w:firstLine="0"/>
        <w:jc w:val="left"/>
        <w:rPr>
          <w:rFonts w:ascii="宋体" w:hAnsi="宋体" w:cs="宋体" w:eastAsia="宋体" w:hint="default"/>
          <w:sz w:val="24"/>
          <w:szCs w:val="24"/>
        </w:rPr>
      </w:pPr>
      <w:bookmarkStart w:name="4、处置子公司" w:id="315"/>
      <w:bookmarkEnd w:id="315"/>
      <w:r>
        <w:rPr/>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、处置子公司</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pStyle w:val="BodyText"/>
        <w:spacing w:line="240" w:lineRule="auto" w:before="0"/>
        <w:ind w:left="633" w:right="0"/>
        <w:jc w:val="left"/>
      </w:pPr>
      <w:r>
        <w:rPr/>
        <w:t>是否存在单次处置对子公司投资即丧失控制权的情形</w:t>
      </w:r>
    </w:p>
    <w:p>
      <w:pPr>
        <w:pStyle w:val="BodyText"/>
        <w:tabs>
          <w:tab w:pos="994" w:val="left" w:leader="none"/>
        </w:tabs>
        <w:spacing w:line="355" w:lineRule="auto" w:before="194"/>
        <w:ind w:left="634" w:right="1630"/>
        <w:jc w:val="left"/>
      </w:pPr>
      <w:r>
        <w:rPr>
          <w:rFonts w:ascii="Arial" w:hAnsi="Arial" w:cs="Arial" w:eastAsia="Arial" w:hint="default"/>
        </w:rPr>
        <w:t>□</w:t>
        <w:tab/>
      </w:r>
      <w:r>
        <w:rPr/>
        <w:t>是 </w:t>
      </w:r>
      <w:r>
        <w:rPr>
          <w:rFonts w:ascii="Calibri" w:hAnsi="Calibri" w:cs="Calibri" w:eastAsia="Calibri" w:hint="default"/>
        </w:rPr>
        <w:t>√ </w:t>
      </w:r>
      <w:r>
        <w:rPr>
          <w:rFonts w:ascii="Calibri" w:hAnsi="Calibri" w:cs="Calibri" w:eastAsia="Calibri" w:hint="default"/>
          <w:spacing w:val="11"/>
        </w:rPr>
        <w:t> </w:t>
      </w:r>
      <w:r>
        <w:rPr/>
        <w:t>否</w:t>
      </w:r>
      <w:r>
        <w:rPr>
          <w:w w:val="99"/>
        </w:rPr>
        <w:t> </w:t>
      </w:r>
      <w:r>
        <w:rPr/>
        <w:t>是否存在通过多次交易分步处置对子公司投资且在本期丧失控制权的情形</w:t>
      </w:r>
    </w:p>
    <w:p>
      <w:pPr>
        <w:pStyle w:val="BodyText"/>
        <w:tabs>
          <w:tab w:pos="994" w:val="left" w:leader="none"/>
        </w:tabs>
        <w:spacing w:line="240" w:lineRule="auto" w:before="78"/>
        <w:ind w:left="633" w:right="0"/>
        <w:jc w:val="left"/>
      </w:pPr>
      <w:r>
        <w:rPr>
          <w:rFonts w:ascii="Arial" w:hAnsi="Arial" w:cs="Arial" w:eastAsia="Arial" w:hint="default"/>
        </w:rPr>
        <w:t>□</w:t>
        <w:tab/>
      </w:r>
      <w:r>
        <w:rPr/>
        <w:t>是 </w:t>
      </w:r>
      <w:r>
        <w:rPr>
          <w:rFonts w:ascii="Calibri" w:hAnsi="Calibri" w:cs="Calibri" w:eastAsia="Calibri" w:hint="default"/>
        </w:rPr>
        <w:t>√ </w:t>
      </w:r>
      <w:r>
        <w:rPr>
          <w:rFonts w:ascii="Calibri" w:hAnsi="Calibri" w:cs="Calibri" w:eastAsia="Calibri" w:hint="default"/>
          <w:spacing w:val="11"/>
        </w:rPr>
        <w:t> </w:t>
      </w:r>
      <w:r>
        <w:rPr/>
        <w:t>否</w:t>
      </w:r>
    </w:p>
    <w:p>
      <w:pPr>
        <w:spacing w:line="240" w:lineRule="auto" w:before="4"/>
        <w:rPr>
          <w:rFonts w:ascii="宋体" w:hAnsi="宋体" w:cs="宋体" w:eastAsia="宋体" w:hint="default"/>
          <w:sz w:val="26"/>
          <w:szCs w:val="26"/>
        </w:rPr>
      </w:pPr>
    </w:p>
    <w:p>
      <w:pPr>
        <w:spacing w:before="0"/>
        <w:ind w:left="154" w:right="0" w:firstLine="0"/>
        <w:jc w:val="left"/>
        <w:rPr>
          <w:rFonts w:ascii="宋体" w:hAnsi="宋体" w:cs="宋体" w:eastAsia="宋体" w:hint="default"/>
          <w:sz w:val="24"/>
          <w:szCs w:val="24"/>
        </w:rPr>
      </w:pPr>
      <w:bookmarkStart w:name="5、其他原因的合并范围变动" w:id="316"/>
      <w:bookmarkEnd w:id="316"/>
      <w:r>
        <w:rPr/>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、其他原因的合并范围变动</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pStyle w:val="BodyText"/>
        <w:spacing w:line="386" w:lineRule="auto" w:before="0"/>
        <w:ind w:left="633" w:right="134"/>
        <w:jc w:val="left"/>
        <w:rPr>
          <w:rFonts w:ascii="宋体" w:hAnsi="宋体" w:cs="宋体" w:eastAsia="宋体" w:hint="default"/>
        </w:rPr>
      </w:pPr>
      <w:r>
        <w:rPr/>
        <w:t>说明其他原因导致的合并范围变动（如，新设子公司、清算子公司等）及其相关情况： 本年因投资新设增加的中文在线教育集团有限公司（以下简称在线教育），成立于</w:t>
      </w:r>
      <w:r>
        <w:rPr>
          <w:spacing w:val="-81"/>
        </w:rPr>
        <w:t> </w:t>
      </w:r>
      <w:r>
        <w:rPr>
          <w:rFonts w:ascii="宋体" w:hAnsi="宋体" w:cs="宋体" w:eastAsia="宋体" w:hint="default"/>
        </w:rPr>
        <w:t>2014</w:t>
      </w:r>
    </w:p>
    <w:p>
      <w:pPr>
        <w:pStyle w:val="BodyText"/>
        <w:spacing w:line="240" w:lineRule="auto" w:before="7"/>
        <w:ind w:left="154" w:right="0"/>
        <w:jc w:val="left"/>
      </w:pP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日，注册资本</w:t>
      </w:r>
      <w:r>
        <w:rPr>
          <w:spacing w:val="-60"/>
        </w:rPr>
        <w:t> </w:t>
      </w:r>
      <w:r>
        <w:rPr>
          <w:rFonts w:ascii="宋体" w:hAnsi="宋体" w:cs="宋体" w:eastAsia="宋体" w:hint="default"/>
        </w:rPr>
        <w:t>10,000.00</w:t>
      </w:r>
      <w:r>
        <w:rPr>
          <w:rFonts w:ascii="宋体" w:hAnsi="宋体" w:cs="宋体" w:eastAsia="宋体" w:hint="default"/>
          <w:spacing w:val="-60"/>
        </w:rPr>
        <w:t> </w:t>
      </w:r>
      <w:r>
        <w:rPr/>
        <w:t>港元，由本公司全额认缴，至</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日止实收</w:t>
      </w:r>
    </w:p>
    <w:p>
      <w:pPr>
        <w:pStyle w:val="BodyText"/>
        <w:spacing w:line="388" w:lineRule="auto" w:before="155"/>
        <w:ind w:left="634" w:right="412" w:hanging="480"/>
        <w:jc w:val="left"/>
      </w:pPr>
      <w:r>
        <w:rPr/>
        <w:t>资本</w:t>
      </w:r>
      <w:r>
        <w:rPr>
          <w:rFonts w:ascii="宋体" w:hAnsi="宋体" w:cs="宋体" w:eastAsia="宋体" w:hint="default"/>
        </w:rPr>
        <w:t>10,000.00</w:t>
      </w:r>
      <w:r>
        <w:rPr>
          <w:rFonts w:ascii="宋体" w:hAnsi="宋体" w:cs="宋体" w:eastAsia="宋体" w:hint="default"/>
          <w:spacing w:val="-60"/>
        </w:rPr>
        <w:t> </w:t>
      </w:r>
      <w:r>
        <w:rPr/>
        <w:t>港元。 本年因投资新设增加的北京汤圆和它的小伙伴们网络科技有限公司（以下简称汤圆公</w:t>
      </w:r>
    </w:p>
    <w:p>
      <w:pPr>
        <w:pStyle w:val="BodyText"/>
        <w:spacing w:line="240" w:lineRule="auto" w:before="5"/>
        <w:ind w:left="154" w:right="0"/>
        <w:jc w:val="left"/>
      </w:pPr>
      <w:r>
        <w:rPr/>
        <w:t>司），成立于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日，注册资本</w:t>
      </w:r>
      <w:r>
        <w:rPr>
          <w:spacing w:val="-60"/>
        </w:rPr>
        <w:t> </w:t>
      </w:r>
      <w:r>
        <w:rPr>
          <w:rFonts w:ascii="宋体" w:hAnsi="宋体" w:cs="宋体" w:eastAsia="宋体" w:hint="default"/>
        </w:rPr>
        <w:t>1,000.00</w:t>
      </w:r>
      <w:r>
        <w:rPr>
          <w:rFonts w:ascii="宋体" w:hAnsi="宋体" w:cs="宋体" w:eastAsia="宋体" w:hint="default"/>
          <w:spacing w:val="-60"/>
        </w:rPr>
        <w:t> </w:t>
      </w:r>
      <w:r>
        <w:rPr/>
        <w:t>万元，由本公司全额认缴，至</w:t>
      </w:r>
      <w:r>
        <w:rPr>
          <w:spacing w:val="-60"/>
        </w:rPr>
        <w:t> </w:t>
      </w:r>
      <w:r>
        <w:rPr>
          <w:rFonts w:ascii="宋体" w:hAnsi="宋体" w:cs="宋体" w:eastAsia="宋体" w:hint="default"/>
        </w:rPr>
        <w:t>2014</w:t>
      </w:r>
      <w:r>
        <w:rPr>
          <w:rFonts w:ascii="宋体" w:hAnsi="宋体" w:cs="宋体" w:eastAsia="宋体" w:hint="default"/>
          <w:spacing w:val="-60"/>
        </w:rPr>
        <w:t> </w:t>
      </w:r>
      <w:r>
        <w:rPr/>
        <w:t>年</w:t>
      </w:r>
    </w:p>
    <w:p>
      <w:pPr>
        <w:spacing w:line="525" w:lineRule="auto" w:before="155"/>
        <w:ind w:left="153" w:right="5633" w:firstLine="0"/>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日止实收资本</w:t>
      </w:r>
      <w:r>
        <w:rPr>
          <w:rFonts w:ascii="宋体" w:hAnsi="宋体" w:cs="宋体" w:eastAsia="宋体" w:hint="default"/>
          <w:spacing w:val="-60"/>
          <w:sz w:val="24"/>
          <w:szCs w:val="24"/>
        </w:rPr>
        <w:t> </w:t>
      </w:r>
      <w:r>
        <w:rPr>
          <w:rFonts w:ascii="宋体" w:hAnsi="宋体" w:cs="宋体" w:eastAsia="宋体" w:hint="default"/>
          <w:sz w:val="24"/>
          <w:szCs w:val="24"/>
        </w:rPr>
        <w:t>1,000.00</w:t>
      </w:r>
      <w:r>
        <w:rPr>
          <w:rFonts w:ascii="宋体" w:hAnsi="宋体" w:cs="宋体" w:eastAsia="宋体" w:hint="default"/>
          <w:spacing w:val="-60"/>
          <w:sz w:val="24"/>
          <w:szCs w:val="24"/>
        </w:rPr>
        <w:t> </w:t>
      </w:r>
      <w:r>
        <w:rPr>
          <w:rFonts w:ascii="宋体" w:hAnsi="宋体" w:cs="宋体" w:eastAsia="宋体" w:hint="default"/>
          <w:sz w:val="24"/>
          <w:szCs w:val="24"/>
        </w:rPr>
        <w:t>万元。 </w:t>
      </w:r>
      <w:bookmarkStart w:name="九、在其他主体中的权益" w:id="317"/>
      <w:bookmarkEnd w:id="317"/>
      <w:r>
        <w:rPr>
          <w:rFonts w:ascii="宋体" w:hAnsi="宋体" w:cs="宋体" w:eastAsia="宋体" w:hint="default"/>
          <w:sz w:val="24"/>
          <w:szCs w:val="24"/>
        </w:rPr>
      </w:r>
      <w:r>
        <w:rPr>
          <w:rFonts w:ascii="宋体" w:hAnsi="宋体" w:cs="宋体" w:eastAsia="宋体" w:hint="default"/>
          <w:b/>
          <w:bCs/>
          <w:sz w:val="24"/>
          <w:szCs w:val="24"/>
        </w:rPr>
        <w:t>九、在其他主体中的权益</w:t>
      </w:r>
      <w:r>
        <w:rPr>
          <w:rFonts w:ascii="宋体" w:hAnsi="宋体" w:cs="宋体" w:eastAsia="宋体" w:hint="default"/>
          <w:sz w:val="24"/>
          <w:szCs w:val="24"/>
        </w:rPr>
      </w:r>
    </w:p>
    <w:p>
      <w:pPr>
        <w:spacing w:before="14"/>
        <w:ind w:left="153" w:right="0" w:firstLine="0"/>
        <w:jc w:val="left"/>
        <w:rPr>
          <w:rFonts w:ascii="宋体" w:hAnsi="宋体" w:cs="宋体" w:eastAsia="宋体" w:hint="default"/>
          <w:sz w:val="24"/>
          <w:szCs w:val="24"/>
        </w:rPr>
      </w:pPr>
      <w:bookmarkStart w:name="1、在子公司中的权益" w:id="318"/>
      <w:bookmarkEnd w:id="318"/>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、在子公司中的权益</w:t>
      </w:r>
      <w:r>
        <w:rPr>
          <w:rFonts w:ascii="宋体" w:hAnsi="宋体" w:cs="宋体" w:eastAsia="宋体" w:hint="default"/>
          <w:sz w:val="24"/>
          <w:szCs w:val="24"/>
        </w:rPr>
      </w:r>
    </w:p>
    <w:p>
      <w:pPr>
        <w:spacing w:line="240" w:lineRule="auto" w:before="6"/>
        <w:rPr>
          <w:rFonts w:ascii="宋体" w:hAnsi="宋体" w:cs="宋体" w:eastAsia="宋体" w:hint="default"/>
          <w:b/>
          <w:bCs/>
          <w:sz w:val="21"/>
          <w:szCs w:val="21"/>
        </w:rPr>
      </w:pPr>
    </w:p>
    <w:p>
      <w:pPr>
        <w:spacing w:before="0"/>
        <w:ind w:left="153" w:right="0" w:firstLine="0"/>
        <w:jc w:val="left"/>
        <w:rPr>
          <w:rFonts w:ascii="宋体" w:hAnsi="宋体" w:cs="宋体" w:eastAsia="宋体" w:hint="default"/>
          <w:sz w:val="24"/>
          <w:szCs w:val="24"/>
        </w:rPr>
      </w:pPr>
      <w:bookmarkStart w:name="（1）企业集团的构成" w:id="319"/>
      <w:bookmarkEnd w:id="319"/>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）企业集团的构成</w:t>
      </w:r>
      <w:r>
        <w:rPr>
          <w:rFonts w:ascii="宋体" w:hAnsi="宋体" w:cs="宋体" w:eastAsia="宋体" w:hint="default"/>
          <w:sz w:val="24"/>
          <w:szCs w:val="24"/>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b/>
                <w:bCs/>
                <w:sz w:val="21"/>
                <w:szCs w:val="21"/>
              </w:rPr>
              <w:t>主要经营地</w:t>
            </w:r>
            <w:r>
              <w:rPr>
                <w:rFonts w:ascii="宋体" w:hAnsi="宋体" w:cs="宋体" w:eastAsia="宋体" w:hint="default"/>
                <w:sz w:val="21"/>
                <w:szCs w:val="21"/>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sz w:val="21"/>
                <w:szCs w:val="21"/>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b/>
                <w:bCs/>
                <w:sz w:val="21"/>
                <w:szCs w:val="21"/>
              </w:rPr>
              <w:t>业务性质</w:t>
            </w:r>
            <w:r>
              <w:rPr>
                <w:rFonts w:ascii="宋体" w:hAnsi="宋体" w:cs="宋体" w:eastAsia="宋体" w:hint="default"/>
                <w:sz w:val="21"/>
                <w:szCs w:val="21"/>
              </w:rPr>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持股比例</w:t>
            </w:r>
            <w:r>
              <w:rPr>
                <w:rFonts w:ascii="宋体" w:hAnsi="宋体" w:cs="宋体" w:eastAsia="宋体" w:hint="default"/>
                <w:sz w:val="21"/>
                <w:szCs w:val="21"/>
              </w:rPr>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55" w:right="0"/>
              <w:jc w:val="left"/>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直接</w:t>
            </w:r>
            <w:r>
              <w:rPr>
                <w:rFonts w:ascii="宋体" w:hAnsi="宋体" w:cs="宋体" w:eastAsia="宋体" w:hint="default"/>
                <w:sz w:val="21"/>
                <w:szCs w:val="21"/>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间接</w:t>
            </w:r>
            <w:r>
              <w:rPr>
                <w:rFonts w:ascii="宋体" w:hAnsi="宋体" w:cs="宋体" w:eastAsia="宋体" w:hint="default"/>
                <w:sz w:val="21"/>
                <w:szCs w:val="21"/>
              </w:rPr>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7"/>
              <w:jc w:val="both"/>
              <w:rPr>
                <w:rFonts w:ascii="宋体" w:hAnsi="宋体" w:cs="宋体" w:eastAsia="宋体" w:hint="default"/>
                <w:sz w:val="21"/>
                <w:szCs w:val="21"/>
              </w:rPr>
            </w:pPr>
            <w:r>
              <w:rPr>
                <w:rFonts w:ascii="宋体" w:hAnsi="宋体" w:cs="宋体" w:eastAsia="宋体" w:hint="default"/>
                <w:sz w:val="21"/>
                <w:szCs w:val="21"/>
              </w:rPr>
              <w:t>北京中文在线 文化传媒有限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数字出版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投资新设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7"/>
              <w:jc w:val="both"/>
              <w:rPr>
                <w:rFonts w:ascii="宋体" w:hAnsi="宋体" w:cs="宋体" w:eastAsia="宋体" w:hint="default"/>
                <w:sz w:val="21"/>
                <w:szCs w:val="21"/>
              </w:rPr>
            </w:pPr>
            <w:r>
              <w:rPr>
                <w:rFonts w:ascii="宋体" w:hAnsi="宋体" w:cs="宋体" w:eastAsia="宋体" w:hint="default"/>
                <w:sz w:val="21"/>
                <w:szCs w:val="21"/>
              </w:rPr>
              <w:t>上海中文在线 文化发展有限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数字出版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投资新设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7"/>
              <w:jc w:val="both"/>
              <w:rPr>
                <w:rFonts w:ascii="宋体" w:hAnsi="宋体" w:cs="宋体" w:eastAsia="宋体" w:hint="default"/>
                <w:sz w:val="21"/>
                <w:szCs w:val="21"/>
              </w:rPr>
            </w:pPr>
            <w:r>
              <w:rPr>
                <w:rFonts w:ascii="宋体" w:hAnsi="宋体" w:cs="宋体" w:eastAsia="宋体" w:hint="default"/>
                <w:sz w:val="21"/>
                <w:szCs w:val="21"/>
              </w:rPr>
              <w:t>杭州中文在线 信息科技有限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22" w:right="72"/>
              <w:jc w:val="left"/>
              <w:rPr>
                <w:rFonts w:ascii="宋体" w:hAnsi="宋体" w:cs="宋体" w:eastAsia="宋体" w:hint="default"/>
                <w:sz w:val="21"/>
                <w:szCs w:val="21"/>
              </w:rPr>
            </w:pPr>
            <w:r>
              <w:rPr>
                <w:rFonts w:ascii="宋体" w:hAnsi="宋体" w:cs="宋体" w:eastAsia="宋体" w:hint="default"/>
                <w:sz w:val="21"/>
                <w:szCs w:val="21"/>
              </w:rPr>
              <w:t>信息技术及服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投资新设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7"/>
              <w:jc w:val="both"/>
              <w:rPr>
                <w:rFonts w:ascii="宋体" w:hAnsi="宋体" w:cs="宋体" w:eastAsia="宋体" w:hint="default"/>
                <w:sz w:val="21"/>
                <w:szCs w:val="21"/>
              </w:rPr>
            </w:pPr>
            <w:r>
              <w:rPr>
                <w:rFonts w:ascii="宋体" w:hAnsi="宋体" w:cs="宋体" w:eastAsia="宋体" w:hint="default"/>
                <w:sz w:val="21"/>
                <w:szCs w:val="21"/>
              </w:rPr>
              <w:t>北京中文在线 教育科技发展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数字出版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22" w:right="71"/>
              <w:jc w:val="left"/>
              <w:rPr>
                <w:rFonts w:ascii="宋体" w:hAnsi="宋体" w:cs="宋体" w:eastAsia="宋体" w:hint="default"/>
                <w:sz w:val="21"/>
                <w:szCs w:val="21"/>
              </w:rPr>
            </w:pPr>
            <w:r>
              <w:rPr>
                <w:rFonts w:ascii="宋体" w:hAnsi="宋体" w:cs="宋体" w:eastAsia="宋体" w:hint="default"/>
                <w:sz w:val="21"/>
                <w:szCs w:val="21"/>
              </w:rPr>
              <w:t>同一控制下企 业合并</w:t>
            </w:r>
          </w:p>
        </w:tc>
      </w:tr>
    </w:tbl>
    <w:p>
      <w:pPr>
        <w:spacing w:after="0" w:line="273" w:lineRule="auto"/>
        <w:jc w:val="left"/>
        <w:rPr>
          <w:rFonts w:ascii="宋体" w:hAnsi="宋体" w:cs="宋体" w:eastAsia="宋体" w:hint="default"/>
          <w:sz w:val="21"/>
          <w:szCs w:val="21"/>
        </w:rPr>
        <w:sectPr>
          <w:pgSz w:w="11910" w:h="16840"/>
          <w:pgMar w:header="0" w:footer="979" w:top="1100" w:bottom="116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7"/>
              <w:jc w:val="both"/>
              <w:rPr>
                <w:rFonts w:ascii="宋体" w:hAnsi="宋体" w:cs="宋体" w:eastAsia="宋体" w:hint="default"/>
                <w:sz w:val="21"/>
                <w:szCs w:val="21"/>
              </w:rPr>
            </w:pPr>
            <w:r>
              <w:rPr>
                <w:rFonts w:ascii="宋体" w:hAnsi="宋体" w:cs="宋体" w:eastAsia="宋体" w:hint="default"/>
                <w:sz w:val="21"/>
                <w:szCs w:val="21"/>
              </w:rPr>
              <w:t>广州市四月天 信息科技有限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数字出版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7"/>
              <w:jc w:val="both"/>
              <w:rPr>
                <w:rFonts w:ascii="宋体" w:hAnsi="宋体" w:cs="宋体" w:eastAsia="宋体" w:hint="default"/>
                <w:sz w:val="21"/>
                <w:szCs w:val="21"/>
              </w:rPr>
            </w:pPr>
            <w:r>
              <w:rPr>
                <w:rFonts w:ascii="宋体" w:hAnsi="宋体" w:cs="宋体" w:eastAsia="宋体" w:hint="default"/>
                <w:sz w:val="21"/>
                <w:szCs w:val="21"/>
              </w:rPr>
              <w:t>湖北中文在线 数字出版有限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数字出版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投资新设</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7"/>
              <w:jc w:val="both"/>
              <w:rPr>
                <w:rFonts w:ascii="宋体" w:hAnsi="宋体" w:cs="宋体" w:eastAsia="宋体" w:hint="default"/>
                <w:sz w:val="21"/>
                <w:szCs w:val="21"/>
              </w:rPr>
            </w:pPr>
            <w:r>
              <w:rPr>
                <w:rFonts w:ascii="宋体" w:hAnsi="宋体" w:cs="宋体" w:eastAsia="宋体" w:hint="default"/>
                <w:sz w:val="21"/>
                <w:szCs w:val="21"/>
              </w:rPr>
              <w:t>北京汤圆和它 的小伙伴们网 络科技有限公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移动互联网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投资新设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7"/>
              <w:jc w:val="left"/>
              <w:rPr>
                <w:rFonts w:ascii="宋体" w:hAnsi="宋体" w:cs="宋体" w:eastAsia="宋体" w:hint="default"/>
                <w:sz w:val="21"/>
                <w:szCs w:val="21"/>
              </w:rPr>
            </w:pPr>
            <w:r>
              <w:rPr>
                <w:rFonts w:ascii="宋体" w:hAnsi="宋体" w:cs="宋体" w:eastAsia="宋体" w:hint="default"/>
                <w:sz w:val="21"/>
                <w:szCs w:val="21"/>
              </w:rPr>
              <w:t>中文在线教育 集团有限公司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投资新设</w:t>
            </w:r>
          </w:p>
        </w:tc>
      </w:tr>
    </w:tbl>
    <w:p>
      <w:pPr>
        <w:pStyle w:val="BodyText"/>
        <w:spacing w:line="388" w:lineRule="auto" w:before="81"/>
        <w:ind w:left="634" w:right="172"/>
        <w:jc w:val="left"/>
      </w:pPr>
      <w:r>
        <w:rPr/>
        <w:t>在子公司的持股比例不同于表决权比例的说明： 持有半数或以下表决权但仍控制被投资单位、以及持有半数以上表决权但不控制被投资</w:t>
      </w:r>
    </w:p>
    <w:p>
      <w:pPr>
        <w:pStyle w:val="BodyText"/>
        <w:spacing w:line="240" w:lineRule="auto" w:before="6"/>
        <w:ind w:left="154" w:right="0"/>
        <w:jc w:val="left"/>
      </w:pPr>
      <w:r>
        <w:rPr/>
        <w:t>单位的依据：</w:t>
      </w:r>
    </w:p>
    <w:p>
      <w:pPr>
        <w:pStyle w:val="BodyText"/>
        <w:spacing w:line="388" w:lineRule="auto" w:before="193"/>
        <w:ind w:left="633" w:right="3533"/>
        <w:jc w:val="left"/>
      </w:pPr>
      <w:r>
        <w:rPr/>
        <w:t>对于纳入合并范围的重要的结构化主体，控制的依据： 确定公司是代理人还是委托人的依据：</w:t>
      </w:r>
    </w:p>
    <w:p>
      <w:pPr>
        <w:pStyle w:val="BodyText"/>
        <w:spacing w:line="240" w:lineRule="auto" w:before="45"/>
        <w:ind w:left="634" w:right="0"/>
        <w:jc w:val="left"/>
      </w:pPr>
      <w:r>
        <w:rPr/>
        <w:t>其他说明：</w:t>
      </w:r>
    </w:p>
    <w:p>
      <w:pPr>
        <w:spacing w:line="240" w:lineRule="auto" w:before="8"/>
        <w:rPr>
          <w:rFonts w:ascii="宋体" w:hAnsi="宋体" w:cs="宋体" w:eastAsia="宋体" w:hint="default"/>
          <w:sz w:val="28"/>
          <w:szCs w:val="28"/>
        </w:rPr>
      </w:pPr>
    </w:p>
    <w:p>
      <w:pPr>
        <w:spacing w:before="0"/>
        <w:ind w:left="154" w:right="0" w:firstLine="0"/>
        <w:jc w:val="left"/>
        <w:rPr>
          <w:rFonts w:ascii="宋体" w:hAnsi="宋体" w:cs="宋体" w:eastAsia="宋体" w:hint="default"/>
          <w:sz w:val="24"/>
          <w:szCs w:val="24"/>
        </w:rPr>
      </w:pPr>
      <w:bookmarkStart w:name="（2）重要的非全资子公司" w:id="320"/>
      <w:bookmarkEnd w:id="320"/>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）重要的非全资子公司</w:t>
      </w:r>
      <w:r>
        <w:rPr>
          <w:rFonts w:ascii="宋体" w:hAnsi="宋体" w:cs="宋体" w:eastAsia="宋体" w:hint="default"/>
          <w:sz w:val="24"/>
          <w:szCs w:val="24"/>
        </w:rPr>
      </w:r>
    </w:p>
    <w:p>
      <w:pPr>
        <w:spacing w:line="240" w:lineRule="auto" w:before="6"/>
        <w:rPr>
          <w:rFonts w:ascii="宋体" w:hAnsi="宋体" w:cs="宋体" w:eastAsia="宋体" w:hint="default"/>
          <w:b/>
          <w:bCs/>
          <w:sz w:val="21"/>
          <w:szCs w:val="21"/>
        </w:rPr>
      </w:pPr>
    </w:p>
    <w:p>
      <w:pPr>
        <w:pStyle w:val="BodyText"/>
        <w:spacing w:line="240" w:lineRule="auto" w:before="0"/>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59"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5"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b/>
                <w:bCs/>
                <w:sz w:val="21"/>
                <w:szCs w:val="21"/>
              </w:rPr>
              <w:t>少数股东持股比例</w:t>
            </w:r>
            <w:r>
              <w:rPr>
                <w:rFonts w:ascii="宋体" w:hAnsi="宋体" w:cs="宋体" w:eastAsia="宋体" w:hint="default"/>
                <w:sz w:val="21"/>
                <w:szCs w:val="21"/>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51"/>
              <w:ind w:left="529" w:right="109" w:hanging="422"/>
              <w:jc w:val="left"/>
              <w:rPr>
                <w:rFonts w:ascii="宋体" w:hAnsi="宋体" w:cs="宋体" w:eastAsia="宋体" w:hint="default"/>
                <w:sz w:val="21"/>
                <w:szCs w:val="21"/>
              </w:rPr>
            </w:pPr>
            <w:r>
              <w:rPr>
                <w:rFonts w:ascii="宋体" w:hAnsi="宋体" w:cs="宋体" w:eastAsia="宋体" w:hint="default"/>
                <w:b/>
                <w:bCs/>
                <w:sz w:val="21"/>
                <w:szCs w:val="21"/>
              </w:rPr>
              <w:t>本期归属于少数股</w:t>
            </w:r>
            <w:r>
              <w:rPr>
                <w:rFonts w:ascii="宋体" w:hAnsi="宋体" w:cs="宋体" w:eastAsia="宋体" w:hint="default"/>
                <w:b/>
                <w:bCs/>
                <w:w w:val="99"/>
                <w:sz w:val="21"/>
                <w:szCs w:val="21"/>
              </w:rPr>
              <w:t> </w:t>
            </w:r>
            <w:r>
              <w:rPr>
                <w:rFonts w:ascii="宋体" w:hAnsi="宋体" w:cs="宋体" w:eastAsia="宋体" w:hint="default"/>
                <w:b/>
                <w:bCs/>
                <w:sz w:val="21"/>
                <w:szCs w:val="21"/>
              </w:rPr>
              <w:t>东的损益</w:t>
            </w:r>
            <w:r>
              <w:rPr>
                <w:rFonts w:ascii="宋体" w:hAnsi="宋体" w:cs="宋体" w:eastAsia="宋体"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51"/>
              <w:ind w:left="319" w:right="108" w:hanging="212"/>
              <w:jc w:val="left"/>
              <w:rPr>
                <w:rFonts w:ascii="宋体" w:hAnsi="宋体" w:cs="宋体" w:eastAsia="宋体" w:hint="default"/>
                <w:sz w:val="21"/>
                <w:szCs w:val="21"/>
              </w:rPr>
            </w:pPr>
            <w:r>
              <w:rPr>
                <w:rFonts w:ascii="宋体" w:hAnsi="宋体" w:cs="宋体" w:eastAsia="宋体" w:hint="default"/>
                <w:b/>
                <w:bCs/>
                <w:sz w:val="21"/>
                <w:szCs w:val="21"/>
              </w:rPr>
              <w:t>本期向少数股东宣</w:t>
            </w:r>
            <w:r>
              <w:rPr>
                <w:rFonts w:ascii="宋体" w:hAnsi="宋体" w:cs="宋体" w:eastAsia="宋体" w:hint="default"/>
                <w:b/>
                <w:bCs/>
                <w:w w:val="99"/>
                <w:sz w:val="21"/>
                <w:szCs w:val="21"/>
              </w:rPr>
              <w:t> </w:t>
            </w:r>
            <w:r>
              <w:rPr>
                <w:rFonts w:ascii="宋体" w:hAnsi="宋体" w:cs="宋体" w:eastAsia="宋体" w:hint="default"/>
                <w:b/>
                <w:bCs/>
                <w:sz w:val="21"/>
                <w:szCs w:val="21"/>
              </w:rPr>
              <w:t>告分派的股利</w:t>
            </w:r>
            <w:r>
              <w:rPr>
                <w:rFonts w:ascii="宋体" w:hAnsi="宋体" w:cs="宋体" w:eastAsia="宋体"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51"/>
              <w:ind w:left="740" w:right="107" w:hanging="633"/>
              <w:jc w:val="left"/>
              <w:rPr>
                <w:rFonts w:ascii="宋体" w:hAnsi="宋体" w:cs="宋体" w:eastAsia="宋体" w:hint="default"/>
                <w:sz w:val="21"/>
                <w:szCs w:val="21"/>
              </w:rPr>
            </w:pPr>
            <w:r>
              <w:rPr>
                <w:rFonts w:ascii="宋体" w:hAnsi="宋体" w:cs="宋体" w:eastAsia="宋体" w:hint="default"/>
                <w:b/>
                <w:bCs/>
                <w:sz w:val="21"/>
                <w:szCs w:val="21"/>
              </w:rPr>
              <w:t>期末少数股东权益</w:t>
            </w:r>
            <w:r>
              <w:rPr>
                <w:rFonts w:ascii="宋体" w:hAnsi="宋体" w:cs="宋体" w:eastAsia="宋体" w:hint="default"/>
                <w:b/>
                <w:bCs/>
                <w:w w:val="99"/>
                <w:sz w:val="21"/>
                <w:szCs w:val="21"/>
              </w:rPr>
              <w:t> </w:t>
            </w:r>
            <w:r>
              <w:rPr>
                <w:rFonts w:ascii="宋体" w:hAnsi="宋体" w:cs="宋体" w:eastAsia="宋体" w:hint="default"/>
                <w:b/>
                <w:bCs/>
                <w:sz w:val="21"/>
                <w:szCs w:val="21"/>
              </w:rPr>
              <w:t>余额</w:t>
            </w:r>
            <w:r>
              <w:rPr>
                <w:rFonts w:ascii="宋体" w:hAnsi="宋体" w:cs="宋体" w:eastAsia="宋体" w:hint="default"/>
                <w:sz w:val="21"/>
                <w:szCs w:val="21"/>
              </w:rPr>
            </w:r>
          </w:p>
        </w:tc>
      </w:tr>
      <w:tr>
        <w:trPr>
          <w:trHeight w:val="719"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0"/>
              <w:ind w:left="22" w:right="202"/>
              <w:jc w:val="left"/>
              <w:rPr>
                <w:rFonts w:ascii="宋体" w:hAnsi="宋体" w:cs="宋体" w:eastAsia="宋体" w:hint="default"/>
                <w:sz w:val="21"/>
                <w:szCs w:val="21"/>
              </w:rPr>
            </w:pPr>
            <w:r>
              <w:rPr>
                <w:rFonts w:ascii="宋体" w:hAnsi="宋体" w:cs="宋体" w:eastAsia="宋体" w:hint="default"/>
                <w:sz w:val="21"/>
                <w:szCs w:val="21"/>
              </w:rPr>
              <w:t>杭州中文在线信息 科技有限公司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232" w:right="0"/>
              <w:jc w:val="left"/>
              <w:rPr>
                <w:rFonts w:ascii="Times New Roman" w:hAnsi="Times New Roman" w:cs="Times New Roman" w:eastAsia="Times New Roman" w:hint="default"/>
                <w:sz w:val="21"/>
                <w:szCs w:val="21"/>
              </w:rPr>
            </w:pPr>
            <w:r>
              <w:rPr>
                <w:rFonts w:ascii="Times New Roman"/>
                <w:sz w:val="21"/>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970" w:right="0"/>
              <w:jc w:val="left"/>
              <w:rPr>
                <w:rFonts w:ascii="Times New Roman" w:hAnsi="Times New Roman" w:cs="Times New Roman" w:eastAsia="Times New Roman" w:hint="default"/>
                <w:sz w:val="21"/>
                <w:szCs w:val="21"/>
              </w:rPr>
            </w:pPr>
            <w:r>
              <w:rPr>
                <w:rFonts w:ascii="Times New Roman"/>
                <w:sz w:val="21"/>
              </w:rPr>
              <w:t>-68,358.40</w:t>
            </w:r>
          </w:p>
        </w:tc>
        <w:tc>
          <w:tcPr>
            <w:tcW w:w="1913" w:type="dxa"/>
            <w:tcBorders>
              <w:top w:val="single" w:sz="14" w:space="0" w:color="D2D2D2"/>
              <w:left w:val="single" w:sz="4" w:space="0" w:color="000000"/>
              <w:bottom w:val="single" w:sz="4" w:space="0" w:color="000000"/>
              <w:right w:val="single" w:sz="4" w:space="0" w:color="000000"/>
            </w:tcBorders>
          </w:tcPr>
          <w:p>
            <w:pPr/>
          </w:p>
        </w:tc>
        <w:tc>
          <w:tcPr>
            <w:tcW w:w="1913" w:type="dxa"/>
            <w:tcBorders>
              <w:top w:val="single" w:sz="14"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936" w:right="0"/>
              <w:jc w:val="left"/>
              <w:rPr>
                <w:rFonts w:ascii="Times New Roman" w:hAnsi="Times New Roman" w:cs="Times New Roman" w:eastAsia="Times New Roman" w:hint="default"/>
                <w:sz w:val="21"/>
                <w:szCs w:val="21"/>
              </w:rPr>
            </w:pPr>
            <w:r>
              <w:rPr>
                <w:rFonts w:ascii="Times New Roman"/>
                <w:sz w:val="21"/>
              </w:rPr>
              <w:t>706,718.30</w:t>
            </w: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3）重要非全资子公司的主要财务信息" w:id="321"/>
      <w:bookmarkEnd w:id="321"/>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）重要非全资子公司的主要财务信息</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152" w:right="45" w:hanging="106"/>
              <w:jc w:val="left"/>
              <w:rPr>
                <w:rFonts w:ascii="宋体" w:hAnsi="宋体" w:cs="宋体" w:eastAsia="宋体" w:hint="default"/>
                <w:sz w:val="21"/>
                <w:szCs w:val="21"/>
              </w:rPr>
            </w:pPr>
            <w:r>
              <w:rPr>
                <w:rFonts w:ascii="宋体" w:hAnsi="宋体" w:cs="宋体" w:eastAsia="宋体" w:hint="default"/>
                <w:b/>
                <w:bCs/>
                <w:sz w:val="21"/>
                <w:szCs w:val="21"/>
              </w:rPr>
              <w:t>子公司</w:t>
            </w:r>
            <w:r>
              <w:rPr>
                <w:rFonts w:ascii="宋体" w:hAnsi="宋体" w:cs="宋体" w:eastAsia="宋体" w:hint="default"/>
                <w:b/>
                <w:bCs/>
                <w:spacing w:val="1"/>
                <w:w w:val="99"/>
                <w:sz w:val="21"/>
                <w:szCs w:val="21"/>
              </w:rPr>
              <w:t> </w:t>
            </w:r>
            <w:r>
              <w:rPr>
                <w:rFonts w:ascii="宋体" w:hAnsi="宋体" w:cs="宋体" w:eastAsia="宋体" w:hint="default"/>
                <w:b/>
                <w:bCs/>
                <w:sz w:val="21"/>
                <w:szCs w:val="21"/>
              </w:rPr>
              <w:t>名称</w:t>
            </w:r>
            <w:r>
              <w:rPr>
                <w:rFonts w:ascii="宋体" w:hAnsi="宋体" w:cs="宋体" w:eastAsia="宋体" w:hint="default"/>
                <w:sz w:val="21"/>
                <w:szCs w:val="21"/>
              </w:rPr>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57" w:right="43" w:hanging="210"/>
              <w:jc w:val="left"/>
              <w:rPr>
                <w:rFonts w:ascii="宋体" w:hAnsi="宋体" w:cs="宋体" w:eastAsia="宋体" w:hint="default"/>
                <w:sz w:val="21"/>
                <w:szCs w:val="21"/>
              </w:rPr>
            </w:pPr>
            <w:r>
              <w:rPr>
                <w:rFonts w:ascii="宋体" w:hAnsi="宋体" w:cs="宋体" w:eastAsia="宋体" w:hint="default"/>
                <w:b/>
                <w:bCs/>
                <w:sz w:val="21"/>
                <w:szCs w:val="21"/>
              </w:rPr>
              <w:t>流动资</w:t>
            </w:r>
            <w:r>
              <w:rPr>
                <w:rFonts w:ascii="宋体" w:hAnsi="宋体" w:cs="宋体" w:eastAsia="宋体" w:hint="default"/>
                <w:b/>
                <w:bCs/>
                <w:spacing w:val="1"/>
                <w:w w:val="99"/>
                <w:sz w:val="21"/>
                <w:szCs w:val="21"/>
              </w:rPr>
              <w:t> </w:t>
            </w:r>
            <w:r>
              <w:rPr>
                <w:rFonts w:ascii="宋体" w:hAnsi="宋体" w:cs="宋体" w:eastAsia="宋体" w:hint="default"/>
                <w:b/>
                <w:bCs/>
                <w:sz w:val="21"/>
                <w:szCs w:val="21"/>
              </w:rPr>
              <w:t>产</w:t>
            </w:r>
            <w:r>
              <w:rPr>
                <w:rFonts w:ascii="宋体" w:hAnsi="宋体" w:cs="宋体" w:eastAsia="宋体" w:hint="default"/>
                <w:sz w:val="21"/>
                <w:szCs w:val="21"/>
              </w:rPr>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52" w:right="43" w:hanging="106"/>
              <w:jc w:val="left"/>
              <w:rPr>
                <w:rFonts w:ascii="宋体" w:hAnsi="宋体" w:cs="宋体" w:eastAsia="宋体" w:hint="default"/>
                <w:sz w:val="21"/>
                <w:szCs w:val="21"/>
              </w:rPr>
            </w:pPr>
            <w:r>
              <w:rPr>
                <w:rFonts w:ascii="宋体" w:hAnsi="宋体" w:cs="宋体" w:eastAsia="宋体" w:hint="default"/>
                <w:b/>
                <w:bCs/>
                <w:sz w:val="21"/>
                <w:szCs w:val="21"/>
              </w:rPr>
              <w:t>非流动</w:t>
            </w:r>
            <w:r>
              <w:rPr>
                <w:rFonts w:ascii="宋体" w:hAnsi="宋体" w:cs="宋体" w:eastAsia="宋体" w:hint="default"/>
                <w:b/>
                <w:bCs/>
                <w:spacing w:val="1"/>
                <w:w w:val="99"/>
                <w:sz w:val="21"/>
                <w:szCs w:val="21"/>
              </w:rPr>
              <w:t> </w:t>
            </w:r>
            <w:r>
              <w:rPr>
                <w:rFonts w:ascii="宋体" w:hAnsi="宋体" w:cs="宋体" w:eastAsia="宋体" w:hint="default"/>
                <w:b/>
                <w:bCs/>
                <w:sz w:val="21"/>
                <w:szCs w:val="21"/>
              </w:rPr>
              <w:t>资产</w:t>
            </w:r>
            <w:r>
              <w:rPr>
                <w:rFonts w:ascii="宋体" w:hAnsi="宋体" w:cs="宋体" w:eastAsia="宋体" w:hint="default"/>
                <w:sz w:val="21"/>
                <w:szCs w:val="21"/>
              </w:rPr>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56" w:right="43" w:hanging="210"/>
              <w:jc w:val="left"/>
              <w:rPr>
                <w:rFonts w:ascii="宋体" w:hAnsi="宋体" w:cs="宋体" w:eastAsia="宋体" w:hint="default"/>
                <w:sz w:val="21"/>
                <w:szCs w:val="21"/>
              </w:rPr>
            </w:pPr>
            <w:r>
              <w:rPr>
                <w:rFonts w:ascii="宋体" w:hAnsi="宋体" w:cs="宋体" w:eastAsia="宋体" w:hint="default"/>
                <w:b/>
                <w:bCs/>
                <w:sz w:val="21"/>
                <w:szCs w:val="21"/>
              </w:rPr>
              <w:t>资产合</w:t>
            </w:r>
            <w:r>
              <w:rPr>
                <w:rFonts w:ascii="宋体" w:hAnsi="宋体" w:cs="宋体" w:eastAsia="宋体" w:hint="default"/>
                <w:b/>
                <w:bCs/>
                <w:spacing w:val="1"/>
                <w:w w:val="99"/>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58" w:right="43" w:hanging="210"/>
              <w:jc w:val="left"/>
              <w:rPr>
                <w:rFonts w:ascii="宋体" w:hAnsi="宋体" w:cs="宋体" w:eastAsia="宋体" w:hint="default"/>
                <w:sz w:val="21"/>
                <w:szCs w:val="21"/>
              </w:rPr>
            </w:pPr>
            <w:r>
              <w:rPr>
                <w:rFonts w:ascii="宋体" w:hAnsi="宋体" w:cs="宋体" w:eastAsia="宋体" w:hint="default"/>
                <w:b/>
                <w:bCs/>
                <w:sz w:val="21"/>
                <w:szCs w:val="21"/>
              </w:rPr>
              <w:t>流动负</w:t>
            </w:r>
            <w:r>
              <w:rPr>
                <w:rFonts w:ascii="宋体" w:hAnsi="宋体" w:cs="宋体" w:eastAsia="宋体" w:hint="default"/>
                <w:b/>
                <w:bCs/>
                <w:spacing w:val="1"/>
                <w:w w:val="99"/>
                <w:sz w:val="21"/>
                <w:szCs w:val="21"/>
              </w:rPr>
              <w:t> </w:t>
            </w:r>
            <w:r>
              <w:rPr>
                <w:rFonts w:ascii="宋体" w:hAnsi="宋体" w:cs="宋体" w:eastAsia="宋体" w:hint="default"/>
                <w:b/>
                <w:bCs/>
                <w:sz w:val="21"/>
                <w:szCs w:val="21"/>
              </w:rPr>
              <w:t>债</w:t>
            </w:r>
            <w:r>
              <w:rPr>
                <w:rFonts w:ascii="宋体" w:hAnsi="宋体" w:cs="宋体" w:eastAsia="宋体" w:hint="default"/>
                <w:sz w:val="21"/>
                <w:szCs w:val="21"/>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51" w:right="45" w:hanging="106"/>
              <w:jc w:val="left"/>
              <w:rPr>
                <w:rFonts w:ascii="宋体" w:hAnsi="宋体" w:cs="宋体" w:eastAsia="宋体" w:hint="default"/>
                <w:sz w:val="21"/>
                <w:szCs w:val="21"/>
              </w:rPr>
            </w:pPr>
            <w:r>
              <w:rPr>
                <w:rFonts w:ascii="宋体" w:hAnsi="宋体" w:cs="宋体" w:eastAsia="宋体" w:hint="default"/>
                <w:b/>
                <w:bCs/>
                <w:sz w:val="21"/>
                <w:szCs w:val="21"/>
              </w:rPr>
              <w:t>非流动</w:t>
            </w:r>
            <w:r>
              <w:rPr>
                <w:rFonts w:ascii="宋体" w:hAnsi="宋体" w:cs="宋体" w:eastAsia="宋体" w:hint="default"/>
                <w:b/>
                <w:bCs/>
                <w:spacing w:val="1"/>
                <w:w w:val="99"/>
                <w:sz w:val="21"/>
                <w:szCs w:val="21"/>
              </w:rPr>
              <w:t> </w:t>
            </w:r>
            <w:r>
              <w:rPr>
                <w:rFonts w:ascii="宋体" w:hAnsi="宋体" w:cs="宋体" w:eastAsia="宋体" w:hint="default"/>
                <w:b/>
                <w:bCs/>
                <w:sz w:val="21"/>
                <w:szCs w:val="21"/>
              </w:rPr>
              <w:t>负债</w:t>
            </w:r>
            <w:r>
              <w:rPr>
                <w:rFonts w:ascii="宋体" w:hAnsi="宋体" w:cs="宋体" w:eastAsia="宋体" w:hint="default"/>
                <w:sz w:val="21"/>
                <w:szCs w:val="21"/>
              </w:rPr>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56" w:right="44" w:hanging="212"/>
              <w:jc w:val="left"/>
              <w:rPr>
                <w:rFonts w:ascii="宋体" w:hAnsi="宋体" w:cs="宋体" w:eastAsia="宋体" w:hint="default"/>
                <w:sz w:val="21"/>
                <w:szCs w:val="21"/>
              </w:rPr>
            </w:pPr>
            <w:r>
              <w:rPr>
                <w:rFonts w:ascii="宋体" w:hAnsi="宋体" w:cs="宋体" w:eastAsia="宋体" w:hint="default"/>
                <w:b/>
                <w:bCs/>
                <w:sz w:val="21"/>
                <w:szCs w:val="21"/>
              </w:rPr>
              <w:t>负债合</w:t>
            </w:r>
            <w:r>
              <w:rPr>
                <w:rFonts w:ascii="宋体" w:hAnsi="宋体" w:cs="宋体" w:eastAsia="宋体" w:hint="default"/>
                <w:b/>
                <w:bCs/>
                <w:spacing w:val="1"/>
                <w:w w:val="99"/>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56" w:right="43" w:hanging="212"/>
              <w:jc w:val="left"/>
              <w:rPr>
                <w:rFonts w:ascii="宋体" w:hAnsi="宋体" w:cs="宋体" w:eastAsia="宋体" w:hint="default"/>
                <w:sz w:val="21"/>
                <w:szCs w:val="21"/>
              </w:rPr>
            </w:pPr>
            <w:r>
              <w:rPr>
                <w:rFonts w:ascii="宋体" w:hAnsi="宋体" w:cs="宋体" w:eastAsia="宋体" w:hint="default"/>
                <w:b/>
                <w:bCs/>
                <w:sz w:val="21"/>
                <w:szCs w:val="21"/>
              </w:rPr>
              <w:t>流动资</w:t>
            </w:r>
            <w:r>
              <w:rPr>
                <w:rFonts w:ascii="宋体" w:hAnsi="宋体" w:cs="宋体" w:eastAsia="宋体" w:hint="default"/>
                <w:b/>
                <w:bCs/>
                <w:spacing w:val="1"/>
                <w:w w:val="99"/>
                <w:sz w:val="21"/>
                <w:szCs w:val="21"/>
              </w:rPr>
              <w:t> </w:t>
            </w:r>
            <w:r>
              <w:rPr>
                <w:rFonts w:ascii="宋体" w:hAnsi="宋体" w:cs="宋体" w:eastAsia="宋体" w:hint="default"/>
                <w:b/>
                <w:bCs/>
                <w:sz w:val="21"/>
                <w:szCs w:val="21"/>
              </w:rPr>
              <w:t>产</w:t>
            </w:r>
            <w:r>
              <w:rPr>
                <w:rFonts w:ascii="宋体" w:hAnsi="宋体" w:cs="宋体" w:eastAsia="宋体" w:hint="default"/>
                <w:sz w:val="21"/>
                <w:szCs w:val="21"/>
              </w:rPr>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51" w:right="44" w:hanging="106"/>
              <w:jc w:val="left"/>
              <w:rPr>
                <w:rFonts w:ascii="宋体" w:hAnsi="宋体" w:cs="宋体" w:eastAsia="宋体" w:hint="default"/>
                <w:sz w:val="21"/>
                <w:szCs w:val="21"/>
              </w:rPr>
            </w:pPr>
            <w:r>
              <w:rPr>
                <w:rFonts w:ascii="宋体" w:hAnsi="宋体" w:cs="宋体" w:eastAsia="宋体" w:hint="default"/>
                <w:b/>
                <w:bCs/>
                <w:sz w:val="21"/>
                <w:szCs w:val="21"/>
              </w:rPr>
              <w:t>非流动</w:t>
            </w:r>
            <w:r>
              <w:rPr>
                <w:rFonts w:ascii="宋体" w:hAnsi="宋体" w:cs="宋体" w:eastAsia="宋体" w:hint="default"/>
                <w:b/>
                <w:bCs/>
                <w:spacing w:val="1"/>
                <w:w w:val="99"/>
                <w:sz w:val="21"/>
                <w:szCs w:val="21"/>
              </w:rPr>
              <w:t> </w:t>
            </w:r>
            <w:r>
              <w:rPr>
                <w:rFonts w:ascii="宋体" w:hAnsi="宋体" w:cs="宋体" w:eastAsia="宋体" w:hint="default"/>
                <w:b/>
                <w:bCs/>
                <w:sz w:val="21"/>
                <w:szCs w:val="21"/>
              </w:rPr>
              <w:t>资产</w:t>
            </w:r>
            <w:r>
              <w:rPr>
                <w:rFonts w:ascii="宋体" w:hAnsi="宋体" w:cs="宋体" w:eastAsia="宋体" w:hint="default"/>
                <w:sz w:val="21"/>
                <w:szCs w:val="21"/>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56" w:right="45" w:hanging="212"/>
              <w:jc w:val="left"/>
              <w:rPr>
                <w:rFonts w:ascii="宋体" w:hAnsi="宋体" w:cs="宋体" w:eastAsia="宋体" w:hint="default"/>
                <w:sz w:val="21"/>
                <w:szCs w:val="21"/>
              </w:rPr>
            </w:pPr>
            <w:r>
              <w:rPr>
                <w:rFonts w:ascii="宋体" w:hAnsi="宋体" w:cs="宋体" w:eastAsia="宋体" w:hint="default"/>
                <w:b/>
                <w:bCs/>
                <w:sz w:val="21"/>
                <w:szCs w:val="21"/>
              </w:rPr>
              <w:t>资产合</w:t>
            </w:r>
            <w:r>
              <w:rPr>
                <w:rFonts w:ascii="宋体" w:hAnsi="宋体" w:cs="宋体" w:eastAsia="宋体" w:hint="default"/>
                <w:b/>
                <w:bCs/>
                <w:spacing w:val="1"/>
                <w:w w:val="99"/>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57" w:right="44" w:hanging="212"/>
              <w:jc w:val="left"/>
              <w:rPr>
                <w:rFonts w:ascii="宋体" w:hAnsi="宋体" w:cs="宋体" w:eastAsia="宋体" w:hint="default"/>
                <w:sz w:val="21"/>
                <w:szCs w:val="21"/>
              </w:rPr>
            </w:pPr>
            <w:r>
              <w:rPr>
                <w:rFonts w:ascii="宋体" w:hAnsi="宋体" w:cs="宋体" w:eastAsia="宋体" w:hint="default"/>
                <w:b/>
                <w:bCs/>
                <w:sz w:val="21"/>
                <w:szCs w:val="21"/>
              </w:rPr>
              <w:t>流动负</w:t>
            </w:r>
            <w:r>
              <w:rPr>
                <w:rFonts w:ascii="宋体" w:hAnsi="宋体" w:cs="宋体" w:eastAsia="宋体" w:hint="default"/>
                <w:b/>
                <w:bCs/>
                <w:spacing w:val="1"/>
                <w:w w:val="99"/>
                <w:sz w:val="21"/>
                <w:szCs w:val="21"/>
              </w:rPr>
              <w:t> </w:t>
            </w:r>
            <w:r>
              <w:rPr>
                <w:rFonts w:ascii="宋体" w:hAnsi="宋体" w:cs="宋体" w:eastAsia="宋体" w:hint="default"/>
                <w:b/>
                <w:bCs/>
                <w:sz w:val="21"/>
                <w:szCs w:val="21"/>
              </w:rPr>
              <w:t>债</w:t>
            </w:r>
            <w:r>
              <w:rPr>
                <w:rFonts w:ascii="宋体" w:hAnsi="宋体" w:cs="宋体" w:eastAsia="宋体" w:hint="default"/>
                <w:sz w:val="21"/>
                <w:szCs w:val="21"/>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53" w:right="43" w:hanging="106"/>
              <w:jc w:val="left"/>
              <w:rPr>
                <w:rFonts w:ascii="宋体" w:hAnsi="宋体" w:cs="宋体" w:eastAsia="宋体" w:hint="default"/>
                <w:sz w:val="21"/>
                <w:szCs w:val="21"/>
              </w:rPr>
            </w:pPr>
            <w:r>
              <w:rPr>
                <w:rFonts w:ascii="宋体" w:hAnsi="宋体" w:cs="宋体" w:eastAsia="宋体" w:hint="default"/>
                <w:b/>
                <w:bCs/>
                <w:sz w:val="21"/>
                <w:szCs w:val="21"/>
              </w:rPr>
              <w:t>非流动</w:t>
            </w:r>
            <w:r>
              <w:rPr>
                <w:rFonts w:ascii="宋体" w:hAnsi="宋体" w:cs="宋体" w:eastAsia="宋体" w:hint="default"/>
                <w:b/>
                <w:bCs/>
                <w:spacing w:val="1"/>
                <w:w w:val="99"/>
                <w:sz w:val="21"/>
                <w:szCs w:val="21"/>
              </w:rPr>
              <w:t> </w:t>
            </w:r>
            <w:r>
              <w:rPr>
                <w:rFonts w:ascii="宋体" w:hAnsi="宋体" w:cs="宋体" w:eastAsia="宋体" w:hint="default"/>
                <w:b/>
                <w:bCs/>
                <w:sz w:val="21"/>
                <w:szCs w:val="21"/>
              </w:rPr>
              <w:t>负债</w:t>
            </w:r>
            <w:r>
              <w:rPr>
                <w:rFonts w:ascii="宋体" w:hAnsi="宋体" w:cs="宋体" w:eastAsia="宋体" w:hint="default"/>
                <w:sz w:val="21"/>
                <w:szCs w:val="21"/>
              </w:rPr>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56" w:right="43" w:hanging="210"/>
              <w:jc w:val="left"/>
              <w:rPr>
                <w:rFonts w:ascii="宋体" w:hAnsi="宋体" w:cs="宋体" w:eastAsia="宋体" w:hint="default"/>
                <w:sz w:val="21"/>
                <w:szCs w:val="21"/>
              </w:rPr>
            </w:pPr>
            <w:r>
              <w:rPr>
                <w:rFonts w:ascii="宋体" w:hAnsi="宋体" w:cs="宋体" w:eastAsia="宋体" w:hint="default"/>
                <w:b/>
                <w:bCs/>
                <w:sz w:val="21"/>
                <w:szCs w:val="21"/>
              </w:rPr>
              <w:t>负债合</w:t>
            </w:r>
            <w:r>
              <w:rPr>
                <w:rFonts w:ascii="宋体" w:hAnsi="宋体" w:cs="宋体" w:eastAsia="宋体" w:hint="default"/>
                <w:b/>
                <w:bCs/>
                <w:spacing w:val="1"/>
                <w:w w:val="99"/>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1"/>
              <w:jc w:val="both"/>
              <w:rPr>
                <w:rFonts w:ascii="宋体" w:hAnsi="宋体" w:cs="宋体" w:eastAsia="宋体" w:hint="default"/>
                <w:sz w:val="21"/>
                <w:szCs w:val="21"/>
              </w:rPr>
            </w:pPr>
            <w:r>
              <w:rPr>
                <w:rFonts w:ascii="宋体" w:hAnsi="宋体" w:cs="宋体" w:eastAsia="宋体" w:hint="default"/>
                <w:sz w:val="21"/>
                <w:szCs w:val="21"/>
              </w:rPr>
              <w:t>杭州中 文在线 信息科 技有限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0" w:right="0"/>
              <w:jc w:val="center"/>
              <w:rPr>
                <w:rFonts w:ascii="Times New Roman" w:hAnsi="Times New Roman" w:cs="Times New Roman" w:eastAsia="Times New Roman" w:hint="default"/>
                <w:sz w:val="21"/>
                <w:szCs w:val="21"/>
              </w:rPr>
            </w:pPr>
            <w:r>
              <w:rPr>
                <w:rFonts w:ascii="Times New Roman"/>
                <w:sz w:val="21"/>
              </w:rPr>
              <w:t>1,511,0</w:t>
            </w:r>
          </w:p>
          <w:p>
            <w:pPr>
              <w:pStyle w:val="TableParagraph"/>
              <w:spacing w:line="240" w:lineRule="auto" w:before="70"/>
              <w:ind w:left="208" w:right="0"/>
              <w:jc w:val="center"/>
              <w:rPr>
                <w:rFonts w:ascii="Times New Roman" w:hAnsi="Times New Roman" w:cs="Times New Roman" w:eastAsia="Times New Roman" w:hint="default"/>
                <w:sz w:val="21"/>
                <w:szCs w:val="21"/>
              </w:rPr>
            </w:pPr>
            <w:r>
              <w:rPr>
                <w:rFonts w:ascii="Times New Roman"/>
                <w:sz w:val="21"/>
              </w:rPr>
              <w:t>78.94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1" w:right="0"/>
              <w:jc w:val="center"/>
              <w:rPr>
                <w:rFonts w:ascii="Times New Roman" w:hAnsi="Times New Roman" w:cs="Times New Roman" w:eastAsia="Times New Roman" w:hint="default"/>
                <w:sz w:val="21"/>
                <w:szCs w:val="21"/>
              </w:rPr>
            </w:pPr>
            <w:r>
              <w:rPr>
                <w:rFonts w:ascii="Times New Roman"/>
                <w:sz w:val="21"/>
              </w:rPr>
              <w:t>1,401,5</w:t>
            </w:r>
          </w:p>
          <w:p>
            <w:pPr>
              <w:pStyle w:val="TableParagraph"/>
              <w:spacing w:line="240" w:lineRule="auto" w:before="70"/>
              <w:ind w:left="207" w:right="0"/>
              <w:jc w:val="center"/>
              <w:rPr>
                <w:rFonts w:ascii="Times New Roman" w:hAnsi="Times New Roman" w:cs="Times New Roman" w:eastAsia="Times New Roman" w:hint="default"/>
                <w:sz w:val="21"/>
                <w:szCs w:val="21"/>
              </w:rPr>
            </w:pPr>
            <w:r>
              <w:rPr>
                <w:rFonts w:ascii="Times New Roman"/>
                <w:sz w:val="21"/>
              </w:rPr>
              <w:t>77.51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1" w:right="0"/>
              <w:jc w:val="center"/>
              <w:rPr>
                <w:rFonts w:ascii="Times New Roman" w:hAnsi="Times New Roman" w:cs="Times New Roman" w:eastAsia="Times New Roman" w:hint="default"/>
                <w:sz w:val="21"/>
                <w:szCs w:val="21"/>
              </w:rPr>
            </w:pPr>
            <w:r>
              <w:rPr>
                <w:rFonts w:ascii="Times New Roman"/>
                <w:sz w:val="21"/>
              </w:rPr>
              <w:t>2,912,6</w:t>
            </w:r>
          </w:p>
          <w:p>
            <w:pPr>
              <w:pStyle w:val="TableParagraph"/>
              <w:spacing w:line="240" w:lineRule="auto" w:before="70"/>
              <w:ind w:left="207" w:right="0"/>
              <w:jc w:val="center"/>
              <w:rPr>
                <w:rFonts w:ascii="Times New Roman" w:hAnsi="Times New Roman" w:cs="Times New Roman" w:eastAsia="Times New Roman" w:hint="default"/>
                <w:sz w:val="21"/>
                <w:szCs w:val="21"/>
              </w:rPr>
            </w:pPr>
            <w:r>
              <w:rPr>
                <w:rFonts w:ascii="Times New Roman"/>
                <w:sz w:val="21"/>
              </w:rPr>
              <w:t>56.45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556,92</w:t>
            </w:r>
          </w:p>
          <w:p>
            <w:pPr>
              <w:pStyle w:val="TableParagraph"/>
              <w:spacing w:line="240" w:lineRule="auto" w:before="70"/>
              <w:ind w:left="337" w:right="0"/>
              <w:jc w:val="left"/>
              <w:rPr>
                <w:rFonts w:ascii="Times New Roman" w:hAnsi="Times New Roman" w:cs="Times New Roman" w:eastAsia="Times New Roman" w:hint="default"/>
                <w:sz w:val="21"/>
                <w:szCs w:val="21"/>
              </w:rPr>
            </w:pPr>
            <w:r>
              <w:rPr>
                <w:rFonts w:ascii="Times New Roman"/>
                <w:sz w:val="21"/>
              </w:rPr>
              <w:t>8.78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4" w:right="0"/>
              <w:jc w:val="left"/>
              <w:rPr>
                <w:rFonts w:ascii="Times New Roman" w:hAnsi="Times New Roman" w:cs="Times New Roman" w:eastAsia="Times New Roman" w:hint="default"/>
                <w:sz w:val="21"/>
                <w:szCs w:val="21"/>
              </w:rPr>
            </w:pPr>
            <w:r>
              <w:rPr>
                <w:rFonts w:ascii="Times New Roman"/>
                <w:sz w:val="21"/>
              </w:rPr>
              <w:t>556,92</w:t>
            </w:r>
          </w:p>
          <w:p>
            <w:pPr>
              <w:pStyle w:val="TableParagraph"/>
              <w:spacing w:line="240" w:lineRule="auto" w:before="70"/>
              <w:ind w:left="334" w:right="0"/>
              <w:jc w:val="left"/>
              <w:rPr>
                <w:rFonts w:ascii="Times New Roman" w:hAnsi="Times New Roman" w:cs="Times New Roman" w:eastAsia="Times New Roman" w:hint="default"/>
                <w:sz w:val="21"/>
                <w:szCs w:val="21"/>
              </w:rPr>
            </w:pPr>
            <w:r>
              <w:rPr>
                <w:rFonts w:ascii="Times New Roman"/>
                <w:sz w:val="21"/>
              </w:rPr>
              <w:t>8.78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9" w:right="0"/>
              <w:jc w:val="center"/>
              <w:rPr>
                <w:rFonts w:ascii="Times New Roman" w:hAnsi="Times New Roman" w:cs="Times New Roman" w:eastAsia="Times New Roman" w:hint="default"/>
                <w:sz w:val="21"/>
                <w:szCs w:val="21"/>
              </w:rPr>
            </w:pPr>
            <w:r>
              <w:rPr>
                <w:rFonts w:ascii="Times New Roman"/>
                <w:sz w:val="21"/>
              </w:rPr>
              <w:t>1,389,6</w:t>
            </w:r>
          </w:p>
          <w:p>
            <w:pPr>
              <w:pStyle w:val="TableParagraph"/>
              <w:spacing w:line="240" w:lineRule="auto" w:before="70"/>
              <w:ind w:left="206" w:right="0"/>
              <w:jc w:val="center"/>
              <w:rPr>
                <w:rFonts w:ascii="Times New Roman" w:hAnsi="Times New Roman" w:cs="Times New Roman" w:eastAsia="Times New Roman" w:hint="default"/>
                <w:sz w:val="21"/>
                <w:szCs w:val="21"/>
              </w:rPr>
            </w:pPr>
            <w:r>
              <w:rPr>
                <w:rFonts w:ascii="Times New Roman"/>
                <w:sz w:val="21"/>
              </w:rPr>
              <w:t>94.07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8" w:right="0"/>
              <w:jc w:val="center"/>
              <w:rPr>
                <w:rFonts w:ascii="Times New Roman" w:hAnsi="Times New Roman" w:cs="Times New Roman" w:eastAsia="Times New Roman" w:hint="default"/>
                <w:sz w:val="21"/>
                <w:szCs w:val="21"/>
              </w:rPr>
            </w:pPr>
            <w:r>
              <w:rPr>
                <w:rFonts w:ascii="Times New Roman"/>
                <w:sz w:val="21"/>
              </w:rPr>
              <w:t>1,746,2</w:t>
            </w:r>
          </w:p>
          <w:p>
            <w:pPr>
              <w:pStyle w:val="TableParagraph"/>
              <w:spacing w:line="240" w:lineRule="auto" w:before="70"/>
              <w:ind w:left="205" w:right="0"/>
              <w:jc w:val="center"/>
              <w:rPr>
                <w:rFonts w:ascii="Times New Roman" w:hAnsi="Times New Roman" w:cs="Times New Roman" w:eastAsia="Times New Roman" w:hint="default"/>
                <w:sz w:val="21"/>
                <w:szCs w:val="21"/>
              </w:rPr>
            </w:pPr>
            <w:r>
              <w:rPr>
                <w:rFonts w:ascii="Times New Roman"/>
                <w:sz w:val="21"/>
              </w:rPr>
              <w:t>31.31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9" w:right="0"/>
              <w:jc w:val="center"/>
              <w:rPr>
                <w:rFonts w:ascii="Times New Roman" w:hAnsi="Times New Roman" w:cs="Times New Roman" w:eastAsia="Times New Roman" w:hint="default"/>
                <w:sz w:val="21"/>
                <w:szCs w:val="21"/>
              </w:rPr>
            </w:pPr>
            <w:r>
              <w:rPr>
                <w:rFonts w:ascii="Times New Roman"/>
                <w:sz w:val="21"/>
              </w:rPr>
              <w:t>3,135,9</w:t>
            </w:r>
          </w:p>
          <w:p>
            <w:pPr>
              <w:pStyle w:val="TableParagraph"/>
              <w:spacing w:line="240" w:lineRule="auto" w:before="70"/>
              <w:ind w:left="205" w:right="0"/>
              <w:jc w:val="center"/>
              <w:rPr>
                <w:rFonts w:ascii="Times New Roman" w:hAnsi="Times New Roman" w:cs="Times New Roman" w:eastAsia="Times New Roman" w:hint="default"/>
                <w:sz w:val="21"/>
                <w:szCs w:val="21"/>
              </w:rPr>
            </w:pPr>
            <w:r>
              <w:rPr>
                <w:rFonts w:ascii="Times New Roman"/>
                <w:sz w:val="21"/>
              </w:rPr>
              <w:t>25.38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552,33</w:t>
            </w:r>
          </w:p>
          <w:p>
            <w:pPr>
              <w:pStyle w:val="TableParagraph"/>
              <w:spacing w:line="240" w:lineRule="auto" w:before="70"/>
              <w:ind w:left="337" w:right="0"/>
              <w:jc w:val="left"/>
              <w:rPr>
                <w:rFonts w:ascii="Times New Roman" w:hAnsi="Times New Roman" w:cs="Times New Roman" w:eastAsia="Times New Roman" w:hint="default"/>
                <w:sz w:val="21"/>
                <w:szCs w:val="21"/>
              </w:rPr>
            </w:pPr>
            <w:r>
              <w:rPr>
                <w:rFonts w:ascii="Times New Roman"/>
                <w:sz w:val="21"/>
              </w:rPr>
              <w:t>6.37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6" w:right="0"/>
              <w:jc w:val="left"/>
              <w:rPr>
                <w:rFonts w:ascii="Times New Roman" w:hAnsi="Times New Roman" w:cs="Times New Roman" w:eastAsia="Times New Roman" w:hint="default"/>
                <w:sz w:val="21"/>
                <w:szCs w:val="21"/>
              </w:rPr>
            </w:pPr>
            <w:r>
              <w:rPr>
                <w:rFonts w:ascii="Times New Roman"/>
                <w:sz w:val="21"/>
              </w:rPr>
              <w:t>552,33</w:t>
            </w:r>
          </w:p>
          <w:p>
            <w:pPr>
              <w:pStyle w:val="TableParagraph"/>
              <w:spacing w:line="240" w:lineRule="auto" w:before="70"/>
              <w:ind w:left="336" w:right="0"/>
              <w:jc w:val="left"/>
              <w:rPr>
                <w:rFonts w:ascii="Times New Roman" w:hAnsi="Times New Roman" w:cs="Times New Roman" w:eastAsia="Times New Roman" w:hint="default"/>
                <w:sz w:val="21"/>
                <w:szCs w:val="21"/>
              </w:rPr>
            </w:pPr>
            <w:r>
              <w:rPr>
                <w:rFonts w:ascii="Times New Roman"/>
                <w:sz w:val="21"/>
              </w:rPr>
              <w:t>6.37</w:t>
            </w:r>
          </w:p>
        </w:tc>
      </w:tr>
    </w:tbl>
    <w:p>
      <w:pPr>
        <w:spacing w:after="0" w:line="240" w:lineRule="auto"/>
        <w:jc w:val="left"/>
        <w:rPr>
          <w:rFonts w:ascii="Times New Roman" w:hAnsi="Times New Roman" w:cs="Times New Roman" w:eastAsia="Times New Roman" w:hint="default"/>
          <w:sz w:val="21"/>
          <w:szCs w:val="21"/>
        </w:rPr>
        <w:sectPr>
          <w:pgSz w:w="11910" w:h="16840"/>
          <w:pgMar w:header="0" w:footer="979" w:top="1100" w:bottom="1160" w:left="980" w:right="980"/>
        </w:sectPr>
      </w:pPr>
    </w:p>
    <w:p>
      <w:pPr>
        <w:spacing w:line="240" w:lineRule="auto" w:before="8"/>
        <w:rPr>
          <w:rFonts w:ascii="宋体" w:hAnsi="宋体" w:cs="宋体" w:eastAsia="宋体" w:hint="default"/>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73" w:lineRule="auto"/>
              <w:ind w:left="420" w:right="101" w:hanging="317"/>
              <w:jc w:val="left"/>
              <w:rPr>
                <w:rFonts w:ascii="宋体" w:hAnsi="宋体" w:cs="宋体" w:eastAsia="宋体" w:hint="default"/>
                <w:sz w:val="21"/>
                <w:szCs w:val="21"/>
              </w:rPr>
            </w:pPr>
            <w:r>
              <w:rPr>
                <w:rFonts w:ascii="宋体" w:hAnsi="宋体" w:cs="宋体" w:eastAsia="宋体" w:hint="default"/>
                <w:b/>
                <w:bCs/>
                <w:sz w:val="21"/>
                <w:szCs w:val="21"/>
              </w:rPr>
              <w:t>子公司名</w:t>
            </w:r>
            <w:r>
              <w:rPr>
                <w:rFonts w:ascii="宋体" w:hAnsi="宋体" w:cs="宋体" w:eastAsia="宋体" w:hint="default"/>
                <w:b/>
                <w:bCs/>
                <w:spacing w:val="1"/>
                <w:w w:val="99"/>
                <w:sz w:val="21"/>
                <w:szCs w:val="21"/>
              </w:rPr>
              <w:t> </w:t>
            </w:r>
            <w:r>
              <w:rPr>
                <w:rFonts w:ascii="宋体" w:hAnsi="宋体" w:cs="宋体" w:eastAsia="宋体" w:hint="default"/>
                <w:b/>
                <w:bCs/>
                <w:sz w:val="21"/>
                <w:szCs w:val="21"/>
              </w:rPr>
              <w:t>称</w:t>
            </w:r>
            <w:r>
              <w:rPr>
                <w:rFonts w:ascii="宋体" w:hAnsi="宋体" w:cs="宋体" w:eastAsia="宋体" w:hint="default"/>
                <w:sz w:val="21"/>
                <w:szCs w:val="21"/>
              </w:rPr>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09" w:right="0"/>
              <w:jc w:val="left"/>
              <w:rPr>
                <w:rFonts w:ascii="宋体" w:hAnsi="宋体" w:cs="宋体" w:eastAsia="宋体" w:hint="default"/>
                <w:sz w:val="21"/>
                <w:szCs w:val="21"/>
              </w:rPr>
            </w:pPr>
            <w:r>
              <w:rPr>
                <w:rFonts w:ascii="宋体" w:hAnsi="宋体" w:cs="宋体" w:eastAsia="宋体" w:hint="default"/>
                <w:b/>
                <w:bCs/>
                <w:sz w:val="21"/>
                <w:szCs w:val="21"/>
              </w:rPr>
              <w:t>净利润</w:t>
            </w:r>
            <w:r>
              <w:rPr>
                <w:rFonts w:ascii="宋体" w:hAnsi="宋体" w:cs="宋体" w:eastAsia="宋体" w:hint="default"/>
                <w:sz w:val="21"/>
                <w:szCs w:val="21"/>
              </w:rPr>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18" w:right="102" w:hanging="212"/>
              <w:jc w:val="left"/>
              <w:rPr>
                <w:rFonts w:ascii="宋体" w:hAnsi="宋体" w:cs="宋体" w:eastAsia="宋体" w:hint="default"/>
                <w:sz w:val="21"/>
                <w:szCs w:val="21"/>
              </w:rPr>
            </w:pPr>
            <w:r>
              <w:rPr>
                <w:rFonts w:ascii="宋体" w:hAnsi="宋体" w:cs="宋体" w:eastAsia="宋体" w:hint="default"/>
                <w:b/>
                <w:bCs/>
                <w:sz w:val="21"/>
                <w:szCs w:val="21"/>
              </w:rPr>
              <w:t>综合收益</w:t>
            </w:r>
            <w:r>
              <w:rPr>
                <w:rFonts w:ascii="宋体" w:hAnsi="宋体" w:cs="宋体" w:eastAsia="宋体" w:hint="default"/>
                <w:b/>
                <w:bCs/>
                <w:spacing w:val="1"/>
                <w:w w:val="99"/>
                <w:sz w:val="21"/>
                <w:szCs w:val="21"/>
              </w:rPr>
              <w:t> </w:t>
            </w:r>
            <w:r>
              <w:rPr>
                <w:rFonts w:ascii="宋体" w:hAnsi="宋体" w:cs="宋体" w:eastAsia="宋体" w:hint="default"/>
                <w:b/>
                <w:bCs/>
                <w:sz w:val="21"/>
                <w:szCs w:val="21"/>
              </w:rPr>
              <w:t>总额</w:t>
            </w:r>
            <w:r>
              <w:rPr>
                <w:rFonts w:ascii="宋体" w:hAnsi="宋体" w:cs="宋体" w:eastAsia="宋体" w:hint="default"/>
                <w:sz w:val="21"/>
                <w:szCs w:val="21"/>
              </w:rPr>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5" w:right="102"/>
              <w:jc w:val="left"/>
              <w:rPr>
                <w:rFonts w:ascii="宋体" w:hAnsi="宋体" w:cs="宋体" w:eastAsia="宋体" w:hint="default"/>
                <w:sz w:val="21"/>
                <w:szCs w:val="21"/>
              </w:rPr>
            </w:pPr>
            <w:r>
              <w:rPr>
                <w:rFonts w:ascii="宋体" w:hAnsi="宋体" w:cs="宋体" w:eastAsia="宋体" w:hint="default"/>
                <w:b/>
                <w:bCs/>
                <w:sz w:val="21"/>
                <w:szCs w:val="21"/>
              </w:rPr>
              <w:t>经营活动</w:t>
            </w:r>
            <w:r>
              <w:rPr>
                <w:rFonts w:ascii="宋体" w:hAnsi="宋体" w:cs="宋体" w:eastAsia="宋体" w:hint="default"/>
                <w:b/>
                <w:bCs/>
                <w:spacing w:val="1"/>
                <w:w w:val="99"/>
                <w:sz w:val="21"/>
                <w:szCs w:val="21"/>
              </w:rPr>
              <w:t> </w:t>
            </w:r>
            <w:r>
              <w:rPr>
                <w:rFonts w:ascii="宋体" w:hAnsi="宋体" w:cs="宋体" w:eastAsia="宋体" w:hint="default"/>
                <w:b/>
                <w:bCs/>
                <w:sz w:val="21"/>
                <w:szCs w:val="21"/>
              </w:rPr>
              <w:t>现金流量</w:t>
            </w:r>
            <w:r>
              <w:rPr>
                <w:rFonts w:ascii="宋体" w:hAnsi="宋体" w:cs="宋体" w:eastAsia="宋体" w:hint="default"/>
                <w:sz w:val="21"/>
                <w:szCs w:val="21"/>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净利润</w:t>
            </w:r>
            <w:r>
              <w:rPr>
                <w:rFonts w:ascii="宋体" w:hAnsi="宋体" w:cs="宋体" w:eastAsia="宋体" w:hint="default"/>
                <w:sz w:val="21"/>
                <w:szCs w:val="21"/>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15" w:right="102" w:hanging="212"/>
              <w:jc w:val="left"/>
              <w:rPr>
                <w:rFonts w:ascii="宋体" w:hAnsi="宋体" w:cs="宋体" w:eastAsia="宋体" w:hint="default"/>
                <w:sz w:val="21"/>
                <w:szCs w:val="21"/>
              </w:rPr>
            </w:pPr>
            <w:r>
              <w:rPr>
                <w:rFonts w:ascii="宋体" w:hAnsi="宋体" w:cs="宋体" w:eastAsia="宋体" w:hint="default"/>
                <w:b/>
                <w:bCs/>
                <w:sz w:val="21"/>
                <w:szCs w:val="21"/>
              </w:rPr>
              <w:t>综合收益</w:t>
            </w:r>
            <w:r>
              <w:rPr>
                <w:rFonts w:ascii="宋体" w:hAnsi="宋体" w:cs="宋体" w:eastAsia="宋体" w:hint="default"/>
                <w:b/>
                <w:bCs/>
                <w:spacing w:val="1"/>
                <w:w w:val="99"/>
                <w:sz w:val="21"/>
                <w:szCs w:val="21"/>
              </w:rPr>
              <w:t> </w:t>
            </w:r>
            <w:r>
              <w:rPr>
                <w:rFonts w:ascii="宋体" w:hAnsi="宋体" w:cs="宋体" w:eastAsia="宋体" w:hint="default"/>
                <w:b/>
                <w:bCs/>
                <w:sz w:val="21"/>
                <w:szCs w:val="21"/>
              </w:rPr>
              <w:t>总额</w:t>
            </w:r>
            <w:r>
              <w:rPr>
                <w:rFonts w:ascii="宋体" w:hAnsi="宋体" w:cs="宋体" w:eastAsia="宋体" w:hint="default"/>
                <w:sz w:val="21"/>
                <w:szCs w:val="21"/>
              </w:rPr>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5" w:right="103"/>
              <w:jc w:val="left"/>
              <w:rPr>
                <w:rFonts w:ascii="宋体" w:hAnsi="宋体" w:cs="宋体" w:eastAsia="宋体" w:hint="default"/>
                <w:sz w:val="21"/>
                <w:szCs w:val="21"/>
              </w:rPr>
            </w:pPr>
            <w:r>
              <w:rPr>
                <w:rFonts w:ascii="宋体" w:hAnsi="宋体" w:cs="宋体" w:eastAsia="宋体" w:hint="default"/>
                <w:b/>
                <w:bCs/>
                <w:sz w:val="21"/>
                <w:szCs w:val="21"/>
              </w:rPr>
              <w:t>经营活动</w:t>
            </w:r>
            <w:r>
              <w:rPr>
                <w:rFonts w:ascii="宋体" w:hAnsi="宋体" w:cs="宋体" w:eastAsia="宋体" w:hint="default"/>
                <w:b/>
                <w:bCs/>
                <w:spacing w:val="1"/>
                <w:w w:val="99"/>
                <w:sz w:val="21"/>
                <w:szCs w:val="21"/>
              </w:rPr>
              <w:t> </w:t>
            </w:r>
            <w:r>
              <w:rPr>
                <w:rFonts w:ascii="宋体" w:hAnsi="宋体" w:cs="宋体" w:eastAsia="宋体" w:hint="default"/>
                <w:b/>
                <w:bCs/>
                <w:sz w:val="21"/>
                <w:szCs w:val="21"/>
              </w:rPr>
              <w:t>现金流量</w:t>
            </w:r>
            <w:r>
              <w:rPr>
                <w:rFonts w:ascii="宋体" w:hAnsi="宋体" w:cs="宋体" w:eastAsia="宋体" w:hint="default"/>
                <w:sz w:val="21"/>
                <w:szCs w:val="21"/>
              </w:rPr>
            </w:r>
          </w:p>
        </w:tc>
      </w:tr>
      <w:tr>
        <w:trPr>
          <w:trHeight w:val="1339"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86"/>
              <w:jc w:val="both"/>
              <w:rPr>
                <w:rFonts w:ascii="宋体" w:hAnsi="宋体" w:cs="宋体" w:eastAsia="宋体" w:hint="default"/>
                <w:sz w:val="21"/>
                <w:szCs w:val="21"/>
              </w:rPr>
            </w:pPr>
            <w:r>
              <w:rPr>
                <w:rFonts w:ascii="宋体" w:hAnsi="宋体" w:cs="宋体" w:eastAsia="宋体" w:hint="default"/>
                <w:sz w:val="21"/>
                <w:szCs w:val="21"/>
              </w:rPr>
              <w:t>杭州中文 在线信息 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84" w:right="0"/>
              <w:jc w:val="left"/>
              <w:rPr>
                <w:rFonts w:ascii="Times New Roman" w:hAnsi="Times New Roman" w:cs="Times New Roman" w:eastAsia="Times New Roman" w:hint="default"/>
                <w:sz w:val="21"/>
                <w:szCs w:val="21"/>
              </w:rPr>
            </w:pPr>
            <w:r>
              <w:rPr>
                <w:rFonts w:ascii="Times New Roman"/>
                <w:sz w:val="21"/>
              </w:rPr>
              <w:t>820,085.17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-227,861.3</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-227,861.3</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87" w:right="0"/>
              <w:jc w:val="left"/>
              <w:rPr>
                <w:rFonts w:ascii="Times New Roman" w:hAnsi="Times New Roman" w:cs="Times New Roman" w:eastAsia="Times New Roman" w:hint="default"/>
                <w:sz w:val="21"/>
                <w:szCs w:val="21"/>
              </w:rPr>
            </w:pPr>
            <w:r>
              <w:rPr>
                <w:rFonts w:ascii="Times New Roman"/>
                <w:sz w:val="21"/>
              </w:rPr>
              <w:t>624,478.09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1,712,196.5</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1" w:right="0"/>
              <w:jc w:val="center"/>
              <w:rPr>
                <w:rFonts w:ascii="Times New Roman" w:hAnsi="Times New Roman" w:cs="Times New Roman" w:eastAsia="Times New Roman" w:hint="default"/>
                <w:sz w:val="21"/>
                <w:szCs w:val="21"/>
              </w:rPr>
            </w:pPr>
            <w:r>
              <w:rPr>
                <w:rFonts w:ascii="Times New Roman"/>
                <w:sz w:val="21"/>
              </w:rPr>
              <w:t>833,529.73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85" w:right="0"/>
              <w:jc w:val="left"/>
              <w:rPr>
                <w:rFonts w:ascii="Times New Roman" w:hAnsi="Times New Roman" w:cs="Times New Roman" w:eastAsia="Times New Roman" w:hint="default"/>
                <w:sz w:val="21"/>
                <w:szCs w:val="21"/>
              </w:rPr>
            </w:pPr>
            <w:r>
              <w:rPr>
                <w:rFonts w:ascii="Times New Roman"/>
                <w:sz w:val="21"/>
              </w:rPr>
              <w:t>833,529.73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88" w:right="0"/>
              <w:jc w:val="left"/>
              <w:rPr>
                <w:rFonts w:ascii="Times New Roman" w:hAnsi="Times New Roman" w:cs="Times New Roman" w:eastAsia="Times New Roman" w:hint="default"/>
                <w:sz w:val="21"/>
                <w:szCs w:val="21"/>
              </w:rPr>
            </w:pPr>
            <w:r>
              <w:rPr>
                <w:rFonts w:ascii="Times New Roman"/>
                <w:sz w:val="21"/>
              </w:rPr>
              <w:t>600,525.19</w:t>
            </w:r>
          </w:p>
        </w:tc>
      </w:tr>
    </w:tbl>
    <w:p>
      <w:pPr>
        <w:spacing w:line="240" w:lineRule="auto" w:before="2"/>
        <w:rPr>
          <w:rFonts w:ascii="宋体" w:hAnsi="宋体" w:cs="宋体" w:eastAsia="宋体" w:hint="default"/>
          <w:sz w:val="18"/>
          <w:szCs w:val="18"/>
        </w:rPr>
      </w:pPr>
    </w:p>
    <w:p>
      <w:pPr>
        <w:spacing w:line="499" w:lineRule="auto" w:before="26"/>
        <w:ind w:left="633" w:right="3292" w:hanging="480"/>
        <w:jc w:val="left"/>
        <w:rPr>
          <w:rFonts w:ascii="宋体" w:hAnsi="宋体" w:cs="宋体" w:eastAsia="宋体" w:hint="default"/>
          <w:sz w:val="24"/>
          <w:szCs w:val="24"/>
        </w:rPr>
      </w:pPr>
      <w:bookmarkStart w:name="2、在子公司的所有者权益份额发生变化且仍控制子公司的交易" w:id="322"/>
      <w:bookmarkEnd w:id="322"/>
      <w:r>
        <w:rPr/>
      </w:r>
      <w:r>
        <w:rPr>
          <w:rFonts w:ascii="Times New Roman" w:hAnsi="Times New Roman" w:cs="Times New Roman" w:eastAsia="Times New Roman" w:hint="default"/>
          <w:b/>
          <w:bCs/>
          <w:w w:val="95"/>
          <w:sz w:val="24"/>
          <w:szCs w:val="24"/>
        </w:rPr>
        <w:t>2</w:t>
      </w:r>
      <w:r>
        <w:rPr>
          <w:rFonts w:ascii="宋体" w:hAnsi="宋体" w:cs="宋体" w:eastAsia="宋体" w:hint="default"/>
          <w:b/>
          <w:bCs/>
          <w:w w:val="95"/>
          <w:sz w:val="24"/>
          <w:szCs w:val="24"/>
        </w:rPr>
        <w:t>、在子公司的所有者权益份额发生变化且仍控制子公司的交易</w:t>
      </w:r>
      <w:r>
        <w:rPr>
          <w:rFonts w:ascii="宋体" w:hAnsi="宋体" w:cs="宋体" w:eastAsia="宋体" w:hint="default"/>
          <w:b/>
          <w:bCs/>
          <w:spacing w:val="76"/>
          <w:w w:val="95"/>
          <w:sz w:val="24"/>
          <w:szCs w:val="24"/>
        </w:rPr>
        <w:t> </w:t>
      </w:r>
      <w:r>
        <w:rPr>
          <w:rFonts w:ascii="宋体" w:hAnsi="宋体" w:cs="宋体" w:eastAsia="宋体" w:hint="default"/>
          <w:sz w:val="24"/>
          <w:szCs w:val="24"/>
        </w:rPr>
        <w:t>无。</w:t>
      </w:r>
    </w:p>
    <w:p>
      <w:pPr>
        <w:spacing w:before="115"/>
        <w:ind w:left="153" w:right="0" w:firstLine="0"/>
        <w:jc w:val="left"/>
        <w:rPr>
          <w:rFonts w:ascii="宋体" w:hAnsi="宋体" w:cs="宋体" w:eastAsia="宋体" w:hint="default"/>
          <w:sz w:val="24"/>
          <w:szCs w:val="24"/>
        </w:rPr>
      </w:pPr>
      <w:bookmarkStart w:name="3、在合营安排或联营企业中的权益" w:id="323"/>
      <w:bookmarkEnd w:id="323"/>
      <w:r>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、在合营安排或联营企业中的权益</w:t>
      </w:r>
      <w:r>
        <w:rPr>
          <w:rFonts w:ascii="宋体" w:hAnsi="宋体" w:cs="宋体" w:eastAsia="宋体" w:hint="default"/>
          <w:sz w:val="24"/>
          <w:szCs w:val="24"/>
        </w:rPr>
      </w:r>
    </w:p>
    <w:p>
      <w:pPr>
        <w:spacing w:line="240" w:lineRule="auto" w:before="7"/>
        <w:rPr>
          <w:rFonts w:ascii="宋体" w:hAnsi="宋体" w:cs="宋体" w:eastAsia="宋体" w:hint="default"/>
          <w:b/>
          <w:bCs/>
          <w:sz w:val="21"/>
          <w:szCs w:val="21"/>
        </w:rPr>
      </w:pPr>
    </w:p>
    <w:p>
      <w:pPr>
        <w:spacing w:before="0"/>
        <w:ind w:left="153" w:right="0" w:firstLine="0"/>
        <w:jc w:val="left"/>
        <w:rPr>
          <w:rFonts w:ascii="宋体" w:hAnsi="宋体" w:cs="宋体" w:eastAsia="宋体" w:hint="default"/>
          <w:sz w:val="24"/>
          <w:szCs w:val="24"/>
        </w:rPr>
      </w:pPr>
      <w:bookmarkStart w:name="（1）重要的合营企业或联营企业" w:id="324"/>
      <w:bookmarkEnd w:id="324"/>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）重要的合营企业或联营企业</w:t>
      </w:r>
      <w:r>
        <w:rPr>
          <w:rFonts w:ascii="宋体" w:hAnsi="宋体" w:cs="宋体" w:eastAsia="宋体" w:hint="default"/>
          <w:sz w:val="24"/>
          <w:szCs w:val="24"/>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73" w:lineRule="auto"/>
              <w:ind w:left="153" w:right="49" w:hanging="106"/>
              <w:jc w:val="left"/>
              <w:rPr>
                <w:rFonts w:ascii="宋体" w:hAnsi="宋体" w:cs="宋体" w:eastAsia="宋体" w:hint="default"/>
                <w:sz w:val="21"/>
                <w:szCs w:val="21"/>
              </w:rPr>
            </w:pPr>
            <w:r>
              <w:rPr>
                <w:rFonts w:ascii="宋体" w:hAnsi="宋体" w:cs="宋体" w:eastAsia="宋体" w:hint="default"/>
                <w:b/>
                <w:bCs/>
                <w:sz w:val="21"/>
                <w:szCs w:val="21"/>
              </w:rPr>
              <w:t>合营企业或联</w:t>
            </w:r>
            <w:r>
              <w:rPr>
                <w:rFonts w:ascii="宋体" w:hAnsi="宋体" w:cs="宋体" w:eastAsia="宋体" w:hint="default"/>
                <w:b/>
                <w:bCs/>
                <w:w w:val="99"/>
                <w:sz w:val="21"/>
                <w:szCs w:val="21"/>
              </w:rPr>
              <w:t> </w:t>
            </w:r>
            <w:r>
              <w:rPr>
                <w:rFonts w:ascii="宋体" w:hAnsi="宋体" w:cs="宋体" w:eastAsia="宋体" w:hint="default"/>
                <w:b/>
                <w:bCs/>
                <w:sz w:val="21"/>
                <w:szCs w:val="21"/>
              </w:rPr>
              <w:t>营企业名称</w:t>
            </w:r>
            <w:r>
              <w:rPr>
                <w:rFonts w:ascii="宋体" w:hAnsi="宋体" w:cs="宋体" w:eastAsia="宋体" w:hint="default"/>
                <w:sz w:val="21"/>
                <w:szCs w:val="21"/>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b/>
                <w:bCs/>
                <w:sz w:val="21"/>
                <w:szCs w:val="21"/>
              </w:rPr>
              <w:t>主要经营地</w:t>
            </w:r>
            <w:r>
              <w:rPr>
                <w:rFonts w:ascii="宋体" w:hAnsi="宋体" w:cs="宋体" w:eastAsia="宋体" w:hint="default"/>
                <w:sz w:val="21"/>
                <w:szCs w:val="21"/>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sz w:val="21"/>
                <w:szCs w:val="21"/>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b/>
                <w:bCs/>
                <w:sz w:val="21"/>
                <w:szCs w:val="21"/>
              </w:rPr>
              <w:t>业务性质</w:t>
            </w:r>
            <w:r>
              <w:rPr>
                <w:rFonts w:ascii="宋体" w:hAnsi="宋体" w:cs="宋体" w:eastAsia="宋体" w:hint="default"/>
                <w:sz w:val="21"/>
                <w:szCs w:val="21"/>
              </w:rPr>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持股比例</w:t>
            </w:r>
            <w:r>
              <w:rPr>
                <w:rFonts w:ascii="宋体" w:hAnsi="宋体" w:cs="宋体" w:eastAsia="宋体" w:hint="default"/>
                <w:sz w:val="21"/>
                <w:szCs w:val="21"/>
              </w:rPr>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45" w:right="45"/>
              <w:jc w:val="center"/>
              <w:rPr>
                <w:rFonts w:ascii="宋体" w:hAnsi="宋体" w:cs="宋体" w:eastAsia="宋体" w:hint="default"/>
                <w:sz w:val="21"/>
                <w:szCs w:val="21"/>
              </w:rPr>
            </w:pPr>
            <w:r>
              <w:rPr>
                <w:rFonts w:ascii="宋体" w:hAnsi="宋体" w:cs="宋体" w:eastAsia="宋体" w:hint="default"/>
                <w:b/>
                <w:bCs/>
                <w:sz w:val="21"/>
                <w:szCs w:val="21"/>
              </w:rPr>
              <w:t>对合营企业或</w:t>
            </w:r>
            <w:r>
              <w:rPr>
                <w:rFonts w:ascii="宋体" w:hAnsi="宋体" w:cs="宋体" w:eastAsia="宋体" w:hint="default"/>
                <w:b/>
                <w:bCs/>
                <w:w w:val="99"/>
                <w:sz w:val="21"/>
                <w:szCs w:val="21"/>
              </w:rPr>
              <w:t> </w:t>
            </w:r>
            <w:r>
              <w:rPr>
                <w:rFonts w:ascii="宋体" w:hAnsi="宋体" w:cs="宋体" w:eastAsia="宋体" w:hint="default"/>
                <w:b/>
                <w:bCs/>
                <w:sz w:val="21"/>
                <w:szCs w:val="21"/>
              </w:rPr>
              <w:t>联营企业投资</w:t>
            </w:r>
            <w:r>
              <w:rPr>
                <w:rFonts w:ascii="宋体" w:hAnsi="宋体" w:cs="宋体" w:eastAsia="宋体" w:hint="default"/>
                <w:b/>
                <w:bCs/>
                <w:w w:val="99"/>
                <w:sz w:val="21"/>
                <w:szCs w:val="21"/>
              </w:rPr>
              <w:t> </w:t>
            </w:r>
            <w:r>
              <w:rPr>
                <w:rFonts w:ascii="宋体" w:hAnsi="宋体" w:cs="宋体" w:eastAsia="宋体" w:hint="default"/>
                <w:b/>
                <w:bCs/>
                <w:sz w:val="21"/>
                <w:szCs w:val="21"/>
              </w:rPr>
              <w:t>的会计处理方</w:t>
            </w:r>
            <w:r>
              <w:rPr>
                <w:rFonts w:ascii="宋体" w:hAnsi="宋体" w:cs="宋体" w:eastAsia="宋体" w:hint="default"/>
                <w:b/>
                <w:bCs/>
                <w:w w:val="99"/>
                <w:sz w:val="21"/>
                <w:szCs w:val="21"/>
              </w:rPr>
              <w:t> </w:t>
            </w:r>
            <w:r>
              <w:rPr>
                <w:rFonts w:ascii="宋体" w:hAnsi="宋体" w:cs="宋体" w:eastAsia="宋体" w:hint="default"/>
                <w:b/>
                <w:bCs/>
                <w:sz w:val="21"/>
                <w:szCs w:val="21"/>
              </w:rPr>
              <w:t>法</w:t>
            </w:r>
            <w:r>
              <w:rPr>
                <w:rFonts w:ascii="宋体" w:hAnsi="宋体" w:cs="宋体" w:eastAsia="宋体" w:hint="default"/>
                <w:sz w:val="21"/>
                <w:szCs w:val="21"/>
              </w:rPr>
            </w:r>
          </w:p>
        </w:tc>
      </w:tr>
      <w:tr>
        <w:trPr>
          <w:trHeight w:val="936"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直接</w:t>
            </w:r>
            <w:r>
              <w:rPr>
                <w:rFonts w:ascii="宋体" w:hAnsi="宋体" w:cs="宋体" w:eastAsia="宋体" w:hint="default"/>
                <w:sz w:val="21"/>
                <w:szCs w:val="21"/>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间接</w:t>
            </w:r>
            <w:r>
              <w:rPr>
                <w:rFonts w:ascii="宋体" w:hAnsi="宋体" w:cs="宋体" w:eastAsia="宋体" w:hint="default"/>
                <w:sz w:val="21"/>
                <w:szCs w:val="21"/>
              </w:rPr>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7"/>
              <w:jc w:val="both"/>
              <w:rPr>
                <w:rFonts w:ascii="宋体" w:hAnsi="宋体" w:cs="宋体" w:eastAsia="宋体" w:hint="default"/>
                <w:sz w:val="21"/>
                <w:szCs w:val="21"/>
              </w:rPr>
            </w:pPr>
            <w:r>
              <w:rPr>
                <w:rFonts w:ascii="宋体" w:hAnsi="宋体" w:cs="宋体" w:eastAsia="宋体" w:hint="default"/>
                <w:sz w:val="21"/>
                <w:szCs w:val="21"/>
              </w:rPr>
              <w:t>广州市迈步信 息科技有限公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数字出版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7"/>
              <w:jc w:val="both"/>
              <w:rPr>
                <w:rFonts w:ascii="宋体" w:hAnsi="宋体" w:cs="宋体" w:eastAsia="宋体" w:hint="default"/>
                <w:sz w:val="21"/>
                <w:szCs w:val="21"/>
              </w:rPr>
            </w:pPr>
            <w:r>
              <w:rPr>
                <w:rFonts w:ascii="宋体" w:hAnsi="宋体" w:cs="宋体" w:eastAsia="宋体" w:hint="default"/>
                <w:sz w:val="21"/>
                <w:szCs w:val="21"/>
              </w:rPr>
              <w:t>北京学友园中 少报刊发行有 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出版发行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42.86%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7"/>
              <w:jc w:val="both"/>
              <w:rPr>
                <w:rFonts w:ascii="宋体" w:hAnsi="宋体" w:cs="宋体" w:eastAsia="宋体" w:hint="default"/>
                <w:sz w:val="21"/>
                <w:szCs w:val="21"/>
              </w:rPr>
            </w:pPr>
            <w:r>
              <w:rPr>
                <w:rFonts w:ascii="宋体" w:hAnsi="宋体" w:cs="宋体" w:eastAsia="宋体" w:hint="default"/>
                <w:sz w:val="21"/>
                <w:szCs w:val="21"/>
              </w:rPr>
              <w:t>北京鸿达以太 文化发展有限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批发零售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45.98%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pStyle w:val="BodyText"/>
        <w:spacing w:line="240" w:lineRule="auto" w:before="81"/>
        <w:ind w:left="634" w:right="0"/>
        <w:jc w:val="left"/>
      </w:pPr>
      <w:r>
        <w:rPr/>
        <w:t>在合营企业或联营企业的持股比例不同于表决权比例的说明：</w:t>
      </w:r>
    </w:p>
    <w:p>
      <w:pPr>
        <w:pStyle w:val="BodyText"/>
        <w:spacing w:line="357" w:lineRule="auto" w:before="193"/>
        <w:ind w:right="293" w:firstLine="480"/>
        <w:jc w:val="left"/>
      </w:pPr>
      <w:r>
        <w:rPr/>
        <w:t>持有</w:t>
      </w:r>
      <w:r>
        <w:rPr>
          <w:spacing w:val="-60"/>
        </w:rPr>
        <w:t> </w:t>
      </w:r>
      <w:r>
        <w:rPr>
          <w:rFonts w:ascii="宋体" w:hAnsi="宋体" w:cs="宋体" w:eastAsia="宋体" w:hint="default"/>
        </w:rPr>
        <w:t>20%</w:t>
      </w:r>
      <w:r>
        <w:rPr/>
        <w:t>以下表决权但具有重大影响，或者持有</w:t>
      </w:r>
      <w:r>
        <w:rPr>
          <w:spacing w:val="-60"/>
        </w:rPr>
        <w:t> </w:t>
      </w:r>
      <w:r>
        <w:rPr>
          <w:rFonts w:ascii="宋体" w:hAnsi="宋体" w:cs="宋体" w:eastAsia="宋体" w:hint="default"/>
        </w:rPr>
        <w:t>20%</w:t>
      </w:r>
      <w:r>
        <w:rPr/>
        <w:t>或以上表决权但不具有重大影响的 依据：</w:t>
      </w:r>
    </w:p>
    <w:p>
      <w:pPr>
        <w:spacing w:line="240" w:lineRule="auto" w:before="9"/>
        <w:rPr>
          <w:rFonts w:ascii="宋体" w:hAnsi="宋体" w:cs="宋体" w:eastAsia="宋体" w:hint="default"/>
          <w:sz w:val="19"/>
          <w:szCs w:val="19"/>
        </w:rPr>
      </w:pPr>
    </w:p>
    <w:p>
      <w:pPr>
        <w:spacing w:line="501" w:lineRule="auto" w:before="0"/>
        <w:ind w:left="633" w:right="6172" w:hanging="480"/>
        <w:jc w:val="left"/>
        <w:rPr>
          <w:rFonts w:ascii="宋体" w:hAnsi="宋体" w:cs="宋体" w:eastAsia="宋体" w:hint="default"/>
          <w:sz w:val="24"/>
          <w:szCs w:val="24"/>
        </w:rPr>
      </w:pPr>
      <w:bookmarkStart w:name="（2）重要合营企业的主要财务信息" w:id="325"/>
      <w:bookmarkEnd w:id="325"/>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2</w:t>
      </w:r>
      <w:r>
        <w:rPr>
          <w:rFonts w:ascii="宋体" w:hAnsi="宋体" w:cs="宋体" w:eastAsia="宋体" w:hint="default"/>
          <w:b/>
          <w:bCs/>
          <w:w w:val="95"/>
          <w:sz w:val="24"/>
          <w:szCs w:val="24"/>
        </w:rPr>
        <w:t>）重要合营企业的主要财务信息</w:t>
      </w:r>
      <w:r>
        <w:rPr>
          <w:rFonts w:ascii="宋体" w:hAnsi="宋体" w:cs="宋体" w:eastAsia="宋体" w:hint="default"/>
          <w:b/>
          <w:bCs/>
          <w:spacing w:val="58"/>
          <w:w w:val="95"/>
          <w:sz w:val="24"/>
          <w:szCs w:val="24"/>
        </w:rPr>
        <w:t> </w:t>
      </w:r>
      <w:r>
        <w:rPr>
          <w:rFonts w:ascii="宋体" w:hAnsi="宋体" w:cs="宋体" w:eastAsia="宋体" w:hint="default"/>
          <w:sz w:val="24"/>
          <w:szCs w:val="24"/>
        </w:rPr>
        <w:t>无。</w:t>
      </w:r>
    </w:p>
    <w:p>
      <w:pPr>
        <w:spacing w:after="0" w:line="501" w:lineRule="auto"/>
        <w:jc w:val="left"/>
        <w:rPr>
          <w:rFonts w:ascii="宋体" w:hAnsi="宋体" w:cs="宋体" w:eastAsia="宋体" w:hint="default"/>
          <w:sz w:val="24"/>
          <w:szCs w:val="24"/>
        </w:rPr>
        <w:sectPr>
          <w:pgSz w:w="11910" w:h="16840"/>
          <w:pgMar w:header="0" w:footer="979" w:top="1100" w:bottom="1160" w:left="980" w:right="980"/>
        </w:sectPr>
      </w:pPr>
    </w:p>
    <w:p>
      <w:pPr>
        <w:spacing w:before="15"/>
        <w:ind w:left="9229" w:right="0" w:firstLine="0"/>
        <w:jc w:val="left"/>
        <w:rPr>
          <w:rFonts w:ascii="宋体" w:hAnsi="宋体" w:cs="宋体" w:eastAsia="宋体" w:hint="default"/>
          <w:sz w:val="18"/>
          <w:szCs w:val="18"/>
        </w:rPr>
      </w:pPr>
      <w:r>
        <w:rPr>
          <w:rFonts w:ascii="宋体" w:hAnsi="宋体" w:cs="宋体" w:eastAsia="宋体" w:hint="default"/>
          <w:sz w:val="18"/>
          <w:szCs w:val="18"/>
        </w:rPr>
        <w:t>北京中文在线数字出版股份有限公司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5"/>
          <w:szCs w:val="15"/>
        </w:rPr>
      </w:pPr>
    </w:p>
    <w:p>
      <w:pPr>
        <w:spacing w:before="26"/>
        <w:ind w:left="220" w:right="0" w:firstLine="0"/>
        <w:jc w:val="left"/>
        <w:rPr>
          <w:rFonts w:ascii="宋体" w:hAnsi="宋体" w:cs="宋体" w:eastAsia="宋体" w:hint="default"/>
          <w:sz w:val="24"/>
          <w:szCs w:val="24"/>
        </w:rPr>
      </w:pPr>
      <w:bookmarkStart w:name="（3）重要联营企业的主要财务信息" w:id="326"/>
      <w:bookmarkEnd w:id="326"/>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）重要联营企业的主要财务信息</w:t>
      </w:r>
      <w:r>
        <w:rPr>
          <w:rFonts w:ascii="宋体" w:hAnsi="宋体" w:cs="宋体" w:eastAsia="宋体" w:hint="default"/>
          <w:sz w:val="24"/>
          <w:szCs w:val="24"/>
        </w:rPr>
      </w:r>
    </w:p>
    <w:p>
      <w:pPr>
        <w:spacing w:line="240" w:lineRule="auto" w:before="5"/>
        <w:rPr>
          <w:rFonts w:ascii="宋体" w:hAnsi="宋体" w:cs="宋体" w:eastAsia="宋体" w:hint="default"/>
          <w:b/>
          <w:bCs/>
          <w:sz w:val="24"/>
          <w:szCs w:val="24"/>
        </w:rPr>
      </w:pPr>
    </w:p>
    <w:tbl>
      <w:tblPr>
        <w:tblW w:w="0" w:type="auto"/>
        <w:jc w:val="left"/>
        <w:tblInd w:w="107" w:type="dxa"/>
        <w:tblLayout w:type="fixed"/>
        <w:tblCellMar>
          <w:top w:w="0" w:type="dxa"/>
          <w:left w:w="0" w:type="dxa"/>
          <w:bottom w:w="0" w:type="dxa"/>
          <w:right w:w="0" w:type="dxa"/>
        </w:tblCellMar>
        <w:tblLook w:val="01E0"/>
      </w:tblPr>
      <w:tblGrid>
        <w:gridCol w:w="5177"/>
        <w:gridCol w:w="1463"/>
        <w:gridCol w:w="1506"/>
        <w:gridCol w:w="1511"/>
        <w:gridCol w:w="1505"/>
        <w:gridCol w:w="1505"/>
        <w:gridCol w:w="1509"/>
      </w:tblGrid>
      <w:tr>
        <w:trPr>
          <w:trHeight w:val="322" w:hRule="exact"/>
        </w:trPr>
        <w:tc>
          <w:tcPr>
            <w:tcW w:w="5177"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480"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6" w:lineRule="exact"/>
              <w:ind w:left="1256" w:right="0"/>
              <w:jc w:val="left"/>
              <w:rPr>
                <w:rFonts w:ascii="宋体" w:hAnsi="宋体" w:cs="宋体" w:eastAsia="宋体" w:hint="default"/>
                <w:sz w:val="21"/>
                <w:szCs w:val="21"/>
              </w:rPr>
            </w:pPr>
            <w:r>
              <w:rPr>
                <w:rFonts w:ascii="宋体" w:hAnsi="宋体" w:cs="宋体" w:eastAsia="宋体" w:hint="default"/>
                <w:b/>
                <w:bCs/>
                <w:sz w:val="21"/>
                <w:szCs w:val="21"/>
              </w:rPr>
              <w:t>年末余额</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6" w:lineRule="exact"/>
              <w:ind w:left="1275"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22" w:hRule="exact"/>
        </w:trPr>
        <w:tc>
          <w:tcPr>
            <w:tcW w:w="5177" w:type="dxa"/>
            <w:vMerge/>
            <w:tcBorders>
              <w:left w:val="single" w:sz="4" w:space="0" w:color="000000"/>
              <w:bottom w:val="single" w:sz="4" w:space="0" w:color="000000"/>
              <w:right w:val="single" w:sz="4" w:space="0" w:color="000000"/>
            </w:tcBorders>
            <w:shd w:val="clear" w:color="auto" w:fill="BEBEBE"/>
          </w:tcPr>
          <w:p>
            <w:pPr/>
          </w:p>
        </w:tc>
        <w:tc>
          <w:tcPr>
            <w:tcW w:w="14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b/>
                <w:bCs/>
                <w:sz w:val="21"/>
                <w:szCs w:val="21"/>
              </w:rPr>
              <w:t>迈步科技</w:t>
            </w:r>
            <w:r>
              <w:rPr>
                <w:rFonts w:ascii="宋体" w:hAnsi="宋体" w:cs="宋体" w:eastAsia="宋体" w:hint="default"/>
                <w:sz w:val="21"/>
                <w:szCs w:val="21"/>
              </w:rPr>
            </w:r>
          </w:p>
        </w:tc>
        <w:tc>
          <w:tcPr>
            <w:tcW w:w="150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0" w:lineRule="exact"/>
              <w:ind w:left="220" w:right="0"/>
              <w:jc w:val="left"/>
              <w:rPr>
                <w:rFonts w:ascii="宋体" w:hAnsi="宋体" w:cs="宋体" w:eastAsia="宋体" w:hint="default"/>
                <w:sz w:val="21"/>
                <w:szCs w:val="21"/>
              </w:rPr>
            </w:pPr>
            <w:r>
              <w:rPr>
                <w:rFonts w:ascii="宋体" w:hAnsi="宋体" w:cs="宋体" w:eastAsia="宋体" w:hint="default"/>
                <w:b/>
                <w:bCs/>
                <w:sz w:val="21"/>
                <w:szCs w:val="21"/>
              </w:rPr>
              <w:t>学友园中少</w:t>
            </w:r>
            <w:r>
              <w:rPr>
                <w:rFonts w:ascii="宋体" w:hAnsi="宋体" w:cs="宋体" w:eastAsia="宋体" w:hint="default"/>
                <w:sz w:val="21"/>
                <w:szCs w:val="21"/>
              </w:rPr>
            </w:r>
          </w:p>
        </w:tc>
        <w:tc>
          <w:tcPr>
            <w:tcW w:w="151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0" w:lineRule="exact"/>
              <w:ind w:left="328" w:right="0"/>
              <w:jc w:val="left"/>
              <w:rPr>
                <w:rFonts w:ascii="宋体" w:hAnsi="宋体" w:cs="宋体" w:eastAsia="宋体" w:hint="default"/>
                <w:sz w:val="21"/>
                <w:szCs w:val="21"/>
              </w:rPr>
            </w:pPr>
            <w:r>
              <w:rPr>
                <w:rFonts w:ascii="宋体" w:hAnsi="宋体" w:cs="宋体" w:eastAsia="宋体" w:hint="default"/>
                <w:b/>
                <w:bCs/>
                <w:sz w:val="21"/>
                <w:szCs w:val="21"/>
              </w:rPr>
              <w:t>鸿达以太</w:t>
            </w:r>
            <w:r>
              <w:rPr>
                <w:rFonts w:ascii="宋体" w:hAnsi="宋体" w:cs="宋体" w:eastAsia="宋体" w:hint="default"/>
                <w:sz w:val="21"/>
                <w:szCs w:val="21"/>
              </w:rPr>
            </w:r>
          </w:p>
        </w:tc>
        <w:tc>
          <w:tcPr>
            <w:tcW w:w="15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0" w:lineRule="exact"/>
              <w:ind w:left="325" w:right="0"/>
              <w:jc w:val="left"/>
              <w:rPr>
                <w:rFonts w:ascii="宋体" w:hAnsi="宋体" w:cs="宋体" w:eastAsia="宋体" w:hint="default"/>
                <w:sz w:val="21"/>
                <w:szCs w:val="21"/>
              </w:rPr>
            </w:pPr>
            <w:r>
              <w:rPr>
                <w:rFonts w:ascii="宋体" w:hAnsi="宋体" w:cs="宋体" w:eastAsia="宋体" w:hint="default"/>
                <w:b/>
                <w:bCs/>
                <w:sz w:val="21"/>
                <w:szCs w:val="21"/>
              </w:rPr>
              <w:t>迈步科技</w:t>
            </w:r>
            <w:r>
              <w:rPr>
                <w:rFonts w:ascii="宋体" w:hAnsi="宋体" w:cs="宋体" w:eastAsia="宋体" w:hint="default"/>
                <w:sz w:val="21"/>
                <w:szCs w:val="21"/>
              </w:rPr>
            </w:r>
          </w:p>
        </w:tc>
        <w:tc>
          <w:tcPr>
            <w:tcW w:w="15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0" w:lineRule="exact"/>
              <w:ind w:left="220" w:right="0"/>
              <w:jc w:val="left"/>
              <w:rPr>
                <w:rFonts w:ascii="宋体" w:hAnsi="宋体" w:cs="宋体" w:eastAsia="宋体" w:hint="default"/>
                <w:sz w:val="21"/>
                <w:szCs w:val="21"/>
              </w:rPr>
            </w:pPr>
            <w:r>
              <w:rPr>
                <w:rFonts w:ascii="宋体" w:hAnsi="宋体" w:cs="宋体" w:eastAsia="宋体" w:hint="default"/>
                <w:b/>
                <w:bCs/>
                <w:sz w:val="21"/>
                <w:szCs w:val="21"/>
              </w:rPr>
              <w:t>学友园中少</w:t>
            </w:r>
            <w:r>
              <w:rPr>
                <w:rFonts w:ascii="宋体" w:hAnsi="宋体" w:cs="宋体" w:eastAsia="宋体" w:hint="default"/>
                <w:sz w:val="21"/>
                <w:szCs w:val="21"/>
              </w:rPr>
            </w:r>
          </w:p>
        </w:tc>
        <w:tc>
          <w:tcPr>
            <w:tcW w:w="150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0" w:lineRule="exact"/>
              <w:ind w:left="327" w:right="0"/>
              <w:jc w:val="left"/>
              <w:rPr>
                <w:rFonts w:ascii="宋体" w:hAnsi="宋体" w:cs="宋体" w:eastAsia="宋体" w:hint="default"/>
                <w:sz w:val="21"/>
                <w:szCs w:val="21"/>
              </w:rPr>
            </w:pPr>
            <w:r>
              <w:rPr>
                <w:rFonts w:ascii="宋体" w:hAnsi="宋体" w:cs="宋体" w:eastAsia="宋体" w:hint="default"/>
                <w:b/>
                <w:bCs/>
                <w:sz w:val="21"/>
                <w:szCs w:val="21"/>
              </w:rPr>
              <w:t>鸿达以太</w:t>
            </w:r>
            <w:r>
              <w:rPr>
                <w:rFonts w:ascii="宋体" w:hAnsi="宋体" w:cs="宋体" w:eastAsia="宋体" w:hint="default"/>
                <w:sz w:val="21"/>
                <w:szCs w:val="21"/>
              </w:rPr>
            </w:r>
          </w:p>
        </w:tc>
      </w:tr>
      <w:tr>
        <w:trPr>
          <w:trHeight w:val="323" w:hRule="exact"/>
        </w:trPr>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3,355,517.38</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z w:val="21"/>
              </w:rPr>
              <w:t>53,487,910.30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14,986,620.12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3,808,616.60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63,271,357.20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19,022,334.31</w:t>
            </w:r>
          </w:p>
        </w:tc>
      </w:tr>
      <w:tr>
        <w:trPr>
          <w:trHeight w:val="322" w:hRule="exact"/>
        </w:trPr>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835,850.89</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z w:val="21"/>
              </w:rPr>
              <w:t>14,435,818.02</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9,322,656.78</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843,753.48</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15,157,061.63</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12,719,145.74</w:t>
            </w:r>
          </w:p>
        </w:tc>
      </w:tr>
      <w:tr>
        <w:trPr>
          <w:trHeight w:val="322" w:hRule="exact"/>
        </w:trPr>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326,835.47</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1,111,355.76</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15,151,725.76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402,101.44</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842,075.83</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5,514,653.25</w:t>
            </w:r>
          </w:p>
        </w:tc>
      </w:tr>
      <w:tr>
        <w:trPr>
          <w:trHeight w:val="323" w:hRule="exact"/>
        </w:trPr>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3,682,352.85</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z w:val="21"/>
              </w:rPr>
              <w:t>54,599,266.06</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30,138,345.88</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4,210,718.04</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64,113,433.03</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24,536,987.56</w:t>
            </w:r>
          </w:p>
        </w:tc>
      </w:tr>
      <w:tr>
        <w:trPr>
          <w:trHeight w:val="322" w:hRule="exact"/>
        </w:trPr>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5,235,003.98</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z w:val="21"/>
              </w:rPr>
              <w:t>24,474,427.87</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2,170,916.29</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7,512,379.12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39,273,165.04</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2,509,725.80</w:t>
            </w:r>
          </w:p>
        </w:tc>
      </w:tr>
      <w:tr>
        <w:trPr>
          <w:trHeight w:val="322" w:hRule="exact"/>
        </w:trPr>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463"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5,235,003.98</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z w:val="21"/>
              </w:rPr>
              <w:t>24,474,427.87</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2,170,916.29</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7,512,379.12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39,273,165.04</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2,509,725.80</w:t>
            </w:r>
          </w:p>
        </w:tc>
      </w:tr>
      <w:tr>
        <w:trPr>
          <w:trHeight w:val="322" w:hRule="exact"/>
        </w:trPr>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463"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-1,552,651.13</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30,124,838.19</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27,967,429.59</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-3,301,661.08</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24,840,267.99</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22,027,261.76</w:t>
            </w:r>
          </w:p>
        </w:tc>
      </w:tr>
      <w:tr>
        <w:trPr>
          <w:trHeight w:val="323" w:hRule="exact"/>
        </w:trPr>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w w:val="95"/>
                <w:sz w:val="21"/>
              </w:rPr>
              <w:t>-698,693.01</w:t>
            </w:r>
            <w:r>
              <w:rPr>
                <w:rFonts w:ascii="Times New Roman"/>
                <w:sz w:val="21"/>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z w:val="21"/>
              </w:rPr>
              <w:t>12,911,505.65</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12,859,424.13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-1,485,747.49</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10,646,538.86</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10,128,134.96</w:t>
            </w:r>
          </w:p>
        </w:tc>
      </w:tr>
      <w:tr>
        <w:trPr>
          <w:trHeight w:val="322" w:hRule="exact"/>
        </w:trPr>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463"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商誉</w:t>
            </w:r>
          </w:p>
        </w:tc>
        <w:tc>
          <w:tcPr>
            <w:tcW w:w="1463"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z w:val="21"/>
              </w:rPr>
              <w:t>26,178,971.45</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21,555,204.58</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26,178,971.45</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21,555,204.58</w:t>
            </w:r>
          </w:p>
        </w:tc>
      </w:tr>
      <w:tr>
        <w:trPr>
          <w:trHeight w:val="323" w:hRule="exact"/>
        </w:trPr>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内部交易未实现利润</w:t>
            </w:r>
          </w:p>
        </w:tc>
        <w:tc>
          <w:tcPr>
            <w:tcW w:w="1463"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698,693.01</w:t>
            </w:r>
          </w:p>
        </w:tc>
        <w:tc>
          <w:tcPr>
            <w:tcW w:w="1506"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1,485,747.49</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对联营企业权益投资的账面价值</w:t>
            </w:r>
          </w:p>
        </w:tc>
        <w:tc>
          <w:tcPr>
            <w:tcW w:w="1463"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22"/>
                <w:szCs w:val="22"/>
              </w:rPr>
            </w:pPr>
            <w:r>
              <w:rPr>
                <w:rFonts w:ascii="Times New Roman"/>
                <w:spacing w:val="-1"/>
                <w:sz w:val="22"/>
              </w:rPr>
              <w:t>39,090,477.10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22"/>
                <w:szCs w:val="22"/>
              </w:rPr>
            </w:pPr>
            <w:r>
              <w:rPr>
                <w:rFonts w:ascii="Times New Roman"/>
                <w:spacing w:val="-1"/>
                <w:sz w:val="22"/>
              </w:rPr>
              <w:t>34,414,628.71</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22"/>
                <w:szCs w:val="22"/>
              </w:rPr>
            </w:pPr>
            <w:r>
              <w:rPr>
                <w:rFonts w:ascii="Times New Roman"/>
                <w:spacing w:val="-1"/>
                <w:sz w:val="22"/>
              </w:rPr>
              <w:t>36,825,510.31</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22"/>
                <w:szCs w:val="22"/>
              </w:rPr>
            </w:pPr>
            <w:r>
              <w:rPr>
                <w:rFonts w:ascii="Times New Roman"/>
                <w:spacing w:val="-1"/>
                <w:sz w:val="22"/>
              </w:rPr>
              <w:t>31,683,339.54</w:t>
            </w:r>
          </w:p>
        </w:tc>
      </w:tr>
      <w:tr>
        <w:trPr>
          <w:trHeight w:val="323" w:hRule="exact"/>
        </w:trPr>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存在公开报价的联营企业权益投资的公允价值</w:t>
            </w:r>
          </w:p>
        </w:tc>
        <w:tc>
          <w:tcPr>
            <w:tcW w:w="1463"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8,351,622.51</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z w:val="21"/>
              </w:rPr>
              <w:t>88,955,720.89</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22,774,364.28</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17,435,418.04</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93,590,322.40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14,304,564.08</w:t>
            </w:r>
          </w:p>
        </w:tc>
      </w:tr>
      <w:tr>
        <w:trPr>
          <w:trHeight w:val="322" w:hRule="exact"/>
        </w:trPr>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-2,432.10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262,862.90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-243,738.13</w:t>
            </w:r>
            <w:r>
              <w:rPr>
                <w:rFonts w:ascii="Times New Roman"/>
                <w:sz w:val="21"/>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-2,393.39</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385,416.17</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-148,498.56</w:t>
            </w:r>
            <w:r>
              <w:rPr>
                <w:rFonts w:ascii="Times New Roman"/>
                <w:sz w:val="21"/>
              </w:rPr>
            </w:r>
          </w:p>
        </w:tc>
      </w:tr>
      <w:tr>
        <w:trPr>
          <w:trHeight w:val="323" w:hRule="exact"/>
        </w:trPr>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9,835.44</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21"/>
                <w:szCs w:val="21"/>
              </w:rPr>
            </w:pPr>
            <w:r>
              <w:rPr>
                <w:rFonts w:ascii="Times New Roman"/>
                <w:spacing w:val="-1"/>
                <w:sz w:val="21"/>
              </w:rPr>
              <w:t>2,668,337.66</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993,541.59</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1,500.00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3,013,914.42</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w w:val="95"/>
                <w:sz w:val="21"/>
              </w:rPr>
              <w:t>-285,137.99</w:t>
            </w:r>
            <w:r>
              <w:rPr>
                <w:rFonts w:ascii="Times New Roman"/>
                <w:sz w:val="21"/>
              </w:rPr>
            </w:r>
          </w:p>
        </w:tc>
      </w:tr>
      <w:tr>
        <w:trPr>
          <w:trHeight w:val="322" w:hRule="exact"/>
        </w:trPr>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1,749,009.95</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7,804,811.39</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5,940,167.83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-169,172.89</w:t>
            </w:r>
            <w:r>
              <w:rPr>
                <w:rFonts w:ascii="Times New Roman"/>
                <w:sz w:val="21"/>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6,965,480.95</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1,341,918.86</w:t>
            </w:r>
          </w:p>
        </w:tc>
      </w:tr>
      <w:tr>
        <w:trPr>
          <w:trHeight w:val="322" w:hRule="exact"/>
        </w:trPr>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463"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463"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1,749,009.95</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7,804,811.39</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5,940,167.83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-169,172.89</w:t>
            </w:r>
            <w:r>
              <w:rPr>
                <w:rFonts w:ascii="Times New Roman"/>
                <w:sz w:val="21"/>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6,965,480.95</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1,341,918.86</w:t>
            </w:r>
          </w:p>
        </w:tc>
      </w:tr>
      <w:tr>
        <w:trPr>
          <w:trHeight w:val="323" w:hRule="exact"/>
        </w:trPr>
        <w:tc>
          <w:tcPr>
            <w:tcW w:w="51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本年度收到的来自联营企业的股利</w:t>
            </w:r>
          </w:p>
        </w:tc>
        <w:tc>
          <w:tcPr>
            <w:tcW w:w="1463"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1,080,175.37</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spacing w:before="76"/>
        <w:ind w:left="6984" w:right="6984" w:firstLine="0"/>
        <w:jc w:val="center"/>
        <w:rPr>
          <w:rFonts w:ascii="Times New Roman" w:hAnsi="Times New Roman" w:cs="Times New Roman" w:eastAsia="Times New Roman" w:hint="default"/>
          <w:sz w:val="18"/>
          <w:szCs w:val="18"/>
        </w:rPr>
      </w:pPr>
      <w:r>
        <w:rPr>
          <w:rFonts w:ascii="Times New Roman"/>
          <w:sz w:val="18"/>
        </w:rPr>
        <w:t>-147-</w:t>
      </w:r>
    </w:p>
    <w:p>
      <w:pPr>
        <w:spacing w:after="0"/>
        <w:jc w:val="center"/>
        <w:rPr>
          <w:rFonts w:ascii="Times New Roman" w:hAnsi="Times New Roman" w:cs="Times New Roman" w:eastAsia="Times New Roman" w:hint="default"/>
          <w:sz w:val="18"/>
          <w:szCs w:val="18"/>
        </w:rPr>
        <w:sectPr>
          <w:headerReference w:type="default" r:id="rId53"/>
          <w:footerReference w:type="default" r:id="rId54"/>
          <w:pgSz w:w="16840" w:h="11910" w:orient="landscape"/>
          <w:pgMar w:header="0" w:footer="0" w:top="800" w:bottom="280" w:left="1220" w:right="12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spacing w:line="499" w:lineRule="auto" w:before="26"/>
        <w:ind w:left="633" w:right="4252" w:hanging="480"/>
        <w:jc w:val="left"/>
        <w:rPr>
          <w:rFonts w:ascii="宋体" w:hAnsi="宋体" w:cs="宋体" w:eastAsia="宋体" w:hint="default"/>
          <w:sz w:val="24"/>
          <w:szCs w:val="24"/>
        </w:rPr>
      </w:pPr>
      <w:bookmarkStart w:name="（4）上重要的合营企业和联营企业的汇总财务信息" w:id="327"/>
      <w:bookmarkEnd w:id="327"/>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4</w:t>
      </w:r>
      <w:r>
        <w:rPr>
          <w:rFonts w:ascii="宋体" w:hAnsi="宋体" w:cs="宋体" w:eastAsia="宋体" w:hint="default"/>
          <w:b/>
          <w:bCs/>
          <w:w w:val="95"/>
          <w:sz w:val="24"/>
          <w:szCs w:val="24"/>
        </w:rPr>
        <w:t>）不重要的合营企业和联营企业的汇总财务信息</w:t>
      </w:r>
      <w:r>
        <w:rPr>
          <w:rFonts w:ascii="宋体" w:hAnsi="宋体" w:cs="宋体" w:eastAsia="宋体" w:hint="default"/>
          <w:b/>
          <w:bCs/>
          <w:spacing w:val="21"/>
          <w:w w:val="95"/>
          <w:sz w:val="24"/>
          <w:szCs w:val="24"/>
        </w:rPr>
        <w:t> </w:t>
      </w:r>
      <w:r>
        <w:rPr>
          <w:rFonts w:ascii="宋体" w:hAnsi="宋体" w:cs="宋体" w:eastAsia="宋体" w:hint="default"/>
          <w:sz w:val="24"/>
          <w:szCs w:val="24"/>
        </w:rPr>
        <w:t>无。</w:t>
      </w:r>
    </w:p>
    <w:p>
      <w:pPr>
        <w:spacing w:line="499" w:lineRule="auto" w:before="116"/>
        <w:ind w:left="633" w:right="2453" w:hanging="480"/>
        <w:jc w:val="left"/>
        <w:rPr>
          <w:rFonts w:ascii="宋体" w:hAnsi="宋体" w:cs="宋体" w:eastAsia="宋体" w:hint="default"/>
          <w:sz w:val="24"/>
          <w:szCs w:val="24"/>
        </w:rPr>
      </w:pPr>
      <w:bookmarkStart w:name="（5）合营企业或联营企业向本公司转移资金的能力存在重大限制的说明" w:id="328"/>
      <w:bookmarkEnd w:id="328"/>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5</w:t>
      </w:r>
      <w:r>
        <w:rPr>
          <w:rFonts w:ascii="宋体" w:hAnsi="宋体" w:cs="宋体" w:eastAsia="宋体" w:hint="default"/>
          <w:b/>
          <w:bCs/>
          <w:w w:val="95"/>
          <w:sz w:val="24"/>
          <w:szCs w:val="24"/>
        </w:rPr>
        <w:t>）合营企业或联营企业向本公司转移资金的能力存在重大限制的说明  </w:t>
      </w:r>
      <w:r>
        <w:rPr>
          <w:rFonts w:ascii="宋体" w:hAnsi="宋体" w:cs="宋体" w:eastAsia="宋体" w:hint="default"/>
          <w:b/>
          <w:bCs/>
          <w:spacing w:val="6"/>
          <w:w w:val="95"/>
          <w:sz w:val="24"/>
          <w:szCs w:val="24"/>
        </w:rPr>
        <w:t> </w:t>
      </w:r>
      <w:r>
        <w:rPr>
          <w:rFonts w:ascii="宋体" w:hAnsi="宋体" w:cs="宋体" w:eastAsia="宋体" w:hint="default"/>
          <w:sz w:val="24"/>
          <w:szCs w:val="24"/>
        </w:rPr>
        <w:t>无。</w:t>
      </w:r>
    </w:p>
    <w:p>
      <w:pPr>
        <w:spacing w:before="115"/>
        <w:ind w:left="153" w:right="0" w:firstLine="0"/>
        <w:jc w:val="left"/>
        <w:rPr>
          <w:rFonts w:ascii="宋体" w:hAnsi="宋体" w:cs="宋体" w:eastAsia="宋体" w:hint="default"/>
          <w:sz w:val="24"/>
          <w:szCs w:val="24"/>
        </w:rPr>
      </w:pPr>
      <w:bookmarkStart w:name="（6）合营企业或联营企业发生的超额亏损" w:id="329"/>
      <w:bookmarkEnd w:id="329"/>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）合营企业或联营企业发生的超额亏损</w:t>
      </w:r>
      <w:r>
        <w:rPr>
          <w:rFonts w:ascii="宋体" w:hAnsi="宋体" w:cs="宋体" w:eastAsia="宋体" w:hint="default"/>
          <w:sz w:val="24"/>
          <w:szCs w:val="24"/>
        </w:rPr>
      </w:r>
    </w:p>
    <w:p>
      <w:pPr>
        <w:spacing w:line="240" w:lineRule="auto" w:before="6"/>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21"/>
                <w:szCs w:val="21"/>
              </w:rPr>
            </w:pPr>
            <w:r>
              <w:rPr>
                <w:rFonts w:ascii="宋体" w:hAnsi="宋体" w:cs="宋体" w:eastAsia="宋体" w:hint="default"/>
                <w:b/>
                <w:bCs/>
                <w:sz w:val="21"/>
                <w:szCs w:val="21"/>
              </w:rPr>
              <w:t>合营企业或联营企业名称</w:t>
            </w:r>
            <w:r>
              <w:rPr>
                <w:rFonts w:ascii="宋体" w:hAnsi="宋体" w:cs="宋体" w:eastAsia="宋体" w:hint="default"/>
                <w:sz w:val="21"/>
                <w:szCs w:val="21"/>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980" w:right="32" w:hanging="950"/>
              <w:jc w:val="left"/>
              <w:rPr>
                <w:rFonts w:ascii="宋体" w:hAnsi="宋体" w:cs="宋体" w:eastAsia="宋体" w:hint="default"/>
                <w:sz w:val="21"/>
                <w:szCs w:val="21"/>
              </w:rPr>
            </w:pPr>
            <w:r>
              <w:rPr>
                <w:rFonts w:ascii="宋体" w:hAnsi="宋体" w:cs="宋体" w:eastAsia="宋体" w:hint="default"/>
                <w:b/>
                <w:bCs/>
                <w:sz w:val="21"/>
                <w:szCs w:val="21"/>
              </w:rPr>
              <w:t>累积未确认前期累计认的</w:t>
            </w:r>
            <w:r>
              <w:rPr>
                <w:rFonts w:ascii="宋体" w:hAnsi="宋体" w:cs="宋体" w:eastAsia="宋体" w:hint="default"/>
                <w:b/>
                <w:bCs/>
                <w:w w:val="99"/>
                <w:sz w:val="21"/>
                <w:szCs w:val="21"/>
              </w:rPr>
              <w:t> </w:t>
            </w:r>
            <w:r>
              <w:rPr>
                <w:rFonts w:ascii="宋体" w:hAnsi="宋体" w:cs="宋体" w:eastAsia="宋体" w:hint="default"/>
                <w:b/>
                <w:bCs/>
                <w:sz w:val="21"/>
                <w:szCs w:val="21"/>
              </w:rPr>
              <w:t>损失</w:t>
            </w:r>
            <w:r>
              <w:rPr>
                <w:rFonts w:ascii="宋体" w:hAnsi="宋体" w:cs="宋体" w:eastAsia="宋体" w:hint="default"/>
                <w:sz w:val="21"/>
                <w:szCs w:val="21"/>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47" w:right="32" w:hanging="317"/>
              <w:jc w:val="left"/>
              <w:rPr>
                <w:rFonts w:ascii="宋体" w:hAnsi="宋体" w:cs="宋体" w:eastAsia="宋体" w:hint="default"/>
                <w:sz w:val="21"/>
                <w:szCs w:val="21"/>
              </w:rPr>
            </w:pPr>
            <w:r>
              <w:rPr>
                <w:rFonts w:ascii="宋体" w:hAnsi="宋体" w:cs="宋体" w:eastAsia="宋体" w:hint="default"/>
                <w:b/>
                <w:bCs/>
                <w:sz w:val="21"/>
                <w:szCs w:val="21"/>
              </w:rPr>
              <w:t>本期未确认的损失（或本</w:t>
            </w:r>
            <w:r>
              <w:rPr>
                <w:rFonts w:ascii="宋体" w:hAnsi="宋体" w:cs="宋体" w:eastAsia="宋体" w:hint="default"/>
                <w:b/>
                <w:bCs/>
                <w:w w:val="99"/>
                <w:sz w:val="21"/>
                <w:szCs w:val="21"/>
              </w:rPr>
              <w:t> </w:t>
            </w:r>
            <w:r>
              <w:rPr>
                <w:rFonts w:ascii="宋体" w:hAnsi="宋体" w:cs="宋体" w:eastAsia="宋体" w:hint="default"/>
                <w:b/>
                <w:bCs/>
                <w:sz w:val="21"/>
                <w:szCs w:val="21"/>
              </w:rPr>
              <w:t>期分享的净利润）</w:t>
            </w:r>
            <w:r>
              <w:rPr>
                <w:rFonts w:ascii="宋体" w:hAnsi="宋体" w:cs="宋体" w:eastAsia="宋体" w:hint="default"/>
                <w:sz w:val="21"/>
                <w:szCs w:val="21"/>
              </w:rPr>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21"/>
                <w:szCs w:val="21"/>
              </w:rPr>
            </w:pPr>
            <w:r>
              <w:rPr>
                <w:rFonts w:ascii="宋体" w:hAnsi="宋体" w:cs="宋体" w:eastAsia="宋体" w:hint="default"/>
                <w:b/>
                <w:bCs/>
                <w:w w:val="95"/>
                <w:sz w:val="21"/>
                <w:szCs w:val="21"/>
              </w:rPr>
              <w:t>本期末累积未确认的损失</w:t>
            </w:r>
            <w:r>
              <w:rPr>
                <w:rFonts w:ascii="宋体" w:hAnsi="宋体" w:cs="宋体" w:eastAsia="宋体" w:hint="default"/>
                <w:sz w:val="21"/>
                <w:szCs w:val="21"/>
              </w:rPr>
            </w:r>
          </w:p>
        </w:tc>
      </w:tr>
      <w:tr>
        <w:trPr>
          <w:trHeight w:val="71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6"/>
              <w:jc w:val="left"/>
              <w:rPr>
                <w:rFonts w:ascii="宋体" w:hAnsi="宋体" w:cs="宋体" w:eastAsia="宋体" w:hint="default"/>
                <w:sz w:val="21"/>
                <w:szCs w:val="21"/>
              </w:rPr>
            </w:pPr>
            <w:r>
              <w:rPr>
                <w:rFonts w:ascii="宋体" w:hAnsi="宋体" w:cs="宋体" w:eastAsia="宋体" w:hint="default"/>
                <w:sz w:val="21"/>
                <w:szCs w:val="21"/>
              </w:rPr>
              <w:t>广州市迈步信息科技有限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86" w:right="0"/>
              <w:jc w:val="left"/>
              <w:rPr>
                <w:rFonts w:ascii="Times New Roman" w:hAnsi="Times New Roman" w:cs="Times New Roman" w:eastAsia="Times New Roman" w:hint="default"/>
                <w:sz w:val="21"/>
                <w:szCs w:val="21"/>
              </w:rPr>
            </w:pPr>
            <w:r>
              <w:rPr>
                <w:rFonts w:ascii="Times New Roman"/>
                <w:sz w:val="21"/>
              </w:rPr>
              <w:t>-1,485,747.49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414" w:right="0"/>
              <w:jc w:val="left"/>
              <w:rPr>
                <w:rFonts w:ascii="Times New Roman" w:hAnsi="Times New Roman" w:cs="Times New Roman" w:eastAsia="Times New Roman" w:hint="default"/>
                <w:sz w:val="21"/>
                <w:szCs w:val="21"/>
              </w:rPr>
            </w:pPr>
            <w:r>
              <w:rPr>
                <w:rFonts w:ascii="Times New Roman"/>
                <w:sz w:val="21"/>
              </w:rPr>
              <w:t>787,054.48</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-698,693.01</w:t>
            </w:r>
            <w:r>
              <w:rPr>
                <w:rFonts w:ascii="Times New Roman"/>
                <w:sz w:val="21"/>
              </w:rPr>
            </w:r>
          </w:p>
        </w:tc>
      </w:tr>
    </w:tbl>
    <w:p>
      <w:pPr>
        <w:spacing w:line="240" w:lineRule="auto" w:before="2"/>
        <w:rPr>
          <w:rFonts w:ascii="宋体" w:hAnsi="宋体" w:cs="宋体" w:eastAsia="宋体" w:hint="default"/>
          <w:sz w:val="18"/>
          <w:szCs w:val="18"/>
        </w:rPr>
      </w:pPr>
    </w:p>
    <w:p>
      <w:pPr>
        <w:spacing w:line="499" w:lineRule="auto" w:before="26"/>
        <w:ind w:left="633" w:right="5692" w:hanging="480"/>
        <w:jc w:val="left"/>
        <w:rPr>
          <w:rFonts w:ascii="宋体" w:hAnsi="宋体" w:cs="宋体" w:eastAsia="宋体" w:hint="default"/>
          <w:sz w:val="24"/>
          <w:szCs w:val="24"/>
        </w:rPr>
      </w:pPr>
      <w:bookmarkStart w:name="（7）与合营企业投资相关的未确认承诺" w:id="330"/>
      <w:bookmarkEnd w:id="330"/>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7</w:t>
      </w:r>
      <w:r>
        <w:rPr>
          <w:rFonts w:ascii="宋体" w:hAnsi="宋体" w:cs="宋体" w:eastAsia="宋体" w:hint="default"/>
          <w:b/>
          <w:bCs/>
          <w:w w:val="95"/>
          <w:sz w:val="24"/>
          <w:szCs w:val="24"/>
        </w:rPr>
        <w:t>）与合营企业投资相关的未确认承诺</w:t>
      </w:r>
      <w:r>
        <w:rPr>
          <w:rFonts w:ascii="宋体" w:hAnsi="宋体" w:cs="宋体" w:eastAsia="宋体" w:hint="default"/>
          <w:b/>
          <w:bCs/>
          <w:spacing w:val="80"/>
          <w:w w:val="95"/>
          <w:sz w:val="24"/>
          <w:szCs w:val="24"/>
        </w:rPr>
        <w:t> </w:t>
      </w:r>
      <w:r>
        <w:rPr>
          <w:rFonts w:ascii="宋体" w:hAnsi="宋体" w:cs="宋体" w:eastAsia="宋体" w:hint="default"/>
          <w:sz w:val="24"/>
          <w:szCs w:val="24"/>
        </w:rPr>
        <w:t>无。</w:t>
      </w:r>
    </w:p>
    <w:p>
      <w:pPr>
        <w:spacing w:line="499" w:lineRule="auto" w:before="116"/>
        <w:ind w:left="633" w:right="4732" w:hanging="480"/>
        <w:jc w:val="left"/>
        <w:rPr>
          <w:rFonts w:ascii="宋体" w:hAnsi="宋体" w:cs="宋体" w:eastAsia="宋体" w:hint="default"/>
          <w:sz w:val="24"/>
          <w:szCs w:val="24"/>
        </w:rPr>
      </w:pPr>
      <w:bookmarkStart w:name="（8）与合营企业或联营企业投资相关的或有负债" w:id="331"/>
      <w:bookmarkEnd w:id="331"/>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8</w:t>
      </w:r>
      <w:r>
        <w:rPr>
          <w:rFonts w:ascii="宋体" w:hAnsi="宋体" w:cs="宋体" w:eastAsia="宋体" w:hint="default"/>
          <w:b/>
          <w:bCs/>
          <w:w w:val="95"/>
          <w:sz w:val="24"/>
          <w:szCs w:val="24"/>
        </w:rPr>
        <w:t>）与合营企业或联营企业投资相关的或有负债</w:t>
      </w:r>
      <w:r>
        <w:rPr>
          <w:rFonts w:ascii="宋体" w:hAnsi="宋体" w:cs="宋体" w:eastAsia="宋体" w:hint="default"/>
          <w:b/>
          <w:bCs/>
          <w:spacing w:val="10"/>
          <w:w w:val="95"/>
          <w:sz w:val="24"/>
          <w:szCs w:val="24"/>
        </w:rPr>
        <w:t> </w:t>
      </w:r>
      <w:r>
        <w:rPr>
          <w:rFonts w:ascii="宋体" w:hAnsi="宋体" w:cs="宋体" w:eastAsia="宋体" w:hint="default"/>
          <w:sz w:val="24"/>
          <w:szCs w:val="24"/>
        </w:rPr>
        <w:t>无。</w:t>
      </w:r>
    </w:p>
    <w:p>
      <w:pPr>
        <w:spacing w:line="499" w:lineRule="auto" w:before="115"/>
        <w:ind w:left="633" w:right="7725" w:hanging="480"/>
        <w:jc w:val="left"/>
        <w:rPr>
          <w:rFonts w:ascii="宋体" w:hAnsi="宋体" w:cs="宋体" w:eastAsia="宋体" w:hint="default"/>
          <w:sz w:val="24"/>
          <w:szCs w:val="24"/>
        </w:rPr>
      </w:pPr>
      <w:bookmarkStart w:name="4、重要的共同经营" w:id="332"/>
      <w:bookmarkEnd w:id="332"/>
      <w:r>
        <w:rPr/>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、重要的共同经营</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line="499" w:lineRule="auto" w:before="115"/>
        <w:ind w:left="633" w:right="3773" w:hanging="480"/>
        <w:jc w:val="left"/>
        <w:rPr>
          <w:rFonts w:ascii="宋体" w:hAnsi="宋体" w:cs="宋体" w:eastAsia="宋体" w:hint="default"/>
          <w:sz w:val="24"/>
          <w:szCs w:val="24"/>
        </w:rPr>
      </w:pPr>
      <w:bookmarkStart w:name="5、在未纳入合并财务报表范围的结构化主体中的权益" w:id="333"/>
      <w:bookmarkEnd w:id="333"/>
      <w:r>
        <w:rPr/>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、在未纳入合并财务报表范围的结构化主体中的权益</w:t>
      </w:r>
      <w:r>
        <w:rPr>
          <w:rFonts w:ascii="宋体" w:hAnsi="宋体" w:cs="宋体" w:eastAsia="宋体" w:hint="default"/>
          <w:b/>
          <w:bCs/>
          <w:w w:val="99"/>
          <w:sz w:val="24"/>
          <w:szCs w:val="24"/>
        </w:rPr>
        <w:t> </w:t>
      </w:r>
      <w:r>
        <w:rPr>
          <w:rFonts w:ascii="宋体" w:hAnsi="宋体" w:cs="宋体" w:eastAsia="宋体" w:hint="default"/>
          <w:sz w:val="24"/>
          <w:szCs w:val="24"/>
        </w:rPr>
        <w:t>未纳入合并财务报表范围的结构化主体的相关说明：</w:t>
      </w:r>
    </w:p>
    <w:p>
      <w:pPr>
        <w:spacing w:before="116"/>
        <w:ind w:left="153" w:right="0" w:firstLine="0"/>
        <w:jc w:val="left"/>
        <w:rPr>
          <w:rFonts w:ascii="宋体" w:hAnsi="宋体" w:cs="宋体" w:eastAsia="宋体" w:hint="default"/>
          <w:sz w:val="24"/>
          <w:szCs w:val="24"/>
        </w:rPr>
      </w:pPr>
      <w:bookmarkStart w:name="十、与金融工具相关的风险" w:id="334"/>
      <w:bookmarkEnd w:id="334"/>
      <w:r>
        <w:rPr/>
      </w:r>
      <w:r>
        <w:rPr>
          <w:rFonts w:ascii="宋体" w:hAnsi="宋体" w:cs="宋体" w:eastAsia="宋体" w:hint="default"/>
          <w:b/>
          <w:bCs/>
          <w:sz w:val="24"/>
          <w:szCs w:val="24"/>
        </w:rPr>
        <w:t>十、与金融工具相关的风险</w:t>
      </w:r>
      <w:r>
        <w:rPr>
          <w:rFonts w:ascii="宋体" w:hAnsi="宋体" w:cs="宋体" w:eastAsia="宋体" w:hint="default"/>
          <w:sz w:val="24"/>
          <w:szCs w:val="24"/>
        </w:rPr>
      </w:r>
    </w:p>
    <w:p>
      <w:pPr>
        <w:spacing w:line="240" w:lineRule="auto" w:before="10"/>
        <w:rPr>
          <w:rFonts w:ascii="宋体" w:hAnsi="宋体" w:cs="宋体" w:eastAsia="宋体" w:hint="default"/>
          <w:b/>
          <w:bCs/>
          <w:sz w:val="28"/>
          <w:szCs w:val="28"/>
        </w:rPr>
      </w:pPr>
    </w:p>
    <w:p>
      <w:pPr>
        <w:pStyle w:val="BodyText"/>
        <w:spacing w:line="357" w:lineRule="auto" w:before="0"/>
        <w:ind w:right="189" w:firstLine="480"/>
        <w:jc w:val="both"/>
      </w:pPr>
      <w:r>
        <w:rPr/>
        <w:t>本公司的主要金融工具包括货币资金、借款、应收款项、应付款项、可供出售金融资产 等，各项金融工具的详细情况说明见本附注六。与这些金融工具有关的风险，以及本公司为 降低这些风险所采取的风险管理政策如下所述。本公司管理层对这些风险敞口进行管理和监 控以确保将上述风险控制在限定的范围之内。</w:t>
      </w:r>
    </w:p>
    <w:p>
      <w:pPr>
        <w:spacing w:after="0" w:line="357" w:lineRule="auto"/>
        <w:jc w:val="both"/>
        <w:sectPr>
          <w:footerReference w:type="default" r:id="rId55"/>
          <w:pgSz w:w="11910" w:h="16840"/>
          <w:pgMar w:footer="979" w:header="0" w:top="1100" w:bottom="1160" w:left="980" w:right="980"/>
          <w:pgNumType w:start="148"/>
        </w:sectPr>
      </w:pPr>
    </w:p>
    <w:p>
      <w:pPr>
        <w:spacing w:line="240" w:lineRule="auto" w:before="9"/>
        <w:rPr>
          <w:rFonts w:ascii="宋体" w:hAnsi="宋体" w:cs="宋体" w:eastAsia="宋体" w:hint="default"/>
          <w:sz w:val="25"/>
          <w:szCs w:val="25"/>
        </w:rPr>
      </w:pPr>
    </w:p>
    <w:p>
      <w:pPr>
        <w:pStyle w:val="BodyText"/>
        <w:spacing w:line="386" w:lineRule="auto"/>
        <w:ind w:left="693" w:right="253"/>
        <w:jc w:val="left"/>
      </w:pPr>
      <w:r>
        <w:rPr>
          <w:rFonts w:ascii="宋体" w:hAnsi="宋体" w:cs="宋体" w:eastAsia="宋体" w:hint="default"/>
        </w:rPr>
        <w:t>1</w:t>
      </w:r>
      <w:r>
        <w:rPr/>
        <w:t>、各类风险管理目标和政策 本公司从事风险管理的目标是在风险和收益之间取得适当的平衡，将风险对本公司经营</w:t>
      </w:r>
    </w:p>
    <w:p>
      <w:pPr>
        <w:pStyle w:val="BodyText"/>
        <w:spacing w:line="357" w:lineRule="auto" w:before="7"/>
        <w:ind w:left="213" w:right="270"/>
        <w:jc w:val="both"/>
      </w:pPr>
      <w:r>
        <w:rPr/>
        <w:t>业绩的负面影响降低到最低水平，使股东及其它权益投资者的利益最大化。基于该风险管理 目标，本公司风险管理的基本策略是确定和分析本公司所面临的各种风险，建立适当的风险 承受底线并进行风险管理，并及时可靠地对各种风险进行监督，将风险控制在限定的范围之 内。</w:t>
      </w:r>
    </w:p>
    <w:p>
      <w:pPr>
        <w:pStyle w:val="BodyText"/>
        <w:spacing w:line="388" w:lineRule="auto" w:before="77"/>
        <w:ind w:left="694" w:right="8052"/>
        <w:jc w:val="left"/>
      </w:pPr>
      <w:r>
        <w:rPr>
          <w:rFonts w:ascii="宋体" w:hAnsi="宋体" w:cs="宋体" w:eastAsia="宋体" w:hint="default"/>
        </w:rPr>
        <w:t>(1)</w:t>
      </w:r>
      <w:r>
        <w:rPr/>
        <w:t>市场风险 </w:t>
      </w:r>
      <w:r>
        <w:rPr>
          <w:rFonts w:ascii="宋体" w:hAnsi="宋体" w:cs="宋体" w:eastAsia="宋体" w:hint="default"/>
        </w:rPr>
        <w:t>1</w:t>
      </w:r>
      <w:r>
        <w:rPr/>
        <w:t>）汇率风险</w:t>
      </w:r>
    </w:p>
    <w:p>
      <w:pPr>
        <w:pStyle w:val="BodyText"/>
        <w:spacing w:line="240" w:lineRule="auto" w:before="43"/>
        <w:ind w:left="694" w:right="316"/>
        <w:jc w:val="left"/>
        <w:rPr>
          <w:rFonts w:ascii="宋体" w:hAnsi="宋体" w:cs="宋体" w:eastAsia="宋体" w:hint="default"/>
        </w:rPr>
      </w:pPr>
      <w:r>
        <w:rPr/>
        <w:t>本公司承受汇率风险主要与美元有关，其它主要业务活动以人民币计价结算。于</w:t>
      </w:r>
      <w:r>
        <w:rPr>
          <w:spacing w:val="-59"/>
        </w:rPr>
        <w:t> </w:t>
      </w:r>
      <w:r>
        <w:rPr>
          <w:rFonts w:ascii="宋体" w:hAnsi="宋体" w:cs="宋体" w:eastAsia="宋体" w:hint="default"/>
        </w:rPr>
        <w:t>2014</w:t>
      </w:r>
    </w:p>
    <w:p>
      <w:pPr>
        <w:pStyle w:val="BodyText"/>
        <w:spacing w:line="357" w:lineRule="auto" w:before="154"/>
        <w:ind w:left="213" w:right="493"/>
        <w:jc w:val="left"/>
      </w:pP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日，除下表所述资产及负债的美元余额外，本公司的资产及负债均为人民币余 额。</w:t>
      </w:r>
    </w:p>
    <w:p>
      <w:pPr>
        <w:pStyle w:val="BodyText"/>
        <w:spacing w:line="311" w:lineRule="exact" w:before="0"/>
        <w:ind w:left="0" w:right="230"/>
        <w:jc w:val="right"/>
      </w:pPr>
      <w:r>
        <w:rPr/>
        <w:t>单位：元</w:t>
      </w:r>
    </w:p>
    <w:p>
      <w:pPr>
        <w:spacing w:line="240" w:lineRule="auto" w:before="11"/>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230"/>
        <w:gridCol w:w="2852"/>
        <w:gridCol w:w="2774"/>
      </w:tblGrid>
      <w:tr>
        <w:trPr>
          <w:trHeight w:val="322" w:hRule="exact"/>
        </w:trPr>
        <w:tc>
          <w:tcPr>
            <w:tcW w:w="423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5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年末余额</w:t>
            </w:r>
            <w:r>
              <w:rPr>
                <w:rFonts w:ascii="宋体" w:hAnsi="宋体" w:cs="宋体" w:eastAsia="宋体" w:hint="default"/>
                <w:sz w:val="21"/>
                <w:szCs w:val="21"/>
              </w:rPr>
            </w:r>
          </w:p>
        </w:tc>
        <w:tc>
          <w:tcPr>
            <w:tcW w:w="27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2" w:hRule="exact"/>
        </w:trPr>
        <w:tc>
          <w:tcPr>
            <w:tcW w:w="423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Times New Roman" w:hAnsi="Times New Roman" w:cs="Times New Roman" w:eastAsia="Times New Roman" w:hint="default"/>
                <w:sz w:val="21"/>
                <w:szCs w:val="21"/>
              </w:rPr>
              <w:t>-</w:t>
            </w:r>
            <w:r>
              <w:rPr>
                <w:rFonts w:ascii="宋体" w:hAnsi="宋体" w:cs="宋体" w:eastAsia="宋体" w:hint="default"/>
                <w:sz w:val="21"/>
                <w:szCs w:val="21"/>
              </w:rPr>
              <w:t>美元</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306.01</w:t>
            </w:r>
          </w:p>
        </w:tc>
        <w:tc>
          <w:tcPr>
            <w:tcW w:w="277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3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1"/>
                <w:szCs w:val="21"/>
              </w:rPr>
            </w:pPr>
            <w:r>
              <w:rPr>
                <w:rFonts w:ascii="宋体" w:hAnsi="宋体" w:cs="宋体" w:eastAsia="宋体" w:hint="default"/>
                <w:sz w:val="21"/>
                <w:szCs w:val="21"/>
              </w:rPr>
              <w:t>其它应收款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美元</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1,223,800.00</w:t>
            </w:r>
          </w:p>
        </w:tc>
        <w:tc>
          <w:tcPr>
            <w:tcW w:w="27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6,119,000.00</w:t>
            </w:r>
          </w:p>
        </w:tc>
        <w:tc>
          <w:tcPr>
            <w:tcW w:w="277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88" w:lineRule="auto" w:before="81"/>
        <w:ind w:left="693" w:right="253"/>
        <w:jc w:val="left"/>
      </w:pPr>
      <w:r>
        <w:rPr>
          <w:rFonts w:ascii="宋体" w:hAnsi="宋体" w:cs="宋体" w:eastAsia="宋体" w:hint="default"/>
        </w:rPr>
        <w:t>2)</w:t>
      </w:r>
      <w:r>
        <w:rPr/>
        <w:t>利率风险 本公司的利率风险产生于银行借款带息债务。浮动利率的金融负债使本公司面临现金流</w:t>
      </w:r>
    </w:p>
    <w:p>
      <w:pPr>
        <w:pStyle w:val="BodyText"/>
        <w:spacing w:line="357" w:lineRule="auto" w:before="5"/>
        <w:ind w:left="213" w:right="222"/>
        <w:jc w:val="left"/>
      </w:pPr>
      <w:r>
        <w:rPr/>
        <w:t>量利率风险，固定利率的金融负债使本公司面临公允价值利率风险。本公司根据当时的市场 环境来决定固定利率及浮动利率合同的相对比例。于</w:t>
      </w:r>
      <w:r>
        <w:rPr>
          <w:spacing w:val="-74"/>
        </w:rPr>
        <w:t> </w:t>
      </w:r>
      <w:r>
        <w:rPr>
          <w:rFonts w:ascii="宋体" w:hAnsi="宋体" w:cs="宋体" w:eastAsia="宋体" w:hint="default"/>
        </w:rPr>
        <w:t>2014</w:t>
      </w:r>
      <w:r>
        <w:rPr>
          <w:rFonts w:ascii="宋体" w:hAnsi="宋体" w:cs="宋体" w:eastAsia="宋体" w:hint="default"/>
          <w:spacing w:val="-75"/>
        </w:rPr>
        <w:t> </w:t>
      </w:r>
      <w:r>
        <w:rPr/>
        <w:t>年</w:t>
      </w:r>
      <w:r>
        <w:rPr>
          <w:spacing w:val="-75"/>
        </w:rPr>
        <w:t> </w:t>
      </w:r>
      <w:r>
        <w:rPr>
          <w:rFonts w:ascii="宋体" w:hAnsi="宋体" w:cs="宋体" w:eastAsia="宋体" w:hint="default"/>
        </w:rPr>
        <w:t>12</w:t>
      </w:r>
      <w:r>
        <w:rPr>
          <w:rFonts w:ascii="宋体" w:hAnsi="宋体" w:cs="宋体" w:eastAsia="宋体" w:hint="default"/>
          <w:spacing w:val="-76"/>
        </w:rPr>
        <w:t> </w:t>
      </w:r>
      <w:r>
        <w:rPr/>
        <w:t>月</w:t>
      </w:r>
      <w:r>
        <w:rPr>
          <w:spacing w:val="-75"/>
        </w:rPr>
        <w:t> </w:t>
      </w:r>
      <w:r>
        <w:rPr>
          <w:rFonts w:ascii="宋体" w:hAnsi="宋体" w:cs="宋体" w:eastAsia="宋体" w:hint="default"/>
        </w:rPr>
        <w:t>31</w:t>
      </w:r>
      <w:r>
        <w:rPr>
          <w:rFonts w:ascii="宋体" w:hAnsi="宋体" w:cs="宋体" w:eastAsia="宋体" w:hint="default"/>
          <w:spacing w:val="-74"/>
        </w:rPr>
        <w:t> </w:t>
      </w:r>
      <w:r>
        <w:rPr/>
        <w:t>日，本公司的带息债务</w:t>
      </w:r>
    </w:p>
    <w:p>
      <w:pPr>
        <w:pStyle w:val="BodyText"/>
        <w:spacing w:line="388" w:lineRule="auto" w:before="37"/>
        <w:ind w:left="693" w:right="3133" w:hanging="480"/>
        <w:jc w:val="left"/>
      </w:pPr>
      <w:r>
        <w:rPr/>
        <w:t>主要为人民币计价的固定利率合同，金额为</w:t>
      </w:r>
      <w:r>
        <w:rPr>
          <w:spacing w:val="-60"/>
        </w:rPr>
        <w:t> </w:t>
      </w:r>
      <w:r>
        <w:rPr>
          <w:rFonts w:ascii="宋体" w:hAnsi="宋体" w:cs="宋体" w:eastAsia="宋体" w:hint="default"/>
        </w:rPr>
        <w:t>55,000,000.00</w:t>
      </w:r>
      <w:r>
        <w:rPr>
          <w:rFonts w:ascii="宋体" w:hAnsi="宋体" w:cs="宋体" w:eastAsia="宋体" w:hint="default"/>
          <w:spacing w:val="-60"/>
        </w:rPr>
        <w:t> </w:t>
      </w:r>
      <w:r>
        <w:rPr/>
        <w:t>元。 </w:t>
      </w:r>
      <w:r>
        <w:rPr>
          <w:rFonts w:ascii="宋体" w:hAnsi="宋体" w:cs="宋体" w:eastAsia="宋体" w:hint="default"/>
        </w:rPr>
        <w:t>(2)</w:t>
      </w:r>
      <w:r>
        <w:rPr/>
        <w:t>信用风险</w:t>
      </w:r>
    </w:p>
    <w:p>
      <w:pPr>
        <w:pStyle w:val="BodyText"/>
        <w:spacing w:line="357" w:lineRule="auto" w:before="44"/>
        <w:ind w:left="214" w:right="231" w:firstLine="480"/>
        <w:jc w:val="both"/>
      </w:pPr>
      <w:r>
        <w:rPr/>
        <w:t>于</w:t>
      </w:r>
      <w:r>
        <w:rPr>
          <w:spacing w:val="-74"/>
        </w:rPr>
        <w:t> </w:t>
      </w:r>
      <w:r>
        <w:rPr>
          <w:rFonts w:ascii="宋体" w:hAnsi="宋体" w:cs="宋体" w:eastAsia="宋体" w:hint="default"/>
        </w:rPr>
        <w:t>2014</w:t>
      </w:r>
      <w:r>
        <w:rPr>
          <w:rFonts w:ascii="宋体" w:hAnsi="宋体" w:cs="宋体" w:eastAsia="宋体" w:hint="default"/>
          <w:spacing w:val="-75"/>
        </w:rPr>
        <w:t> </w:t>
      </w:r>
      <w:r>
        <w:rPr/>
        <w:t>年</w:t>
      </w:r>
      <w:r>
        <w:rPr>
          <w:spacing w:val="-75"/>
        </w:rPr>
        <w:t> </w:t>
      </w:r>
      <w:r>
        <w:rPr>
          <w:rFonts w:ascii="宋体" w:hAnsi="宋体" w:cs="宋体" w:eastAsia="宋体" w:hint="default"/>
        </w:rPr>
        <w:t>12</w:t>
      </w:r>
      <w:r>
        <w:rPr>
          <w:rFonts w:ascii="宋体" w:hAnsi="宋体" w:cs="宋体" w:eastAsia="宋体" w:hint="default"/>
          <w:spacing w:val="-75"/>
        </w:rPr>
        <w:t> </w:t>
      </w:r>
      <w:r>
        <w:rPr/>
        <w:t>月</w:t>
      </w:r>
      <w:r>
        <w:rPr>
          <w:spacing w:val="-75"/>
        </w:rPr>
        <w:t> </w:t>
      </w:r>
      <w:r>
        <w:rPr>
          <w:rFonts w:ascii="宋体" w:hAnsi="宋体" w:cs="宋体" w:eastAsia="宋体" w:hint="default"/>
        </w:rPr>
        <w:t>31</w:t>
      </w:r>
      <w:r>
        <w:rPr>
          <w:rFonts w:ascii="宋体" w:hAnsi="宋体" w:cs="宋体" w:eastAsia="宋体" w:hint="default"/>
          <w:spacing w:val="-75"/>
        </w:rPr>
        <w:t> </w:t>
      </w:r>
      <w:r>
        <w:rPr/>
        <w:t>日，可能引起本公司财务损失的最大信用风险敞口主要来自于合同另 一方未能履行义务而导致本公司金融资产产生的损失，具体包括合并资产负债表中已确认的 金融资产的账面金额。</w:t>
      </w:r>
    </w:p>
    <w:p>
      <w:pPr>
        <w:pStyle w:val="BodyText"/>
        <w:spacing w:line="357" w:lineRule="auto" w:before="74"/>
        <w:ind w:left="214" w:right="269" w:firstLine="480"/>
        <w:jc w:val="both"/>
      </w:pPr>
      <w:r>
        <w:rPr/>
        <w:t>为降低信用风险，本公司成立专门部门确定信用额度、进行信用审批，并执行其它监控 程序以确保采取必要的措施回收过期债权。此外，本公司于每个资产负债表日审核每一单项 应收款的回收情况，以确保就无法回收的款项计提充分的坏账准备。因此，本公司管理层认 为本公司所承担的信用风险已经大为降低。</w:t>
      </w:r>
    </w:p>
    <w:p>
      <w:pPr>
        <w:pStyle w:val="BodyText"/>
        <w:spacing w:line="240" w:lineRule="auto" w:before="76"/>
        <w:ind w:left="694" w:right="316"/>
        <w:jc w:val="left"/>
      </w:pPr>
      <w:r>
        <w:rPr/>
        <w:t>本公司的流动资金存放在信用评级较高的银行，故流动资金的信用风险较低。</w:t>
      </w:r>
    </w:p>
    <w:p>
      <w:pPr>
        <w:spacing w:after="0" w:line="240" w:lineRule="auto"/>
        <w:jc w:val="left"/>
        <w:sectPr>
          <w:pgSz w:w="11910" w:h="16840"/>
          <w:pgMar w:header="0" w:footer="979" w:top="1100" w:bottom="1160" w:left="920" w:right="900"/>
        </w:sectPr>
      </w:pPr>
    </w:p>
    <w:p>
      <w:pPr>
        <w:spacing w:line="240" w:lineRule="auto" w:before="7"/>
        <w:rPr>
          <w:rFonts w:ascii="宋体" w:hAnsi="宋体" w:cs="宋体" w:eastAsia="宋体" w:hint="default"/>
          <w:sz w:val="25"/>
          <w:szCs w:val="25"/>
        </w:rPr>
      </w:pPr>
    </w:p>
    <w:p>
      <w:pPr>
        <w:pStyle w:val="BodyText"/>
        <w:spacing w:line="357" w:lineRule="auto"/>
        <w:ind w:left="154" w:right="190" w:firstLine="480"/>
        <w:jc w:val="both"/>
      </w:pPr>
      <w:r>
        <w:rPr/>
        <w:t>本公司采用了必要的政策确保所有销售客户均具有良好的信用记录。除应收账款金额前 五名外，本公司无其他重大信用集中风险。</w:t>
      </w:r>
    </w:p>
    <w:p>
      <w:pPr>
        <w:pStyle w:val="BodyText"/>
        <w:spacing w:line="388" w:lineRule="auto" w:before="76"/>
        <w:ind w:left="634" w:right="4312"/>
        <w:jc w:val="left"/>
      </w:pPr>
      <w:r>
        <w:rPr/>
        <w:t>应收账款前五名金额合计：</w:t>
      </w:r>
      <w:r>
        <w:rPr>
          <w:rFonts w:ascii="宋体" w:hAnsi="宋体" w:cs="宋体" w:eastAsia="宋体" w:hint="default"/>
        </w:rPr>
        <w:t>71,202,200.55</w:t>
      </w:r>
      <w:r>
        <w:rPr>
          <w:rFonts w:ascii="宋体" w:hAnsi="宋体" w:cs="宋体" w:eastAsia="宋体" w:hint="default"/>
          <w:spacing w:val="-60"/>
        </w:rPr>
        <w:t> </w:t>
      </w:r>
      <w:r>
        <w:rPr/>
        <w:t>元。 </w:t>
      </w:r>
      <w:r>
        <w:rPr>
          <w:rFonts w:ascii="宋体" w:hAnsi="宋体" w:cs="宋体" w:eastAsia="宋体" w:hint="default"/>
        </w:rPr>
        <w:t>(3)</w:t>
      </w:r>
      <w:r>
        <w:rPr/>
        <w:t>流动风险</w:t>
      </w:r>
    </w:p>
    <w:p>
      <w:pPr>
        <w:pStyle w:val="BodyText"/>
        <w:spacing w:line="357" w:lineRule="auto" w:before="43"/>
        <w:ind w:left="154" w:right="189" w:firstLine="480"/>
        <w:jc w:val="both"/>
      </w:pPr>
      <w:r>
        <w:rPr/>
        <w:t>流动风险为本公司在到期日无法履行其财务义务的风险。本公司管理流动性风险的方法 是确保有足够的资金流动性来履行到期债务，而不至于造成不可接受的损失或对企业信誉造 成损害。本公司定期分析负债结构和期限，以确保有充裕的资金。本公司管理层对银行借款 的使用情况进行监控并确保遵守借款协议。同时与金融机构进行融资磋商，以保持一定的授 信额度，减低流动性风险。</w:t>
      </w:r>
    </w:p>
    <w:p>
      <w:pPr>
        <w:spacing w:line="240" w:lineRule="auto" w:before="9"/>
        <w:rPr>
          <w:rFonts w:ascii="宋体" w:hAnsi="宋体" w:cs="宋体" w:eastAsia="宋体" w:hint="default"/>
          <w:sz w:val="19"/>
          <w:szCs w:val="19"/>
        </w:rPr>
      </w:pPr>
    </w:p>
    <w:p>
      <w:pPr>
        <w:spacing w:line="528" w:lineRule="auto" w:before="0"/>
        <w:ind w:left="634" w:right="7132" w:hanging="480"/>
        <w:jc w:val="left"/>
        <w:rPr>
          <w:rFonts w:ascii="宋体" w:hAnsi="宋体" w:cs="宋体" w:eastAsia="宋体" w:hint="default"/>
          <w:sz w:val="24"/>
          <w:szCs w:val="24"/>
        </w:rPr>
      </w:pPr>
      <w:bookmarkStart w:name="十一、公允价值的披露" w:id="335"/>
      <w:bookmarkEnd w:id="335"/>
      <w:r>
        <w:rPr/>
      </w:r>
      <w:r>
        <w:rPr>
          <w:rFonts w:ascii="宋体" w:hAnsi="宋体" w:cs="宋体" w:eastAsia="宋体" w:hint="default"/>
          <w:b/>
          <w:bCs/>
          <w:w w:val="95"/>
          <w:sz w:val="24"/>
          <w:szCs w:val="24"/>
        </w:rPr>
        <w:t>十一、公允价值的披露</w:t>
      </w:r>
      <w:r>
        <w:rPr>
          <w:rFonts w:ascii="宋体" w:hAnsi="宋体" w:cs="宋体" w:eastAsia="宋体" w:hint="default"/>
          <w:b/>
          <w:bCs/>
          <w:spacing w:val="-4"/>
          <w:w w:val="95"/>
          <w:sz w:val="24"/>
          <w:szCs w:val="24"/>
        </w:rPr>
        <w:t> </w:t>
      </w:r>
      <w:r>
        <w:rPr>
          <w:rFonts w:ascii="宋体" w:hAnsi="宋体" w:cs="宋体" w:eastAsia="宋体" w:hint="default"/>
          <w:sz w:val="24"/>
          <w:szCs w:val="24"/>
        </w:rPr>
        <w:t>无。</w:t>
      </w:r>
    </w:p>
    <w:p>
      <w:pPr>
        <w:spacing w:before="86"/>
        <w:ind w:left="154" w:right="0" w:firstLine="0"/>
        <w:jc w:val="left"/>
        <w:rPr>
          <w:rFonts w:ascii="宋体" w:hAnsi="宋体" w:cs="宋体" w:eastAsia="宋体" w:hint="default"/>
          <w:sz w:val="24"/>
          <w:szCs w:val="24"/>
        </w:rPr>
      </w:pPr>
      <w:bookmarkStart w:name="十二、关联方及关联交易" w:id="336"/>
      <w:bookmarkEnd w:id="336"/>
      <w:r>
        <w:rPr/>
      </w:r>
      <w:r>
        <w:rPr>
          <w:rFonts w:ascii="宋体" w:hAnsi="宋体" w:cs="宋体" w:eastAsia="宋体" w:hint="default"/>
          <w:b/>
          <w:bCs/>
          <w:sz w:val="24"/>
          <w:szCs w:val="24"/>
        </w:rPr>
        <w:t>十二、关联方及关联交易</w:t>
      </w:r>
      <w:r>
        <w:rPr>
          <w:rFonts w:ascii="宋体" w:hAnsi="宋体" w:cs="宋体" w:eastAsia="宋体" w:hint="default"/>
          <w:sz w:val="24"/>
          <w:szCs w:val="24"/>
        </w:rPr>
      </w:r>
    </w:p>
    <w:p>
      <w:pPr>
        <w:spacing w:line="240" w:lineRule="auto" w:before="12"/>
        <w:rPr>
          <w:rFonts w:ascii="宋体" w:hAnsi="宋体" w:cs="宋体" w:eastAsia="宋体" w:hint="default"/>
          <w:b/>
          <w:bCs/>
          <w:sz w:val="22"/>
          <w:szCs w:val="22"/>
        </w:rPr>
      </w:pPr>
    </w:p>
    <w:p>
      <w:pPr>
        <w:spacing w:line="499" w:lineRule="auto" w:before="0"/>
        <w:ind w:left="633" w:right="6173" w:hanging="480"/>
        <w:jc w:val="left"/>
        <w:rPr>
          <w:rFonts w:ascii="宋体" w:hAnsi="宋体" w:cs="宋体" w:eastAsia="宋体" w:hint="default"/>
          <w:sz w:val="24"/>
          <w:szCs w:val="24"/>
        </w:rPr>
      </w:pPr>
      <w:bookmarkStart w:name="1、本企业的母公司情况" w:id="337"/>
      <w:bookmarkEnd w:id="337"/>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、本企业的母公司情况</w:t>
      </w:r>
      <w:r>
        <w:rPr>
          <w:rFonts w:ascii="宋体" w:hAnsi="宋体" w:cs="宋体" w:eastAsia="宋体" w:hint="default"/>
          <w:b/>
          <w:bCs/>
          <w:w w:val="99"/>
          <w:sz w:val="24"/>
          <w:szCs w:val="24"/>
        </w:rPr>
        <w:t> </w:t>
      </w:r>
      <w:r>
        <w:rPr>
          <w:rFonts w:ascii="宋体" w:hAnsi="宋体" w:cs="宋体" w:eastAsia="宋体" w:hint="default"/>
          <w:sz w:val="24"/>
          <w:szCs w:val="24"/>
        </w:rPr>
        <w:t>本企业最终控制方是童之磊。</w:t>
      </w:r>
    </w:p>
    <w:p>
      <w:pPr>
        <w:spacing w:line="499" w:lineRule="auto" w:before="116"/>
        <w:ind w:left="633" w:right="4493" w:hanging="480"/>
        <w:jc w:val="left"/>
        <w:rPr>
          <w:rFonts w:ascii="宋体" w:hAnsi="宋体" w:cs="宋体" w:eastAsia="宋体" w:hint="default"/>
          <w:sz w:val="24"/>
          <w:szCs w:val="24"/>
        </w:rPr>
      </w:pPr>
      <w:bookmarkStart w:name="2、本企业的子公司情况" w:id="338"/>
      <w:bookmarkEnd w:id="338"/>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、本企业的子公司情况</w:t>
      </w:r>
      <w:r>
        <w:rPr>
          <w:rFonts w:ascii="宋体" w:hAnsi="宋体" w:cs="宋体" w:eastAsia="宋体" w:hint="default"/>
          <w:b/>
          <w:bCs/>
          <w:w w:val="99"/>
          <w:sz w:val="24"/>
          <w:szCs w:val="24"/>
        </w:rPr>
        <w:t> </w:t>
      </w:r>
      <w:r>
        <w:rPr>
          <w:rFonts w:ascii="宋体" w:hAnsi="宋体" w:cs="宋体" w:eastAsia="宋体" w:hint="default"/>
          <w:sz w:val="24"/>
          <w:szCs w:val="24"/>
        </w:rPr>
        <w:t>本企业子公司的情况详见附注九、</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w:t>
      </w:r>
    </w:p>
    <w:p>
      <w:pPr>
        <w:spacing w:line="499" w:lineRule="auto" w:before="116"/>
        <w:ind w:left="633" w:right="3533" w:hanging="480"/>
        <w:jc w:val="left"/>
        <w:rPr>
          <w:rFonts w:ascii="宋体" w:hAnsi="宋体" w:cs="宋体" w:eastAsia="宋体" w:hint="default"/>
          <w:sz w:val="24"/>
          <w:szCs w:val="24"/>
        </w:rPr>
      </w:pPr>
      <w:bookmarkStart w:name="3、本企业合营和联营企业情况" w:id="339"/>
      <w:bookmarkEnd w:id="339"/>
      <w:r>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、本企业合营和联营企业情况</w:t>
      </w:r>
      <w:r>
        <w:rPr>
          <w:rFonts w:ascii="宋体" w:hAnsi="宋体" w:cs="宋体" w:eastAsia="宋体" w:hint="default"/>
          <w:b/>
          <w:bCs/>
          <w:w w:val="99"/>
          <w:sz w:val="24"/>
          <w:szCs w:val="24"/>
        </w:rPr>
        <w:t> </w:t>
      </w:r>
      <w:r>
        <w:rPr>
          <w:rFonts w:ascii="宋体" w:hAnsi="宋体" w:cs="宋体" w:eastAsia="宋体" w:hint="default"/>
          <w:sz w:val="24"/>
          <w:szCs w:val="24"/>
        </w:rPr>
        <w:t>本企业重要的合营或联营企业详见附注九、</w:t>
      </w:r>
      <w:r>
        <w:rPr>
          <w:rFonts w:ascii="宋体" w:hAnsi="宋体" w:cs="宋体" w:eastAsia="宋体" w:hint="default"/>
          <w:sz w:val="24"/>
          <w:szCs w:val="24"/>
        </w:rPr>
        <w:t>3</w:t>
      </w: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w:t>
      </w:r>
    </w:p>
    <w:p>
      <w:pPr>
        <w:spacing w:before="116"/>
        <w:ind w:left="153" w:right="0" w:firstLine="0"/>
        <w:jc w:val="left"/>
        <w:rPr>
          <w:rFonts w:ascii="宋体" w:hAnsi="宋体" w:cs="宋体" w:eastAsia="宋体" w:hint="default"/>
          <w:sz w:val="24"/>
          <w:szCs w:val="24"/>
        </w:rPr>
      </w:pPr>
      <w:bookmarkStart w:name="4、其他关联方情况" w:id="340"/>
      <w:bookmarkEnd w:id="340"/>
      <w:r>
        <w:rPr/>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、其他关联方情况</w:t>
      </w:r>
      <w:r>
        <w:rPr>
          <w:rFonts w:ascii="宋体" w:hAnsi="宋体" w:cs="宋体" w:eastAsia="宋体" w:hint="default"/>
          <w:sz w:val="24"/>
          <w:szCs w:val="24"/>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b/>
                <w:bCs/>
                <w:sz w:val="21"/>
                <w:szCs w:val="21"/>
              </w:rPr>
              <w:t>其他关联方名称</w:t>
            </w:r>
            <w:r>
              <w:rPr>
                <w:rFonts w:ascii="宋体" w:hAnsi="宋体" w:cs="宋体" w:eastAsia="宋体" w:hint="default"/>
                <w:sz w:val="21"/>
                <w:szCs w:val="21"/>
              </w:rPr>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28" w:right="0"/>
              <w:jc w:val="left"/>
              <w:rPr>
                <w:rFonts w:ascii="宋体" w:hAnsi="宋体" w:cs="宋体" w:eastAsia="宋体" w:hint="default"/>
                <w:sz w:val="21"/>
                <w:szCs w:val="21"/>
              </w:rPr>
            </w:pPr>
            <w:r>
              <w:rPr>
                <w:rFonts w:ascii="宋体" w:hAnsi="宋体" w:cs="宋体" w:eastAsia="宋体" w:hint="default"/>
                <w:b/>
                <w:bCs/>
                <w:sz w:val="21"/>
                <w:szCs w:val="21"/>
              </w:rPr>
              <w:t>其他关联方与本企业关系</w:t>
            </w:r>
            <w:r>
              <w:rPr>
                <w:rFonts w:ascii="宋体" w:hAnsi="宋体" w:cs="宋体" w:eastAsia="宋体" w:hint="default"/>
                <w:sz w:val="21"/>
                <w:szCs w:val="21"/>
              </w:rPr>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启迪控股股份有限公司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本公司董事任职单位</w:t>
            </w:r>
          </w:p>
        </w:tc>
      </w:tr>
    </w:tbl>
    <w:p>
      <w:pPr>
        <w:spacing w:after="0" w:line="240" w:lineRule="auto"/>
        <w:jc w:val="left"/>
        <w:rPr>
          <w:rFonts w:ascii="宋体" w:hAnsi="宋体" w:cs="宋体" w:eastAsia="宋体" w:hint="default"/>
          <w:sz w:val="21"/>
          <w:szCs w:val="21"/>
        </w:rPr>
        <w:sectPr>
          <w:pgSz w:w="11910" w:h="16840"/>
          <w:pgMar w:header="0" w:footer="979" w:top="1100" w:bottom="1160" w:left="980" w:right="980"/>
        </w:sectPr>
      </w:pPr>
    </w:p>
    <w:p>
      <w:pPr>
        <w:spacing w:line="240" w:lineRule="auto" w:before="9"/>
        <w:rPr>
          <w:rFonts w:ascii="宋体" w:hAnsi="宋体" w:cs="宋体" w:eastAsia="宋体" w:hint="default"/>
          <w:b/>
          <w:bCs/>
          <w:sz w:val="19"/>
          <w:szCs w:val="19"/>
        </w:rPr>
      </w:pPr>
    </w:p>
    <w:p>
      <w:pPr>
        <w:spacing w:before="26"/>
        <w:ind w:left="154" w:right="0" w:firstLine="0"/>
        <w:jc w:val="left"/>
        <w:rPr>
          <w:rFonts w:ascii="宋体" w:hAnsi="宋体" w:cs="宋体" w:eastAsia="宋体" w:hint="default"/>
          <w:sz w:val="24"/>
          <w:szCs w:val="24"/>
        </w:rPr>
      </w:pPr>
      <w:bookmarkStart w:name="5、关联交易情况" w:id="341"/>
      <w:bookmarkEnd w:id="341"/>
      <w:r>
        <w:rPr/>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、关联交易情况</w:t>
      </w:r>
      <w:r>
        <w:rPr>
          <w:rFonts w:ascii="宋体" w:hAnsi="宋体" w:cs="宋体" w:eastAsia="宋体" w:hint="default"/>
          <w:sz w:val="24"/>
          <w:szCs w:val="24"/>
        </w:rPr>
      </w:r>
    </w:p>
    <w:p>
      <w:pPr>
        <w:spacing w:line="240" w:lineRule="auto" w:before="6"/>
        <w:rPr>
          <w:rFonts w:ascii="宋体" w:hAnsi="宋体" w:cs="宋体" w:eastAsia="宋体" w:hint="default"/>
          <w:b/>
          <w:bCs/>
          <w:sz w:val="21"/>
          <w:szCs w:val="21"/>
        </w:rPr>
      </w:pPr>
    </w:p>
    <w:p>
      <w:pPr>
        <w:spacing w:before="0"/>
        <w:ind w:left="153" w:right="0" w:firstLine="0"/>
        <w:jc w:val="left"/>
        <w:rPr>
          <w:rFonts w:ascii="宋体" w:hAnsi="宋体" w:cs="宋体" w:eastAsia="宋体" w:hint="default"/>
          <w:sz w:val="24"/>
          <w:szCs w:val="24"/>
        </w:rPr>
      </w:pPr>
      <w:bookmarkStart w:name="（1）购销商品、提供和接受劳务的关联交易" w:id="342"/>
      <w:bookmarkEnd w:id="342"/>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）购销商品、提供和接受劳务的关联交易</w:t>
      </w:r>
      <w:r>
        <w:rPr>
          <w:rFonts w:ascii="宋体" w:hAnsi="宋体" w:cs="宋体" w:eastAsia="宋体" w:hint="default"/>
          <w:sz w:val="24"/>
          <w:szCs w:val="24"/>
        </w:rPr>
      </w:r>
    </w:p>
    <w:p>
      <w:pPr>
        <w:spacing w:line="240" w:lineRule="auto" w:before="6"/>
        <w:rPr>
          <w:rFonts w:ascii="宋体" w:hAnsi="宋体" w:cs="宋体" w:eastAsia="宋体" w:hint="default"/>
          <w:b/>
          <w:bCs/>
          <w:sz w:val="25"/>
          <w:szCs w:val="25"/>
        </w:rPr>
      </w:pPr>
    </w:p>
    <w:p>
      <w:pPr>
        <w:pStyle w:val="BodyText"/>
        <w:spacing w:line="240" w:lineRule="auto"/>
        <w:ind w:left="633" w:right="0"/>
        <w:jc w:val="left"/>
      </w:pPr>
      <w:r>
        <w:rPr/>
        <w:t>采购商品</w:t>
      </w:r>
      <w:r>
        <w:rPr>
          <w:rFonts w:ascii="宋体" w:hAnsi="宋体" w:cs="宋体" w:eastAsia="宋体" w:hint="default"/>
        </w:rPr>
        <w:t>/</w:t>
      </w:r>
      <w:r>
        <w:rPr/>
        <w:t>接受劳务情况表</w:t>
      </w:r>
    </w:p>
    <w:p>
      <w:pPr>
        <w:pStyle w:val="BodyText"/>
        <w:spacing w:line="240" w:lineRule="auto" w:before="114"/>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关联交易内容</w:t>
            </w:r>
            <w:r>
              <w:rPr>
                <w:rFonts w:ascii="宋体" w:hAnsi="宋体" w:cs="宋体" w:eastAsia="宋体" w:hint="default"/>
                <w:sz w:val="21"/>
                <w:szCs w:val="21"/>
              </w:rPr>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9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9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3"/>
              <w:jc w:val="left"/>
              <w:rPr>
                <w:rFonts w:ascii="宋体" w:hAnsi="宋体" w:cs="宋体" w:eastAsia="宋体" w:hint="default"/>
                <w:sz w:val="21"/>
                <w:szCs w:val="21"/>
              </w:rPr>
            </w:pPr>
            <w:r>
              <w:rPr>
                <w:rFonts w:ascii="宋体" w:hAnsi="宋体" w:cs="宋体" w:eastAsia="宋体" w:hint="default"/>
                <w:sz w:val="21"/>
                <w:szCs w:val="21"/>
              </w:rPr>
              <w:t>北京鸿达以太文化发展有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385,559.63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402,040.97</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3"/>
              <w:jc w:val="left"/>
              <w:rPr>
                <w:rFonts w:ascii="宋体" w:hAnsi="宋体" w:cs="宋体" w:eastAsia="宋体" w:hint="default"/>
                <w:sz w:val="21"/>
                <w:szCs w:val="21"/>
              </w:rPr>
            </w:pPr>
            <w:r>
              <w:rPr>
                <w:rFonts w:ascii="宋体" w:hAnsi="宋体" w:cs="宋体" w:eastAsia="宋体" w:hint="default"/>
                <w:sz w:val="21"/>
                <w:szCs w:val="21"/>
              </w:rPr>
              <w:t>广州市迈步信息科技有限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1,225,521.37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5,338,898.78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1,611,081.00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5,740,939.75</w:t>
            </w:r>
          </w:p>
        </w:tc>
      </w:tr>
    </w:tbl>
    <w:p>
      <w:pPr>
        <w:pStyle w:val="BodyText"/>
        <w:spacing w:line="240" w:lineRule="auto" w:before="81"/>
        <w:ind w:left="634" w:right="0"/>
        <w:jc w:val="left"/>
      </w:pPr>
      <w:r>
        <w:rPr/>
        <w:t>出售商品</w:t>
      </w:r>
      <w:r>
        <w:rPr>
          <w:rFonts w:ascii="宋体" w:hAnsi="宋体" w:cs="宋体" w:eastAsia="宋体" w:hint="default"/>
        </w:rPr>
        <w:t>/</w:t>
      </w:r>
      <w:r>
        <w:rPr/>
        <w:t>提供劳务情况表</w:t>
      </w:r>
    </w:p>
    <w:p>
      <w:pPr>
        <w:pStyle w:val="BodyText"/>
        <w:spacing w:line="240" w:lineRule="auto" w:before="115"/>
        <w:ind w:left="0" w:right="15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9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9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3"/>
              <w:jc w:val="left"/>
              <w:rPr>
                <w:rFonts w:ascii="宋体" w:hAnsi="宋体" w:cs="宋体" w:eastAsia="宋体" w:hint="default"/>
                <w:sz w:val="21"/>
                <w:szCs w:val="21"/>
              </w:rPr>
            </w:pPr>
            <w:r>
              <w:rPr>
                <w:rFonts w:ascii="宋体" w:hAnsi="宋体" w:cs="宋体" w:eastAsia="宋体" w:hint="default"/>
                <w:sz w:val="21"/>
                <w:szCs w:val="21"/>
              </w:rPr>
              <w:t>北京鸿达以太文化发展有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合作运营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472,476.80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709,862.34</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3"/>
              <w:jc w:val="left"/>
              <w:rPr>
                <w:rFonts w:ascii="宋体" w:hAnsi="宋体" w:cs="宋体" w:eastAsia="宋体" w:hint="default"/>
                <w:sz w:val="21"/>
                <w:szCs w:val="21"/>
              </w:rPr>
            </w:pPr>
            <w:r>
              <w:rPr>
                <w:rFonts w:ascii="宋体" w:hAnsi="宋体" w:cs="宋体" w:eastAsia="宋体" w:hint="default"/>
                <w:sz w:val="21"/>
                <w:szCs w:val="21"/>
              </w:rPr>
              <w:t>广州市迈步信息科技有限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合作运营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2,729,186.99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6,083,468.38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3,201,663.79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6,793,330.72</w:t>
            </w:r>
          </w:p>
        </w:tc>
      </w:tr>
    </w:tbl>
    <w:p>
      <w:pPr>
        <w:pStyle w:val="BodyText"/>
        <w:spacing w:line="388" w:lineRule="auto" w:before="81"/>
        <w:ind w:left="634" w:right="172"/>
        <w:jc w:val="left"/>
      </w:pPr>
      <w:r>
        <w:rPr/>
        <w:t>购销商品、提供和接受劳务的关联交易说明 本公司向联营公司鸿达以太采购的商品包括音频产品以及音频数字版权产品，以满足丰</w:t>
      </w:r>
    </w:p>
    <w:p>
      <w:pPr>
        <w:pStyle w:val="BodyText"/>
        <w:spacing w:line="240" w:lineRule="auto" w:before="6"/>
        <w:ind w:left="154" w:right="0"/>
        <w:jc w:val="left"/>
      </w:pPr>
      <w:r>
        <w:rPr/>
        <w:t>富数字版权内容和业务发展的需要，定价参照市场交易价格。</w:t>
      </w:r>
    </w:p>
    <w:p>
      <w:pPr>
        <w:pStyle w:val="BodyText"/>
        <w:spacing w:line="357" w:lineRule="auto" w:before="192"/>
        <w:ind w:right="190" w:firstLine="480"/>
        <w:jc w:val="both"/>
      </w:pP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25</w:t>
      </w:r>
      <w:r>
        <w:rPr>
          <w:rFonts w:ascii="宋体" w:hAnsi="宋体" w:cs="宋体" w:eastAsia="宋体" w:hint="default"/>
          <w:spacing w:val="-60"/>
        </w:rPr>
        <w:t> </w:t>
      </w:r>
      <w:r>
        <w:rPr/>
        <w:t>日，本公司与联营公司迈步科技签订渠道推广合作协议，双方约定合作 拓展电子图书市场，本公司提供电子图书内容，通过迈步科技进行渠道推广，为手机用户提 供电子图书阅读服务，双方按照合同约定的比例进行分成，定价参照市场交易价格。</w:t>
      </w:r>
    </w:p>
    <w:p>
      <w:pPr>
        <w:pStyle w:val="BodyText"/>
        <w:spacing w:line="357" w:lineRule="auto" w:before="76"/>
        <w:ind w:right="134" w:firstLine="480"/>
        <w:jc w:val="left"/>
      </w:pP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25</w:t>
      </w:r>
      <w:r>
        <w:rPr>
          <w:rFonts w:ascii="宋体" w:hAnsi="宋体" w:cs="宋体" w:eastAsia="宋体" w:hint="default"/>
          <w:spacing w:val="-60"/>
        </w:rPr>
        <w:t> </w:t>
      </w:r>
      <w:r>
        <w:rPr/>
        <w:t>日，本公司分别与联营公司鸿达以太、迈步科技签订《中文在线数字出 版运营合作协议》，双方约定合作运营手机阅读业务，包括中国移动、中国联通、中国电信 三家通信运营商各自的手机阅读基地</w:t>
      </w:r>
      <w:r>
        <w:rPr>
          <w:spacing w:val="-60"/>
        </w:rPr>
        <w:t> </w:t>
      </w:r>
      <w:r>
        <w:rPr>
          <w:rFonts w:ascii="宋体" w:hAnsi="宋体" w:cs="宋体" w:eastAsia="宋体" w:hint="default"/>
        </w:rPr>
        <w:t>CP</w:t>
      </w:r>
      <w:r>
        <w:rPr>
          <w:rFonts w:ascii="宋体" w:hAnsi="宋体" w:cs="宋体" w:eastAsia="宋体" w:hint="default"/>
          <w:spacing w:val="-60"/>
        </w:rPr>
        <w:t> </w:t>
      </w:r>
      <w:r>
        <w:rPr/>
        <w:t>业务和其他手机阅读业务（包括图书、报刊、漫画 等）。双方按照合同约定的分成比例进行分成，其中，本公司授权给鸿达以太、迈步科技的 图书作品所产生的收益由中文在线和鸿达以太、迈步科技按照</w:t>
      </w:r>
      <w:r>
        <w:rPr>
          <w:spacing w:val="-82"/>
        </w:rPr>
        <w:t> </w:t>
      </w:r>
      <w:r>
        <w:rPr>
          <w:rFonts w:ascii="宋体" w:hAnsi="宋体" w:cs="宋体" w:eastAsia="宋体" w:hint="default"/>
        </w:rPr>
        <w:t>90%</w:t>
      </w:r>
      <w:r>
        <w:rPr/>
        <w:t>：</w:t>
      </w:r>
      <w:r>
        <w:rPr>
          <w:rFonts w:ascii="宋体" w:hAnsi="宋体" w:cs="宋体" w:eastAsia="宋体" w:hint="default"/>
        </w:rPr>
        <w:t>10%</w:t>
      </w:r>
      <w:r>
        <w:rPr/>
        <w:t>的比例进行分配，鸿 达以太、迈步科技自有版权的图书作品所产生的收益由双方按照</w:t>
      </w:r>
      <w:r>
        <w:rPr>
          <w:spacing w:val="-81"/>
        </w:rPr>
        <w:t> </w:t>
      </w:r>
      <w:r>
        <w:rPr>
          <w:rFonts w:ascii="宋体" w:hAnsi="宋体" w:cs="宋体" w:eastAsia="宋体" w:hint="default"/>
        </w:rPr>
        <w:t>50%</w:t>
      </w:r>
      <w:r>
        <w:rPr/>
        <w:t>：</w:t>
      </w:r>
      <w:r>
        <w:rPr>
          <w:rFonts w:ascii="宋体" w:hAnsi="宋体" w:cs="宋体" w:eastAsia="宋体" w:hint="default"/>
        </w:rPr>
        <w:t>50%</w:t>
      </w:r>
      <w:r>
        <w:rPr/>
        <w:t>的比例进行分配； 定价参照市场交易价格。</w:t>
      </w:r>
    </w:p>
    <w:p>
      <w:pPr>
        <w:spacing w:after="0" w:line="357" w:lineRule="auto"/>
        <w:jc w:val="left"/>
        <w:sectPr>
          <w:pgSz w:w="11910" w:h="16840"/>
          <w:pgMar w:header="0" w:footer="979" w:top="1100" w:bottom="1160" w:left="980" w:right="980"/>
        </w:sectPr>
      </w:pPr>
    </w:p>
    <w:p>
      <w:pPr>
        <w:spacing w:line="240" w:lineRule="auto" w:before="8"/>
        <w:rPr>
          <w:rFonts w:ascii="宋体" w:hAnsi="宋体" w:cs="宋体" w:eastAsia="宋体" w:hint="default"/>
          <w:sz w:val="19"/>
          <w:szCs w:val="19"/>
        </w:rPr>
      </w:pPr>
    </w:p>
    <w:p>
      <w:pPr>
        <w:spacing w:line="499" w:lineRule="auto" w:before="26"/>
        <w:ind w:left="634" w:right="4990" w:hanging="480"/>
        <w:jc w:val="left"/>
        <w:rPr>
          <w:rFonts w:ascii="宋体" w:hAnsi="宋体" w:cs="宋体" w:eastAsia="宋体" w:hint="default"/>
          <w:sz w:val="24"/>
          <w:szCs w:val="24"/>
        </w:rPr>
      </w:pPr>
      <w:bookmarkStart w:name="（2）关联受托管理/承包及委托管理/出包情况" w:id="343"/>
      <w:bookmarkEnd w:id="343"/>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2</w:t>
      </w:r>
      <w:r>
        <w:rPr>
          <w:rFonts w:ascii="宋体" w:hAnsi="宋体" w:cs="宋体" w:eastAsia="宋体" w:hint="default"/>
          <w:b/>
          <w:bCs/>
          <w:w w:val="95"/>
          <w:sz w:val="24"/>
          <w:szCs w:val="24"/>
        </w:rPr>
        <w:t>）关联受托管理</w:t>
      </w:r>
      <w:r>
        <w:rPr>
          <w:rFonts w:ascii="Times New Roman" w:hAnsi="Times New Roman" w:cs="Times New Roman" w:eastAsia="Times New Roman" w:hint="default"/>
          <w:b/>
          <w:bCs/>
          <w:w w:val="95"/>
          <w:sz w:val="24"/>
          <w:szCs w:val="24"/>
        </w:rPr>
        <w:t>/</w:t>
      </w:r>
      <w:r>
        <w:rPr>
          <w:rFonts w:ascii="宋体" w:hAnsi="宋体" w:cs="宋体" w:eastAsia="宋体" w:hint="default"/>
          <w:b/>
          <w:bCs/>
          <w:w w:val="95"/>
          <w:sz w:val="24"/>
          <w:szCs w:val="24"/>
        </w:rPr>
        <w:t>承包及委托管理</w:t>
      </w:r>
      <w:r>
        <w:rPr>
          <w:rFonts w:ascii="Times New Roman" w:hAnsi="Times New Roman" w:cs="Times New Roman" w:eastAsia="Times New Roman" w:hint="default"/>
          <w:b/>
          <w:bCs/>
          <w:w w:val="95"/>
          <w:sz w:val="24"/>
          <w:szCs w:val="24"/>
        </w:rPr>
        <w:t>/</w:t>
      </w:r>
      <w:r>
        <w:rPr>
          <w:rFonts w:ascii="宋体" w:hAnsi="宋体" w:cs="宋体" w:eastAsia="宋体" w:hint="default"/>
          <w:b/>
          <w:bCs/>
          <w:w w:val="95"/>
          <w:sz w:val="24"/>
          <w:szCs w:val="24"/>
        </w:rPr>
        <w:t>出包情况</w:t>
      </w:r>
      <w:r>
        <w:rPr>
          <w:rFonts w:ascii="宋体" w:hAnsi="宋体" w:cs="宋体" w:eastAsia="宋体" w:hint="default"/>
          <w:b/>
          <w:bCs/>
          <w:spacing w:val="112"/>
          <w:w w:val="95"/>
          <w:sz w:val="24"/>
          <w:szCs w:val="24"/>
        </w:rPr>
        <w:t> </w:t>
      </w:r>
      <w:r>
        <w:rPr>
          <w:rFonts w:ascii="宋体" w:hAnsi="宋体" w:cs="宋体" w:eastAsia="宋体" w:hint="default"/>
          <w:sz w:val="24"/>
          <w:szCs w:val="24"/>
        </w:rPr>
        <w:t>无。</w:t>
      </w:r>
    </w:p>
    <w:p>
      <w:pPr>
        <w:spacing w:before="116"/>
        <w:ind w:left="153" w:right="0" w:firstLine="0"/>
        <w:jc w:val="left"/>
        <w:rPr>
          <w:rFonts w:ascii="宋体" w:hAnsi="宋体" w:cs="宋体" w:eastAsia="宋体" w:hint="default"/>
          <w:sz w:val="24"/>
          <w:szCs w:val="24"/>
        </w:rPr>
      </w:pPr>
      <w:bookmarkStart w:name="（3）关联租赁情况" w:id="344"/>
      <w:bookmarkEnd w:id="344"/>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）关联租赁情况</w:t>
      </w:r>
      <w:r>
        <w:rPr>
          <w:rFonts w:ascii="宋体" w:hAnsi="宋体" w:cs="宋体" w:eastAsia="宋体" w:hint="default"/>
          <w:sz w:val="24"/>
          <w:szCs w:val="24"/>
        </w:rPr>
      </w:r>
    </w:p>
    <w:p>
      <w:pPr>
        <w:spacing w:line="240" w:lineRule="auto" w:before="7"/>
        <w:rPr>
          <w:rFonts w:ascii="宋体" w:hAnsi="宋体" w:cs="宋体" w:eastAsia="宋体" w:hint="default"/>
          <w:b/>
          <w:bCs/>
          <w:sz w:val="25"/>
          <w:szCs w:val="25"/>
        </w:rPr>
      </w:pPr>
    </w:p>
    <w:p>
      <w:pPr>
        <w:pStyle w:val="BodyText"/>
        <w:spacing w:line="240" w:lineRule="auto"/>
        <w:ind w:left="633" w:right="0"/>
        <w:jc w:val="left"/>
      </w:pPr>
      <w:r>
        <w:rPr/>
        <w:t>本公司作为承租方：</w:t>
      </w:r>
    </w:p>
    <w:p>
      <w:pPr>
        <w:pStyle w:val="BodyText"/>
        <w:spacing w:line="240" w:lineRule="auto" w:before="114"/>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64" w:right="0"/>
              <w:jc w:val="left"/>
              <w:rPr>
                <w:rFonts w:ascii="宋体" w:hAnsi="宋体" w:cs="宋体" w:eastAsia="宋体" w:hint="default"/>
                <w:sz w:val="21"/>
                <w:szCs w:val="21"/>
              </w:rPr>
            </w:pPr>
            <w:r>
              <w:rPr>
                <w:rFonts w:ascii="宋体" w:hAnsi="宋体" w:cs="宋体" w:eastAsia="宋体" w:hint="default"/>
                <w:b/>
                <w:bCs/>
                <w:sz w:val="21"/>
                <w:szCs w:val="21"/>
              </w:rPr>
              <w:t>出租方名称</w:t>
            </w:r>
            <w:r>
              <w:rPr>
                <w:rFonts w:ascii="宋体" w:hAnsi="宋体" w:cs="宋体" w:eastAsia="宋体" w:hint="default"/>
                <w:sz w:val="21"/>
                <w:szCs w:val="21"/>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59" w:right="0"/>
              <w:jc w:val="left"/>
              <w:rPr>
                <w:rFonts w:ascii="宋体" w:hAnsi="宋体" w:cs="宋体" w:eastAsia="宋体" w:hint="default"/>
                <w:sz w:val="21"/>
                <w:szCs w:val="21"/>
              </w:rPr>
            </w:pPr>
            <w:r>
              <w:rPr>
                <w:rFonts w:ascii="宋体" w:hAnsi="宋体" w:cs="宋体" w:eastAsia="宋体" w:hint="default"/>
                <w:b/>
                <w:bCs/>
                <w:sz w:val="21"/>
                <w:szCs w:val="21"/>
              </w:rPr>
              <w:t>租赁资产种类</w:t>
            </w:r>
            <w:r>
              <w:rPr>
                <w:rFonts w:ascii="宋体" w:hAnsi="宋体" w:cs="宋体" w:eastAsia="宋体" w:hint="default"/>
                <w:sz w:val="21"/>
                <w:szCs w:val="21"/>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47" w:right="0"/>
              <w:jc w:val="left"/>
              <w:rPr>
                <w:rFonts w:ascii="宋体" w:hAnsi="宋体" w:cs="宋体" w:eastAsia="宋体" w:hint="default"/>
                <w:sz w:val="21"/>
                <w:szCs w:val="21"/>
              </w:rPr>
            </w:pPr>
            <w:r>
              <w:rPr>
                <w:rFonts w:ascii="宋体" w:hAnsi="宋体" w:cs="宋体" w:eastAsia="宋体" w:hint="default"/>
                <w:b/>
                <w:bCs/>
                <w:sz w:val="21"/>
                <w:szCs w:val="21"/>
              </w:rPr>
              <w:t>本期确认的租赁费</w:t>
            </w:r>
            <w:r>
              <w:rPr>
                <w:rFonts w:ascii="宋体" w:hAnsi="宋体" w:cs="宋体" w:eastAsia="宋体" w:hint="default"/>
                <w:sz w:val="21"/>
                <w:szCs w:val="21"/>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47" w:right="0"/>
              <w:jc w:val="left"/>
              <w:rPr>
                <w:rFonts w:ascii="宋体" w:hAnsi="宋体" w:cs="宋体" w:eastAsia="宋体" w:hint="default"/>
                <w:sz w:val="21"/>
                <w:szCs w:val="21"/>
              </w:rPr>
            </w:pPr>
            <w:r>
              <w:rPr>
                <w:rFonts w:ascii="宋体" w:hAnsi="宋体" w:cs="宋体" w:eastAsia="宋体" w:hint="default"/>
                <w:b/>
                <w:bCs/>
                <w:sz w:val="21"/>
                <w:szCs w:val="21"/>
              </w:rPr>
              <w:t>上期确认的租赁费</w:t>
            </w:r>
            <w:r>
              <w:rPr>
                <w:rFonts w:ascii="宋体" w:hAnsi="宋体" w:cs="宋体" w:eastAsia="宋体" w:hint="default"/>
                <w:sz w:val="21"/>
                <w:szCs w:val="21"/>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启迪控股股份有限公司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519" w:right="0"/>
              <w:jc w:val="left"/>
              <w:rPr>
                <w:rFonts w:ascii="Times New Roman" w:hAnsi="Times New Roman" w:cs="Times New Roman" w:eastAsia="Times New Roman" w:hint="default"/>
                <w:sz w:val="21"/>
                <w:szCs w:val="21"/>
              </w:rPr>
            </w:pPr>
            <w:r>
              <w:rPr>
                <w:rFonts w:ascii="Times New Roman"/>
                <w:sz w:val="21"/>
              </w:rPr>
              <w:t>74,000.10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519" w:right="0"/>
              <w:jc w:val="left"/>
              <w:rPr>
                <w:rFonts w:ascii="Times New Roman" w:hAnsi="Times New Roman" w:cs="Times New Roman" w:eastAsia="Times New Roman" w:hint="default"/>
                <w:sz w:val="21"/>
                <w:szCs w:val="21"/>
              </w:rPr>
            </w:pPr>
            <w:r>
              <w:rPr>
                <w:rFonts w:ascii="Times New Roman"/>
                <w:sz w:val="21"/>
              </w:rPr>
              <w:t>74,000.00</w:t>
            </w:r>
          </w:p>
        </w:tc>
      </w:tr>
    </w:tbl>
    <w:p>
      <w:pPr>
        <w:pStyle w:val="BodyText"/>
        <w:spacing w:line="240" w:lineRule="auto" w:before="81"/>
        <w:ind w:left="634" w:right="0"/>
        <w:jc w:val="left"/>
      </w:pPr>
      <w:r>
        <w:rPr/>
        <w:t>关联租赁情况说明：</w:t>
      </w:r>
    </w:p>
    <w:p>
      <w:pPr>
        <w:pStyle w:val="BodyText"/>
        <w:spacing w:line="240" w:lineRule="auto" w:before="193"/>
        <w:ind w:left="634" w:right="0"/>
        <w:jc w:val="left"/>
      </w:pPr>
      <w:r>
        <w:rPr/>
        <w:t>本公司之子公司中文教育分别于</w:t>
      </w:r>
      <w:r>
        <w:rPr>
          <w:spacing w:val="-66"/>
        </w:rPr>
        <w:t> </w:t>
      </w:r>
      <w:r>
        <w:rPr>
          <w:rFonts w:ascii="宋体" w:hAnsi="宋体" w:cs="宋体" w:eastAsia="宋体" w:hint="default"/>
        </w:rPr>
        <w:t>2011</w:t>
      </w:r>
      <w:r>
        <w:rPr>
          <w:rFonts w:ascii="宋体" w:hAnsi="宋体" w:cs="宋体" w:eastAsia="宋体" w:hint="default"/>
          <w:spacing w:val="-66"/>
        </w:rPr>
        <w:t> </w:t>
      </w:r>
      <w:r>
        <w:rPr/>
        <w:t>年</w:t>
      </w:r>
      <w:r>
        <w:rPr>
          <w:spacing w:val="-66"/>
        </w:rPr>
        <w:t> </w:t>
      </w:r>
      <w:r>
        <w:rPr>
          <w:rFonts w:ascii="宋体" w:hAnsi="宋体" w:cs="宋体" w:eastAsia="宋体" w:hint="default"/>
        </w:rPr>
        <w:t>12</w:t>
      </w:r>
      <w:r>
        <w:rPr>
          <w:rFonts w:ascii="宋体" w:hAnsi="宋体" w:cs="宋体" w:eastAsia="宋体" w:hint="default"/>
          <w:spacing w:val="-66"/>
        </w:rPr>
        <w:t> </w:t>
      </w:r>
      <w:r>
        <w:rPr/>
        <w:t>月</w:t>
      </w:r>
      <w:r>
        <w:rPr>
          <w:spacing w:val="-66"/>
        </w:rPr>
        <w:t> </w:t>
      </w:r>
      <w:r>
        <w:rPr>
          <w:rFonts w:ascii="宋体" w:hAnsi="宋体" w:cs="宋体" w:eastAsia="宋体" w:hint="default"/>
        </w:rPr>
        <w:t>15</w:t>
      </w:r>
      <w:r>
        <w:rPr>
          <w:rFonts w:ascii="宋体" w:hAnsi="宋体" w:cs="宋体" w:eastAsia="宋体" w:hint="default"/>
          <w:spacing w:val="-66"/>
        </w:rPr>
        <w:t> </w:t>
      </w:r>
      <w:r>
        <w:rPr/>
        <w:t>日、</w:t>
      </w:r>
      <w:r>
        <w:rPr>
          <w:rFonts w:ascii="宋体" w:hAnsi="宋体" w:cs="宋体" w:eastAsia="宋体" w:hint="default"/>
        </w:rPr>
        <w:t>2012</w:t>
      </w:r>
      <w:r>
        <w:rPr>
          <w:rFonts w:ascii="宋体" w:hAnsi="宋体" w:cs="宋体" w:eastAsia="宋体" w:hint="default"/>
          <w:spacing w:val="-66"/>
        </w:rPr>
        <w:t> </w:t>
      </w:r>
      <w:r>
        <w:rPr/>
        <w:t>年</w:t>
      </w:r>
      <w:r>
        <w:rPr>
          <w:spacing w:val="-66"/>
        </w:rPr>
        <w:t> </w:t>
      </w:r>
      <w:r>
        <w:rPr>
          <w:rFonts w:ascii="宋体" w:hAnsi="宋体" w:cs="宋体" w:eastAsia="宋体" w:hint="default"/>
        </w:rPr>
        <w:t>11</w:t>
      </w:r>
      <w:r>
        <w:rPr>
          <w:rFonts w:ascii="宋体" w:hAnsi="宋体" w:cs="宋体" w:eastAsia="宋体" w:hint="default"/>
          <w:spacing w:val="-66"/>
        </w:rPr>
        <w:t> </w:t>
      </w:r>
      <w:r>
        <w:rPr/>
        <w:t>月</w:t>
      </w:r>
      <w:r>
        <w:rPr>
          <w:spacing w:val="-66"/>
        </w:rPr>
        <w:t> </w:t>
      </w:r>
      <w:r>
        <w:rPr>
          <w:rFonts w:ascii="宋体" w:hAnsi="宋体" w:cs="宋体" w:eastAsia="宋体" w:hint="default"/>
        </w:rPr>
        <w:t>30</w:t>
      </w:r>
      <w:r>
        <w:rPr>
          <w:rFonts w:ascii="宋体" w:hAnsi="宋体" w:cs="宋体" w:eastAsia="宋体" w:hint="default"/>
          <w:spacing w:val="-66"/>
        </w:rPr>
        <w:t> </w:t>
      </w:r>
      <w:r>
        <w:rPr/>
        <w:t>日、</w:t>
      </w:r>
      <w:r>
        <w:rPr>
          <w:rFonts w:ascii="宋体" w:hAnsi="宋体" w:cs="宋体" w:eastAsia="宋体" w:hint="default"/>
        </w:rPr>
        <w:t>2013</w:t>
      </w:r>
      <w:r>
        <w:rPr>
          <w:rFonts w:ascii="宋体" w:hAnsi="宋体" w:cs="宋体" w:eastAsia="宋体" w:hint="default"/>
          <w:spacing w:val="-66"/>
        </w:rPr>
        <w:t> </w:t>
      </w:r>
      <w:r>
        <w:rPr/>
        <w:t>年</w:t>
      </w:r>
      <w:r>
        <w:rPr>
          <w:spacing w:val="-66"/>
        </w:rPr>
        <w:t> </w:t>
      </w:r>
      <w:r>
        <w:rPr>
          <w:rFonts w:ascii="宋体" w:hAnsi="宋体" w:cs="宋体" w:eastAsia="宋体" w:hint="default"/>
        </w:rPr>
        <w:t>12</w:t>
      </w:r>
      <w:r>
        <w:rPr>
          <w:rFonts w:ascii="宋体" w:hAnsi="宋体" w:cs="宋体" w:eastAsia="宋体" w:hint="default"/>
          <w:spacing w:val="-65"/>
        </w:rPr>
        <w:t> </w:t>
      </w:r>
      <w:r>
        <w:rPr/>
        <w:t>月</w:t>
      </w:r>
    </w:p>
    <w:p>
      <w:pPr>
        <w:pStyle w:val="BodyText"/>
        <w:spacing w:line="357" w:lineRule="auto" w:before="154"/>
        <w:ind w:right="150"/>
        <w:jc w:val="both"/>
      </w:pPr>
      <w:r>
        <w:rPr>
          <w:rFonts w:ascii="宋体" w:hAnsi="宋体" w:cs="宋体" w:eastAsia="宋体" w:hint="default"/>
        </w:rPr>
        <w:t>13</w:t>
      </w:r>
      <w:r>
        <w:rPr>
          <w:rFonts w:ascii="宋体" w:hAnsi="宋体" w:cs="宋体" w:eastAsia="宋体" w:hint="default"/>
          <w:spacing w:val="-80"/>
        </w:rPr>
        <w:t> </w:t>
      </w:r>
      <w:r>
        <w:rPr/>
        <w:t>日与启迪控股股份有限公司签订《清华科技园科技大厦写字间租赁合同》，双方约定中文 教育承租启迪控股股份有限公司位于北京中关村东路一号院</w:t>
      </w:r>
      <w:r>
        <w:rPr>
          <w:spacing w:val="-60"/>
        </w:rPr>
        <w:t> </w:t>
      </w:r>
      <w:r>
        <w:rPr>
          <w:rFonts w:ascii="宋体" w:hAnsi="宋体" w:cs="宋体" w:eastAsia="宋体" w:hint="default"/>
        </w:rPr>
        <w:t>8</w:t>
      </w:r>
      <w:r>
        <w:rPr>
          <w:rFonts w:ascii="宋体" w:hAnsi="宋体" w:cs="宋体" w:eastAsia="宋体" w:hint="default"/>
          <w:spacing w:val="-60"/>
        </w:rPr>
        <w:t> </w:t>
      </w:r>
      <w:r>
        <w:rPr/>
        <w:t>号楼</w:t>
      </w:r>
      <w:r>
        <w:rPr>
          <w:spacing w:val="-60"/>
        </w:rPr>
        <w:t> </w:t>
      </w:r>
      <w:r>
        <w:rPr>
          <w:rFonts w:ascii="宋体" w:hAnsi="宋体" w:cs="宋体" w:eastAsia="宋体" w:hint="default"/>
        </w:rPr>
        <w:t>A</w:t>
      </w:r>
      <w:r>
        <w:rPr>
          <w:rFonts w:ascii="宋体" w:hAnsi="宋体" w:cs="宋体" w:eastAsia="宋体" w:hint="default"/>
          <w:spacing w:val="-60"/>
        </w:rPr>
        <w:t> </w:t>
      </w:r>
      <w:r>
        <w:rPr/>
        <w:t>座二层的</w:t>
      </w:r>
      <w:r>
        <w:rPr>
          <w:spacing w:val="-60"/>
        </w:rPr>
        <w:t> </w:t>
      </w:r>
      <w:r>
        <w:rPr>
          <w:rFonts w:ascii="宋体" w:hAnsi="宋体" w:cs="宋体" w:eastAsia="宋体" w:hint="default"/>
        </w:rPr>
        <w:t>204</w:t>
      </w:r>
      <w:r>
        <w:rPr>
          <w:rFonts w:ascii="宋体" w:hAnsi="宋体" w:cs="宋体" w:eastAsia="宋体" w:hint="default"/>
          <w:spacing w:val="-60"/>
        </w:rPr>
        <w:t> </w:t>
      </w:r>
      <w:r>
        <w:rPr/>
        <w:t>号房间作 为其办公场所，该房屋总建筑面积</w:t>
      </w:r>
      <w:r>
        <w:rPr>
          <w:spacing w:val="-80"/>
        </w:rPr>
        <w:t> </w:t>
      </w:r>
      <w:r>
        <w:rPr>
          <w:rFonts w:ascii="宋体" w:hAnsi="宋体" w:cs="宋体" w:eastAsia="宋体" w:hint="default"/>
        </w:rPr>
        <w:t>33.79</w:t>
      </w:r>
      <w:r>
        <w:rPr>
          <w:rFonts w:ascii="宋体" w:hAnsi="宋体" w:cs="宋体" w:eastAsia="宋体" w:hint="default"/>
          <w:spacing w:val="-80"/>
        </w:rPr>
        <w:t> </w:t>
      </w:r>
      <w:r>
        <w:rPr/>
        <w:t>平方米，租金为每日为</w:t>
      </w:r>
      <w:r>
        <w:rPr>
          <w:spacing w:val="-81"/>
        </w:rPr>
        <w:t> </w:t>
      </w:r>
      <w:r>
        <w:rPr>
          <w:rFonts w:ascii="宋体" w:hAnsi="宋体" w:cs="宋体" w:eastAsia="宋体" w:hint="default"/>
        </w:rPr>
        <w:t>202.74</w:t>
      </w:r>
      <w:r>
        <w:rPr>
          <w:rFonts w:ascii="宋体" w:hAnsi="宋体" w:cs="宋体" w:eastAsia="宋体" w:hint="default"/>
          <w:spacing w:val="-80"/>
        </w:rPr>
        <w:t> </w:t>
      </w:r>
      <w:r>
        <w:rPr/>
        <w:t>元，上述房屋续租至</w:t>
      </w:r>
    </w:p>
    <w:p>
      <w:pPr>
        <w:pStyle w:val="BodyText"/>
        <w:spacing w:line="240" w:lineRule="auto" w:before="37"/>
        <w:ind w:right="0"/>
        <w:jc w:val="both"/>
      </w:pP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w:t>
      </w:r>
    </w:p>
    <w:p>
      <w:pPr>
        <w:spacing w:line="240" w:lineRule="auto" w:before="9"/>
        <w:rPr>
          <w:rFonts w:ascii="宋体" w:hAnsi="宋体" w:cs="宋体" w:eastAsia="宋体" w:hint="default"/>
          <w:sz w:val="28"/>
          <w:szCs w:val="28"/>
        </w:rPr>
      </w:pPr>
    </w:p>
    <w:p>
      <w:pPr>
        <w:spacing w:before="0"/>
        <w:ind w:left="154" w:right="0" w:firstLine="0"/>
        <w:jc w:val="both"/>
        <w:rPr>
          <w:rFonts w:ascii="宋体" w:hAnsi="宋体" w:cs="宋体" w:eastAsia="宋体" w:hint="default"/>
          <w:sz w:val="24"/>
          <w:szCs w:val="24"/>
        </w:rPr>
      </w:pPr>
      <w:bookmarkStart w:name="（4）关联担保情况" w:id="345"/>
      <w:bookmarkEnd w:id="345"/>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）关联担保情况</w:t>
      </w:r>
      <w:r>
        <w:rPr>
          <w:rFonts w:ascii="宋体" w:hAnsi="宋体" w:cs="宋体" w:eastAsia="宋体" w:hint="default"/>
          <w:sz w:val="24"/>
          <w:szCs w:val="24"/>
        </w:rPr>
      </w:r>
    </w:p>
    <w:p>
      <w:pPr>
        <w:spacing w:line="240" w:lineRule="auto" w:before="7"/>
        <w:rPr>
          <w:rFonts w:ascii="宋体" w:hAnsi="宋体" w:cs="宋体" w:eastAsia="宋体" w:hint="default"/>
          <w:b/>
          <w:bCs/>
          <w:sz w:val="25"/>
          <w:szCs w:val="25"/>
        </w:rPr>
      </w:pPr>
    </w:p>
    <w:p>
      <w:pPr>
        <w:pStyle w:val="BodyText"/>
        <w:spacing w:line="240" w:lineRule="auto"/>
        <w:ind w:left="633" w:right="0"/>
        <w:jc w:val="left"/>
      </w:pPr>
      <w:r>
        <w:rPr/>
        <w:t>本公司作为被担保方的关联担保情况：</w:t>
      </w:r>
    </w:p>
    <w:p>
      <w:pPr>
        <w:pStyle w:val="BodyText"/>
        <w:spacing w:line="240" w:lineRule="auto" w:before="114"/>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担保方</w:t>
            </w:r>
            <w:r>
              <w:rPr>
                <w:rFonts w:ascii="宋体" w:hAnsi="宋体" w:cs="宋体" w:eastAsia="宋体" w:hint="default"/>
                <w:sz w:val="21"/>
                <w:szCs w:val="21"/>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b/>
                <w:bCs/>
                <w:sz w:val="21"/>
                <w:szCs w:val="21"/>
              </w:rPr>
              <w:t>担保金额</w:t>
            </w:r>
            <w:r>
              <w:rPr>
                <w:rFonts w:ascii="宋体" w:hAnsi="宋体" w:cs="宋体" w:eastAsia="宋体" w:hint="default"/>
                <w:sz w:val="21"/>
                <w:szCs w:val="21"/>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担保起始日</w:t>
            </w:r>
            <w:r>
              <w:rPr>
                <w:rFonts w:ascii="宋体" w:hAnsi="宋体" w:cs="宋体" w:eastAsia="宋体" w:hint="default"/>
                <w:sz w:val="21"/>
                <w:szCs w:val="21"/>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担保到期日</w:t>
            </w:r>
            <w:r>
              <w:rPr>
                <w:rFonts w:ascii="宋体" w:hAnsi="宋体" w:cs="宋体" w:eastAsia="宋体" w:hint="default"/>
                <w:sz w:val="21"/>
                <w:szCs w:val="21"/>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40" w:right="109" w:hanging="633"/>
              <w:jc w:val="left"/>
              <w:rPr>
                <w:rFonts w:ascii="宋体" w:hAnsi="宋体" w:cs="宋体" w:eastAsia="宋体" w:hint="default"/>
                <w:sz w:val="21"/>
                <w:szCs w:val="21"/>
              </w:rPr>
            </w:pPr>
            <w:r>
              <w:rPr>
                <w:rFonts w:ascii="宋体" w:hAnsi="宋体" w:cs="宋体" w:eastAsia="宋体" w:hint="default"/>
                <w:b/>
                <w:bCs/>
                <w:sz w:val="21"/>
                <w:szCs w:val="21"/>
              </w:rPr>
              <w:t>担保是否已经履行</w:t>
            </w:r>
            <w:r>
              <w:rPr>
                <w:rFonts w:ascii="宋体" w:hAnsi="宋体" w:cs="宋体" w:eastAsia="宋体" w:hint="default"/>
                <w:b/>
                <w:bCs/>
                <w:w w:val="99"/>
                <w:sz w:val="21"/>
                <w:szCs w:val="21"/>
              </w:rPr>
              <w:t> </w:t>
            </w:r>
            <w:r>
              <w:rPr>
                <w:rFonts w:ascii="宋体" w:hAnsi="宋体" w:cs="宋体" w:eastAsia="宋体" w:hint="default"/>
                <w:b/>
                <w:bCs/>
                <w:sz w:val="21"/>
                <w:szCs w:val="21"/>
              </w:rPr>
              <w:t>完毕</w:t>
            </w:r>
            <w:r>
              <w:rPr>
                <w:rFonts w:ascii="宋体" w:hAnsi="宋体" w:cs="宋体" w:eastAsia="宋体" w:hint="default"/>
                <w:sz w:val="21"/>
                <w:szCs w:val="21"/>
              </w:rPr>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童之磊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童之磊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55,000,000.00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1"/>
        <w:ind w:left="634" w:right="0"/>
        <w:jc w:val="left"/>
      </w:pPr>
      <w:r>
        <w:rPr/>
        <w:t>关联担保情况说明：</w:t>
      </w:r>
    </w:p>
    <w:p>
      <w:pPr>
        <w:pStyle w:val="BodyText"/>
        <w:spacing w:line="240" w:lineRule="auto" w:before="192"/>
        <w:ind w:left="634" w:right="0"/>
        <w:jc w:val="left"/>
      </w:pPr>
      <w:r>
        <w:rPr/>
        <w:t>本公司</w:t>
      </w:r>
      <w:r>
        <w:rPr>
          <w:spacing w:val="-60"/>
        </w:rPr>
        <w:t> </w:t>
      </w:r>
      <w:r>
        <w:rPr>
          <w:rFonts w:ascii="宋体" w:hAnsi="宋体" w:cs="宋体" w:eastAsia="宋体" w:hint="default"/>
        </w:rPr>
        <w:t>2014</w:t>
      </w:r>
      <w:r>
        <w:rPr>
          <w:rFonts w:ascii="宋体" w:hAnsi="宋体" w:cs="宋体" w:eastAsia="宋体" w:hint="default"/>
          <w:spacing w:val="-60"/>
        </w:rPr>
        <w:t> </w:t>
      </w:r>
      <w:r>
        <w:rPr/>
        <w:t>年与江苏银行股份有限公司北京中关村支行签订流动资金借款合同，借款</w:t>
      </w:r>
    </w:p>
    <w:p>
      <w:pPr>
        <w:pStyle w:val="BodyText"/>
        <w:spacing w:line="357" w:lineRule="auto" w:before="154"/>
        <w:ind w:right="137"/>
        <w:jc w:val="left"/>
      </w:pPr>
      <w:r>
        <w:rPr/>
        <w:t>金额为</w:t>
      </w:r>
      <w:r>
        <w:rPr>
          <w:spacing w:val="-66"/>
        </w:rPr>
        <w:t> </w:t>
      </w:r>
      <w:r>
        <w:rPr>
          <w:rFonts w:ascii="宋体" w:hAnsi="宋体" w:cs="宋体" w:eastAsia="宋体" w:hint="default"/>
        </w:rPr>
        <w:t>5,000.00</w:t>
      </w:r>
      <w:r>
        <w:rPr>
          <w:rFonts w:ascii="宋体" w:hAnsi="宋体" w:cs="宋体" w:eastAsia="宋体" w:hint="default"/>
          <w:spacing w:val="-66"/>
        </w:rPr>
        <w:t> </w:t>
      </w:r>
      <w:r>
        <w:rPr/>
        <w:t>万元，借款期限为</w:t>
      </w:r>
      <w:r>
        <w:rPr>
          <w:spacing w:val="-66"/>
        </w:rPr>
        <w:t> </w:t>
      </w:r>
      <w:r>
        <w:rPr>
          <w:rFonts w:ascii="宋体" w:hAnsi="宋体" w:cs="宋体" w:eastAsia="宋体" w:hint="default"/>
        </w:rPr>
        <w:t>2014</w:t>
      </w:r>
      <w:r>
        <w:rPr>
          <w:rFonts w:ascii="宋体" w:hAnsi="宋体" w:cs="宋体" w:eastAsia="宋体" w:hint="default"/>
          <w:spacing w:val="-66"/>
        </w:rPr>
        <w:t> </w:t>
      </w:r>
      <w:r>
        <w:rPr/>
        <w:t>年</w:t>
      </w:r>
      <w:r>
        <w:rPr>
          <w:spacing w:val="-66"/>
        </w:rPr>
        <w:t> </w:t>
      </w:r>
      <w:r>
        <w:rPr>
          <w:rFonts w:ascii="宋体" w:hAnsi="宋体" w:cs="宋体" w:eastAsia="宋体" w:hint="default"/>
        </w:rPr>
        <w:t>6</w:t>
      </w:r>
      <w:r>
        <w:rPr>
          <w:rFonts w:ascii="宋体" w:hAnsi="宋体" w:cs="宋体" w:eastAsia="宋体" w:hint="default"/>
          <w:spacing w:val="-66"/>
        </w:rPr>
        <w:t> </w:t>
      </w:r>
      <w:r>
        <w:rPr/>
        <w:t>月</w:t>
      </w:r>
      <w:r>
        <w:rPr>
          <w:spacing w:val="-66"/>
        </w:rPr>
        <w:t> </w:t>
      </w:r>
      <w:r>
        <w:rPr>
          <w:rFonts w:ascii="宋体" w:hAnsi="宋体" w:cs="宋体" w:eastAsia="宋体" w:hint="default"/>
        </w:rPr>
        <w:t>27</w:t>
      </w:r>
      <w:r>
        <w:rPr>
          <w:rFonts w:ascii="宋体" w:hAnsi="宋体" w:cs="宋体" w:eastAsia="宋体" w:hint="default"/>
          <w:spacing w:val="-66"/>
        </w:rPr>
        <w:t> </w:t>
      </w:r>
      <w:r>
        <w:rPr/>
        <w:t>日至</w:t>
      </w:r>
      <w:r>
        <w:rPr>
          <w:spacing w:val="-66"/>
        </w:rPr>
        <w:t> </w:t>
      </w:r>
      <w:r>
        <w:rPr>
          <w:rFonts w:ascii="宋体" w:hAnsi="宋体" w:cs="宋体" w:eastAsia="宋体" w:hint="default"/>
        </w:rPr>
        <w:t>2015</w:t>
      </w:r>
      <w:r>
        <w:rPr>
          <w:rFonts w:ascii="宋体" w:hAnsi="宋体" w:cs="宋体" w:eastAsia="宋体" w:hint="default"/>
          <w:spacing w:val="-66"/>
        </w:rPr>
        <w:t> </w:t>
      </w:r>
      <w:r>
        <w:rPr/>
        <w:t>年</w:t>
      </w:r>
      <w:r>
        <w:rPr>
          <w:spacing w:val="-66"/>
        </w:rPr>
        <w:t> </w:t>
      </w:r>
      <w:r>
        <w:rPr>
          <w:rFonts w:ascii="宋体" w:hAnsi="宋体" w:cs="宋体" w:eastAsia="宋体" w:hint="default"/>
        </w:rPr>
        <w:t>6</w:t>
      </w:r>
      <w:r>
        <w:rPr>
          <w:rFonts w:ascii="宋体" w:hAnsi="宋体" w:cs="宋体" w:eastAsia="宋体" w:hint="default"/>
          <w:spacing w:val="-66"/>
        </w:rPr>
        <w:t> </w:t>
      </w:r>
      <w:r>
        <w:rPr/>
        <w:t>月</w:t>
      </w:r>
      <w:r>
        <w:rPr>
          <w:spacing w:val="-66"/>
        </w:rPr>
        <w:t> </w:t>
      </w:r>
      <w:r>
        <w:rPr>
          <w:rFonts w:ascii="宋体" w:hAnsi="宋体" w:cs="宋体" w:eastAsia="宋体" w:hint="default"/>
        </w:rPr>
        <w:t>27</w:t>
      </w:r>
      <w:r>
        <w:rPr>
          <w:rFonts w:ascii="宋体" w:hAnsi="宋体" w:cs="宋体" w:eastAsia="宋体" w:hint="default"/>
          <w:spacing w:val="-66"/>
        </w:rPr>
        <w:t> </w:t>
      </w:r>
      <w:r>
        <w:rPr/>
        <w:t>日，由本公司之股东 童之磊提供保证担保。</w:t>
      </w:r>
    </w:p>
    <w:p>
      <w:pPr>
        <w:pStyle w:val="BodyText"/>
        <w:spacing w:line="240" w:lineRule="auto" w:before="76"/>
        <w:ind w:left="633" w:right="0"/>
        <w:jc w:val="left"/>
      </w:pPr>
      <w:r>
        <w:rPr/>
        <w:t>本公司</w:t>
      </w:r>
      <w:r>
        <w:rPr>
          <w:spacing w:val="-60"/>
        </w:rPr>
        <w:t> </w:t>
      </w:r>
      <w:r>
        <w:rPr>
          <w:rFonts w:ascii="宋体" w:hAnsi="宋体" w:cs="宋体" w:eastAsia="宋体" w:hint="default"/>
        </w:rPr>
        <w:t>2014</w:t>
      </w:r>
      <w:r>
        <w:rPr>
          <w:rFonts w:ascii="宋体" w:hAnsi="宋体" w:cs="宋体" w:eastAsia="宋体" w:hint="default"/>
          <w:spacing w:val="-60"/>
        </w:rPr>
        <w:t> </w:t>
      </w:r>
      <w:r>
        <w:rPr/>
        <w:t>年与中信银行股份有限公司总行营业部签订人民币额度贷款合同，合同项</w:t>
      </w:r>
    </w:p>
    <w:p>
      <w:pPr>
        <w:pStyle w:val="BodyText"/>
        <w:spacing w:line="240" w:lineRule="auto" w:before="154"/>
        <w:ind w:right="0"/>
        <w:jc w:val="left"/>
      </w:pPr>
      <w:r>
        <w:rPr/>
        <w:t>下贷款额度为</w:t>
      </w:r>
      <w:r>
        <w:rPr>
          <w:spacing w:val="-67"/>
        </w:rPr>
        <w:t> </w:t>
      </w:r>
      <w:r>
        <w:rPr>
          <w:rFonts w:ascii="宋体" w:hAnsi="宋体" w:cs="宋体" w:eastAsia="宋体" w:hint="default"/>
        </w:rPr>
        <w:t>3,000.00</w:t>
      </w:r>
      <w:r>
        <w:rPr>
          <w:rFonts w:ascii="宋体" w:hAnsi="宋体" w:cs="宋体" w:eastAsia="宋体" w:hint="default"/>
          <w:spacing w:val="-68"/>
        </w:rPr>
        <w:t> </w:t>
      </w:r>
      <w:r>
        <w:rPr/>
        <w:t>万元；并于</w:t>
      </w:r>
      <w:r>
        <w:rPr>
          <w:spacing w:val="-67"/>
        </w:rPr>
        <w:t> </w:t>
      </w:r>
      <w:r>
        <w:rPr>
          <w:rFonts w:ascii="宋体" w:hAnsi="宋体" w:cs="宋体" w:eastAsia="宋体" w:hint="default"/>
        </w:rPr>
        <w:t>2014</w:t>
      </w:r>
      <w:r>
        <w:rPr>
          <w:rFonts w:ascii="宋体" w:hAnsi="宋体" w:cs="宋体" w:eastAsia="宋体" w:hint="default"/>
          <w:spacing w:val="-68"/>
        </w:rPr>
        <w:t> </w:t>
      </w:r>
      <w:r>
        <w:rPr/>
        <w:t>年</w:t>
      </w:r>
      <w:r>
        <w:rPr>
          <w:spacing w:val="-66"/>
        </w:rPr>
        <w:t> </w:t>
      </w:r>
      <w:r>
        <w:rPr>
          <w:rFonts w:ascii="宋体" w:hAnsi="宋体" w:cs="宋体" w:eastAsia="宋体" w:hint="default"/>
        </w:rPr>
        <w:t>12</w:t>
      </w:r>
      <w:r>
        <w:rPr>
          <w:rFonts w:ascii="宋体" w:hAnsi="宋体" w:cs="宋体" w:eastAsia="宋体" w:hint="default"/>
          <w:spacing w:val="-68"/>
        </w:rPr>
        <w:t> </w:t>
      </w:r>
      <w:r>
        <w:rPr/>
        <w:t>月</w:t>
      </w:r>
      <w:r>
        <w:rPr>
          <w:spacing w:val="-68"/>
        </w:rPr>
        <w:t> </w:t>
      </w:r>
      <w:r>
        <w:rPr>
          <w:rFonts w:ascii="宋体" w:hAnsi="宋体" w:cs="宋体" w:eastAsia="宋体" w:hint="default"/>
        </w:rPr>
        <w:t>9</w:t>
      </w:r>
      <w:r>
        <w:rPr>
          <w:rFonts w:ascii="宋体" w:hAnsi="宋体" w:cs="宋体" w:eastAsia="宋体" w:hint="default"/>
          <w:spacing w:val="-68"/>
        </w:rPr>
        <w:t> </w:t>
      </w:r>
      <w:r>
        <w:rPr/>
        <w:t>日借款</w:t>
      </w:r>
      <w:r>
        <w:rPr>
          <w:spacing w:val="-67"/>
        </w:rPr>
        <w:t> </w:t>
      </w:r>
      <w:r>
        <w:rPr>
          <w:rFonts w:ascii="宋体" w:hAnsi="宋体" w:cs="宋体" w:eastAsia="宋体" w:hint="default"/>
        </w:rPr>
        <w:t>500.00</w:t>
      </w:r>
      <w:r>
        <w:rPr>
          <w:rFonts w:ascii="宋体" w:hAnsi="宋体" w:cs="宋体" w:eastAsia="宋体" w:hint="default"/>
          <w:spacing w:val="-68"/>
        </w:rPr>
        <w:t> </w:t>
      </w:r>
      <w:r>
        <w:rPr/>
        <w:t>万元，借款期限为</w:t>
      </w:r>
      <w:r>
        <w:rPr>
          <w:spacing w:val="-67"/>
        </w:rPr>
        <w:t> </w:t>
      </w:r>
      <w:r>
        <w:rPr>
          <w:rFonts w:ascii="宋体" w:hAnsi="宋体" w:cs="宋体" w:eastAsia="宋体" w:hint="default"/>
        </w:rPr>
        <w:t>2014</w:t>
      </w:r>
      <w:r>
        <w:rPr>
          <w:rFonts w:ascii="宋体" w:hAnsi="宋体" w:cs="宋体" w:eastAsia="宋体" w:hint="default"/>
          <w:spacing w:val="-66"/>
        </w:rPr>
        <w:t> </w:t>
      </w:r>
      <w:r>
        <w:rPr/>
        <w:t>年</w:t>
      </w:r>
    </w:p>
    <w:p>
      <w:pPr>
        <w:pStyle w:val="BodyText"/>
        <w:spacing w:line="240" w:lineRule="auto" w:before="155"/>
        <w:ind w:right="0"/>
        <w:jc w:val="left"/>
      </w:pP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日至</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日，由本公司之股东童之磊提供保证担保。</w:t>
      </w:r>
    </w:p>
    <w:p>
      <w:pPr>
        <w:spacing w:after="0" w:line="240" w:lineRule="auto"/>
        <w:jc w:val="left"/>
        <w:sectPr>
          <w:pgSz w:w="11910" w:h="16840"/>
          <w:pgMar w:header="0" w:footer="979" w:top="1100" w:bottom="1160" w:left="980" w:right="980"/>
        </w:sectPr>
      </w:pPr>
    </w:p>
    <w:p>
      <w:pPr>
        <w:spacing w:line="240" w:lineRule="auto" w:before="8"/>
        <w:rPr>
          <w:rFonts w:ascii="宋体" w:hAnsi="宋体" w:cs="宋体" w:eastAsia="宋体" w:hint="default"/>
          <w:sz w:val="19"/>
          <w:szCs w:val="19"/>
        </w:rPr>
      </w:pPr>
    </w:p>
    <w:p>
      <w:pPr>
        <w:spacing w:line="499" w:lineRule="auto" w:before="26"/>
        <w:ind w:left="633" w:right="7484" w:hanging="480"/>
        <w:jc w:val="left"/>
        <w:rPr>
          <w:rFonts w:ascii="宋体" w:hAnsi="宋体" w:cs="宋体" w:eastAsia="宋体" w:hint="default"/>
          <w:sz w:val="24"/>
          <w:szCs w:val="24"/>
        </w:rPr>
      </w:pPr>
      <w:bookmarkStart w:name="（5）关联方资金拆借" w:id="346"/>
      <w:bookmarkEnd w:id="346"/>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）关联方资金拆借</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line="499" w:lineRule="auto" w:before="116"/>
        <w:ind w:left="633" w:right="5692" w:hanging="480"/>
        <w:jc w:val="left"/>
        <w:rPr>
          <w:rFonts w:ascii="宋体" w:hAnsi="宋体" w:cs="宋体" w:eastAsia="宋体" w:hint="default"/>
          <w:sz w:val="24"/>
          <w:szCs w:val="24"/>
        </w:rPr>
      </w:pPr>
      <w:bookmarkStart w:name="（6）关联方资产转让、债务重组情况" w:id="347"/>
      <w:bookmarkEnd w:id="347"/>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6</w:t>
      </w:r>
      <w:r>
        <w:rPr>
          <w:rFonts w:ascii="宋体" w:hAnsi="宋体" w:cs="宋体" w:eastAsia="宋体" w:hint="default"/>
          <w:b/>
          <w:bCs/>
          <w:w w:val="95"/>
          <w:sz w:val="24"/>
          <w:szCs w:val="24"/>
        </w:rPr>
        <w:t>）关联方资产转让、债务重组情况</w:t>
      </w:r>
      <w:r>
        <w:rPr>
          <w:rFonts w:ascii="宋体" w:hAnsi="宋体" w:cs="宋体" w:eastAsia="宋体" w:hint="default"/>
          <w:b/>
          <w:bCs/>
          <w:spacing w:val="69"/>
          <w:w w:val="95"/>
          <w:sz w:val="24"/>
          <w:szCs w:val="24"/>
        </w:rPr>
        <w:t> </w:t>
      </w:r>
      <w:r>
        <w:rPr>
          <w:rFonts w:ascii="宋体" w:hAnsi="宋体" w:cs="宋体" w:eastAsia="宋体" w:hint="default"/>
          <w:sz w:val="24"/>
          <w:szCs w:val="24"/>
        </w:rPr>
        <w:t>无。</w:t>
      </w:r>
    </w:p>
    <w:p>
      <w:pPr>
        <w:spacing w:before="115"/>
        <w:ind w:left="153" w:right="0" w:firstLine="0"/>
        <w:jc w:val="left"/>
        <w:rPr>
          <w:rFonts w:ascii="宋体" w:hAnsi="宋体" w:cs="宋体" w:eastAsia="宋体" w:hint="default"/>
          <w:sz w:val="24"/>
          <w:szCs w:val="24"/>
        </w:rPr>
      </w:pPr>
      <w:bookmarkStart w:name="（7）关键管理人员报酬" w:id="348"/>
      <w:bookmarkEnd w:id="348"/>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）关键管理人员报酬</w:t>
      </w:r>
      <w:r>
        <w:rPr>
          <w:rFonts w:ascii="宋体" w:hAnsi="宋体" w:cs="宋体" w:eastAsia="宋体" w:hint="default"/>
          <w:sz w:val="24"/>
          <w:szCs w:val="24"/>
        </w:rPr>
      </w:r>
    </w:p>
    <w:p>
      <w:pPr>
        <w:spacing w:line="240" w:lineRule="auto" w:before="6"/>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薪酬合计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54" w:right="0"/>
              <w:jc w:val="left"/>
              <w:rPr>
                <w:rFonts w:ascii="Times New Roman" w:hAnsi="Times New Roman" w:cs="Times New Roman" w:eastAsia="Times New Roman" w:hint="default"/>
                <w:sz w:val="21"/>
                <w:szCs w:val="21"/>
              </w:rPr>
            </w:pPr>
            <w:r>
              <w:rPr>
                <w:rFonts w:ascii="Times New Roman"/>
                <w:sz w:val="21"/>
              </w:rPr>
              <w:t>3,169,355.30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56" w:right="0"/>
              <w:jc w:val="left"/>
              <w:rPr>
                <w:rFonts w:ascii="Times New Roman" w:hAnsi="Times New Roman" w:cs="Times New Roman" w:eastAsia="Times New Roman" w:hint="default"/>
                <w:sz w:val="21"/>
                <w:szCs w:val="21"/>
              </w:rPr>
            </w:pPr>
            <w:r>
              <w:rPr>
                <w:rFonts w:ascii="Times New Roman"/>
                <w:sz w:val="21"/>
              </w:rPr>
              <w:t>2,685,517.08</w:t>
            </w:r>
          </w:p>
        </w:tc>
      </w:tr>
    </w:tbl>
    <w:p>
      <w:pPr>
        <w:spacing w:line="240" w:lineRule="auto" w:before="2"/>
        <w:rPr>
          <w:rFonts w:ascii="宋体" w:hAnsi="宋体" w:cs="宋体" w:eastAsia="宋体" w:hint="default"/>
          <w:sz w:val="18"/>
          <w:szCs w:val="18"/>
        </w:rPr>
      </w:pPr>
    </w:p>
    <w:p>
      <w:pPr>
        <w:spacing w:line="499" w:lineRule="auto" w:before="26"/>
        <w:ind w:left="633" w:right="7725" w:hanging="480"/>
        <w:jc w:val="left"/>
        <w:rPr>
          <w:rFonts w:ascii="宋体" w:hAnsi="宋体" w:cs="宋体" w:eastAsia="宋体" w:hint="default"/>
          <w:sz w:val="24"/>
          <w:szCs w:val="24"/>
        </w:rPr>
      </w:pPr>
      <w:bookmarkStart w:name="（8）其他关联交易" w:id="349"/>
      <w:bookmarkEnd w:id="349"/>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8</w:t>
      </w:r>
      <w:r>
        <w:rPr>
          <w:rFonts w:ascii="宋体" w:hAnsi="宋体" w:cs="宋体" w:eastAsia="宋体" w:hint="default"/>
          <w:b/>
          <w:bCs/>
          <w:sz w:val="24"/>
          <w:szCs w:val="24"/>
        </w:rPr>
        <w:t>）其他关联交易</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before="115"/>
        <w:ind w:left="153" w:right="0" w:firstLine="0"/>
        <w:jc w:val="left"/>
        <w:rPr>
          <w:rFonts w:ascii="宋体" w:hAnsi="宋体" w:cs="宋体" w:eastAsia="宋体" w:hint="default"/>
          <w:sz w:val="24"/>
          <w:szCs w:val="24"/>
        </w:rPr>
      </w:pPr>
      <w:bookmarkStart w:name="6、关联方应收应付款项" w:id="350"/>
      <w:bookmarkEnd w:id="350"/>
      <w:r>
        <w:rPr/>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、关联方应收应付款项</w:t>
      </w:r>
      <w:r>
        <w:rPr>
          <w:rFonts w:ascii="宋体" w:hAnsi="宋体" w:cs="宋体" w:eastAsia="宋体" w:hint="default"/>
          <w:sz w:val="24"/>
          <w:szCs w:val="24"/>
        </w:rPr>
      </w:r>
    </w:p>
    <w:p>
      <w:pPr>
        <w:spacing w:line="240" w:lineRule="auto" w:before="8"/>
        <w:rPr>
          <w:rFonts w:ascii="宋体" w:hAnsi="宋体" w:cs="宋体" w:eastAsia="宋体" w:hint="default"/>
          <w:b/>
          <w:bCs/>
          <w:sz w:val="21"/>
          <w:szCs w:val="21"/>
        </w:rPr>
      </w:pPr>
    </w:p>
    <w:p>
      <w:pPr>
        <w:spacing w:before="0"/>
        <w:ind w:left="153" w:right="0" w:firstLine="0"/>
        <w:jc w:val="left"/>
        <w:rPr>
          <w:rFonts w:ascii="宋体" w:hAnsi="宋体" w:cs="宋体" w:eastAsia="宋体" w:hint="default"/>
          <w:sz w:val="24"/>
          <w:szCs w:val="24"/>
        </w:rPr>
      </w:pPr>
      <w:bookmarkStart w:name="（1）应收项目" w:id="351"/>
      <w:bookmarkEnd w:id="351"/>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）应收项目</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0"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69"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69"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0"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90"/>
              <w:jc w:val="left"/>
              <w:rPr>
                <w:rFonts w:ascii="宋体" w:hAnsi="宋体" w:cs="宋体" w:eastAsia="宋体" w:hint="default"/>
                <w:sz w:val="21"/>
                <w:szCs w:val="21"/>
              </w:rPr>
            </w:pPr>
            <w:r>
              <w:rPr>
                <w:rFonts w:ascii="宋体" w:hAnsi="宋体" w:cs="宋体" w:eastAsia="宋体" w:hint="default"/>
                <w:sz w:val="21"/>
                <w:szCs w:val="21"/>
              </w:rPr>
              <w:t>广州市迈步信息 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872,070.35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744,569.60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90"/>
              <w:jc w:val="left"/>
              <w:rPr>
                <w:rFonts w:ascii="宋体" w:hAnsi="宋体" w:cs="宋体" w:eastAsia="宋体" w:hint="default"/>
                <w:sz w:val="21"/>
                <w:szCs w:val="21"/>
              </w:rPr>
            </w:pPr>
            <w:r>
              <w:rPr>
                <w:rFonts w:ascii="宋体" w:hAnsi="宋体" w:cs="宋体" w:eastAsia="宋体" w:hint="default"/>
                <w:sz w:val="21"/>
                <w:szCs w:val="21"/>
              </w:rPr>
              <w:t>启迪控股股份有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70,553.52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33,553.47</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2）应付项目" w:id="352"/>
      <w:bookmarkEnd w:id="352"/>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）应付项目</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8"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57" w:right="0"/>
              <w:jc w:val="left"/>
              <w:rPr>
                <w:rFonts w:ascii="宋体" w:hAnsi="宋体" w:cs="宋体" w:eastAsia="宋体" w:hint="default"/>
                <w:sz w:val="21"/>
                <w:szCs w:val="21"/>
              </w:rPr>
            </w:pPr>
            <w:r>
              <w:rPr>
                <w:rFonts w:ascii="宋体" w:hAnsi="宋体" w:cs="宋体" w:eastAsia="宋体" w:hint="default"/>
                <w:b/>
                <w:bCs/>
                <w:sz w:val="21"/>
                <w:szCs w:val="21"/>
              </w:rPr>
              <w:t>期末账面余额</w:t>
            </w:r>
            <w:r>
              <w:rPr>
                <w:rFonts w:ascii="宋体" w:hAnsi="宋体" w:cs="宋体" w:eastAsia="宋体" w:hint="default"/>
                <w:sz w:val="21"/>
                <w:szCs w:val="21"/>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57" w:right="0"/>
              <w:jc w:val="left"/>
              <w:rPr>
                <w:rFonts w:ascii="宋体" w:hAnsi="宋体" w:cs="宋体" w:eastAsia="宋体" w:hint="default"/>
                <w:sz w:val="21"/>
                <w:szCs w:val="21"/>
              </w:rPr>
            </w:pPr>
            <w:r>
              <w:rPr>
                <w:rFonts w:ascii="宋体" w:hAnsi="宋体" w:cs="宋体" w:eastAsia="宋体" w:hint="default"/>
                <w:b/>
                <w:bCs/>
                <w:sz w:val="21"/>
                <w:szCs w:val="21"/>
              </w:rPr>
              <w:t>期初账面余额</w:t>
            </w:r>
            <w:r>
              <w:rPr>
                <w:rFonts w:ascii="宋体" w:hAnsi="宋体" w:cs="宋体" w:eastAsia="宋体" w:hint="default"/>
                <w:sz w:val="21"/>
                <w:szCs w:val="21"/>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8"/>
              <w:jc w:val="left"/>
              <w:rPr>
                <w:rFonts w:ascii="宋体" w:hAnsi="宋体" w:cs="宋体" w:eastAsia="宋体" w:hint="default"/>
                <w:sz w:val="21"/>
                <w:szCs w:val="21"/>
              </w:rPr>
            </w:pPr>
            <w:r>
              <w:rPr>
                <w:rFonts w:ascii="宋体" w:hAnsi="宋体" w:cs="宋体" w:eastAsia="宋体" w:hint="default"/>
                <w:sz w:val="21"/>
                <w:szCs w:val="21"/>
              </w:rPr>
              <w:t>北京鸿达以太文化发展有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414" w:right="0"/>
              <w:jc w:val="left"/>
              <w:rPr>
                <w:rFonts w:ascii="Times New Roman" w:hAnsi="Times New Roman" w:cs="Times New Roman" w:eastAsia="Times New Roman" w:hint="default"/>
                <w:sz w:val="21"/>
                <w:szCs w:val="21"/>
              </w:rPr>
            </w:pPr>
            <w:r>
              <w:rPr>
                <w:rFonts w:ascii="Times New Roman"/>
                <w:sz w:val="21"/>
              </w:rPr>
              <w:t>506,332.08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414" w:right="0"/>
              <w:jc w:val="left"/>
              <w:rPr>
                <w:rFonts w:ascii="Times New Roman" w:hAnsi="Times New Roman" w:cs="Times New Roman" w:eastAsia="Times New Roman" w:hint="default"/>
                <w:sz w:val="21"/>
                <w:szCs w:val="21"/>
              </w:rPr>
            </w:pPr>
            <w:r>
              <w:rPr>
                <w:rFonts w:ascii="Times New Roman"/>
                <w:sz w:val="21"/>
              </w:rPr>
              <w:t>248,378.53</w:t>
            </w:r>
          </w:p>
        </w:tc>
      </w:tr>
    </w:tbl>
    <w:p>
      <w:pPr>
        <w:spacing w:after="0" w:line="240" w:lineRule="auto"/>
        <w:jc w:val="left"/>
        <w:rPr>
          <w:rFonts w:ascii="Times New Roman" w:hAnsi="Times New Roman" w:cs="Times New Roman" w:eastAsia="Times New Roman" w:hint="default"/>
          <w:sz w:val="21"/>
          <w:szCs w:val="21"/>
        </w:rPr>
        <w:sectPr>
          <w:pgSz w:w="11910" w:h="16840"/>
          <w:pgMar w:header="0" w:footer="979" w:top="1100" w:bottom="1160" w:left="980" w:right="980"/>
        </w:sectPr>
      </w:pPr>
    </w:p>
    <w:p>
      <w:pPr>
        <w:spacing w:line="240" w:lineRule="auto" w:before="9"/>
        <w:rPr>
          <w:rFonts w:ascii="宋体" w:hAnsi="宋体" w:cs="宋体" w:eastAsia="宋体" w:hint="default"/>
          <w:sz w:val="19"/>
          <w:szCs w:val="19"/>
        </w:rPr>
      </w:pPr>
    </w:p>
    <w:p>
      <w:pPr>
        <w:spacing w:line="513" w:lineRule="auto" w:before="26"/>
        <w:ind w:left="153" w:right="8105" w:hanging="121"/>
        <w:jc w:val="center"/>
        <w:rPr>
          <w:rFonts w:ascii="宋体" w:hAnsi="宋体" w:cs="宋体" w:eastAsia="宋体" w:hint="default"/>
          <w:sz w:val="24"/>
          <w:szCs w:val="24"/>
        </w:rPr>
      </w:pPr>
      <w:bookmarkStart w:name="7、关联方承诺" w:id="353"/>
      <w:bookmarkEnd w:id="353"/>
      <w:r>
        <w:rPr/>
      </w: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、关联方承诺</w:t>
      </w:r>
      <w:r>
        <w:rPr>
          <w:rFonts w:ascii="宋体" w:hAnsi="宋体" w:cs="宋体" w:eastAsia="宋体" w:hint="default"/>
          <w:b/>
          <w:bCs/>
          <w:w w:val="99"/>
          <w:sz w:val="24"/>
          <w:szCs w:val="24"/>
        </w:rPr>
        <w:t> </w:t>
      </w:r>
      <w:r>
        <w:rPr>
          <w:rFonts w:ascii="宋体" w:hAnsi="宋体" w:cs="宋体" w:eastAsia="宋体" w:hint="default"/>
          <w:sz w:val="24"/>
          <w:szCs w:val="24"/>
        </w:rPr>
        <w:t>无。 </w:t>
      </w:r>
      <w:bookmarkStart w:name="十三、股份支付" w:id="354"/>
      <w:bookmarkEnd w:id="354"/>
      <w:r>
        <w:rPr>
          <w:rFonts w:ascii="宋体" w:hAnsi="宋体" w:cs="宋体" w:eastAsia="宋体" w:hint="default"/>
          <w:sz w:val="24"/>
          <w:szCs w:val="24"/>
        </w:rPr>
      </w:r>
      <w:r>
        <w:rPr>
          <w:rFonts w:ascii="宋体" w:hAnsi="宋体" w:cs="宋体" w:eastAsia="宋体" w:hint="default"/>
          <w:b/>
          <w:bCs/>
          <w:w w:val="95"/>
          <w:sz w:val="24"/>
          <w:szCs w:val="24"/>
        </w:rPr>
        <w:t>十三、股份支付</w:t>
      </w:r>
      <w:r>
        <w:rPr>
          <w:rFonts w:ascii="宋体" w:hAnsi="宋体" w:cs="宋体" w:eastAsia="宋体" w:hint="default"/>
          <w:sz w:val="24"/>
          <w:szCs w:val="24"/>
        </w:rPr>
      </w:r>
    </w:p>
    <w:p>
      <w:pPr>
        <w:spacing w:before="26"/>
        <w:ind w:left="153" w:right="0" w:firstLine="0"/>
        <w:jc w:val="left"/>
        <w:rPr>
          <w:rFonts w:ascii="宋体" w:hAnsi="宋体" w:cs="宋体" w:eastAsia="宋体" w:hint="default"/>
          <w:sz w:val="24"/>
          <w:szCs w:val="24"/>
        </w:rPr>
      </w:pPr>
      <w:bookmarkStart w:name="1、股份支付总体情况" w:id="355"/>
      <w:bookmarkEnd w:id="355"/>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、股份支付总体情况</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pStyle w:val="BodyText"/>
        <w:tabs>
          <w:tab w:pos="994" w:val="left" w:leader="none"/>
        </w:tabs>
        <w:spacing w:line="240" w:lineRule="auto" w:before="0"/>
        <w:ind w:left="633" w:right="0"/>
        <w:jc w:val="left"/>
      </w:pPr>
      <w:r>
        <w:rPr>
          <w:rFonts w:ascii="Arial" w:hAnsi="Arial" w:cs="Arial" w:eastAsia="Arial" w:hint="default"/>
        </w:rPr>
        <w:t>□</w:t>
        <w:tab/>
      </w:r>
      <w:r>
        <w:rPr/>
        <w:t>适用 </w:t>
      </w:r>
      <w:r>
        <w:rPr>
          <w:rFonts w:ascii="Calibri" w:hAnsi="Calibri" w:cs="Calibri" w:eastAsia="Calibri" w:hint="default"/>
        </w:rPr>
        <w:t>√ </w:t>
      </w:r>
      <w:r>
        <w:rPr>
          <w:rFonts w:ascii="Calibri" w:hAnsi="Calibri" w:cs="Calibri" w:eastAsia="Calibri" w:hint="default"/>
          <w:spacing w:val="11"/>
        </w:rPr>
        <w:t> </w:t>
      </w:r>
      <w:r>
        <w:rPr/>
        <w:t>不适用</w:t>
      </w:r>
    </w:p>
    <w:p>
      <w:pPr>
        <w:spacing w:line="240" w:lineRule="auto" w:before="5"/>
        <w:rPr>
          <w:rFonts w:ascii="宋体" w:hAnsi="宋体" w:cs="宋体" w:eastAsia="宋体" w:hint="default"/>
          <w:sz w:val="26"/>
          <w:szCs w:val="26"/>
        </w:rPr>
      </w:pPr>
    </w:p>
    <w:p>
      <w:pPr>
        <w:spacing w:before="0"/>
        <w:ind w:left="154" w:right="0" w:firstLine="0"/>
        <w:jc w:val="left"/>
        <w:rPr>
          <w:rFonts w:ascii="宋体" w:hAnsi="宋体" w:cs="宋体" w:eastAsia="宋体" w:hint="default"/>
          <w:sz w:val="24"/>
          <w:szCs w:val="24"/>
        </w:rPr>
      </w:pPr>
      <w:bookmarkStart w:name="2、以权益结算的股份支付情况" w:id="356"/>
      <w:bookmarkEnd w:id="356"/>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、以权益结算的股份支付情况</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pStyle w:val="BodyText"/>
        <w:tabs>
          <w:tab w:pos="994" w:val="left" w:leader="none"/>
        </w:tabs>
        <w:spacing w:line="240" w:lineRule="auto" w:before="0"/>
        <w:ind w:left="633" w:right="0"/>
        <w:jc w:val="left"/>
      </w:pPr>
      <w:r>
        <w:rPr>
          <w:rFonts w:ascii="Arial" w:hAnsi="Arial" w:cs="Arial" w:eastAsia="Arial" w:hint="default"/>
        </w:rPr>
        <w:t>□</w:t>
        <w:tab/>
      </w:r>
      <w:r>
        <w:rPr/>
        <w:t>适用 </w:t>
      </w:r>
      <w:r>
        <w:rPr>
          <w:rFonts w:ascii="Calibri" w:hAnsi="Calibri" w:cs="Calibri" w:eastAsia="Calibri" w:hint="default"/>
        </w:rPr>
        <w:t>√ </w:t>
      </w:r>
      <w:r>
        <w:rPr>
          <w:rFonts w:ascii="Calibri" w:hAnsi="Calibri" w:cs="Calibri" w:eastAsia="Calibri" w:hint="default"/>
          <w:spacing w:val="11"/>
        </w:rPr>
        <w:t> </w:t>
      </w:r>
      <w:r>
        <w:rPr/>
        <w:t>不适用</w:t>
      </w:r>
    </w:p>
    <w:p>
      <w:pPr>
        <w:spacing w:line="240" w:lineRule="auto" w:before="5"/>
        <w:rPr>
          <w:rFonts w:ascii="宋体" w:hAnsi="宋体" w:cs="宋体" w:eastAsia="宋体" w:hint="default"/>
          <w:sz w:val="26"/>
          <w:szCs w:val="26"/>
        </w:rPr>
      </w:pPr>
    </w:p>
    <w:p>
      <w:pPr>
        <w:spacing w:before="0"/>
        <w:ind w:left="154" w:right="0" w:firstLine="0"/>
        <w:jc w:val="left"/>
        <w:rPr>
          <w:rFonts w:ascii="宋体" w:hAnsi="宋体" w:cs="宋体" w:eastAsia="宋体" w:hint="default"/>
          <w:sz w:val="24"/>
          <w:szCs w:val="24"/>
        </w:rPr>
      </w:pPr>
      <w:bookmarkStart w:name="3、以现金结算的股份支付情况" w:id="357"/>
      <w:bookmarkEnd w:id="357"/>
      <w:r>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、以现金结算的股份支付情况</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pStyle w:val="BodyText"/>
        <w:tabs>
          <w:tab w:pos="994" w:val="left" w:leader="none"/>
        </w:tabs>
        <w:spacing w:line="240" w:lineRule="auto" w:before="0"/>
        <w:ind w:left="633" w:right="0"/>
        <w:jc w:val="left"/>
      </w:pPr>
      <w:r>
        <w:rPr>
          <w:rFonts w:ascii="Arial" w:hAnsi="Arial" w:cs="Arial" w:eastAsia="Arial" w:hint="default"/>
        </w:rPr>
        <w:t>□</w:t>
        <w:tab/>
      </w:r>
      <w:r>
        <w:rPr/>
        <w:t>适用 </w:t>
      </w:r>
      <w:r>
        <w:rPr>
          <w:rFonts w:ascii="Calibri" w:hAnsi="Calibri" w:cs="Calibri" w:eastAsia="Calibri" w:hint="default"/>
        </w:rPr>
        <w:t>√ </w:t>
      </w:r>
      <w:r>
        <w:rPr>
          <w:rFonts w:ascii="Calibri" w:hAnsi="Calibri" w:cs="Calibri" w:eastAsia="Calibri" w:hint="default"/>
          <w:spacing w:val="11"/>
        </w:rPr>
        <w:t> </w:t>
      </w:r>
      <w:r>
        <w:rPr/>
        <w:t>不适用</w:t>
      </w:r>
    </w:p>
    <w:p>
      <w:pPr>
        <w:spacing w:line="240" w:lineRule="auto" w:before="5"/>
        <w:rPr>
          <w:rFonts w:ascii="宋体" w:hAnsi="宋体" w:cs="宋体" w:eastAsia="宋体" w:hint="default"/>
          <w:sz w:val="26"/>
          <w:szCs w:val="26"/>
        </w:rPr>
      </w:pPr>
    </w:p>
    <w:p>
      <w:pPr>
        <w:spacing w:line="499" w:lineRule="auto" w:before="0"/>
        <w:ind w:left="633" w:right="6652" w:hanging="480"/>
        <w:jc w:val="left"/>
        <w:rPr>
          <w:rFonts w:ascii="宋体" w:hAnsi="宋体" w:cs="宋体" w:eastAsia="宋体" w:hint="default"/>
          <w:sz w:val="24"/>
          <w:szCs w:val="24"/>
        </w:rPr>
      </w:pPr>
      <w:bookmarkStart w:name="4、股份支付的修改、终止情况" w:id="358"/>
      <w:bookmarkEnd w:id="358"/>
      <w:r>
        <w:rPr/>
      </w:r>
      <w:r>
        <w:rPr>
          <w:rFonts w:ascii="Times New Roman" w:hAnsi="Times New Roman" w:cs="Times New Roman" w:eastAsia="Times New Roman" w:hint="default"/>
          <w:b/>
          <w:bCs/>
          <w:w w:val="95"/>
          <w:sz w:val="24"/>
          <w:szCs w:val="24"/>
        </w:rPr>
        <w:t>4</w:t>
      </w:r>
      <w:r>
        <w:rPr>
          <w:rFonts w:ascii="宋体" w:hAnsi="宋体" w:cs="宋体" w:eastAsia="宋体" w:hint="default"/>
          <w:b/>
          <w:bCs/>
          <w:w w:val="95"/>
          <w:sz w:val="24"/>
          <w:szCs w:val="24"/>
        </w:rPr>
        <w:t>、股份支付的修改、终止情况</w:t>
      </w:r>
      <w:r>
        <w:rPr>
          <w:rFonts w:ascii="宋体" w:hAnsi="宋体" w:cs="宋体" w:eastAsia="宋体" w:hint="default"/>
          <w:b/>
          <w:bCs/>
          <w:spacing w:val="35"/>
          <w:w w:val="95"/>
          <w:sz w:val="24"/>
          <w:szCs w:val="24"/>
        </w:rPr>
        <w:t> </w:t>
      </w:r>
      <w:r>
        <w:rPr>
          <w:rFonts w:ascii="宋体" w:hAnsi="宋体" w:cs="宋体" w:eastAsia="宋体" w:hint="default"/>
          <w:sz w:val="24"/>
          <w:szCs w:val="24"/>
        </w:rPr>
        <w:t>无。</w:t>
      </w:r>
    </w:p>
    <w:p>
      <w:pPr>
        <w:spacing w:before="116"/>
        <w:ind w:left="153" w:right="0" w:firstLine="0"/>
        <w:jc w:val="left"/>
        <w:rPr>
          <w:rFonts w:ascii="宋体" w:hAnsi="宋体" w:cs="宋体" w:eastAsia="宋体" w:hint="default"/>
          <w:sz w:val="24"/>
          <w:szCs w:val="24"/>
        </w:rPr>
      </w:pPr>
      <w:bookmarkStart w:name="十四、承诺及或有事项" w:id="359"/>
      <w:bookmarkEnd w:id="359"/>
      <w:r>
        <w:rPr/>
      </w:r>
      <w:r>
        <w:rPr>
          <w:rFonts w:ascii="宋体" w:hAnsi="宋体" w:cs="宋体" w:eastAsia="宋体" w:hint="default"/>
          <w:b/>
          <w:bCs/>
          <w:sz w:val="24"/>
          <w:szCs w:val="24"/>
        </w:rPr>
        <w:t>十四、承诺及或有事项</w:t>
      </w:r>
      <w:r>
        <w:rPr>
          <w:rFonts w:ascii="宋体" w:hAnsi="宋体" w:cs="宋体" w:eastAsia="宋体" w:hint="default"/>
          <w:sz w:val="24"/>
          <w:szCs w:val="24"/>
        </w:rPr>
      </w:r>
    </w:p>
    <w:p>
      <w:pPr>
        <w:spacing w:line="692" w:lineRule="exact" w:before="27"/>
        <w:ind w:left="633" w:right="6173" w:hanging="480"/>
        <w:jc w:val="left"/>
        <w:rPr>
          <w:rFonts w:ascii="宋体" w:hAnsi="宋体" w:cs="宋体" w:eastAsia="宋体" w:hint="default"/>
          <w:sz w:val="24"/>
          <w:szCs w:val="24"/>
        </w:rPr>
      </w:pPr>
      <w:bookmarkStart w:name="1、重要承诺事项" w:id="360"/>
      <w:bookmarkEnd w:id="360"/>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、重要承诺事项</w:t>
      </w:r>
      <w:r>
        <w:rPr>
          <w:rFonts w:ascii="宋体" w:hAnsi="宋体" w:cs="宋体" w:eastAsia="宋体" w:hint="default"/>
          <w:b/>
          <w:bCs/>
          <w:w w:val="99"/>
          <w:sz w:val="24"/>
          <w:szCs w:val="24"/>
        </w:rPr>
        <w:t> </w:t>
      </w:r>
      <w:r>
        <w:rPr>
          <w:rFonts w:ascii="宋体" w:hAnsi="宋体" w:cs="宋体" w:eastAsia="宋体" w:hint="default"/>
          <w:sz w:val="24"/>
          <w:szCs w:val="24"/>
        </w:rPr>
        <w:t>资产负债表日存在的重要承诺</w:t>
      </w:r>
    </w:p>
    <w:p>
      <w:pPr>
        <w:pStyle w:val="BodyText"/>
        <w:spacing w:line="240" w:lineRule="auto" w:before="87"/>
        <w:ind w:left="633" w:right="0"/>
        <w:jc w:val="left"/>
      </w:pPr>
      <w:r>
        <w:rPr/>
        <w:t>本公司之子公司湖北中文在线于</w:t>
      </w:r>
      <w:r>
        <w:rPr>
          <w:spacing w:val="-74"/>
        </w:rPr>
        <w:t> </w:t>
      </w:r>
      <w:r>
        <w:rPr>
          <w:rFonts w:ascii="宋体" w:hAnsi="宋体" w:cs="宋体" w:eastAsia="宋体" w:hint="default"/>
        </w:rPr>
        <w:t>2014</w:t>
      </w:r>
      <w:r>
        <w:rPr>
          <w:rFonts w:ascii="宋体" w:hAnsi="宋体" w:cs="宋体" w:eastAsia="宋体" w:hint="default"/>
          <w:spacing w:val="-75"/>
        </w:rPr>
        <w:t> </w:t>
      </w:r>
      <w:r>
        <w:rPr/>
        <w:t>年</w:t>
      </w:r>
      <w:r>
        <w:rPr>
          <w:spacing w:val="-75"/>
        </w:rPr>
        <w:t> </w:t>
      </w:r>
      <w:r>
        <w:rPr>
          <w:rFonts w:ascii="宋体" w:hAnsi="宋体" w:cs="宋体" w:eastAsia="宋体" w:hint="default"/>
        </w:rPr>
        <w:t>11</w:t>
      </w:r>
      <w:r>
        <w:rPr>
          <w:rFonts w:ascii="宋体" w:hAnsi="宋体" w:cs="宋体" w:eastAsia="宋体" w:hint="default"/>
          <w:spacing w:val="-76"/>
        </w:rPr>
        <w:t> </w:t>
      </w:r>
      <w:r>
        <w:rPr/>
        <w:t>月</w:t>
      </w:r>
      <w:r>
        <w:rPr>
          <w:spacing w:val="-75"/>
        </w:rPr>
        <w:t> </w:t>
      </w:r>
      <w:r>
        <w:rPr>
          <w:rFonts w:ascii="宋体" w:hAnsi="宋体" w:cs="宋体" w:eastAsia="宋体" w:hint="default"/>
        </w:rPr>
        <w:t>28</w:t>
      </w:r>
      <w:r>
        <w:rPr>
          <w:rFonts w:ascii="宋体" w:hAnsi="宋体" w:cs="宋体" w:eastAsia="宋体" w:hint="default"/>
          <w:spacing w:val="-75"/>
        </w:rPr>
        <w:t> </w:t>
      </w:r>
      <w:r>
        <w:rPr/>
        <w:t>日与华人汇和科技园建设有限公司签署</w:t>
      </w:r>
    </w:p>
    <w:p>
      <w:pPr>
        <w:pStyle w:val="BodyText"/>
        <w:spacing w:line="240" w:lineRule="auto" w:before="154"/>
        <w:ind w:right="0"/>
        <w:jc w:val="left"/>
      </w:pPr>
      <w:r>
        <w:rPr/>
        <w:t>商品房买卖合同，购买第</w:t>
      </w:r>
      <w:r>
        <w:rPr>
          <w:spacing w:val="-60"/>
        </w:rPr>
        <w:t> </w:t>
      </w:r>
      <w:r>
        <w:rPr>
          <w:rFonts w:ascii="宋体" w:hAnsi="宋体" w:cs="宋体" w:eastAsia="宋体" w:hint="default"/>
        </w:rPr>
        <w:t>B4</w:t>
      </w:r>
      <w:r>
        <w:rPr>
          <w:rFonts w:ascii="宋体" w:hAnsi="宋体" w:cs="宋体" w:eastAsia="宋体" w:hint="default"/>
          <w:spacing w:val="-60"/>
        </w:rPr>
        <w:t> </w:t>
      </w:r>
      <w:r>
        <w:rPr/>
        <w:t>幢</w:t>
      </w:r>
      <w:r>
        <w:rPr>
          <w:spacing w:val="-60"/>
        </w:rPr>
        <w:t> </w:t>
      </w:r>
      <w:r>
        <w:rPr>
          <w:rFonts w:ascii="宋体" w:hAnsi="宋体" w:cs="宋体" w:eastAsia="宋体" w:hint="default"/>
        </w:rPr>
        <w:t>1-7</w:t>
      </w:r>
      <w:r>
        <w:rPr>
          <w:rFonts w:ascii="宋体" w:hAnsi="宋体" w:cs="宋体" w:eastAsia="宋体" w:hint="default"/>
          <w:spacing w:val="-60"/>
        </w:rPr>
        <w:t> </w:t>
      </w:r>
      <w:r>
        <w:rPr/>
        <w:t>层建筑面积共计</w:t>
      </w:r>
      <w:r>
        <w:rPr>
          <w:spacing w:val="-60"/>
        </w:rPr>
        <w:t> </w:t>
      </w:r>
      <w:r>
        <w:rPr>
          <w:rFonts w:ascii="宋体" w:hAnsi="宋体" w:cs="宋体" w:eastAsia="宋体" w:hint="default"/>
        </w:rPr>
        <w:t>5274.61</w:t>
      </w:r>
      <w:r>
        <w:rPr>
          <w:rFonts w:ascii="宋体" w:hAnsi="宋体" w:cs="宋体" w:eastAsia="宋体" w:hint="default"/>
          <w:spacing w:val="-60"/>
        </w:rPr>
        <w:t> </w:t>
      </w:r>
      <w:r>
        <w:rPr/>
        <w:t>平米，单价每平米</w:t>
      </w:r>
      <w:r>
        <w:rPr>
          <w:spacing w:val="-60"/>
        </w:rPr>
        <w:t> </w:t>
      </w:r>
      <w:r>
        <w:rPr>
          <w:rFonts w:ascii="宋体" w:hAnsi="宋体" w:cs="宋体" w:eastAsia="宋体" w:hint="default"/>
        </w:rPr>
        <w:t>6600</w:t>
      </w:r>
      <w:r>
        <w:rPr>
          <w:rFonts w:ascii="宋体" w:hAnsi="宋体" w:cs="宋体" w:eastAsia="宋体" w:hint="default"/>
          <w:spacing w:val="-60"/>
        </w:rPr>
        <w:t> </w:t>
      </w:r>
      <w:r>
        <w:rPr/>
        <w:t>元，总</w:t>
      </w:r>
    </w:p>
    <w:p>
      <w:pPr>
        <w:pStyle w:val="BodyText"/>
        <w:spacing w:line="240" w:lineRule="auto" w:before="154"/>
        <w:ind w:right="0"/>
        <w:jc w:val="left"/>
      </w:pPr>
      <w:r>
        <w:rPr/>
        <w:t>金额</w:t>
      </w:r>
      <w:r>
        <w:rPr>
          <w:spacing w:val="-60"/>
        </w:rPr>
        <w:t> </w:t>
      </w:r>
      <w:r>
        <w:rPr>
          <w:rFonts w:ascii="宋体" w:hAnsi="宋体" w:cs="宋体" w:eastAsia="宋体" w:hint="default"/>
        </w:rPr>
        <w:t>34,812,400.00</w:t>
      </w:r>
      <w:r>
        <w:rPr>
          <w:rFonts w:ascii="宋体" w:hAnsi="宋体" w:cs="宋体" w:eastAsia="宋体" w:hint="default"/>
          <w:spacing w:val="-60"/>
        </w:rPr>
        <w:t> </w:t>
      </w:r>
      <w:r>
        <w:rPr/>
        <w:t>元，在合同签署后</w:t>
      </w:r>
      <w:r>
        <w:rPr>
          <w:spacing w:val="-60"/>
        </w:rPr>
        <w:t> </w:t>
      </w:r>
      <w:r>
        <w:rPr>
          <w:rFonts w:ascii="宋体" w:hAnsi="宋体" w:cs="宋体" w:eastAsia="宋体" w:hint="default"/>
        </w:rPr>
        <w:t>5</w:t>
      </w:r>
      <w:r>
        <w:rPr>
          <w:rFonts w:ascii="宋体" w:hAnsi="宋体" w:cs="宋体" w:eastAsia="宋体" w:hint="default"/>
          <w:spacing w:val="-60"/>
        </w:rPr>
        <w:t> </w:t>
      </w:r>
      <w:r>
        <w:rPr/>
        <w:t>个工作日内支付总房款</w:t>
      </w:r>
      <w:r>
        <w:rPr>
          <w:spacing w:val="-60"/>
        </w:rPr>
        <w:t> </w:t>
      </w:r>
      <w:r>
        <w:rPr>
          <w:rFonts w:ascii="宋体" w:hAnsi="宋体" w:cs="宋体" w:eastAsia="宋体" w:hint="default"/>
        </w:rPr>
        <w:t>50%</w:t>
      </w:r>
      <w:r>
        <w:rPr/>
        <w:t>即</w:t>
      </w:r>
      <w:r>
        <w:rPr>
          <w:spacing w:val="-60"/>
        </w:rPr>
        <w:t> </w:t>
      </w:r>
      <w:r>
        <w:rPr>
          <w:rFonts w:ascii="宋体" w:hAnsi="宋体" w:cs="宋体" w:eastAsia="宋体" w:hint="default"/>
        </w:rPr>
        <w:t>17,406,200.00</w:t>
      </w:r>
      <w:r>
        <w:rPr>
          <w:rFonts w:ascii="宋体" w:hAnsi="宋体" w:cs="宋体" w:eastAsia="宋体" w:hint="default"/>
          <w:spacing w:val="-60"/>
        </w:rPr>
        <w:t> </w:t>
      </w:r>
      <w:r>
        <w:rPr/>
        <w:t>元、</w:t>
      </w:r>
    </w:p>
    <w:p>
      <w:pPr>
        <w:pStyle w:val="BodyText"/>
        <w:spacing w:line="240" w:lineRule="auto" w:before="154"/>
        <w:ind w:right="0"/>
        <w:jc w:val="left"/>
      </w:pPr>
      <w:r>
        <w:rPr/>
        <w:t>在</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日前支付</w:t>
      </w:r>
      <w:r>
        <w:rPr>
          <w:spacing w:val="-60"/>
        </w:rPr>
        <w:t> </w:t>
      </w:r>
      <w:r>
        <w:rPr>
          <w:rFonts w:ascii="宋体" w:hAnsi="宋体" w:cs="宋体" w:eastAsia="宋体" w:hint="default"/>
        </w:rPr>
        <w:t>45%</w:t>
      </w:r>
      <w:r>
        <w:rPr/>
        <w:t>即</w:t>
      </w:r>
      <w:r>
        <w:rPr>
          <w:spacing w:val="-60"/>
        </w:rPr>
        <w:t> </w:t>
      </w:r>
      <w:r>
        <w:rPr>
          <w:rFonts w:ascii="宋体" w:hAnsi="宋体" w:cs="宋体" w:eastAsia="宋体" w:hint="default"/>
        </w:rPr>
        <w:t>15,665,580.00</w:t>
      </w:r>
      <w:r>
        <w:rPr>
          <w:rFonts w:ascii="宋体" w:hAnsi="宋体" w:cs="宋体" w:eastAsia="宋体" w:hint="default"/>
          <w:spacing w:val="-60"/>
        </w:rPr>
        <w:t> </w:t>
      </w:r>
      <w:r>
        <w:rPr/>
        <w:t>元，在房产管理部门办理登记备案</w:t>
      </w:r>
      <w:r>
        <w:rPr>
          <w:spacing w:val="-60"/>
        </w:rPr>
        <w:t> </w:t>
      </w:r>
      <w:r>
        <w:rPr>
          <w:rFonts w:ascii="宋体" w:hAnsi="宋体" w:cs="宋体" w:eastAsia="宋体" w:hint="default"/>
        </w:rPr>
        <w:t>5</w:t>
      </w:r>
      <w:r>
        <w:rPr>
          <w:rFonts w:ascii="宋体" w:hAnsi="宋体" w:cs="宋体" w:eastAsia="宋体" w:hint="default"/>
          <w:spacing w:val="-60"/>
        </w:rPr>
        <w:t> </w:t>
      </w:r>
      <w:r>
        <w:rPr/>
        <w:t>日内</w:t>
      </w:r>
    </w:p>
    <w:p>
      <w:pPr>
        <w:pStyle w:val="BodyText"/>
        <w:spacing w:line="240" w:lineRule="auto" w:before="154"/>
        <w:ind w:right="0"/>
        <w:jc w:val="left"/>
      </w:pPr>
      <w:r>
        <w:rPr/>
        <w:t>付</w:t>
      </w:r>
      <w:r>
        <w:rPr>
          <w:spacing w:val="-60"/>
        </w:rPr>
        <w:t> </w:t>
      </w:r>
      <w:r>
        <w:rPr>
          <w:rFonts w:ascii="宋体" w:hAnsi="宋体" w:cs="宋体" w:eastAsia="宋体" w:hint="default"/>
        </w:rPr>
        <w:t>5%</w:t>
      </w:r>
      <w:r>
        <w:rPr/>
        <w:t>及</w:t>
      </w:r>
      <w:r>
        <w:rPr>
          <w:spacing w:val="-60"/>
        </w:rPr>
        <w:t> </w:t>
      </w:r>
      <w:r>
        <w:rPr>
          <w:rFonts w:ascii="宋体" w:hAnsi="宋体" w:cs="宋体" w:eastAsia="宋体" w:hint="default"/>
        </w:rPr>
        <w:t>1,740,620.00</w:t>
      </w:r>
      <w:r>
        <w:rPr>
          <w:rFonts w:ascii="宋体" w:hAnsi="宋体" w:cs="宋体" w:eastAsia="宋体" w:hint="default"/>
          <w:spacing w:val="-60"/>
        </w:rPr>
        <w:t> </w:t>
      </w:r>
      <w:r>
        <w:rPr/>
        <w:t>元；湖北中文在线于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日支付</w:t>
      </w:r>
      <w:r>
        <w:rPr>
          <w:spacing w:val="-60"/>
        </w:rPr>
        <w:t> </w:t>
      </w:r>
      <w:r>
        <w:rPr>
          <w:rFonts w:ascii="宋体" w:hAnsi="宋体" w:cs="宋体" w:eastAsia="宋体" w:hint="default"/>
        </w:rPr>
        <w:t>17,406,200.00</w:t>
      </w:r>
      <w:r>
        <w:rPr>
          <w:rFonts w:ascii="宋体" w:hAnsi="宋体" w:cs="宋体" w:eastAsia="宋体" w:hint="default"/>
          <w:spacing w:val="-60"/>
        </w:rPr>
        <w:t> </w:t>
      </w:r>
      <w:r>
        <w:rPr/>
        <w:t>元计入预</w:t>
      </w:r>
    </w:p>
    <w:p>
      <w:pPr>
        <w:pStyle w:val="BodyText"/>
        <w:spacing w:line="240" w:lineRule="auto" w:before="154"/>
        <w:ind w:right="0"/>
        <w:jc w:val="left"/>
        <w:rPr>
          <w:rFonts w:ascii="宋体" w:hAnsi="宋体" w:cs="宋体" w:eastAsia="宋体" w:hint="default"/>
        </w:rPr>
      </w:pPr>
      <w:r>
        <w:rPr/>
        <w:t>付账款；同时房屋买卖合同补充协议约定，湖北中文在线承诺</w:t>
      </w:r>
      <w:r>
        <w:rPr>
          <w:spacing w:val="-63"/>
        </w:rPr>
        <w:t> </w:t>
      </w:r>
      <w:r>
        <w:rPr>
          <w:rFonts w:ascii="宋体" w:hAnsi="宋体" w:cs="宋体" w:eastAsia="宋体" w:hint="default"/>
        </w:rPr>
        <w:t>2015</w:t>
      </w:r>
      <w:r>
        <w:rPr>
          <w:rFonts w:ascii="宋体" w:hAnsi="宋体" w:cs="宋体" w:eastAsia="宋体" w:hint="default"/>
          <w:spacing w:val="-62"/>
        </w:rPr>
        <w:t> </w:t>
      </w:r>
      <w:r>
        <w:rPr/>
        <w:t>年</w:t>
      </w:r>
      <w:r>
        <w:rPr>
          <w:spacing w:val="-64"/>
        </w:rPr>
        <w:t> </w:t>
      </w:r>
      <w:r>
        <w:rPr>
          <w:rFonts w:ascii="宋体" w:hAnsi="宋体" w:cs="宋体" w:eastAsia="宋体" w:hint="default"/>
        </w:rPr>
        <w:t>3</w:t>
      </w:r>
      <w:r>
        <w:rPr>
          <w:rFonts w:ascii="宋体" w:hAnsi="宋体" w:cs="宋体" w:eastAsia="宋体" w:hint="default"/>
          <w:spacing w:val="-64"/>
        </w:rPr>
        <w:t> </w:t>
      </w:r>
      <w:r>
        <w:rPr/>
        <w:t>月</w:t>
      </w:r>
      <w:r>
        <w:rPr>
          <w:spacing w:val="-64"/>
        </w:rPr>
        <w:t> </w:t>
      </w:r>
      <w:r>
        <w:rPr>
          <w:rFonts w:ascii="宋体" w:hAnsi="宋体" w:cs="宋体" w:eastAsia="宋体" w:hint="default"/>
        </w:rPr>
        <w:t>28</w:t>
      </w:r>
      <w:r>
        <w:rPr>
          <w:rFonts w:ascii="宋体" w:hAnsi="宋体" w:cs="宋体" w:eastAsia="宋体" w:hint="default"/>
          <w:spacing w:val="-63"/>
        </w:rPr>
        <w:t> </w:t>
      </w:r>
      <w:r>
        <w:rPr/>
        <w:t>日之前完成</w:t>
      </w:r>
      <w:r>
        <w:rPr>
          <w:spacing w:val="-64"/>
        </w:rPr>
        <w:t> </w:t>
      </w:r>
      <w:r>
        <w:rPr>
          <w:rFonts w:ascii="宋体" w:hAnsi="宋体" w:cs="宋体" w:eastAsia="宋体" w:hint="default"/>
        </w:rPr>
        <w:t>B4</w:t>
      </w:r>
    </w:p>
    <w:p>
      <w:pPr>
        <w:pStyle w:val="BodyText"/>
        <w:spacing w:line="240" w:lineRule="auto" w:before="154"/>
        <w:ind w:right="0"/>
        <w:jc w:val="left"/>
      </w:pPr>
      <w:r>
        <w:rPr/>
        <w:t>幢余下</w:t>
      </w:r>
      <w:r>
        <w:rPr>
          <w:spacing w:val="-60"/>
        </w:rPr>
        <w:t> </w:t>
      </w:r>
      <w:r>
        <w:rPr>
          <w:rFonts w:ascii="宋体" w:hAnsi="宋体" w:cs="宋体" w:eastAsia="宋体" w:hint="default"/>
        </w:rPr>
        <w:t>4</w:t>
      </w:r>
      <w:r>
        <w:rPr>
          <w:rFonts w:ascii="宋体" w:hAnsi="宋体" w:cs="宋体" w:eastAsia="宋体" w:hint="default"/>
          <w:spacing w:val="-60"/>
        </w:rPr>
        <w:t> </w:t>
      </w:r>
      <w:r>
        <w:rPr/>
        <w:t>层</w:t>
      </w:r>
      <w:r>
        <w:rPr>
          <w:spacing w:val="-60"/>
        </w:rPr>
        <w:t> </w:t>
      </w:r>
      <w:r>
        <w:rPr>
          <w:rFonts w:ascii="宋体" w:hAnsi="宋体" w:cs="宋体" w:eastAsia="宋体" w:hint="default"/>
        </w:rPr>
        <w:t>3323.12</w:t>
      </w:r>
      <w:r>
        <w:rPr>
          <w:rFonts w:ascii="宋体" w:hAnsi="宋体" w:cs="宋体" w:eastAsia="宋体" w:hint="default"/>
          <w:spacing w:val="-60"/>
        </w:rPr>
        <w:t> </w:t>
      </w:r>
      <w:r>
        <w:rPr/>
        <w:t>平米的物业招商销售工作，承诺销售价格为</w:t>
      </w:r>
      <w:r>
        <w:rPr>
          <w:spacing w:val="-60"/>
        </w:rPr>
        <w:t> </w:t>
      </w:r>
      <w:r>
        <w:rPr>
          <w:rFonts w:ascii="宋体" w:hAnsi="宋体" w:cs="宋体" w:eastAsia="宋体" w:hint="default"/>
        </w:rPr>
        <w:t>6600</w:t>
      </w:r>
      <w:r>
        <w:rPr>
          <w:rFonts w:ascii="宋体" w:hAnsi="宋体" w:cs="宋体" w:eastAsia="宋体" w:hint="default"/>
          <w:spacing w:val="-60"/>
        </w:rPr>
        <w:t> </w:t>
      </w:r>
      <w:r>
        <w:rPr/>
        <w:t>元每平米，如不能在</w:t>
      </w:r>
    </w:p>
    <w:p>
      <w:pPr>
        <w:pStyle w:val="BodyText"/>
        <w:spacing w:line="357" w:lineRule="auto" w:before="154"/>
        <w:ind w:right="233"/>
        <w:jc w:val="left"/>
      </w:pP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日之前完成，将按照承诺价格自行购买相应物业，届时将另行签署商品房买 卖合同。截止本财务报告报出日，该事项尚处于谈判中。</w:t>
      </w:r>
    </w:p>
    <w:p>
      <w:pPr>
        <w:spacing w:after="0" w:line="357" w:lineRule="auto"/>
        <w:jc w:val="left"/>
        <w:sectPr>
          <w:pgSz w:w="11910" w:h="16840"/>
          <w:pgMar w:header="0" w:footer="979" w:top="1100" w:bottom="1160" w:left="980" w:right="980"/>
        </w:sectPr>
      </w:pPr>
    </w:p>
    <w:p>
      <w:pPr>
        <w:spacing w:line="240" w:lineRule="auto" w:before="8"/>
        <w:rPr>
          <w:rFonts w:ascii="宋体" w:hAnsi="宋体" w:cs="宋体" w:eastAsia="宋体" w:hint="default"/>
          <w:sz w:val="19"/>
          <w:szCs w:val="19"/>
        </w:rPr>
      </w:pPr>
    </w:p>
    <w:p>
      <w:pPr>
        <w:spacing w:before="26"/>
        <w:ind w:left="154" w:right="0" w:firstLine="0"/>
        <w:jc w:val="left"/>
        <w:rPr>
          <w:rFonts w:ascii="宋体" w:hAnsi="宋体" w:cs="宋体" w:eastAsia="宋体" w:hint="default"/>
          <w:sz w:val="24"/>
          <w:szCs w:val="24"/>
        </w:rPr>
      </w:pPr>
      <w:bookmarkStart w:name="2、或有事项" w:id="361"/>
      <w:bookmarkEnd w:id="361"/>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、或有事项</w:t>
      </w:r>
      <w:r>
        <w:rPr>
          <w:rFonts w:ascii="宋体" w:hAnsi="宋体" w:cs="宋体" w:eastAsia="宋体" w:hint="default"/>
          <w:sz w:val="24"/>
          <w:szCs w:val="24"/>
        </w:rPr>
      </w:r>
    </w:p>
    <w:p>
      <w:pPr>
        <w:spacing w:line="240" w:lineRule="auto" w:before="7"/>
        <w:rPr>
          <w:rFonts w:ascii="宋体" w:hAnsi="宋体" w:cs="宋体" w:eastAsia="宋体" w:hint="default"/>
          <w:b/>
          <w:bCs/>
          <w:sz w:val="21"/>
          <w:szCs w:val="21"/>
        </w:rPr>
      </w:pPr>
    </w:p>
    <w:p>
      <w:pPr>
        <w:spacing w:before="0"/>
        <w:ind w:left="154" w:right="0" w:firstLine="0"/>
        <w:jc w:val="left"/>
        <w:rPr>
          <w:rFonts w:ascii="宋体" w:hAnsi="宋体" w:cs="宋体" w:eastAsia="宋体" w:hint="default"/>
          <w:sz w:val="24"/>
          <w:szCs w:val="24"/>
        </w:rPr>
      </w:pPr>
      <w:bookmarkStart w:name="（1）资产负债表日存在的重要或有事项" w:id="362"/>
      <w:bookmarkEnd w:id="362"/>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）资产负债表日存在的重要或有事项</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pStyle w:val="BodyText"/>
        <w:spacing w:line="240" w:lineRule="auto" w:before="0"/>
        <w:ind w:left="633" w:right="0"/>
        <w:jc w:val="left"/>
      </w:pPr>
      <w:r>
        <w:rPr/>
        <w:t>截止</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日，本公司无重大或有事项。</w:t>
      </w:r>
    </w:p>
    <w:p>
      <w:pPr>
        <w:spacing w:line="240" w:lineRule="auto" w:before="8"/>
        <w:rPr>
          <w:rFonts w:ascii="宋体" w:hAnsi="宋体" w:cs="宋体" w:eastAsia="宋体" w:hint="default"/>
          <w:sz w:val="28"/>
          <w:szCs w:val="28"/>
        </w:rPr>
      </w:pPr>
    </w:p>
    <w:p>
      <w:pPr>
        <w:spacing w:line="499" w:lineRule="auto" w:before="0"/>
        <w:ind w:left="633" w:right="1133" w:hanging="480"/>
        <w:jc w:val="left"/>
        <w:rPr>
          <w:rFonts w:ascii="宋体" w:hAnsi="宋体" w:cs="宋体" w:eastAsia="宋体" w:hint="default"/>
          <w:sz w:val="24"/>
          <w:szCs w:val="24"/>
        </w:rPr>
      </w:pPr>
      <w:bookmarkStart w:name="（2）公司没有需要披露的重要或有事项，也应予以说明" w:id="363"/>
      <w:bookmarkEnd w:id="363"/>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2</w:t>
      </w:r>
      <w:r>
        <w:rPr>
          <w:rFonts w:ascii="宋体" w:hAnsi="宋体" w:cs="宋体" w:eastAsia="宋体" w:hint="default"/>
          <w:b/>
          <w:bCs/>
          <w:w w:val="95"/>
          <w:sz w:val="24"/>
          <w:szCs w:val="24"/>
        </w:rPr>
        <w:t>）公司没有需要披露的重要或有事项，也应予以说明</w:t>
      </w:r>
      <w:r>
        <w:rPr>
          <w:rFonts w:ascii="宋体" w:hAnsi="宋体" w:cs="宋体" w:eastAsia="宋体" w:hint="default"/>
          <w:b/>
          <w:bCs/>
          <w:spacing w:val="43"/>
          <w:w w:val="95"/>
          <w:sz w:val="24"/>
          <w:szCs w:val="24"/>
        </w:rPr>
        <w:t> </w:t>
      </w:r>
      <w:r>
        <w:rPr>
          <w:rFonts w:ascii="宋体" w:hAnsi="宋体" w:cs="宋体" w:eastAsia="宋体" w:hint="default"/>
          <w:sz w:val="24"/>
          <w:szCs w:val="24"/>
        </w:rPr>
        <w:t>公司不存在需要披露的重要或有事项。</w:t>
      </w:r>
    </w:p>
    <w:p>
      <w:pPr>
        <w:spacing w:before="116"/>
        <w:ind w:left="154" w:right="0" w:firstLine="0"/>
        <w:jc w:val="left"/>
        <w:rPr>
          <w:rFonts w:ascii="宋体" w:hAnsi="宋体" w:cs="宋体" w:eastAsia="宋体" w:hint="default"/>
          <w:sz w:val="24"/>
          <w:szCs w:val="24"/>
        </w:rPr>
      </w:pPr>
      <w:bookmarkStart w:name="3、其他" w:id="364"/>
      <w:bookmarkEnd w:id="364"/>
      <w:r>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、其他</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spacing w:line="528" w:lineRule="auto" w:before="0"/>
        <w:ind w:left="153" w:right="2933" w:firstLine="480"/>
        <w:jc w:val="left"/>
        <w:rPr>
          <w:rFonts w:ascii="宋体" w:hAnsi="宋体" w:cs="宋体" w:eastAsia="宋体" w:hint="default"/>
          <w:sz w:val="24"/>
          <w:szCs w:val="24"/>
        </w:rPr>
      </w:pPr>
      <w:r>
        <w:rPr>
          <w:rFonts w:ascii="宋体" w:hAnsi="宋体" w:cs="宋体" w:eastAsia="宋体" w:hint="default"/>
          <w:sz w:val="24"/>
          <w:szCs w:val="24"/>
        </w:rPr>
        <w:t>截止</w:t>
      </w:r>
      <w:r>
        <w:rPr>
          <w:rFonts w:ascii="宋体" w:hAnsi="宋体" w:cs="宋体" w:eastAsia="宋体" w:hint="default"/>
          <w:spacing w:val="-60"/>
          <w:sz w:val="24"/>
          <w:szCs w:val="24"/>
        </w:rPr>
        <w:t> </w:t>
      </w: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日，本公司无需披露的其他重要事项。 </w:t>
      </w:r>
      <w:bookmarkStart w:name="十五、资产负债表日后事项" w:id="365"/>
      <w:bookmarkEnd w:id="365"/>
      <w:r>
        <w:rPr>
          <w:rFonts w:ascii="宋体" w:hAnsi="宋体" w:cs="宋体" w:eastAsia="宋体" w:hint="default"/>
          <w:sz w:val="24"/>
          <w:szCs w:val="24"/>
        </w:rPr>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before="11"/>
        <w:ind w:left="153" w:right="0" w:firstLine="0"/>
        <w:jc w:val="left"/>
        <w:rPr>
          <w:rFonts w:ascii="宋体" w:hAnsi="宋体" w:cs="宋体" w:eastAsia="宋体" w:hint="default"/>
          <w:sz w:val="24"/>
          <w:szCs w:val="24"/>
        </w:rPr>
      </w:pPr>
      <w:bookmarkStart w:name="1、重要的非调整事项" w:id="366"/>
      <w:bookmarkEnd w:id="366"/>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、重要的非调整事项</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471"/>
        <w:gridCol w:w="2307"/>
        <w:gridCol w:w="2391"/>
        <w:gridCol w:w="2389"/>
      </w:tblGrid>
      <w:tr>
        <w:trPr>
          <w:trHeight w:val="161"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07"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873" w:right="32" w:hanging="844"/>
              <w:jc w:val="left"/>
              <w:rPr>
                <w:rFonts w:ascii="宋体" w:hAnsi="宋体" w:cs="宋体" w:eastAsia="宋体" w:hint="default"/>
                <w:sz w:val="21"/>
                <w:szCs w:val="21"/>
              </w:rPr>
            </w:pPr>
            <w:r>
              <w:rPr>
                <w:rFonts w:ascii="宋体" w:hAnsi="宋体" w:cs="宋体" w:eastAsia="宋体" w:hint="default"/>
                <w:b/>
                <w:bCs/>
                <w:sz w:val="21"/>
                <w:szCs w:val="21"/>
              </w:rPr>
              <w:t>对财务状况和经营成果的</w:t>
            </w:r>
            <w:r>
              <w:rPr>
                <w:rFonts w:ascii="宋体" w:hAnsi="宋体" w:cs="宋体" w:eastAsia="宋体" w:hint="default"/>
                <w:b/>
                <w:bCs/>
                <w:w w:val="99"/>
                <w:sz w:val="21"/>
                <w:szCs w:val="21"/>
              </w:rPr>
              <w:t> </w:t>
            </w:r>
            <w:r>
              <w:rPr>
                <w:rFonts w:ascii="宋体" w:hAnsi="宋体" w:cs="宋体" w:eastAsia="宋体" w:hint="default"/>
                <w:b/>
                <w:bCs/>
                <w:sz w:val="21"/>
                <w:szCs w:val="21"/>
              </w:rPr>
              <w:t>影响数</w:t>
            </w:r>
            <w:r>
              <w:rPr>
                <w:rFonts w:ascii="宋体" w:hAnsi="宋体" w:cs="宋体" w:eastAsia="宋体" w:hint="default"/>
                <w:sz w:val="21"/>
                <w:szCs w:val="21"/>
              </w:rPr>
            </w:r>
          </w:p>
        </w:tc>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4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b/>
                <w:bCs/>
                <w:sz w:val="21"/>
                <w:szCs w:val="21"/>
              </w:rPr>
              <w:t>内容</w:t>
            </w:r>
            <w:r>
              <w:rPr>
                <w:rFonts w:ascii="宋体" w:hAnsi="宋体" w:cs="宋体" w:eastAsia="宋体" w:hint="default"/>
                <w:sz w:val="21"/>
                <w:szCs w:val="21"/>
              </w:rPr>
            </w:r>
          </w:p>
        </w:tc>
        <w:tc>
          <w:tcPr>
            <w:tcW w:w="2391" w:type="dxa"/>
            <w:vMerge/>
            <w:tcBorders>
              <w:left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35" w:right="0"/>
              <w:jc w:val="left"/>
              <w:rPr>
                <w:rFonts w:ascii="宋体" w:hAnsi="宋体" w:cs="宋体" w:eastAsia="宋体" w:hint="default"/>
                <w:sz w:val="21"/>
                <w:szCs w:val="21"/>
              </w:rPr>
            </w:pPr>
            <w:r>
              <w:rPr>
                <w:rFonts w:ascii="宋体" w:hAnsi="宋体" w:cs="宋体" w:eastAsia="宋体" w:hint="default"/>
                <w:b/>
                <w:bCs/>
                <w:sz w:val="21"/>
                <w:szCs w:val="21"/>
              </w:rPr>
              <w:t>无法估计影响数的原因</w:t>
            </w:r>
            <w:r>
              <w:rPr>
                <w:rFonts w:ascii="宋体" w:hAnsi="宋体" w:cs="宋体" w:eastAsia="宋体" w:hint="default"/>
                <w:sz w:val="21"/>
                <w:szCs w:val="21"/>
              </w:rPr>
            </w:r>
          </w:p>
        </w:tc>
      </w:tr>
      <w:tr>
        <w:trPr>
          <w:trHeight w:val="161"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股票和债券的发行</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股票发行</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45" w:right="0"/>
              <w:jc w:val="left"/>
              <w:rPr>
                <w:rFonts w:ascii="Times New Roman" w:hAnsi="Times New Roman" w:cs="Times New Roman" w:eastAsia="Times New Roman" w:hint="default"/>
                <w:sz w:val="21"/>
                <w:szCs w:val="21"/>
              </w:rPr>
            </w:pPr>
            <w:r>
              <w:rPr>
                <w:rFonts w:ascii="Times New Roman"/>
                <w:sz w:val="21"/>
              </w:rPr>
              <w:t>167,468,281.40</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重要的对外投资</w:t>
            </w:r>
          </w:p>
        </w:tc>
        <w:tc>
          <w:tcPr>
            <w:tcW w:w="2307"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重要的债务重组</w:t>
            </w:r>
          </w:p>
        </w:tc>
        <w:tc>
          <w:tcPr>
            <w:tcW w:w="2307"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自然灾害</w:t>
            </w:r>
          </w:p>
        </w:tc>
        <w:tc>
          <w:tcPr>
            <w:tcW w:w="2307"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外汇汇率重要变动</w:t>
            </w:r>
          </w:p>
        </w:tc>
        <w:tc>
          <w:tcPr>
            <w:tcW w:w="2307"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2、利润分配情况" w:id="367"/>
      <w:bookmarkEnd w:id="367"/>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、利润分配情况</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9,600,000.00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spacing w:line="499" w:lineRule="auto" w:before="26"/>
        <w:ind w:left="634" w:right="8447" w:hanging="480"/>
        <w:jc w:val="left"/>
        <w:rPr>
          <w:rFonts w:ascii="宋体" w:hAnsi="宋体" w:cs="宋体" w:eastAsia="宋体" w:hint="default"/>
          <w:sz w:val="24"/>
          <w:szCs w:val="24"/>
        </w:rPr>
      </w:pPr>
      <w:bookmarkStart w:name="3、销售退回" w:id="368"/>
      <w:bookmarkEnd w:id="368"/>
      <w:r>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、销售退回</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line="499" w:lineRule="auto" w:before="116"/>
        <w:ind w:left="633" w:right="173" w:hanging="480"/>
        <w:jc w:val="left"/>
        <w:rPr>
          <w:rFonts w:ascii="宋体" w:hAnsi="宋体" w:cs="宋体" w:eastAsia="宋体" w:hint="default"/>
          <w:sz w:val="24"/>
          <w:szCs w:val="24"/>
        </w:rPr>
      </w:pPr>
      <w:bookmarkStart w:name="4、其他资产负债表日后事项说明" w:id="369"/>
      <w:bookmarkEnd w:id="369"/>
      <w:r>
        <w:rPr/>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、其他资产负债表日后事项说明</w:t>
      </w:r>
      <w:r>
        <w:rPr>
          <w:rFonts w:ascii="宋体" w:hAnsi="宋体" w:cs="宋体" w:eastAsia="宋体" w:hint="default"/>
          <w:b/>
          <w:bCs/>
          <w:w w:val="99"/>
          <w:sz w:val="24"/>
          <w:szCs w:val="24"/>
        </w:rPr>
        <w:t> </w:t>
      </w:r>
      <w:r>
        <w:rPr>
          <w:rFonts w:ascii="宋体" w:hAnsi="宋体" w:cs="宋体" w:eastAsia="宋体" w:hint="default"/>
          <w:sz w:val="24"/>
          <w:szCs w:val="24"/>
        </w:rPr>
        <w:t>除存在上述资产负债表日后事项披露事项外，本公司无其他重大资产负债表日后事项。</w:t>
      </w:r>
    </w:p>
    <w:p>
      <w:pPr>
        <w:spacing w:after="0" w:line="499" w:lineRule="auto"/>
        <w:jc w:val="left"/>
        <w:rPr>
          <w:rFonts w:ascii="宋体" w:hAnsi="宋体" w:cs="宋体" w:eastAsia="宋体" w:hint="default"/>
          <w:sz w:val="24"/>
          <w:szCs w:val="24"/>
        </w:rPr>
        <w:sectPr>
          <w:pgSz w:w="11910" w:h="16840"/>
          <w:pgMar w:header="0" w:footer="979" w:top="1100" w:bottom="1160" w:left="980" w:right="980"/>
        </w:sectPr>
      </w:pPr>
    </w:p>
    <w:p>
      <w:pPr>
        <w:spacing w:before="15"/>
        <w:ind w:left="9149" w:right="0" w:firstLine="0"/>
        <w:jc w:val="left"/>
        <w:rPr>
          <w:rFonts w:ascii="宋体" w:hAnsi="宋体" w:cs="宋体" w:eastAsia="宋体" w:hint="default"/>
          <w:sz w:val="18"/>
          <w:szCs w:val="18"/>
        </w:rPr>
      </w:pPr>
      <w:r>
        <w:rPr>
          <w:rFonts w:ascii="宋体" w:hAnsi="宋体" w:cs="宋体" w:eastAsia="宋体" w:hint="default"/>
          <w:sz w:val="18"/>
          <w:szCs w:val="18"/>
        </w:rPr>
        <w:t>北京中文在线数字出版股份有限公司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5"/>
          <w:szCs w:val="15"/>
        </w:rPr>
      </w:pPr>
    </w:p>
    <w:p>
      <w:pPr>
        <w:spacing w:before="26"/>
        <w:ind w:left="140" w:right="0" w:firstLine="0"/>
        <w:jc w:val="left"/>
        <w:rPr>
          <w:rFonts w:ascii="宋体" w:hAnsi="宋体" w:cs="宋体" w:eastAsia="宋体" w:hint="default"/>
          <w:sz w:val="24"/>
          <w:szCs w:val="24"/>
        </w:rPr>
      </w:pPr>
      <w:bookmarkStart w:name="十七、母公司财务报表主要项目注释" w:id="370"/>
      <w:bookmarkEnd w:id="370"/>
      <w:r>
        <w:rPr/>
      </w:r>
      <w:r>
        <w:rPr>
          <w:rFonts w:ascii="宋体" w:hAnsi="宋体" w:cs="宋体" w:eastAsia="宋体" w:hint="default"/>
          <w:b/>
          <w:bCs/>
          <w:sz w:val="24"/>
          <w:szCs w:val="24"/>
        </w:rPr>
        <w:t>十七、母公司财务报表主要项目注释</w:t>
      </w:r>
      <w:r>
        <w:rPr>
          <w:rFonts w:ascii="宋体" w:hAnsi="宋体" w:cs="宋体" w:eastAsia="宋体" w:hint="default"/>
          <w:sz w:val="24"/>
          <w:szCs w:val="24"/>
        </w:rPr>
      </w:r>
    </w:p>
    <w:p>
      <w:pPr>
        <w:spacing w:line="240" w:lineRule="auto" w:before="12"/>
        <w:rPr>
          <w:rFonts w:ascii="宋体" w:hAnsi="宋体" w:cs="宋体" w:eastAsia="宋体" w:hint="default"/>
          <w:b/>
          <w:bCs/>
          <w:sz w:val="22"/>
          <w:szCs w:val="22"/>
        </w:rPr>
      </w:pPr>
    </w:p>
    <w:p>
      <w:pPr>
        <w:spacing w:before="0"/>
        <w:ind w:left="140" w:right="0" w:firstLine="0"/>
        <w:jc w:val="left"/>
        <w:rPr>
          <w:rFonts w:ascii="宋体" w:hAnsi="宋体" w:cs="宋体" w:eastAsia="宋体" w:hint="default"/>
          <w:sz w:val="24"/>
          <w:szCs w:val="24"/>
        </w:rPr>
      </w:pPr>
      <w:bookmarkStart w:name="1、应收账款" w:id="371"/>
      <w:bookmarkEnd w:id="371"/>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、应收账款</w:t>
      </w:r>
      <w:r>
        <w:rPr>
          <w:rFonts w:ascii="宋体" w:hAnsi="宋体" w:cs="宋体" w:eastAsia="宋体" w:hint="default"/>
          <w:sz w:val="24"/>
          <w:szCs w:val="24"/>
        </w:rPr>
      </w:r>
    </w:p>
    <w:p>
      <w:pPr>
        <w:spacing w:line="240" w:lineRule="auto" w:before="6"/>
        <w:rPr>
          <w:rFonts w:ascii="宋体" w:hAnsi="宋体" w:cs="宋体" w:eastAsia="宋体" w:hint="default"/>
          <w:b/>
          <w:bCs/>
          <w:sz w:val="21"/>
          <w:szCs w:val="21"/>
        </w:rPr>
      </w:pPr>
    </w:p>
    <w:p>
      <w:pPr>
        <w:spacing w:before="0"/>
        <w:ind w:left="140" w:right="0" w:firstLine="0"/>
        <w:jc w:val="left"/>
        <w:rPr>
          <w:rFonts w:ascii="宋体" w:hAnsi="宋体" w:cs="宋体" w:eastAsia="宋体" w:hint="default"/>
          <w:sz w:val="24"/>
          <w:szCs w:val="24"/>
        </w:rPr>
      </w:pPr>
      <w:bookmarkStart w:name="（1）应收账款分类披露" w:id="372"/>
      <w:bookmarkEnd w:id="372"/>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）应收账款分类披露</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36"/>
        <w:jc w:val="right"/>
      </w:pPr>
      <w:r>
        <w:rPr/>
        <w:t>单位： 元</w:t>
      </w:r>
    </w:p>
    <w:p>
      <w:pPr>
        <w:spacing w:line="240" w:lineRule="auto" w:before="10"/>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3366"/>
        <w:gridCol w:w="1276"/>
        <w:gridCol w:w="809"/>
        <w:gridCol w:w="1159"/>
        <w:gridCol w:w="822"/>
        <w:gridCol w:w="1264"/>
        <w:gridCol w:w="1265"/>
        <w:gridCol w:w="809"/>
        <w:gridCol w:w="1159"/>
        <w:gridCol w:w="822"/>
        <w:gridCol w:w="1264"/>
      </w:tblGrid>
      <w:tr>
        <w:trPr>
          <w:trHeight w:val="403" w:hRule="exact"/>
        </w:trPr>
        <w:tc>
          <w:tcPr>
            <w:tcW w:w="3366" w:type="dxa"/>
            <w:vMerge w:val="restart"/>
            <w:tcBorders>
              <w:top w:val="single" w:sz="4" w:space="0" w:color="000000"/>
              <w:left w:val="single" w:sz="4" w:space="0" w:color="000000"/>
              <w:right w:val="single" w:sz="4" w:space="0" w:color="000000"/>
            </w:tcBorders>
            <w:shd w:val="clear" w:color="auto" w:fill="D2D2D2"/>
          </w:tcPr>
          <w:p>
            <w:pPr/>
          </w:p>
        </w:tc>
        <w:tc>
          <w:tcPr>
            <w:tcW w:w="533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531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161" w:hRule="exact"/>
        </w:trPr>
        <w:tc>
          <w:tcPr>
            <w:tcW w:w="3366" w:type="dxa"/>
            <w:vMerge/>
            <w:tcBorders>
              <w:left w:val="single" w:sz="4" w:space="0" w:color="000000"/>
              <w:bottom w:val="nil" w:sz="6" w:space="0" w:color="auto"/>
              <w:right w:val="single" w:sz="4" w:space="0" w:color="000000"/>
            </w:tcBorders>
            <w:shd w:val="clear" w:color="auto" w:fill="D2D2D2"/>
          </w:tcPr>
          <w:p>
            <w:pPr/>
          </w:p>
        </w:tc>
        <w:tc>
          <w:tcPr>
            <w:tcW w:w="20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621"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9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562"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264" w:type="dxa"/>
            <w:vMerge w:val="restart"/>
            <w:tcBorders>
              <w:top w:val="single" w:sz="4" w:space="0" w:color="000000"/>
              <w:left w:val="single" w:sz="4" w:space="0" w:color="000000"/>
              <w:right w:val="single" w:sz="4" w:space="0" w:color="000000"/>
            </w:tcBorders>
            <w:shd w:val="clear" w:color="auto" w:fill="D2D2D2"/>
          </w:tcPr>
          <w:p>
            <w:pPr/>
          </w:p>
        </w:tc>
        <w:tc>
          <w:tcPr>
            <w:tcW w:w="20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610"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9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562"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264"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3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084" w:type="dxa"/>
            <w:gridSpan w:val="2"/>
            <w:vMerge/>
            <w:tcBorders>
              <w:left w:val="single" w:sz="4" w:space="0" w:color="000000"/>
              <w:bottom w:val="single" w:sz="4" w:space="0" w:color="000000"/>
              <w:right w:val="single" w:sz="4" w:space="0" w:color="000000"/>
            </w:tcBorders>
            <w:shd w:val="clear" w:color="auto" w:fill="D2D2D2"/>
          </w:tcPr>
          <w:p>
            <w:pPr/>
          </w:p>
        </w:tc>
        <w:tc>
          <w:tcPr>
            <w:tcW w:w="1982" w:type="dxa"/>
            <w:gridSpan w:val="2"/>
            <w:vMerge/>
            <w:tcBorders>
              <w:left w:val="single" w:sz="4" w:space="0" w:color="000000"/>
              <w:bottom w:val="single" w:sz="4" w:space="0" w:color="000000"/>
              <w:right w:val="single" w:sz="4" w:space="0" w:color="000000"/>
            </w:tcBorders>
            <w:shd w:val="clear" w:color="auto" w:fill="D2D2D2"/>
          </w:tcPr>
          <w:p>
            <w:pPr/>
          </w:p>
        </w:tc>
        <w:tc>
          <w:tcPr>
            <w:tcW w:w="1264" w:type="dxa"/>
            <w:vMerge/>
            <w:tcBorders>
              <w:left w:val="single" w:sz="4" w:space="0" w:color="000000"/>
              <w:bottom w:val="nil" w:sz="6" w:space="0" w:color="auto"/>
              <w:right w:val="single" w:sz="4" w:space="0" w:color="000000"/>
            </w:tcBorders>
            <w:shd w:val="clear" w:color="auto" w:fill="D2D2D2"/>
          </w:tcPr>
          <w:p>
            <w:pPr/>
          </w:p>
        </w:tc>
        <w:tc>
          <w:tcPr>
            <w:tcW w:w="2074" w:type="dxa"/>
            <w:gridSpan w:val="2"/>
            <w:vMerge/>
            <w:tcBorders>
              <w:left w:val="single" w:sz="4" w:space="0" w:color="000000"/>
              <w:bottom w:val="single" w:sz="4" w:space="0" w:color="000000"/>
              <w:right w:val="single" w:sz="4" w:space="0" w:color="000000"/>
            </w:tcBorders>
            <w:shd w:val="clear" w:color="auto" w:fill="D2D2D2"/>
          </w:tcPr>
          <w:p>
            <w:pPr/>
          </w:p>
        </w:tc>
        <w:tc>
          <w:tcPr>
            <w:tcW w:w="1982" w:type="dxa"/>
            <w:gridSpan w:val="2"/>
            <w:vMerge/>
            <w:tcBorders>
              <w:left w:val="single" w:sz="4" w:space="0" w:color="000000"/>
              <w:bottom w:val="single" w:sz="4" w:space="0" w:color="000000"/>
              <w:right w:val="single" w:sz="4" w:space="0" w:color="000000"/>
            </w:tcBorders>
            <w:shd w:val="clear" w:color="auto" w:fill="D2D2D2"/>
          </w:tcPr>
          <w:p>
            <w:pPr/>
          </w:p>
        </w:tc>
        <w:tc>
          <w:tcPr>
            <w:tcW w:w="1264"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3366" w:type="dxa"/>
            <w:vMerge/>
            <w:tcBorders>
              <w:left w:val="single" w:sz="4" w:space="0" w:color="000000"/>
              <w:bottom w:val="single" w:sz="4" w:space="0" w:color="FFFFFF"/>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80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115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300" w:right="88" w:hanging="212"/>
              <w:jc w:val="left"/>
              <w:rPr>
                <w:rFonts w:ascii="宋体" w:hAnsi="宋体" w:cs="宋体" w:eastAsia="宋体" w:hint="default"/>
                <w:sz w:val="21"/>
                <w:szCs w:val="21"/>
              </w:rPr>
            </w:pPr>
            <w:r>
              <w:rPr>
                <w:rFonts w:ascii="宋体" w:hAnsi="宋体" w:cs="宋体" w:eastAsia="宋体" w:hint="default"/>
                <w:b/>
                <w:bCs/>
                <w:sz w:val="21"/>
                <w:szCs w:val="21"/>
              </w:rPr>
              <w:t>计提比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264" w:type="dxa"/>
            <w:vMerge w:val="restart"/>
            <w:tcBorders>
              <w:top w:val="nil" w:sz="6" w:space="0" w:color="auto"/>
              <w:left w:val="single" w:sz="4" w:space="0" w:color="000000"/>
              <w:right w:val="single" w:sz="4" w:space="0" w:color="000000"/>
            </w:tcBorders>
            <w:shd w:val="clear" w:color="auto" w:fill="D2D2D2"/>
          </w:tcPr>
          <w:p>
            <w:pPr>
              <w:pStyle w:val="TableParagraph"/>
              <w:spacing w:line="261" w:lineRule="exact"/>
              <w:ind w:left="205"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9"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99" w:right="88" w:hanging="212"/>
              <w:jc w:val="left"/>
              <w:rPr>
                <w:rFonts w:ascii="宋体" w:hAnsi="宋体" w:cs="宋体" w:eastAsia="宋体" w:hint="default"/>
                <w:sz w:val="21"/>
                <w:szCs w:val="21"/>
              </w:rPr>
            </w:pPr>
            <w:r>
              <w:rPr>
                <w:rFonts w:ascii="宋体" w:hAnsi="宋体" w:cs="宋体" w:eastAsia="宋体" w:hint="default"/>
                <w:b/>
                <w:bCs/>
                <w:sz w:val="21"/>
                <w:szCs w:val="21"/>
              </w:rPr>
              <w:t>计提比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264" w:type="dxa"/>
            <w:vMerge w:val="restart"/>
            <w:tcBorders>
              <w:top w:val="nil" w:sz="6" w:space="0" w:color="auto"/>
              <w:left w:val="single" w:sz="4" w:space="0" w:color="000000"/>
              <w:right w:val="single" w:sz="4" w:space="0" w:color="000000"/>
            </w:tcBorders>
            <w:shd w:val="clear" w:color="auto" w:fill="D2D2D2"/>
          </w:tcPr>
          <w:p>
            <w:pPr>
              <w:pStyle w:val="TableParagraph"/>
              <w:spacing w:line="261" w:lineRule="exact"/>
              <w:ind w:left="205"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194" w:hRule="exact"/>
        </w:trPr>
        <w:tc>
          <w:tcPr>
            <w:tcW w:w="3366" w:type="dxa"/>
            <w:vMerge w:val="restart"/>
            <w:tcBorders>
              <w:top w:val="single" w:sz="4" w:space="0" w:color="FFFFFF"/>
              <w:left w:val="single" w:sz="4" w:space="0" w:color="000000"/>
              <w:right w:val="single" w:sz="4" w:space="0" w:color="000000"/>
            </w:tcBorders>
            <w:shd w:val="clear" w:color="auto" w:fill="D2D2D2"/>
          </w:tcPr>
          <w:p>
            <w:pPr/>
          </w:p>
        </w:tc>
        <w:tc>
          <w:tcPr>
            <w:tcW w:w="12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428"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0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188"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15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363"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22" w:type="dxa"/>
            <w:vMerge/>
            <w:tcBorders>
              <w:left w:val="single" w:sz="4" w:space="0" w:color="000000"/>
              <w:right w:val="single" w:sz="4" w:space="0" w:color="000000"/>
            </w:tcBorders>
            <w:shd w:val="clear" w:color="auto" w:fill="D2D2D2"/>
          </w:tcPr>
          <w:p>
            <w:pPr/>
          </w:p>
        </w:tc>
        <w:tc>
          <w:tcPr>
            <w:tcW w:w="1264" w:type="dxa"/>
            <w:vMerge/>
            <w:tcBorders>
              <w:left w:val="single" w:sz="4" w:space="0" w:color="000000"/>
              <w:bottom w:val="nil" w:sz="6" w:space="0" w:color="auto"/>
              <w:right w:val="single" w:sz="4" w:space="0" w:color="000000"/>
            </w:tcBorders>
            <w:shd w:val="clear" w:color="auto" w:fill="D2D2D2"/>
          </w:tcPr>
          <w:p>
            <w:pPr/>
          </w:p>
        </w:tc>
        <w:tc>
          <w:tcPr>
            <w:tcW w:w="12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17"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88"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1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63"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22" w:type="dxa"/>
            <w:vMerge/>
            <w:tcBorders>
              <w:left w:val="single" w:sz="4" w:space="0" w:color="000000"/>
              <w:right w:val="single" w:sz="4" w:space="0" w:color="000000"/>
            </w:tcBorders>
            <w:shd w:val="clear" w:color="auto" w:fill="D2D2D2"/>
          </w:tcPr>
          <w:p>
            <w:pPr/>
          </w:p>
        </w:tc>
        <w:tc>
          <w:tcPr>
            <w:tcW w:w="1264" w:type="dxa"/>
            <w:vMerge/>
            <w:tcBorders>
              <w:left w:val="single" w:sz="4" w:space="0" w:color="000000"/>
              <w:bottom w:val="nil" w:sz="6" w:space="0" w:color="auto"/>
              <w:right w:val="single" w:sz="4" w:space="0" w:color="000000"/>
            </w:tcBorders>
            <w:shd w:val="clear" w:color="auto" w:fill="D2D2D2"/>
          </w:tcPr>
          <w:p>
            <w:pPr/>
          </w:p>
        </w:tc>
      </w:tr>
      <w:tr>
        <w:trPr>
          <w:trHeight w:val="201" w:hRule="exact"/>
        </w:trPr>
        <w:tc>
          <w:tcPr>
            <w:tcW w:w="3366"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809" w:type="dxa"/>
            <w:vMerge/>
            <w:tcBorders>
              <w:left w:val="single" w:sz="4" w:space="0" w:color="000000"/>
              <w:bottom w:val="nil" w:sz="6" w:space="0" w:color="auto"/>
              <w:right w:val="single" w:sz="4" w:space="0" w:color="000000"/>
            </w:tcBorders>
            <w:shd w:val="clear" w:color="auto" w:fill="D2D2D2"/>
          </w:tcPr>
          <w:p>
            <w:pPr/>
          </w:p>
        </w:tc>
        <w:tc>
          <w:tcPr>
            <w:tcW w:w="1159"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1264" w:type="dxa"/>
            <w:vMerge w:val="restart"/>
            <w:tcBorders>
              <w:top w:val="nil" w:sz="6" w:space="0" w:color="auto"/>
              <w:left w:val="single" w:sz="4" w:space="0" w:color="000000"/>
              <w:right w:val="single" w:sz="4" w:space="0" w:color="000000"/>
            </w:tcBorders>
            <w:shd w:val="clear" w:color="auto" w:fill="D2D2D2"/>
          </w:tcPr>
          <w:p>
            <w:pPr/>
          </w:p>
        </w:tc>
        <w:tc>
          <w:tcPr>
            <w:tcW w:w="1265" w:type="dxa"/>
            <w:vMerge/>
            <w:tcBorders>
              <w:left w:val="single" w:sz="4" w:space="0" w:color="000000"/>
              <w:bottom w:val="nil" w:sz="6" w:space="0" w:color="auto"/>
              <w:right w:val="single" w:sz="4" w:space="0" w:color="000000"/>
            </w:tcBorders>
            <w:shd w:val="clear" w:color="auto" w:fill="D2D2D2"/>
          </w:tcPr>
          <w:p>
            <w:pPr/>
          </w:p>
        </w:tc>
        <w:tc>
          <w:tcPr>
            <w:tcW w:w="809" w:type="dxa"/>
            <w:vMerge/>
            <w:tcBorders>
              <w:left w:val="single" w:sz="4" w:space="0" w:color="000000"/>
              <w:bottom w:val="nil" w:sz="6" w:space="0" w:color="auto"/>
              <w:right w:val="single" w:sz="4" w:space="0" w:color="000000"/>
            </w:tcBorders>
            <w:shd w:val="clear" w:color="auto" w:fill="D2D2D2"/>
          </w:tcPr>
          <w:p>
            <w:pPr/>
          </w:p>
        </w:tc>
        <w:tc>
          <w:tcPr>
            <w:tcW w:w="1159"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126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3366"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9"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1264" w:type="dxa"/>
            <w:vMerge/>
            <w:tcBorders>
              <w:left w:val="single" w:sz="4" w:space="0" w:color="000000"/>
              <w:bottom w:val="single" w:sz="4" w:space="0" w:color="000000"/>
              <w:right w:val="single" w:sz="4" w:space="0" w:color="000000"/>
            </w:tcBorders>
            <w:shd w:val="clear" w:color="auto" w:fill="D2D2D2"/>
          </w:tcPr>
          <w:p>
            <w:pPr/>
          </w:p>
        </w:tc>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9"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126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3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2" w:right="183"/>
              <w:jc w:val="left"/>
              <w:rPr>
                <w:rFonts w:ascii="宋体" w:hAnsi="宋体" w:cs="宋体" w:eastAsia="宋体" w:hint="default"/>
                <w:sz w:val="21"/>
                <w:szCs w:val="21"/>
              </w:rPr>
            </w:pPr>
            <w:r>
              <w:rPr>
                <w:rFonts w:ascii="宋体" w:hAnsi="宋体" w:cs="宋体" w:eastAsia="宋体" w:hint="default"/>
                <w:sz w:val="21"/>
                <w:szCs w:val="21"/>
              </w:rPr>
              <w:t>单项金额重大并单独计提坏账准备 的应收账款</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r>
      <w:tr>
        <w:trPr>
          <w:trHeight w:val="714" w:hRule="exact"/>
        </w:trPr>
        <w:tc>
          <w:tcPr>
            <w:tcW w:w="3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2" w:right="183"/>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 的应收账款</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75,767,518.80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1,723,865.13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2.28%</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74,043,653.67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47,800,382.75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3,074,355.72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6.43%</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44,726,027.03</w:t>
            </w:r>
          </w:p>
        </w:tc>
      </w:tr>
      <w:tr>
        <w:trPr>
          <w:trHeight w:val="714" w:hRule="exact"/>
        </w:trPr>
        <w:tc>
          <w:tcPr>
            <w:tcW w:w="3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2" w:right="183"/>
              <w:jc w:val="left"/>
              <w:rPr>
                <w:rFonts w:ascii="宋体" w:hAnsi="宋体" w:cs="宋体" w:eastAsia="宋体" w:hint="default"/>
                <w:sz w:val="21"/>
                <w:szCs w:val="21"/>
              </w:rPr>
            </w:pPr>
            <w:r>
              <w:rPr>
                <w:rFonts w:ascii="宋体" w:hAnsi="宋体" w:cs="宋体" w:eastAsia="宋体" w:hint="default"/>
                <w:sz w:val="21"/>
                <w:szCs w:val="21"/>
              </w:rPr>
              <w:t>单项金额不重大但单独计提坏账准 备的应收账款</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3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75,767,518.80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1,723,865.13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2.28%</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74,043,653.67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47,800,382.75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3,074,355.72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6.43%</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44,726,027.03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spacing w:before="76"/>
        <w:ind w:left="6904" w:right="6904" w:firstLine="0"/>
        <w:jc w:val="center"/>
        <w:rPr>
          <w:rFonts w:ascii="Times New Roman" w:hAnsi="Times New Roman" w:cs="Times New Roman" w:eastAsia="Times New Roman" w:hint="default"/>
          <w:sz w:val="18"/>
          <w:szCs w:val="18"/>
        </w:rPr>
      </w:pPr>
      <w:r>
        <w:rPr>
          <w:rFonts w:ascii="Times New Roman"/>
          <w:sz w:val="18"/>
        </w:rPr>
        <w:t>-156-</w:t>
      </w:r>
    </w:p>
    <w:p>
      <w:pPr>
        <w:spacing w:after="0"/>
        <w:jc w:val="center"/>
        <w:rPr>
          <w:rFonts w:ascii="Times New Roman" w:hAnsi="Times New Roman" w:cs="Times New Roman" w:eastAsia="Times New Roman" w:hint="default"/>
          <w:sz w:val="18"/>
          <w:szCs w:val="18"/>
        </w:rPr>
        <w:sectPr>
          <w:headerReference w:type="default" r:id="rId56"/>
          <w:footerReference w:type="default" r:id="rId57"/>
          <w:pgSz w:w="16840" w:h="11910" w:orient="landscape"/>
          <w:pgMar w:header="0" w:footer="0" w:top="800" w:bottom="280" w:left="1300" w:right="1300"/>
        </w:sectPr>
      </w:pPr>
    </w:p>
    <w:p>
      <w:pPr>
        <w:spacing w:line="240" w:lineRule="auto" w:before="2"/>
        <w:rPr>
          <w:rFonts w:ascii="Times New Roman" w:hAnsi="Times New Roman" w:cs="Times New Roman" w:eastAsia="Times New Roman" w:hint="default"/>
          <w:sz w:val="29"/>
          <w:szCs w:val="29"/>
        </w:rPr>
      </w:pPr>
    </w:p>
    <w:p>
      <w:pPr>
        <w:pStyle w:val="BodyText"/>
        <w:spacing w:line="240" w:lineRule="auto"/>
        <w:ind w:left="634" w:right="0"/>
        <w:jc w:val="left"/>
      </w:pPr>
      <w:r>
        <w:rPr/>
        <w:t>期末单项金额重大并单项计提坏账准备的应收账款：</w:t>
      </w:r>
    </w:p>
    <w:p>
      <w:pPr>
        <w:pStyle w:val="BodyText"/>
        <w:tabs>
          <w:tab w:pos="994" w:val="left" w:leader="none"/>
        </w:tabs>
        <w:spacing w:line="355" w:lineRule="auto" w:before="193"/>
        <w:ind w:left="634" w:right="4030"/>
        <w:jc w:val="left"/>
      </w:pPr>
      <w:r>
        <w:rPr>
          <w:rFonts w:ascii="Arial" w:hAnsi="Arial" w:cs="Arial" w:eastAsia="Arial" w:hint="default"/>
        </w:rPr>
        <w:t>□</w:t>
        <w:tab/>
      </w:r>
      <w:r>
        <w:rPr/>
        <w:t>适用 </w:t>
      </w:r>
      <w:r>
        <w:rPr>
          <w:rFonts w:ascii="Calibri" w:hAnsi="Calibri" w:cs="Calibri" w:eastAsia="Calibri" w:hint="default"/>
        </w:rPr>
        <w:t>√ </w:t>
      </w:r>
      <w:r>
        <w:rPr>
          <w:rFonts w:ascii="Calibri" w:hAnsi="Calibri" w:cs="Calibri" w:eastAsia="Calibri" w:hint="default"/>
          <w:spacing w:val="11"/>
        </w:rPr>
        <w:t> </w:t>
      </w:r>
      <w:r>
        <w:rPr/>
        <w:t>不适用</w:t>
      </w:r>
      <w:r>
        <w:rPr>
          <w:w w:val="99"/>
        </w:rPr>
        <w:t> </w:t>
      </w:r>
      <w:r>
        <w:rPr/>
        <w:t>组合中，按账龄分析法计提坏账准备的应收账款：</w:t>
      </w:r>
    </w:p>
    <w:p>
      <w:pPr>
        <w:spacing w:after="0" w:line="355" w:lineRule="auto"/>
        <w:jc w:val="left"/>
        <w:sectPr>
          <w:footerReference w:type="default" r:id="rId58"/>
          <w:pgSz w:w="11910" w:h="16840"/>
          <w:pgMar w:footer="979" w:header="0" w:top="1100" w:bottom="1160" w:left="980" w:right="980"/>
          <w:pgNumType w:start="157"/>
        </w:sectPr>
      </w:pPr>
    </w:p>
    <w:p>
      <w:pPr>
        <w:pStyle w:val="BodyText"/>
        <w:tabs>
          <w:tab w:pos="1834" w:val="left" w:leader="none"/>
        </w:tabs>
        <w:spacing w:line="240" w:lineRule="auto" w:before="78"/>
        <w:ind w:left="633" w:right="-20"/>
        <w:jc w:val="left"/>
      </w:pPr>
      <w:r>
        <w:rPr>
          <w:rFonts w:ascii="Calibri" w:hAnsi="Calibri" w:cs="Calibri" w:eastAsia="Calibri" w:hint="default"/>
        </w:rPr>
        <w:t>√  </w:t>
      </w:r>
      <w:r>
        <w:rPr/>
        <w:t>适用</w:t>
      </w:r>
      <w:r>
        <w:rPr>
          <w:spacing w:val="11"/>
        </w:rPr>
        <w:t> </w:t>
      </w:r>
      <w:r>
        <w:rPr>
          <w:rFonts w:ascii="Arial" w:hAnsi="Arial" w:cs="Arial" w:eastAsia="Arial" w:hint="default"/>
        </w:rPr>
        <w:t>□</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pStyle w:val="BodyText"/>
        <w:spacing w:line="240" w:lineRule="auto" w:before="193"/>
        <w:ind w:left="633" w:right="0"/>
        <w:jc w:val="left"/>
      </w:pPr>
      <w:r>
        <w:rPr/>
        <w:t>单位： 元</w:t>
      </w:r>
    </w:p>
    <w:p>
      <w:pPr>
        <w:spacing w:after="0" w:line="240" w:lineRule="auto"/>
        <w:jc w:val="left"/>
        <w:sectPr>
          <w:type w:val="continuous"/>
          <w:pgSz w:w="11910" w:h="16840"/>
          <w:pgMar w:top="1060" w:bottom="1160" w:left="980" w:right="980"/>
          <w:cols w:num="2" w:equalWidth="0">
            <w:col w:w="2555" w:space="5525"/>
            <w:col w:w="1870"/>
          </w:cols>
        </w:sectPr>
      </w:pP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26" w:right="0"/>
              <w:jc w:val="left"/>
              <w:rPr>
                <w:rFonts w:ascii="宋体" w:hAnsi="宋体" w:cs="宋体" w:eastAsia="宋体" w:hint="default"/>
                <w:sz w:val="21"/>
                <w:szCs w:val="21"/>
              </w:rPr>
            </w:pPr>
            <w:r>
              <w:rPr>
                <w:rFonts w:ascii="宋体" w:hAnsi="宋体" w:cs="宋体" w:eastAsia="宋体" w:hint="default"/>
                <w:b/>
                <w:bCs/>
                <w:sz w:val="21"/>
                <w:szCs w:val="21"/>
              </w:rPr>
              <w:t>应收账款</w:t>
            </w:r>
            <w:r>
              <w:rPr>
                <w:rFonts w:ascii="宋体" w:hAnsi="宋体" w:cs="宋体" w:eastAsia="宋体" w:hint="default"/>
                <w:sz w:val="21"/>
                <w:szCs w:val="21"/>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7"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7"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43,690,513.21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873,810.25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43,690,513.21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873,810.25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1,851,032.51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277,654.88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377,350.00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188,675.00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301"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01"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383,725.00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383,725.00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301"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46,302,620.72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1,723,865.13</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88" w:lineRule="auto" w:before="81"/>
        <w:ind w:left="634" w:right="3532"/>
        <w:jc w:val="left"/>
      </w:pPr>
      <w:r>
        <w:rPr/>
        <w:t>确定该组合依据的说明： 以其应收账款的账龄为信用风险特征划分组合。 组合中，采用余额百分比法计提坏账准备的应收账款：</w:t>
      </w:r>
    </w:p>
    <w:p>
      <w:pPr>
        <w:pStyle w:val="BodyText"/>
        <w:tabs>
          <w:tab w:pos="994" w:val="left" w:leader="none"/>
        </w:tabs>
        <w:spacing w:line="355" w:lineRule="auto" w:before="44"/>
        <w:ind w:left="634" w:right="6670"/>
        <w:jc w:val="left"/>
      </w:pPr>
      <w:r>
        <w:rPr>
          <w:rFonts w:ascii="Arial" w:hAnsi="Arial" w:cs="Arial" w:eastAsia="Arial" w:hint="default"/>
        </w:rPr>
        <w:t>□</w:t>
        <w:tab/>
      </w:r>
      <w:r>
        <w:rPr/>
        <w:t>适用 </w:t>
      </w:r>
      <w:r>
        <w:rPr>
          <w:rFonts w:ascii="Calibri" w:hAnsi="Calibri" w:cs="Calibri" w:eastAsia="Calibri" w:hint="default"/>
        </w:rPr>
        <w:t>√ </w:t>
      </w:r>
      <w:r>
        <w:rPr>
          <w:rFonts w:ascii="Calibri" w:hAnsi="Calibri" w:cs="Calibri" w:eastAsia="Calibri" w:hint="default"/>
          <w:spacing w:val="11"/>
        </w:rPr>
        <w:t> </w:t>
      </w:r>
      <w:r>
        <w:rPr/>
        <w:t>不适用</w:t>
      </w:r>
      <w:r>
        <w:rPr>
          <w:w w:val="99"/>
        </w:rPr>
        <w:t> </w:t>
      </w:r>
      <w:r>
        <w:rPr/>
        <w:t>确定该组合依据的说明：</w:t>
      </w:r>
    </w:p>
    <w:p>
      <w:pPr>
        <w:pStyle w:val="BodyText"/>
        <w:spacing w:line="386" w:lineRule="auto" w:before="78"/>
        <w:ind w:left="633" w:right="413"/>
        <w:jc w:val="left"/>
      </w:pPr>
      <w:r>
        <w:rPr/>
        <w:t>组合中，采用其他方法计提坏账准备的应收账款： 采用其他方法计提坏账准备的组合为与交易对象关系的组合，该组合为应收关联方款</w:t>
      </w:r>
    </w:p>
    <w:p>
      <w:pPr>
        <w:pStyle w:val="BodyText"/>
        <w:spacing w:line="240" w:lineRule="auto" w:before="8"/>
        <w:ind w:right="0"/>
        <w:jc w:val="left"/>
      </w:pPr>
      <w:r>
        <w:rPr/>
        <w:t>项，期末应收款项余额为</w:t>
      </w:r>
      <w:r>
        <w:rPr>
          <w:spacing w:val="-60"/>
        </w:rPr>
        <w:t> </w:t>
      </w:r>
      <w:r>
        <w:rPr>
          <w:rFonts w:ascii="宋体" w:hAnsi="宋体" w:cs="宋体" w:eastAsia="宋体" w:hint="default"/>
        </w:rPr>
        <w:t>29,464,898.08</w:t>
      </w:r>
      <w:r>
        <w:rPr>
          <w:rFonts w:ascii="宋体" w:hAnsi="宋体" w:cs="宋体" w:eastAsia="宋体" w:hint="default"/>
          <w:spacing w:val="-60"/>
        </w:rPr>
        <w:t> </w:t>
      </w:r>
      <w:r>
        <w:rPr/>
        <w:t>元，不计提坏账准备。</w:t>
      </w:r>
    </w:p>
    <w:p>
      <w:pPr>
        <w:spacing w:line="240" w:lineRule="auto" w:before="10"/>
        <w:rPr>
          <w:rFonts w:ascii="宋体" w:hAnsi="宋体" w:cs="宋体" w:eastAsia="宋体" w:hint="default"/>
          <w:sz w:val="28"/>
          <w:szCs w:val="28"/>
        </w:rPr>
      </w:pPr>
    </w:p>
    <w:p>
      <w:pPr>
        <w:spacing w:before="0"/>
        <w:ind w:left="153" w:right="0" w:firstLine="0"/>
        <w:jc w:val="left"/>
        <w:rPr>
          <w:rFonts w:ascii="宋体" w:hAnsi="宋体" w:cs="宋体" w:eastAsia="宋体" w:hint="default"/>
          <w:sz w:val="24"/>
          <w:szCs w:val="24"/>
        </w:rPr>
      </w:pPr>
      <w:bookmarkStart w:name="（2）本期计提、收回或转回的坏账准备情况" w:id="373"/>
      <w:bookmarkEnd w:id="373"/>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）本期计提、收回或转回的坏账准备情况</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pStyle w:val="BodyText"/>
        <w:spacing w:line="240" w:lineRule="auto" w:before="0"/>
        <w:ind w:left="633" w:right="0"/>
        <w:jc w:val="left"/>
      </w:pPr>
      <w:r>
        <w:rPr/>
        <w:t>本期计提坏账准备金额</w:t>
      </w:r>
      <w:r>
        <w:rPr>
          <w:spacing w:val="-60"/>
        </w:rPr>
        <w:t> </w:t>
      </w:r>
      <w:r>
        <w:rPr>
          <w:rFonts w:ascii="宋体" w:hAnsi="宋体" w:cs="宋体" w:eastAsia="宋体" w:hint="default"/>
        </w:rPr>
        <w:t>339,098.41</w:t>
      </w:r>
      <w:r>
        <w:rPr>
          <w:rFonts w:ascii="宋体" w:hAnsi="宋体" w:cs="宋体" w:eastAsia="宋体" w:hint="default"/>
          <w:spacing w:val="-60"/>
        </w:rPr>
        <w:t> </w:t>
      </w:r>
      <w:r>
        <w:rPr/>
        <w:t>元；本期收回或转回坏账准备金额</w:t>
      </w:r>
      <w:r>
        <w:rPr>
          <w:spacing w:val="-60"/>
        </w:rPr>
        <w:t> </w:t>
      </w:r>
      <w:r>
        <w:rPr>
          <w:rFonts w:ascii="宋体" w:hAnsi="宋体" w:cs="宋体" w:eastAsia="宋体" w:hint="default"/>
        </w:rPr>
        <w:t>0.00</w:t>
      </w:r>
      <w:r>
        <w:rPr>
          <w:rFonts w:ascii="宋体" w:hAnsi="宋体" w:cs="宋体" w:eastAsia="宋体" w:hint="default"/>
          <w:spacing w:val="-60"/>
        </w:rPr>
        <w:t> </w:t>
      </w:r>
      <w:r>
        <w:rPr/>
        <w:t>元。</w:t>
      </w:r>
    </w:p>
    <w:p>
      <w:pPr>
        <w:spacing w:line="240" w:lineRule="auto" w:before="10"/>
        <w:rPr>
          <w:rFonts w:ascii="宋体" w:hAnsi="宋体" w:cs="宋体" w:eastAsia="宋体" w:hint="default"/>
          <w:sz w:val="28"/>
          <w:szCs w:val="28"/>
        </w:rPr>
      </w:pPr>
    </w:p>
    <w:p>
      <w:pPr>
        <w:spacing w:before="0"/>
        <w:ind w:left="153" w:right="0" w:firstLine="0"/>
        <w:jc w:val="left"/>
        <w:rPr>
          <w:rFonts w:ascii="宋体" w:hAnsi="宋体" w:cs="宋体" w:eastAsia="宋体" w:hint="default"/>
          <w:sz w:val="24"/>
          <w:szCs w:val="24"/>
        </w:rPr>
      </w:pPr>
      <w:bookmarkStart w:name="（3）本期实际核销的应收账款情况" w:id="374"/>
      <w:bookmarkEnd w:id="374"/>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）本期实际核销的应收账款情况</w:t>
      </w:r>
      <w:r>
        <w:rPr>
          <w:rFonts w:ascii="宋体" w:hAnsi="宋体" w:cs="宋体" w:eastAsia="宋体" w:hint="default"/>
          <w:sz w:val="24"/>
          <w:szCs w:val="24"/>
        </w:rPr>
      </w:r>
    </w:p>
    <w:p>
      <w:pPr>
        <w:spacing w:after="0"/>
        <w:jc w:val="left"/>
        <w:rPr>
          <w:rFonts w:ascii="宋体" w:hAnsi="宋体" w:cs="宋体" w:eastAsia="宋体" w:hint="default"/>
          <w:sz w:val="24"/>
          <w:szCs w:val="24"/>
        </w:rPr>
        <w:sectPr>
          <w:type w:val="continuous"/>
          <w:pgSz w:w="11910" w:h="16840"/>
          <w:pgMar w:top="1060" w:bottom="1160" w:left="980" w:right="980"/>
        </w:sectPr>
      </w:pPr>
    </w:p>
    <w:p>
      <w:pPr>
        <w:spacing w:line="240" w:lineRule="auto" w:before="8"/>
        <w:rPr>
          <w:rFonts w:ascii="宋体" w:hAnsi="宋体" w:cs="宋体" w:eastAsia="宋体" w:hint="default"/>
          <w:b/>
          <w:bCs/>
          <w:sz w:val="19"/>
          <w:szCs w:val="19"/>
        </w:rPr>
      </w:pPr>
    </w:p>
    <w:p>
      <w:pPr>
        <w:pStyle w:val="BodyText"/>
        <w:spacing w:line="240" w:lineRule="auto"/>
        <w:ind w:left="0" w:right="230"/>
        <w:jc w:val="right"/>
      </w:pPr>
      <w:r>
        <w:rPr/>
        <w:t>单位： 元</w:t>
      </w:r>
    </w:p>
    <w:p>
      <w:pPr>
        <w:spacing w:line="240" w:lineRule="auto" w:before="11"/>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4984"/>
        <w:gridCol w:w="4584"/>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核销金额</w:t>
            </w:r>
            <w:r>
              <w:rPr>
                <w:rFonts w:ascii="宋体" w:hAnsi="宋体" w:cs="宋体" w:eastAsia="宋体" w:hint="default"/>
                <w:sz w:val="21"/>
                <w:szCs w:val="21"/>
              </w:rPr>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1,689,589.00</w:t>
            </w:r>
          </w:p>
        </w:tc>
      </w:tr>
    </w:tbl>
    <w:p>
      <w:pPr>
        <w:pStyle w:val="BodyText"/>
        <w:spacing w:line="240" w:lineRule="auto" w:before="81"/>
        <w:ind w:left="694" w:right="316"/>
        <w:jc w:val="left"/>
      </w:pPr>
      <w:r>
        <w:rPr/>
        <w:t>其中重要的应收账款核销情况：</w:t>
      </w:r>
    </w:p>
    <w:p>
      <w:pPr>
        <w:spacing w:line="240" w:lineRule="auto" w:before="8"/>
        <w:rPr>
          <w:rFonts w:ascii="宋体" w:hAnsi="宋体" w:cs="宋体" w:eastAsia="宋体" w:hint="default"/>
          <w:sz w:val="28"/>
          <w:szCs w:val="28"/>
        </w:rPr>
      </w:pPr>
    </w:p>
    <w:p>
      <w:pPr>
        <w:spacing w:before="0"/>
        <w:ind w:left="214" w:right="316" w:firstLine="0"/>
        <w:jc w:val="left"/>
        <w:rPr>
          <w:rFonts w:ascii="宋体" w:hAnsi="宋体" w:cs="宋体" w:eastAsia="宋体" w:hint="default"/>
          <w:sz w:val="24"/>
          <w:szCs w:val="24"/>
        </w:rPr>
      </w:pPr>
      <w:bookmarkStart w:name="（4）按欠款方归集的期末余额前五吊的应收账款情况" w:id="375"/>
      <w:bookmarkEnd w:id="375"/>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）按欠款方归集的期末余额前五名的应收账款情况</w:t>
      </w:r>
      <w:r>
        <w:rPr>
          <w:rFonts w:ascii="宋体" w:hAnsi="宋体" w:cs="宋体" w:eastAsia="宋体" w:hint="default"/>
          <w:sz w:val="24"/>
          <w:szCs w:val="24"/>
        </w:rPr>
      </w:r>
    </w:p>
    <w:p>
      <w:pPr>
        <w:spacing w:line="240" w:lineRule="auto" w:before="5"/>
        <w:rPr>
          <w:rFonts w:ascii="宋体" w:hAnsi="宋体" w:cs="宋体" w:eastAsia="宋体" w:hint="default"/>
          <w:b/>
          <w:bCs/>
          <w:sz w:val="24"/>
          <w:szCs w:val="24"/>
        </w:rPr>
      </w:pPr>
    </w:p>
    <w:tbl>
      <w:tblPr>
        <w:tblW w:w="0" w:type="auto"/>
        <w:jc w:val="left"/>
        <w:tblInd w:w="101" w:type="dxa"/>
        <w:tblLayout w:type="fixed"/>
        <w:tblCellMar>
          <w:top w:w="0" w:type="dxa"/>
          <w:left w:w="0" w:type="dxa"/>
          <w:bottom w:w="0" w:type="dxa"/>
          <w:right w:w="0" w:type="dxa"/>
        </w:tblCellMar>
        <w:tblLook w:val="01E0"/>
      </w:tblPr>
      <w:tblGrid>
        <w:gridCol w:w="2891"/>
        <w:gridCol w:w="1425"/>
        <w:gridCol w:w="824"/>
        <w:gridCol w:w="2992"/>
        <w:gridCol w:w="1723"/>
      </w:tblGrid>
      <w:tr>
        <w:trPr>
          <w:trHeight w:val="634" w:hRule="exact"/>
        </w:trPr>
        <w:tc>
          <w:tcPr>
            <w:tcW w:w="28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left="285" w:right="0"/>
              <w:jc w:val="left"/>
              <w:rPr>
                <w:rFonts w:ascii="宋体" w:hAnsi="宋体" w:cs="宋体" w:eastAsia="宋体" w:hint="default"/>
                <w:sz w:val="21"/>
                <w:szCs w:val="21"/>
              </w:rPr>
            </w:pPr>
            <w:r>
              <w:rPr>
                <w:rFonts w:ascii="宋体" w:hAnsi="宋体" w:cs="宋体" w:eastAsia="宋体" w:hint="default"/>
                <w:b/>
                <w:bCs/>
                <w:sz w:val="21"/>
                <w:szCs w:val="21"/>
              </w:rPr>
              <w:t>年末余额</w:t>
            </w:r>
            <w:r>
              <w:rPr>
                <w:rFonts w:ascii="宋体" w:hAnsi="宋体" w:cs="宋体" w:eastAsia="宋体" w:hint="default"/>
                <w:sz w:val="21"/>
                <w:szCs w:val="21"/>
              </w:rPr>
            </w:r>
          </w:p>
        </w:tc>
        <w:tc>
          <w:tcPr>
            <w:tcW w:w="8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left="196"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2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b/>
                <w:bCs/>
                <w:sz w:val="21"/>
                <w:szCs w:val="21"/>
              </w:rPr>
              <w:t>占应收账款年末余额合计数的</w:t>
            </w:r>
            <w:r>
              <w:rPr>
                <w:rFonts w:ascii="宋体" w:hAnsi="宋体" w:cs="宋体" w:eastAsia="宋体" w:hint="default"/>
                <w:sz w:val="21"/>
                <w:szCs w:val="21"/>
              </w:rPr>
            </w:r>
          </w:p>
          <w:p>
            <w:pPr>
              <w:pStyle w:val="TableParagraph"/>
              <w:spacing w:line="240" w:lineRule="auto" w:before="37"/>
              <w:ind w:right="1"/>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7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坏账准备年末余</w:t>
            </w:r>
            <w:r>
              <w:rPr>
                <w:rFonts w:ascii="宋体" w:hAnsi="宋体" w:cs="宋体" w:eastAsia="宋体" w:hint="default"/>
                <w:sz w:val="21"/>
                <w:szCs w:val="21"/>
              </w:rPr>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b/>
                <w:bCs/>
                <w:w w:val="99"/>
                <w:sz w:val="21"/>
                <w:szCs w:val="21"/>
              </w:rPr>
              <w:t>额</w:t>
            </w:r>
            <w:r>
              <w:rPr>
                <w:rFonts w:ascii="宋体" w:hAnsi="宋体" w:cs="宋体" w:eastAsia="宋体" w:hint="default"/>
                <w:sz w:val="21"/>
                <w:szCs w:val="21"/>
              </w:rPr>
            </w:r>
          </w:p>
        </w:tc>
      </w:tr>
      <w:tr>
        <w:trPr>
          <w:trHeight w:val="63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中国移动通信集团浙江有限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z w:val="21"/>
              </w:rPr>
              <w:t>23,776,495.51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内</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z w:val="21"/>
              </w:rPr>
              <w:t>31.38</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475,529.91</w:t>
            </w:r>
          </w:p>
        </w:tc>
      </w:tr>
      <w:tr>
        <w:trPr>
          <w:trHeight w:val="634"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8" w:right="0"/>
              <w:jc w:val="left"/>
              <w:rPr>
                <w:rFonts w:ascii="宋体" w:hAnsi="宋体" w:cs="宋体" w:eastAsia="宋体" w:hint="default"/>
                <w:sz w:val="21"/>
                <w:szCs w:val="21"/>
              </w:rPr>
            </w:pPr>
            <w:r>
              <w:rPr>
                <w:rFonts w:ascii="宋体" w:hAnsi="宋体" w:cs="宋体" w:eastAsia="宋体" w:hint="default"/>
                <w:sz w:val="21"/>
                <w:szCs w:val="21"/>
              </w:rPr>
              <w:t>广州市四月天信息科技有限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12,127,644.81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内</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z w:val="21"/>
              </w:rPr>
              <w:t>16.01</w:t>
            </w: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8" w:right="0"/>
              <w:jc w:val="left"/>
              <w:rPr>
                <w:rFonts w:ascii="宋体" w:hAnsi="宋体" w:cs="宋体" w:eastAsia="宋体" w:hint="default"/>
                <w:sz w:val="21"/>
                <w:szCs w:val="21"/>
              </w:rPr>
            </w:pPr>
            <w:r>
              <w:rPr>
                <w:rFonts w:ascii="宋体" w:hAnsi="宋体" w:cs="宋体" w:eastAsia="宋体" w:hint="default"/>
                <w:sz w:val="21"/>
                <w:szCs w:val="21"/>
              </w:rPr>
              <w:t>湖北中文在线数字出版有限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11,000,000.00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内</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z w:val="21"/>
              </w:rPr>
              <w:t>14.52</w:t>
            </w: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上海太浩影视文化传媒有限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5,000,000.00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内</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z w:val="21"/>
              </w:rPr>
              <w:t>6.60</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100,000.00</w:t>
            </w:r>
          </w:p>
        </w:tc>
      </w:tr>
      <w:tr>
        <w:trPr>
          <w:trHeight w:val="634"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8" w:right="0"/>
              <w:jc w:val="left"/>
              <w:rPr>
                <w:rFonts w:ascii="宋体" w:hAnsi="宋体" w:cs="宋体" w:eastAsia="宋体" w:hint="default"/>
                <w:sz w:val="21"/>
                <w:szCs w:val="21"/>
              </w:rPr>
            </w:pPr>
            <w:r>
              <w:rPr>
                <w:rFonts w:ascii="宋体" w:hAnsi="宋体" w:cs="宋体" w:eastAsia="宋体" w:hint="default"/>
                <w:sz w:val="21"/>
                <w:szCs w:val="21"/>
              </w:rPr>
              <w:t>北京中文在线教育科技发展</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3,724,371.89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内</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4.92</w:t>
            </w: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b/>
                <w:sz w:val="21"/>
              </w:rPr>
              <w:t>55,628,512.21</w:t>
            </w:r>
            <w:r>
              <w:rPr>
                <w:rFonts w:ascii="Times New Roman"/>
                <w:sz w:val="21"/>
              </w:rPr>
            </w:r>
          </w:p>
        </w:tc>
        <w:tc>
          <w:tcPr>
            <w:tcW w:w="824" w:type="dxa"/>
            <w:tcBorders>
              <w:top w:val="single" w:sz="4" w:space="0" w:color="000000"/>
              <w:left w:val="single" w:sz="4" w:space="0" w:color="000000"/>
              <w:bottom w:val="single" w:sz="4" w:space="0" w:color="000000"/>
              <w:right w:val="single" w:sz="4" w:space="0" w:color="000000"/>
            </w:tcBorders>
          </w:tcPr>
          <w:p>
            <w:pPr/>
          </w:p>
        </w:tc>
        <w:tc>
          <w:tcPr>
            <w:tcW w:w="2992"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b/>
                <w:spacing w:val="-1"/>
                <w:sz w:val="21"/>
              </w:rPr>
              <w:t>575,529.91</w:t>
            </w:r>
            <w:r>
              <w:rPr>
                <w:rFonts w:ascii="Times New Roman"/>
                <w:spacing w:val="-1"/>
                <w:sz w:val="21"/>
              </w:rPr>
            </w:r>
          </w:p>
        </w:tc>
      </w:tr>
    </w:tbl>
    <w:p>
      <w:pPr>
        <w:spacing w:line="240" w:lineRule="auto" w:before="2"/>
        <w:rPr>
          <w:rFonts w:ascii="宋体" w:hAnsi="宋体" w:cs="宋体" w:eastAsia="宋体" w:hint="default"/>
          <w:b/>
          <w:bCs/>
          <w:sz w:val="18"/>
          <w:szCs w:val="18"/>
        </w:rPr>
      </w:pPr>
    </w:p>
    <w:p>
      <w:pPr>
        <w:spacing w:before="26"/>
        <w:ind w:left="214" w:right="316" w:firstLine="0"/>
        <w:jc w:val="left"/>
        <w:rPr>
          <w:rFonts w:ascii="宋体" w:hAnsi="宋体" w:cs="宋体" w:eastAsia="宋体" w:hint="default"/>
          <w:sz w:val="24"/>
          <w:szCs w:val="24"/>
        </w:rPr>
      </w:pPr>
      <w:bookmarkStart w:name="（5）因金融资产转移而终止确认的应收账款" w:id="376"/>
      <w:bookmarkEnd w:id="376"/>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）因金融资产转移而终止确认的应收账款</w:t>
      </w:r>
      <w:r>
        <w:rPr>
          <w:rFonts w:ascii="宋体" w:hAnsi="宋体" w:cs="宋体" w:eastAsia="宋体" w:hint="default"/>
          <w:sz w:val="24"/>
          <w:szCs w:val="24"/>
        </w:rPr>
      </w:r>
    </w:p>
    <w:p>
      <w:pPr>
        <w:spacing w:line="240" w:lineRule="auto" w:before="6"/>
        <w:rPr>
          <w:rFonts w:ascii="宋体" w:hAnsi="宋体" w:cs="宋体" w:eastAsia="宋体" w:hint="default"/>
          <w:b/>
          <w:bCs/>
          <w:sz w:val="21"/>
          <w:szCs w:val="21"/>
        </w:rPr>
      </w:pPr>
    </w:p>
    <w:p>
      <w:pPr>
        <w:spacing w:before="0"/>
        <w:ind w:left="213" w:right="316" w:firstLine="0"/>
        <w:jc w:val="left"/>
        <w:rPr>
          <w:rFonts w:ascii="宋体" w:hAnsi="宋体" w:cs="宋体" w:eastAsia="宋体" w:hint="default"/>
          <w:sz w:val="24"/>
          <w:szCs w:val="24"/>
        </w:rPr>
      </w:pPr>
      <w:bookmarkStart w:name="（6）转移应收账款且继续涉入形成的资产、负债金额" w:id="377"/>
      <w:bookmarkEnd w:id="377"/>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）转移应收账款且继续涉入形成的资产、负债金额</w:t>
      </w:r>
      <w:r>
        <w:rPr>
          <w:rFonts w:ascii="宋体" w:hAnsi="宋体" w:cs="宋体" w:eastAsia="宋体" w:hint="default"/>
          <w:sz w:val="24"/>
          <w:szCs w:val="24"/>
        </w:rPr>
      </w:r>
    </w:p>
    <w:p>
      <w:pPr>
        <w:spacing w:line="240" w:lineRule="auto" w:before="6"/>
        <w:rPr>
          <w:rFonts w:ascii="宋体" w:hAnsi="宋体" w:cs="宋体" w:eastAsia="宋体" w:hint="default"/>
          <w:b/>
          <w:bCs/>
          <w:sz w:val="21"/>
          <w:szCs w:val="21"/>
        </w:rPr>
      </w:pPr>
    </w:p>
    <w:p>
      <w:pPr>
        <w:spacing w:before="0"/>
        <w:ind w:left="213" w:right="316" w:firstLine="0"/>
        <w:jc w:val="left"/>
        <w:rPr>
          <w:rFonts w:ascii="宋体" w:hAnsi="宋体" w:cs="宋体" w:eastAsia="宋体" w:hint="default"/>
          <w:sz w:val="24"/>
          <w:szCs w:val="24"/>
        </w:rPr>
      </w:pPr>
      <w:bookmarkStart w:name="2、其他应收款" w:id="378"/>
      <w:bookmarkEnd w:id="378"/>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、其他应收款</w:t>
      </w:r>
      <w:r>
        <w:rPr>
          <w:rFonts w:ascii="宋体" w:hAnsi="宋体" w:cs="宋体" w:eastAsia="宋体" w:hint="default"/>
          <w:sz w:val="24"/>
          <w:szCs w:val="24"/>
        </w:rPr>
      </w:r>
    </w:p>
    <w:p>
      <w:pPr>
        <w:spacing w:line="240" w:lineRule="auto" w:before="6"/>
        <w:rPr>
          <w:rFonts w:ascii="宋体" w:hAnsi="宋体" w:cs="宋体" w:eastAsia="宋体" w:hint="default"/>
          <w:b/>
          <w:bCs/>
          <w:sz w:val="21"/>
          <w:szCs w:val="21"/>
        </w:rPr>
      </w:pPr>
    </w:p>
    <w:p>
      <w:pPr>
        <w:spacing w:before="0"/>
        <w:ind w:left="213" w:right="316" w:firstLine="0"/>
        <w:jc w:val="left"/>
        <w:rPr>
          <w:rFonts w:ascii="宋体" w:hAnsi="宋体" w:cs="宋体" w:eastAsia="宋体" w:hint="default"/>
          <w:sz w:val="24"/>
          <w:szCs w:val="24"/>
        </w:rPr>
      </w:pPr>
      <w:bookmarkStart w:name="（1）其他应收款分类披露" w:id="379"/>
      <w:bookmarkEnd w:id="379"/>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）其他应收款分类披露</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230"/>
        <w:jc w:val="right"/>
      </w:pPr>
      <w:r>
        <w:rPr/>
        <w:t>单位： 元</w:t>
      </w:r>
    </w:p>
    <w:p>
      <w:pPr>
        <w:spacing w:line="240" w:lineRule="auto" w:before="10"/>
        <w:rPr>
          <w:rFonts w:ascii="宋体" w:hAnsi="宋体" w:cs="宋体" w:eastAsia="宋体" w:hint="default"/>
          <w:sz w:val="5"/>
          <w:szCs w:val="5"/>
        </w:rPr>
      </w:pPr>
    </w:p>
    <w:tbl>
      <w:tblPr>
        <w:tblW w:w="0" w:type="auto"/>
        <w:jc w:val="left"/>
        <w:tblInd w:w="22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3"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184"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46"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34"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80"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445"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18"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
              <w:ind w:left="1"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48"/>
              <w:ind w:left="284" w:right="71" w:hanging="210"/>
              <w:jc w:val="left"/>
              <w:rPr>
                <w:rFonts w:ascii="宋体" w:hAnsi="宋体" w:cs="宋体" w:eastAsia="宋体" w:hint="default"/>
                <w:sz w:val="21"/>
                <w:szCs w:val="21"/>
              </w:rPr>
            </w:pPr>
            <w:r>
              <w:rPr>
                <w:rFonts w:ascii="宋体" w:hAnsi="宋体" w:cs="宋体" w:eastAsia="宋体" w:hint="default"/>
                <w:b/>
                <w:bCs/>
                <w:sz w:val="21"/>
                <w:szCs w:val="21"/>
              </w:rPr>
              <w:t>账面价</w:t>
            </w:r>
            <w:r>
              <w:rPr>
                <w:rFonts w:ascii="宋体" w:hAnsi="宋体" w:cs="宋体" w:eastAsia="宋体" w:hint="default"/>
                <w:b/>
                <w:bCs/>
                <w:spacing w:val="1"/>
                <w:w w:val="99"/>
                <w:sz w:val="21"/>
                <w:szCs w:val="21"/>
              </w:rPr>
              <w:t> </w:t>
            </w:r>
            <w:r>
              <w:rPr>
                <w:rFonts w:ascii="宋体" w:hAnsi="宋体" w:cs="宋体" w:eastAsia="宋体" w:hint="default"/>
                <w:b/>
                <w:bCs/>
                <w:sz w:val="21"/>
                <w:szCs w:val="21"/>
              </w:rPr>
              <w:t>值</w:t>
            </w:r>
            <w:r>
              <w:rPr>
                <w:rFonts w:ascii="宋体" w:hAnsi="宋体" w:cs="宋体" w:eastAsia="宋体" w:hint="default"/>
                <w:sz w:val="21"/>
                <w:szCs w:val="21"/>
              </w:rPr>
            </w: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70" w:right="56" w:hanging="210"/>
              <w:jc w:val="left"/>
              <w:rPr>
                <w:rFonts w:ascii="宋体" w:hAnsi="宋体" w:cs="宋体" w:eastAsia="宋体" w:hint="default"/>
                <w:sz w:val="21"/>
                <w:szCs w:val="21"/>
              </w:rPr>
            </w:pPr>
            <w:r>
              <w:rPr>
                <w:rFonts w:ascii="宋体" w:hAnsi="宋体" w:cs="宋体" w:eastAsia="宋体" w:hint="default"/>
                <w:b/>
                <w:bCs/>
                <w:sz w:val="21"/>
                <w:szCs w:val="21"/>
              </w:rPr>
              <w:t>计提比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790" w:type="dxa"/>
            <w:vMerge/>
            <w:tcBorders>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9" w:space="0" w:color="D2D2D2"/>
              <w:right w:val="single" w:sz="13" w:space="0" w:color="D2D2D2"/>
            </w:tcBorders>
          </w:tcPr>
          <w:p>
            <w:pPr>
              <w:pStyle w:val="TableParagraph"/>
              <w:spacing w:line="261" w:lineRule="exact"/>
              <w:ind w:left="31"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shd w:fill="D2D2D2" w:color="auto" w:val="clear"/>
              </w:rPr>
              <w:t>账面价值</w:t>
            </w:r>
            <w:r>
              <w:rPr>
                <w:rFonts w:ascii="宋体" w:hAnsi="宋体" w:cs="宋体" w:eastAsia="宋体" w:hint="default"/>
                <w:b/>
                <w:bCs/>
                <w:sz w:val="21"/>
                <w:szCs w:val="21"/>
              </w:rPr>
            </w:r>
            <w:r>
              <w:rPr>
                <w:rFonts w:ascii="宋体" w:hAnsi="宋体" w:cs="宋体" w:eastAsia="宋体" w:hint="default"/>
                <w:sz w:val="21"/>
                <w:szCs w:val="21"/>
              </w:rPr>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177"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164"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164"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10"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64"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91"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9"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932" w:type="dxa"/>
            <w:vMerge/>
            <w:tcBorders>
              <w:left w:val="single" w:sz="9" w:space="0" w:color="D2D2D2"/>
              <w:bottom w:val="nil" w:sz="6" w:space="0" w:color="auto"/>
              <w:right w:val="single" w:sz="13" w:space="0" w:color="D2D2D2"/>
            </w:tcBorders>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18"/>
              <w:jc w:val="both"/>
              <w:rPr>
                <w:rFonts w:ascii="宋体" w:hAnsi="宋体" w:cs="宋体" w:eastAsia="宋体" w:hint="default"/>
                <w:sz w:val="21"/>
                <w:szCs w:val="21"/>
              </w:rPr>
            </w:pPr>
            <w:r>
              <w:rPr>
                <w:rFonts w:ascii="宋体" w:hAnsi="宋体" w:cs="宋体" w:eastAsia="宋体" w:hint="default"/>
                <w:sz w:val="21"/>
                <w:szCs w:val="21"/>
              </w:rPr>
              <w:t>单项金额重大并 单独计提坏账准 备的其他应收款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18"/>
              <w:jc w:val="both"/>
              <w:rPr>
                <w:rFonts w:ascii="宋体" w:hAnsi="宋体" w:cs="宋体" w:eastAsia="宋体" w:hint="default"/>
                <w:sz w:val="21"/>
                <w:szCs w:val="21"/>
              </w:rPr>
            </w:pPr>
            <w:r>
              <w:rPr>
                <w:rFonts w:ascii="宋体" w:hAnsi="宋体" w:cs="宋体" w:eastAsia="宋体" w:hint="default"/>
                <w:sz w:val="21"/>
                <w:szCs w:val="21"/>
              </w:rPr>
              <w:t>按信用风险特征 组合计提坏账准 备的其他应收款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56,853,</w:t>
            </w:r>
          </w:p>
          <w:p>
            <w:pPr>
              <w:pStyle w:val="TableParagraph"/>
              <w:spacing w:line="240" w:lineRule="auto" w:before="70"/>
              <w:ind w:left="152" w:right="0"/>
              <w:jc w:val="left"/>
              <w:rPr>
                <w:rFonts w:ascii="Times New Roman" w:hAnsi="Times New Roman" w:cs="Times New Roman" w:eastAsia="Times New Roman" w:hint="default"/>
                <w:sz w:val="21"/>
                <w:szCs w:val="21"/>
              </w:rPr>
            </w:pPr>
            <w:r>
              <w:rPr>
                <w:rFonts w:ascii="Times New Roman"/>
                <w:sz w:val="21"/>
              </w:rPr>
              <w:t>165.07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21"/>
                <w:szCs w:val="21"/>
              </w:rPr>
            </w:pPr>
            <w:r>
              <w:rPr>
                <w:rFonts w:ascii="Times New Roman"/>
                <w:sz w:val="21"/>
              </w:rPr>
              <w:t>103,555</w:t>
            </w:r>
          </w:p>
          <w:p>
            <w:pPr>
              <w:pStyle w:val="TableParagraph"/>
              <w:spacing w:line="240" w:lineRule="auto" w:before="70"/>
              <w:ind w:left="465" w:right="0"/>
              <w:jc w:val="left"/>
              <w:rPr>
                <w:rFonts w:ascii="Times New Roman" w:hAnsi="Times New Roman" w:cs="Times New Roman" w:eastAsia="Times New Roman" w:hint="default"/>
                <w:sz w:val="21"/>
                <w:szCs w:val="21"/>
              </w:rPr>
            </w:pPr>
            <w:r>
              <w:rPr>
                <w:rFonts w:ascii="Times New Roman"/>
                <w:sz w:val="21"/>
              </w:rPr>
              <w:t>.73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87" w:right="0"/>
              <w:jc w:val="left"/>
              <w:rPr>
                <w:rFonts w:ascii="Times New Roman" w:hAnsi="Times New Roman" w:cs="Times New Roman" w:eastAsia="Times New Roman" w:hint="default"/>
                <w:sz w:val="21"/>
                <w:szCs w:val="21"/>
              </w:rPr>
            </w:pPr>
            <w:r>
              <w:rPr>
                <w:rFonts w:ascii="Times New Roman"/>
                <w:sz w:val="21"/>
              </w:rPr>
              <w:t>0.18%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56,749,</w:t>
            </w:r>
          </w:p>
          <w:p>
            <w:pPr>
              <w:pStyle w:val="TableParagraph"/>
              <w:spacing w:line="240" w:lineRule="auto" w:before="70"/>
              <w:ind w:left="180" w:right="0"/>
              <w:jc w:val="left"/>
              <w:rPr>
                <w:rFonts w:ascii="Times New Roman" w:hAnsi="Times New Roman" w:cs="Times New Roman" w:eastAsia="Times New Roman" w:hint="default"/>
                <w:sz w:val="21"/>
                <w:szCs w:val="21"/>
              </w:rPr>
            </w:pPr>
            <w:r>
              <w:rPr>
                <w:rFonts w:ascii="Times New Roman"/>
                <w:sz w:val="21"/>
              </w:rPr>
              <w:t>609.34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24,153</w:t>
            </w:r>
          </w:p>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pacing w:val="-1"/>
                <w:sz w:val="21"/>
              </w:rPr>
              <w:t>,058.5</w:t>
            </w:r>
          </w:p>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z w:val="21"/>
              </w:rPr>
              <w:t>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64,850.7</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357" w:right="0"/>
              <w:jc w:val="left"/>
              <w:rPr>
                <w:rFonts w:ascii="Times New Roman" w:hAnsi="Times New Roman" w:cs="Times New Roman" w:eastAsia="Times New Roman" w:hint="default"/>
                <w:sz w:val="21"/>
                <w:szCs w:val="21"/>
              </w:rPr>
            </w:pPr>
            <w:r>
              <w:rPr>
                <w:rFonts w:ascii="Times New Roman"/>
                <w:sz w:val="21"/>
              </w:rPr>
              <w:t>0.27%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8" w:right="0"/>
              <w:jc w:val="left"/>
              <w:rPr>
                <w:rFonts w:ascii="Times New Roman" w:hAnsi="Times New Roman" w:cs="Times New Roman" w:eastAsia="Times New Roman" w:hint="default"/>
                <w:sz w:val="21"/>
                <w:szCs w:val="21"/>
              </w:rPr>
            </w:pPr>
            <w:r>
              <w:rPr>
                <w:rFonts w:ascii="Times New Roman"/>
                <w:sz w:val="21"/>
              </w:rPr>
              <w:t>24,088,20</w:t>
            </w:r>
          </w:p>
          <w:p>
            <w:pPr>
              <w:pStyle w:val="TableParagraph"/>
              <w:spacing w:line="240" w:lineRule="auto" w:before="70"/>
              <w:ind w:left="531" w:right="0"/>
              <w:jc w:val="left"/>
              <w:rPr>
                <w:rFonts w:ascii="Times New Roman" w:hAnsi="Times New Roman" w:cs="Times New Roman" w:eastAsia="Times New Roman" w:hint="default"/>
                <w:sz w:val="21"/>
                <w:szCs w:val="21"/>
              </w:rPr>
            </w:pPr>
            <w:r>
              <w:rPr>
                <w:rFonts w:ascii="Times New Roman"/>
                <w:sz w:val="21"/>
              </w:rPr>
              <w:t>7.82</w:t>
            </w:r>
          </w:p>
        </w:tc>
      </w:tr>
      <w:tr>
        <w:trPr>
          <w:trHeight w:val="403"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21"/>
                <w:szCs w:val="21"/>
              </w:rPr>
            </w:pPr>
            <w:r>
              <w:rPr>
                <w:rFonts w:ascii="宋体" w:hAnsi="宋体" w:cs="宋体" w:eastAsia="宋体" w:hint="default"/>
                <w:sz w:val="21"/>
                <w:szCs w:val="21"/>
              </w:rPr>
              <w:t>单项金额不重大</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20" w:right="90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98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但单独计提坏账</w:t>
            </w:r>
          </w:p>
          <w:p>
            <w:pPr>
              <w:pStyle w:val="TableParagraph"/>
              <w:spacing w:line="273" w:lineRule="auto" w:before="37"/>
              <w:ind w:left="22" w:right="129"/>
              <w:jc w:val="left"/>
              <w:rPr>
                <w:rFonts w:ascii="宋体" w:hAnsi="宋体" w:cs="宋体" w:eastAsia="宋体" w:hint="default"/>
                <w:sz w:val="21"/>
                <w:szCs w:val="21"/>
              </w:rPr>
            </w:pPr>
            <w:r>
              <w:rPr>
                <w:rFonts w:ascii="宋体" w:hAnsi="宋体" w:cs="宋体" w:eastAsia="宋体" w:hint="default"/>
                <w:sz w:val="21"/>
                <w:szCs w:val="21"/>
              </w:rPr>
              <w:t>准备的其他应收 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56,853,</w:t>
            </w:r>
          </w:p>
          <w:p>
            <w:pPr>
              <w:pStyle w:val="TableParagraph"/>
              <w:spacing w:line="240" w:lineRule="auto" w:before="70"/>
              <w:ind w:left="153" w:right="0"/>
              <w:jc w:val="left"/>
              <w:rPr>
                <w:rFonts w:ascii="Times New Roman" w:hAnsi="Times New Roman" w:cs="Times New Roman" w:eastAsia="Times New Roman" w:hint="default"/>
                <w:sz w:val="21"/>
                <w:szCs w:val="21"/>
              </w:rPr>
            </w:pPr>
            <w:r>
              <w:rPr>
                <w:rFonts w:ascii="Times New Roman"/>
                <w:sz w:val="21"/>
              </w:rPr>
              <w:t>165.07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21"/>
                <w:szCs w:val="21"/>
              </w:rPr>
            </w:pPr>
            <w:r>
              <w:rPr>
                <w:rFonts w:ascii="Times New Roman"/>
                <w:sz w:val="21"/>
              </w:rPr>
              <w:t>103,555</w:t>
            </w:r>
          </w:p>
          <w:p>
            <w:pPr>
              <w:pStyle w:val="TableParagraph"/>
              <w:spacing w:line="240" w:lineRule="auto" w:before="70"/>
              <w:ind w:left="465" w:right="0"/>
              <w:jc w:val="left"/>
              <w:rPr>
                <w:rFonts w:ascii="Times New Roman" w:hAnsi="Times New Roman" w:cs="Times New Roman" w:eastAsia="Times New Roman" w:hint="default"/>
                <w:sz w:val="21"/>
                <w:szCs w:val="21"/>
              </w:rPr>
            </w:pPr>
            <w:r>
              <w:rPr>
                <w:rFonts w:ascii="Times New Roman"/>
                <w:sz w:val="21"/>
              </w:rPr>
              <w:t>.73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87" w:right="0"/>
              <w:jc w:val="left"/>
              <w:rPr>
                <w:rFonts w:ascii="Times New Roman" w:hAnsi="Times New Roman" w:cs="Times New Roman" w:eastAsia="Times New Roman" w:hint="default"/>
                <w:sz w:val="21"/>
                <w:szCs w:val="21"/>
              </w:rPr>
            </w:pPr>
            <w:r>
              <w:rPr>
                <w:rFonts w:ascii="Times New Roman"/>
                <w:sz w:val="21"/>
              </w:rPr>
              <w:t>0.18%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56,749,</w:t>
            </w:r>
          </w:p>
          <w:p>
            <w:pPr>
              <w:pStyle w:val="TableParagraph"/>
              <w:spacing w:line="240" w:lineRule="auto" w:before="70"/>
              <w:ind w:left="180" w:right="0"/>
              <w:jc w:val="left"/>
              <w:rPr>
                <w:rFonts w:ascii="Times New Roman" w:hAnsi="Times New Roman" w:cs="Times New Roman" w:eastAsia="Times New Roman" w:hint="default"/>
                <w:sz w:val="21"/>
                <w:szCs w:val="21"/>
              </w:rPr>
            </w:pPr>
            <w:r>
              <w:rPr>
                <w:rFonts w:ascii="Times New Roman"/>
                <w:sz w:val="21"/>
              </w:rPr>
              <w:t>609.34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24,153</w:t>
            </w:r>
          </w:p>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pacing w:val="-1"/>
                <w:sz w:val="21"/>
              </w:rPr>
              <w:t>,058.5</w:t>
            </w:r>
          </w:p>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z w:val="21"/>
              </w:rPr>
              <w:t>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64,850.7</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357" w:right="0"/>
              <w:jc w:val="left"/>
              <w:rPr>
                <w:rFonts w:ascii="Times New Roman" w:hAnsi="Times New Roman" w:cs="Times New Roman" w:eastAsia="Times New Roman" w:hint="default"/>
                <w:sz w:val="21"/>
                <w:szCs w:val="21"/>
              </w:rPr>
            </w:pPr>
            <w:r>
              <w:rPr>
                <w:rFonts w:ascii="Times New Roman"/>
                <w:sz w:val="21"/>
              </w:rPr>
              <w:t>0.27%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8" w:right="0"/>
              <w:jc w:val="left"/>
              <w:rPr>
                <w:rFonts w:ascii="Times New Roman" w:hAnsi="Times New Roman" w:cs="Times New Roman" w:eastAsia="Times New Roman" w:hint="default"/>
                <w:sz w:val="21"/>
                <w:szCs w:val="21"/>
              </w:rPr>
            </w:pPr>
            <w:r>
              <w:rPr>
                <w:rFonts w:ascii="Times New Roman"/>
                <w:sz w:val="21"/>
              </w:rPr>
              <w:t>24,088,20</w:t>
            </w:r>
          </w:p>
          <w:p>
            <w:pPr>
              <w:pStyle w:val="TableParagraph"/>
              <w:spacing w:line="240" w:lineRule="auto" w:before="70"/>
              <w:ind w:left="531" w:right="0"/>
              <w:jc w:val="left"/>
              <w:rPr>
                <w:rFonts w:ascii="Times New Roman" w:hAnsi="Times New Roman" w:cs="Times New Roman" w:eastAsia="Times New Roman" w:hint="default"/>
                <w:sz w:val="21"/>
                <w:szCs w:val="21"/>
              </w:rPr>
            </w:pPr>
            <w:r>
              <w:rPr>
                <w:rFonts w:ascii="Times New Roman"/>
                <w:sz w:val="21"/>
              </w:rPr>
              <w:t>7.82</w:t>
            </w:r>
          </w:p>
        </w:tc>
      </w:tr>
    </w:tbl>
    <w:p>
      <w:pPr>
        <w:pStyle w:val="BodyText"/>
        <w:spacing w:line="240" w:lineRule="auto" w:before="81"/>
        <w:ind w:left="634" w:right="0"/>
        <w:jc w:val="left"/>
      </w:pPr>
      <w:r>
        <w:rPr/>
        <w:t>期末单项金额重大并单项计提坏账准备的其他应收款：</w:t>
      </w:r>
    </w:p>
    <w:p>
      <w:pPr>
        <w:pStyle w:val="BodyText"/>
        <w:tabs>
          <w:tab w:pos="994" w:val="left" w:leader="none"/>
        </w:tabs>
        <w:spacing w:line="352" w:lineRule="auto" w:before="194"/>
        <w:ind w:left="634" w:right="3790"/>
        <w:jc w:val="left"/>
      </w:pPr>
      <w:r>
        <w:rPr>
          <w:rFonts w:ascii="Arial" w:hAnsi="Arial" w:cs="Arial" w:eastAsia="Arial" w:hint="default"/>
        </w:rPr>
        <w:t>□</w:t>
        <w:tab/>
      </w:r>
      <w:r>
        <w:rPr/>
        <w:t>适用 </w:t>
      </w:r>
      <w:r>
        <w:rPr>
          <w:rFonts w:ascii="Calibri" w:hAnsi="Calibri" w:cs="Calibri" w:eastAsia="Calibri" w:hint="default"/>
        </w:rPr>
        <w:t>√ </w:t>
      </w:r>
      <w:r>
        <w:rPr>
          <w:rFonts w:ascii="Calibri" w:hAnsi="Calibri" w:cs="Calibri" w:eastAsia="Calibri" w:hint="default"/>
          <w:spacing w:val="11"/>
        </w:rPr>
        <w:t> </w:t>
      </w:r>
      <w:r>
        <w:rPr/>
        <w:t>不适用</w:t>
      </w:r>
      <w:r>
        <w:rPr>
          <w:w w:val="99"/>
        </w:rPr>
        <w:t> </w:t>
      </w:r>
      <w:r>
        <w:rPr/>
        <w:t>组合中，按账龄分析法计提坏账准备的其他应收款：</w:t>
      </w:r>
    </w:p>
    <w:p>
      <w:pPr>
        <w:spacing w:after="0" w:line="352" w:lineRule="auto"/>
        <w:jc w:val="left"/>
        <w:sectPr>
          <w:pgSz w:w="11910" w:h="16840"/>
          <w:pgMar w:header="0" w:footer="979" w:top="1100" w:bottom="1160" w:left="980" w:right="980"/>
        </w:sectPr>
      </w:pPr>
    </w:p>
    <w:p>
      <w:pPr>
        <w:pStyle w:val="BodyText"/>
        <w:tabs>
          <w:tab w:pos="1834" w:val="left" w:leader="none"/>
        </w:tabs>
        <w:spacing w:line="240" w:lineRule="auto" w:before="80"/>
        <w:ind w:left="633" w:right="-20"/>
        <w:jc w:val="left"/>
      </w:pPr>
      <w:r>
        <w:rPr>
          <w:rFonts w:ascii="Calibri" w:hAnsi="Calibri" w:cs="Calibri" w:eastAsia="Calibri" w:hint="default"/>
        </w:rPr>
        <w:t>√  </w:t>
      </w:r>
      <w:r>
        <w:rPr/>
        <w:t>适用</w:t>
      </w:r>
      <w:r>
        <w:rPr>
          <w:spacing w:val="11"/>
        </w:rPr>
        <w:t> </w:t>
      </w:r>
      <w:r>
        <w:rPr>
          <w:rFonts w:ascii="Arial" w:hAnsi="Arial" w:cs="Arial" w:eastAsia="Arial" w:hint="default"/>
        </w:rPr>
        <w:t>□</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pStyle w:val="BodyText"/>
        <w:spacing w:line="240" w:lineRule="auto" w:before="196"/>
        <w:ind w:left="633" w:right="0"/>
        <w:jc w:val="left"/>
      </w:pPr>
      <w:r>
        <w:rPr/>
        <w:t>单位： 元</w:t>
      </w:r>
    </w:p>
    <w:p>
      <w:pPr>
        <w:spacing w:after="0" w:line="240" w:lineRule="auto"/>
        <w:jc w:val="left"/>
        <w:sectPr>
          <w:type w:val="continuous"/>
          <w:pgSz w:w="11910" w:h="16840"/>
          <w:pgMar w:top="1060" w:bottom="1160" w:left="980" w:right="980"/>
          <w:cols w:num="2" w:equalWidth="0">
            <w:col w:w="2555" w:space="5525"/>
            <w:col w:w="1870"/>
          </w:cols>
        </w:sectPr>
      </w:pP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21" w:right="0"/>
              <w:jc w:val="left"/>
              <w:rPr>
                <w:rFonts w:ascii="宋体" w:hAnsi="宋体" w:cs="宋体" w:eastAsia="宋体" w:hint="default"/>
                <w:sz w:val="21"/>
                <w:szCs w:val="21"/>
              </w:rPr>
            </w:pPr>
            <w:r>
              <w:rPr>
                <w:rFonts w:ascii="宋体" w:hAnsi="宋体" w:cs="宋体" w:eastAsia="宋体" w:hint="default"/>
                <w:b/>
                <w:bCs/>
                <w:sz w:val="21"/>
                <w:szCs w:val="21"/>
              </w:rPr>
              <w:t>其他应收款</w:t>
            </w:r>
            <w:r>
              <w:rPr>
                <w:rFonts w:ascii="宋体" w:hAnsi="宋体" w:cs="宋体" w:eastAsia="宋体" w:hint="default"/>
                <w:sz w:val="21"/>
                <w:szCs w:val="21"/>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7"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7"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年以内分项</w:t>
            </w:r>
          </w:p>
        </w:tc>
      </w:tr>
      <w:tr>
        <w:trPr>
          <w:trHeight w:val="714"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43"/>
              <w:jc w:val="left"/>
              <w:rPr>
                <w:rFonts w:ascii="宋体" w:hAnsi="宋体" w:cs="宋体" w:eastAsia="宋体" w:hint="default"/>
                <w:sz w:val="21"/>
                <w:szCs w:val="21"/>
              </w:rPr>
            </w:pPr>
            <w:r>
              <w:rPr>
                <w:rFonts w:ascii="宋体" w:hAnsi="宋体" w:cs="宋体" w:eastAsia="宋体" w:hint="default"/>
                <w:sz w:val="21"/>
                <w:szCs w:val="21"/>
              </w:rPr>
              <w:t>按账龄分析法计提坏账准 备的其他应收款</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1,438,005.93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28,760.12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1,438,005.93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28,760.12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64,135.58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9,620.34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94,350.54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47,175.27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301"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01"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01"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18,000.00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1,614,492.05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103,555.73</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88" w:lineRule="auto" w:before="81"/>
        <w:ind w:left="634" w:right="3292"/>
        <w:jc w:val="left"/>
      </w:pPr>
      <w:r>
        <w:rPr/>
        <w:t>确定该组合依据的说明： 以其他应收款的账龄为信用风险特征划分组合。 组合中，采用余额百分比法计提坏账准备的其他应收款：</w:t>
      </w:r>
    </w:p>
    <w:p>
      <w:pPr>
        <w:pStyle w:val="BodyText"/>
        <w:tabs>
          <w:tab w:pos="994" w:val="left" w:leader="none"/>
        </w:tabs>
        <w:spacing w:line="352" w:lineRule="auto" w:before="46"/>
        <w:ind w:left="634" w:right="6670"/>
        <w:jc w:val="left"/>
      </w:pPr>
      <w:r>
        <w:rPr>
          <w:rFonts w:ascii="Arial" w:hAnsi="Arial" w:cs="Arial" w:eastAsia="Arial" w:hint="default"/>
        </w:rPr>
        <w:t>□</w:t>
        <w:tab/>
      </w:r>
      <w:r>
        <w:rPr/>
        <w:t>适用 </w:t>
      </w:r>
      <w:r>
        <w:rPr>
          <w:rFonts w:ascii="Calibri" w:hAnsi="Calibri" w:cs="Calibri" w:eastAsia="Calibri" w:hint="default"/>
        </w:rPr>
        <w:t>√ </w:t>
      </w:r>
      <w:r>
        <w:rPr>
          <w:rFonts w:ascii="Calibri" w:hAnsi="Calibri" w:cs="Calibri" w:eastAsia="Calibri" w:hint="default"/>
          <w:spacing w:val="11"/>
        </w:rPr>
        <w:t> </w:t>
      </w:r>
      <w:r>
        <w:rPr/>
        <w:t>不适用</w:t>
      </w:r>
      <w:r>
        <w:rPr>
          <w:w w:val="99"/>
        </w:rPr>
        <w:t> </w:t>
      </w:r>
      <w:r>
        <w:rPr/>
        <w:t>确定该组合依据的说明：</w:t>
      </w:r>
    </w:p>
    <w:p>
      <w:pPr>
        <w:pStyle w:val="BodyText"/>
        <w:spacing w:line="240" w:lineRule="auto" w:before="80"/>
        <w:ind w:left="634" w:right="0"/>
        <w:jc w:val="left"/>
      </w:pPr>
      <w:r>
        <w:rPr/>
        <w:t>组合中，采用其他方法计提坏账准备的其他应收款：</w:t>
      </w:r>
    </w:p>
    <w:p>
      <w:pPr>
        <w:pStyle w:val="BodyText"/>
        <w:tabs>
          <w:tab w:pos="1834" w:val="left" w:leader="none"/>
        </w:tabs>
        <w:spacing w:line="352" w:lineRule="auto" w:before="195"/>
        <w:ind w:left="634" w:right="311"/>
        <w:jc w:val="left"/>
      </w:pPr>
      <w:r>
        <w:rPr>
          <w:rFonts w:ascii="Calibri" w:hAnsi="Calibri" w:cs="Calibri" w:eastAsia="Calibri" w:hint="default"/>
        </w:rPr>
        <w:t>√  </w:t>
      </w:r>
      <w:r>
        <w:rPr/>
        <w:t>适用</w:t>
      </w:r>
      <w:r>
        <w:rPr>
          <w:spacing w:val="11"/>
        </w:rPr>
        <w:t> </w:t>
      </w:r>
      <w:r>
        <w:rPr>
          <w:rFonts w:ascii="Arial" w:hAnsi="Arial" w:cs="Arial" w:eastAsia="Arial" w:hint="default"/>
        </w:rPr>
        <w:t>□</w:t>
        <w:tab/>
      </w:r>
      <w:r>
        <w:rPr/>
        <w:t>不适用</w:t>
      </w:r>
      <w:r>
        <w:rPr>
          <w:w w:val="99"/>
        </w:rPr>
        <w:t> </w:t>
      </w:r>
      <w:r>
        <w:rPr>
          <w:rFonts w:ascii="宋体" w:hAnsi="宋体" w:cs="宋体" w:eastAsia="宋体" w:hint="default"/>
        </w:rPr>
        <w:t>1</w:t>
      </w:r>
      <w:r>
        <w:rPr/>
        <w:t>、与交易对象关系组合：应收关联方的款项，不计提坏账准备。该组合其他应收款期</w:t>
      </w:r>
    </w:p>
    <w:p>
      <w:pPr>
        <w:spacing w:after="0" w:line="352" w:lineRule="auto"/>
        <w:jc w:val="left"/>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pStyle w:val="BodyText"/>
        <w:spacing w:line="386" w:lineRule="auto"/>
        <w:ind w:left="633" w:right="293" w:hanging="480"/>
        <w:jc w:val="left"/>
      </w:pPr>
      <w:r>
        <w:rPr/>
        <w:t>末余额为</w:t>
      </w:r>
      <w:r>
        <w:rPr>
          <w:spacing w:val="-60"/>
        </w:rPr>
        <w:t> </w:t>
      </w:r>
      <w:r>
        <w:rPr>
          <w:rFonts w:ascii="宋体" w:hAnsi="宋体" w:cs="宋体" w:eastAsia="宋体" w:hint="default"/>
        </w:rPr>
        <w:t>48,893,907.25</w:t>
      </w:r>
      <w:r>
        <w:rPr>
          <w:rFonts w:ascii="宋体" w:hAnsi="宋体" w:cs="宋体" w:eastAsia="宋体" w:hint="default"/>
          <w:spacing w:val="-60"/>
        </w:rPr>
        <w:t> </w:t>
      </w:r>
      <w:r>
        <w:rPr/>
        <w:t>元。 </w:t>
      </w:r>
      <w:r>
        <w:rPr>
          <w:rFonts w:ascii="宋体" w:hAnsi="宋体" w:cs="宋体" w:eastAsia="宋体" w:hint="default"/>
        </w:rPr>
        <w:t>2</w:t>
      </w:r>
      <w:r>
        <w:rPr/>
        <w:t>、款项性质组合：款项为上市费用，不计提坏账准备。该组合其他应收款期末余额为</w:t>
      </w:r>
    </w:p>
    <w:p>
      <w:pPr>
        <w:pStyle w:val="BodyText"/>
        <w:spacing w:line="240" w:lineRule="auto" w:before="8"/>
        <w:ind w:right="0"/>
        <w:jc w:val="left"/>
      </w:pPr>
      <w:r>
        <w:rPr>
          <w:rFonts w:ascii="宋体" w:hAnsi="宋体" w:cs="宋体" w:eastAsia="宋体" w:hint="default"/>
        </w:rPr>
        <w:t>6,344,765.77</w:t>
      </w:r>
      <w:r>
        <w:rPr>
          <w:rFonts w:ascii="宋体" w:hAnsi="宋体" w:cs="宋体" w:eastAsia="宋体" w:hint="default"/>
          <w:spacing w:val="-60"/>
        </w:rPr>
        <w:t> </w:t>
      </w:r>
      <w:r>
        <w:rPr/>
        <w:t>元。</w:t>
      </w:r>
    </w:p>
    <w:p>
      <w:pPr>
        <w:spacing w:line="240" w:lineRule="auto" w:before="10"/>
        <w:rPr>
          <w:rFonts w:ascii="宋体" w:hAnsi="宋体" w:cs="宋体" w:eastAsia="宋体" w:hint="default"/>
          <w:sz w:val="28"/>
          <w:szCs w:val="28"/>
        </w:rPr>
      </w:pPr>
    </w:p>
    <w:p>
      <w:pPr>
        <w:spacing w:before="0"/>
        <w:ind w:left="154" w:right="0" w:firstLine="0"/>
        <w:jc w:val="left"/>
        <w:rPr>
          <w:rFonts w:ascii="宋体" w:hAnsi="宋体" w:cs="宋体" w:eastAsia="宋体" w:hint="default"/>
          <w:sz w:val="24"/>
          <w:szCs w:val="24"/>
        </w:rPr>
      </w:pPr>
      <w:bookmarkStart w:name="（2）本期计提、收回或转回的坏账准备情况" w:id="380"/>
      <w:bookmarkEnd w:id="380"/>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）本期计提、收回或转回的坏账准备情况</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pStyle w:val="BodyText"/>
        <w:spacing w:line="240" w:lineRule="auto" w:before="0"/>
        <w:ind w:left="633" w:right="0"/>
        <w:jc w:val="left"/>
      </w:pPr>
      <w:r>
        <w:rPr/>
        <w:t>本期计提坏账准备金额</w:t>
      </w:r>
      <w:r>
        <w:rPr>
          <w:spacing w:val="-60"/>
        </w:rPr>
        <w:t> </w:t>
      </w:r>
      <w:r>
        <w:rPr>
          <w:rFonts w:ascii="宋体" w:hAnsi="宋体" w:cs="宋体" w:eastAsia="宋体" w:hint="default"/>
        </w:rPr>
        <w:t>66,314.99</w:t>
      </w:r>
      <w:r>
        <w:rPr>
          <w:rFonts w:ascii="宋体" w:hAnsi="宋体" w:cs="宋体" w:eastAsia="宋体" w:hint="default"/>
          <w:spacing w:val="-60"/>
        </w:rPr>
        <w:t> </w:t>
      </w:r>
      <w:r>
        <w:rPr/>
        <w:t>元；本期收回或转回坏账准备金额</w:t>
      </w:r>
      <w:r>
        <w:rPr>
          <w:spacing w:val="-60"/>
        </w:rPr>
        <w:t> </w:t>
      </w:r>
      <w:r>
        <w:rPr>
          <w:rFonts w:ascii="宋体" w:hAnsi="宋体" w:cs="宋体" w:eastAsia="宋体" w:hint="default"/>
        </w:rPr>
        <w:t>0.00</w:t>
      </w:r>
      <w:r>
        <w:rPr>
          <w:rFonts w:ascii="宋体" w:hAnsi="宋体" w:cs="宋体" w:eastAsia="宋体" w:hint="default"/>
          <w:spacing w:val="-60"/>
        </w:rPr>
        <w:t> </w:t>
      </w:r>
      <w:r>
        <w:rPr/>
        <w:t>元。</w:t>
      </w:r>
    </w:p>
    <w:p>
      <w:pPr>
        <w:spacing w:line="240" w:lineRule="auto" w:before="10"/>
        <w:rPr>
          <w:rFonts w:ascii="宋体" w:hAnsi="宋体" w:cs="宋体" w:eastAsia="宋体" w:hint="default"/>
          <w:sz w:val="28"/>
          <w:szCs w:val="28"/>
        </w:rPr>
      </w:pPr>
    </w:p>
    <w:p>
      <w:pPr>
        <w:spacing w:before="0"/>
        <w:ind w:left="153" w:right="0" w:firstLine="0"/>
        <w:jc w:val="left"/>
        <w:rPr>
          <w:rFonts w:ascii="宋体" w:hAnsi="宋体" w:cs="宋体" w:eastAsia="宋体" w:hint="default"/>
          <w:sz w:val="24"/>
          <w:szCs w:val="24"/>
        </w:rPr>
      </w:pPr>
      <w:bookmarkStart w:name="（3）本期实际核销的其他应收款情况" w:id="381"/>
      <w:bookmarkEnd w:id="381"/>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）本期实际核销的其他应收款情况</w:t>
      </w:r>
      <w:r>
        <w:rPr>
          <w:rFonts w:ascii="宋体" w:hAnsi="宋体" w:cs="宋体" w:eastAsia="宋体" w:hint="default"/>
          <w:sz w:val="24"/>
          <w:szCs w:val="24"/>
        </w:rPr>
      </w:r>
    </w:p>
    <w:p>
      <w:pPr>
        <w:spacing w:line="240" w:lineRule="auto" w:before="5"/>
        <w:rPr>
          <w:rFonts w:ascii="宋体" w:hAnsi="宋体" w:cs="宋体" w:eastAsia="宋体" w:hint="default"/>
          <w:b/>
          <w:bCs/>
          <w:sz w:val="21"/>
          <w:szCs w:val="21"/>
        </w:rPr>
      </w:pPr>
    </w:p>
    <w:p>
      <w:pPr>
        <w:pStyle w:val="BodyText"/>
        <w:spacing w:line="240" w:lineRule="auto" w:before="0"/>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核销金额</w:t>
            </w:r>
            <w:r>
              <w:rPr>
                <w:rFonts w:ascii="宋体" w:hAnsi="宋体" w:cs="宋体" w:eastAsia="宋体" w:hint="default"/>
                <w:sz w:val="21"/>
                <w:szCs w:val="21"/>
              </w:rPr>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2" w:right="0"/>
              <w:jc w:val="left"/>
              <w:rPr>
                <w:rFonts w:ascii="宋体" w:hAnsi="宋体" w:cs="宋体" w:eastAsia="宋体" w:hint="default"/>
                <w:sz w:val="22"/>
                <w:szCs w:val="22"/>
              </w:rPr>
            </w:pPr>
            <w:r>
              <w:rPr>
                <w:rFonts w:ascii="宋体" w:hAnsi="宋体" w:cs="宋体" w:eastAsia="宋体" w:hint="default"/>
                <w:sz w:val="22"/>
                <w:szCs w:val="22"/>
              </w:rPr>
              <w:t>实际核销的其他应收款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27,610.00</w:t>
            </w:r>
          </w:p>
        </w:tc>
      </w:tr>
    </w:tbl>
    <w:p>
      <w:pPr>
        <w:pStyle w:val="BodyText"/>
        <w:spacing w:line="388" w:lineRule="auto" w:before="81"/>
        <w:ind w:left="634" w:right="3772"/>
        <w:jc w:val="left"/>
      </w:pPr>
      <w:r>
        <w:rPr/>
        <w:t>其他应收款核销说明： 无法收回的其他应收款，据董事会审批后进行核销。</w:t>
      </w:r>
    </w:p>
    <w:p>
      <w:pPr>
        <w:spacing w:line="240" w:lineRule="auto" w:before="3"/>
        <w:rPr>
          <w:rFonts w:ascii="宋体" w:hAnsi="宋体" w:cs="宋体" w:eastAsia="宋体" w:hint="default"/>
          <w:sz w:val="17"/>
          <w:szCs w:val="17"/>
        </w:rPr>
      </w:pPr>
    </w:p>
    <w:p>
      <w:pPr>
        <w:spacing w:before="0"/>
        <w:ind w:left="153" w:right="0" w:firstLine="0"/>
        <w:jc w:val="left"/>
        <w:rPr>
          <w:rFonts w:ascii="宋体" w:hAnsi="宋体" w:cs="宋体" w:eastAsia="宋体" w:hint="default"/>
          <w:sz w:val="24"/>
          <w:szCs w:val="24"/>
        </w:rPr>
      </w:pPr>
      <w:bookmarkStart w:name="（4）其他应收款按款项性质分类情况" w:id="382"/>
      <w:bookmarkEnd w:id="382"/>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）其他应收款按款项性质分类情况</w:t>
      </w:r>
      <w:r>
        <w:rPr>
          <w:rFonts w:ascii="宋体" w:hAnsi="宋体" w:cs="宋体" w:eastAsia="宋体" w:hint="default"/>
          <w:sz w:val="24"/>
          <w:szCs w:val="24"/>
        </w:rPr>
      </w:r>
    </w:p>
    <w:p>
      <w:pPr>
        <w:spacing w:line="240" w:lineRule="auto" w:before="7"/>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款项性质</w:t>
            </w:r>
            <w:r>
              <w:rPr>
                <w:rFonts w:ascii="宋体" w:hAnsi="宋体" w:cs="宋体" w:eastAsia="宋体" w:hint="default"/>
                <w:sz w:val="21"/>
                <w:szCs w:val="21"/>
              </w:rPr>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12" w:right="0"/>
              <w:jc w:val="left"/>
              <w:rPr>
                <w:rFonts w:ascii="宋体" w:hAnsi="宋体" w:cs="宋体" w:eastAsia="宋体" w:hint="default"/>
                <w:sz w:val="21"/>
                <w:szCs w:val="21"/>
              </w:rPr>
            </w:pPr>
            <w:r>
              <w:rPr>
                <w:rFonts w:ascii="宋体" w:hAnsi="宋体" w:cs="宋体" w:eastAsia="宋体" w:hint="default"/>
                <w:b/>
                <w:bCs/>
                <w:sz w:val="21"/>
                <w:szCs w:val="21"/>
              </w:rPr>
              <w:t>期末账面余额</w:t>
            </w:r>
            <w:r>
              <w:rPr>
                <w:rFonts w:ascii="宋体" w:hAnsi="宋体" w:cs="宋体" w:eastAsia="宋体" w:hint="default"/>
                <w:sz w:val="21"/>
                <w:szCs w:val="21"/>
              </w:rPr>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12" w:right="0"/>
              <w:jc w:val="left"/>
              <w:rPr>
                <w:rFonts w:ascii="宋体" w:hAnsi="宋体" w:cs="宋体" w:eastAsia="宋体" w:hint="default"/>
                <w:sz w:val="21"/>
                <w:szCs w:val="21"/>
              </w:rPr>
            </w:pPr>
            <w:r>
              <w:rPr>
                <w:rFonts w:ascii="宋体" w:hAnsi="宋体" w:cs="宋体" w:eastAsia="宋体" w:hint="default"/>
                <w:b/>
                <w:bCs/>
                <w:sz w:val="21"/>
                <w:szCs w:val="21"/>
              </w:rPr>
              <w:t>期初账面余额</w:t>
            </w:r>
            <w:r>
              <w:rPr>
                <w:rFonts w:ascii="宋体" w:hAnsi="宋体" w:cs="宋体" w:eastAsia="宋体" w:hint="default"/>
                <w:sz w:val="21"/>
                <w:szCs w:val="21"/>
              </w:rPr>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上市费用</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6,344,765.77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6,529,402.95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职工借款及备用金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735,043.42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152,876.29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保证金及押金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879,448.63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782,393.40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内部往来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48,893,907.25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16,688,385.92</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56,853,165.07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24,153,058.56</w:t>
            </w: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5）按欠款方归集的期末余额前五吊的其他应收款情况" w:id="383"/>
      <w:bookmarkEnd w:id="383"/>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）按欠款方归集的期末余额前五名的其他应收款情况</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102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款项的性质</w:t>
            </w:r>
            <w:r>
              <w:rPr>
                <w:rFonts w:ascii="宋体" w:hAnsi="宋体" w:cs="宋体" w:eastAsia="宋体" w:hint="default"/>
                <w:sz w:val="21"/>
                <w:szCs w:val="21"/>
              </w:rPr>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4" w:right="63"/>
              <w:jc w:val="center"/>
              <w:rPr>
                <w:rFonts w:ascii="宋体" w:hAnsi="宋体" w:cs="宋体" w:eastAsia="宋体" w:hint="default"/>
                <w:sz w:val="21"/>
                <w:szCs w:val="21"/>
              </w:rPr>
            </w:pPr>
            <w:r>
              <w:rPr>
                <w:rFonts w:ascii="宋体" w:hAnsi="宋体" w:cs="宋体" w:eastAsia="宋体" w:hint="default"/>
                <w:b/>
                <w:bCs/>
                <w:sz w:val="21"/>
                <w:szCs w:val="21"/>
              </w:rPr>
              <w:t>占其他应收款期</w:t>
            </w:r>
            <w:r>
              <w:rPr>
                <w:rFonts w:ascii="宋体" w:hAnsi="宋体" w:cs="宋体" w:eastAsia="宋体" w:hint="default"/>
                <w:b/>
                <w:bCs/>
                <w:w w:val="99"/>
                <w:sz w:val="21"/>
                <w:szCs w:val="21"/>
              </w:rPr>
              <w:t> </w:t>
            </w:r>
            <w:r>
              <w:rPr>
                <w:rFonts w:ascii="宋体" w:hAnsi="宋体" w:cs="宋体" w:eastAsia="宋体" w:hint="default"/>
                <w:b/>
                <w:bCs/>
                <w:sz w:val="21"/>
                <w:szCs w:val="21"/>
              </w:rPr>
              <w:t>末余额合计数的</w:t>
            </w:r>
            <w:r>
              <w:rPr>
                <w:rFonts w:ascii="宋体" w:hAnsi="宋体" w:cs="宋体" w:eastAsia="宋体" w:hint="default"/>
                <w:b/>
                <w:bCs/>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697" w:right="63" w:hanging="632"/>
              <w:jc w:val="left"/>
              <w:rPr>
                <w:rFonts w:ascii="宋体" w:hAnsi="宋体" w:cs="宋体" w:eastAsia="宋体" w:hint="default"/>
                <w:sz w:val="21"/>
                <w:szCs w:val="21"/>
              </w:rPr>
            </w:pPr>
            <w:r>
              <w:rPr>
                <w:rFonts w:ascii="宋体" w:hAnsi="宋体" w:cs="宋体" w:eastAsia="宋体" w:hint="default"/>
                <w:b/>
                <w:bCs/>
                <w:sz w:val="21"/>
                <w:szCs w:val="21"/>
              </w:rPr>
              <w:t>坏账准备期末余</w:t>
            </w:r>
            <w:r>
              <w:rPr>
                <w:rFonts w:ascii="宋体" w:hAnsi="宋体" w:cs="宋体" w:eastAsia="宋体" w:hint="default"/>
                <w:b/>
                <w:bCs/>
                <w:w w:val="99"/>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79"/>
              <w:jc w:val="left"/>
              <w:rPr>
                <w:rFonts w:ascii="宋体" w:hAnsi="宋体" w:cs="宋体" w:eastAsia="宋体" w:hint="default"/>
                <w:sz w:val="21"/>
                <w:szCs w:val="21"/>
              </w:rPr>
            </w:pPr>
            <w:r>
              <w:rPr>
                <w:rFonts w:ascii="宋体" w:hAnsi="宋体" w:cs="宋体" w:eastAsia="宋体" w:hint="default"/>
                <w:sz w:val="21"/>
                <w:szCs w:val="21"/>
              </w:rPr>
              <w:t>北京中文在线文 化传媒有限公司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内部往来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27,388,870.45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48.17%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19" w:right="0"/>
              <w:jc w:val="left"/>
              <w:rPr>
                <w:rFonts w:ascii="Times New Roman" w:hAnsi="Times New Roman" w:cs="Times New Roman" w:eastAsia="Times New Roman" w:hint="default"/>
                <w:sz w:val="21"/>
                <w:szCs w:val="21"/>
              </w:rPr>
            </w:pPr>
            <w:r>
              <w:rPr>
                <w:rFonts w:ascii="Times New Roman"/>
                <w:sz w:val="21"/>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79"/>
              <w:jc w:val="left"/>
              <w:rPr>
                <w:rFonts w:ascii="宋体" w:hAnsi="宋体" w:cs="宋体" w:eastAsia="宋体" w:hint="default"/>
                <w:sz w:val="21"/>
                <w:szCs w:val="21"/>
              </w:rPr>
            </w:pPr>
            <w:r>
              <w:rPr>
                <w:rFonts w:ascii="宋体" w:hAnsi="宋体" w:cs="宋体" w:eastAsia="宋体" w:hint="default"/>
                <w:sz w:val="21"/>
                <w:szCs w:val="21"/>
              </w:rPr>
              <w:t>北京中文在线教 育科技有限公司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内部往来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14,143,879.46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24.88%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19" w:right="0"/>
              <w:jc w:val="lef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21"/>
                <w:szCs w:val="21"/>
              </w:rPr>
            </w:pPr>
            <w:r>
              <w:rPr>
                <w:rFonts w:ascii="宋体" w:hAnsi="宋体" w:cs="宋体" w:eastAsia="宋体" w:hint="default"/>
                <w:sz w:val="21"/>
                <w:szCs w:val="21"/>
              </w:rPr>
              <w:t>中文在线教育集</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内部往来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7,361,157.34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12.95%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19" w:right="0"/>
              <w:jc w:val="left"/>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left"/>
        <w:rPr>
          <w:rFonts w:ascii="Times New Roman" w:hAnsi="Times New Roman" w:cs="Times New Roman" w:eastAsia="Times New Roman" w:hint="default"/>
          <w:sz w:val="21"/>
          <w:szCs w:val="21"/>
        </w:rPr>
        <w:sectPr>
          <w:pgSz w:w="11910" w:h="16840"/>
          <w:pgMar w:header="0"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281"/>
        <w:gridCol w:w="1333"/>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gridSpan w:val="2"/>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上市费用</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上市费用</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19" w:right="0"/>
              <w:jc w:val="left"/>
              <w:rPr>
                <w:rFonts w:ascii="Times New Roman" w:hAnsi="Times New Roman" w:cs="Times New Roman" w:eastAsia="Times New Roman" w:hint="default"/>
                <w:sz w:val="21"/>
                <w:szCs w:val="21"/>
              </w:rPr>
            </w:pPr>
            <w:r>
              <w:rPr>
                <w:rFonts w:ascii="Times New Roman"/>
                <w:sz w:val="21"/>
              </w:rPr>
              <w:t>6,344,765.77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4"/>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年以内</w:t>
            </w:r>
            <w:r>
              <w:rPr>
                <w:rFonts w:ascii="宋体" w:hAnsi="宋体" w:cs="宋体" w:eastAsia="宋体" w:hint="default"/>
                <w:spacing w:val="-105"/>
                <w:sz w:val="21"/>
                <w:szCs w:val="21"/>
              </w:rPr>
              <w:t>、</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w:t>
            </w:r>
          </w:p>
          <w:p>
            <w:pPr>
              <w:pStyle w:val="TableParagraph"/>
              <w:spacing w:line="240" w:lineRule="auto" w:before="21"/>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40" w:right="0"/>
              <w:jc w:val="left"/>
              <w:rPr>
                <w:rFonts w:ascii="宋体" w:hAnsi="宋体" w:cs="宋体" w:eastAsia="宋体" w:hint="default"/>
                <w:sz w:val="21"/>
                <w:szCs w:val="21"/>
              </w:rPr>
            </w:pPr>
            <w:r>
              <w:rPr>
                <w:rFonts w:ascii="宋体" w:hAnsi="宋体" w:cs="宋体" w:eastAsia="宋体" w:hint="default"/>
                <w:sz w:val="21"/>
                <w:szCs w:val="21"/>
              </w:rPr>
              <w:t>、</w:t>
            </w:r>
          </w:p>
        </w:tc>
        <w:tc>
          <w:tcPr>
            <w:tcW w:w="1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05" w:right="0"/>
              <w:jc w:val="left"/>
              <w:rPr>
                <w:rFonts w:ascii="Times New Roman" w:hAnsi="Times New Roman" w:cs="Times New Roman" w:eastAsia="Times New Roman" w:hint="default"/>
                <w:sz w:val="21"/>
                <w:szCs w:val="21"/>
              </w:rPr>
            </w:pPr>
            <w:r>
              <w:rPr>
                <w:rFonts w:ascii="Times New Roman"/>
                <w:sz w:val="21"/>
              </w:rPr>
              <w:t>11.16%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79"/>
              <w:jc w:val="left"/>
              <w:rPr>
                <w:rFonts w:ascii="宋体" w:hAnsi="宋体" w:cs="宋体" w:eastAsia="宋体" w:hint="default"/>
                <w:sz w:val="21"/>
                <w:szCs w:val="21"/>
              </w:rPr>
            </w:pPr>
            <w:r>
              <w:rPr>
                <w:rFonts w:ascii="宋体" w:hAnsi="宋体" w:cs="宋体" w:eastAsia="宋体" w:hint="default"/>
                <w:sz w:val="21"/>
                <w:szCs w:val="21"/>
              </w:rPr>
              <w:t>北京教育科学研 究院</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保证金及押金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98" w:right="0"/>
              <w:jc w:val="left"/>
              <w:rPr>
                <w:rFonts w:ascii="Times New Roman" w:hAnsi="Times New Roman" w:cs="Times New Roman" w:eastAsia="Times New Roman" w:hint="default"/>
                <w:sz w:val="21"/>
                <w:szCs w:val="21"/>
              </w:rPr>
            </w:pPr>
            <w:r>
              <w:rPr>
                <w:rFonts w:ascii="Times New Roman"/>
                <w:sz w:val="21"/>
              </w:rPr>
              <w:t>600,000.00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30" w:right="0"/>
              <w:jc w:val="left"/>
              <w:rPr>
                <w:rFonts w:ascii="Times New Roman" w:hAnsi="Times New Roman" w:cs="Times New Roman" w:eastAsia="Times New Roman" w:hint="default"/>
                <w:sz w:val="21"/>
                <w:szCs w:val="21"/>
              </w:rPr>
            </w:pPr>
            <w:r>
              <w:rPr>
                <w:rFonts w:ascii="Times New Roman"/>
                <w:sz w:val="21"/>
              </w:rPr>
              <w:t>1.06%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82" w:right="0"/>
              <w:jc w:val="left"/>
              <w:rPr>
                <w:rFonts w:ascii="Times New Roman" w:hAnsi="Times New Roman" w:cs="Times New Roman" w:eastAsia="Times New Roman" w:hint="default"/>
                <w:sz w:val="21"/>
                <w:szCs w:val="21"/>
              </w:rPr>
            </w:pPr>
            <w:r>
              <w:rPr>
                <w:rFonts w:ascii="Times New Roman"/>
                <w:sz w:val="21"/>
              </w:rPr>
              <w:t>12,000.00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1" w:right="0"/>
              <w:jc w:val="left"/>
              <w:rPr>
                <w:rFonts w:ascii="Times New Roman" w:hAnsi="Times New Roman" w:cs="Times New Roman" w:eastAsia="Times New Roman" w:hint="default"/>
                <w:sz w:val="21"/>
                <w:szCs w:val="21"/>
              </w:rPr>
            </w:pPr>
            <w:r>
              <w:rPr>
                <w:rFonts w:ascii="Times New Roman"/>
                <w:sz w:val="21"/>
              </w:rPr>
              <w:t>55,838,673.02</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33" w:right="0"/>
              <w:jc w:val="left"/>
              <w:rPr>
                <w:rFonts w:ascii="Times New Roman" w:hAnsi="Times New Roman" w:cs="Times New Roman" w:eastAsia="Times New Roman" w:hint="default"/>
                <w:sz w:val="21"/>
                <w:szCs w:val="21"/>
              </w:rPr>
            </w:pPr>
            <w:r>
              <w:rPr>
                <w:rFonts w:ascii="Times New Roman"/>
                <w:sz w:val="21"/>
              </w:rPr>
              <w:t>98.22%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42" w:right="0"/>
              <w:jc w:val="left"/>
              <w:rPr>
                <w:rFonts w:ascii="Times New Roman" w:hAnsi="Times New Roman" w:cs="Times New Roman" w:eastAsia="Times New Roman" w:hint="default"/>
                <w:sz w:val="21"/>
                <w:szCs w:val="21"/>
              </w:rPr>
            </w:pPr>
            <w:r>
              <w:rPr>
                <w:rFonts w:ascii="Times New Roman"/>
                <w:sz w:val="21"/>
              </w:rPr>
              <w:t>12,000.00</w:t>
            </w:r>
          </w:p>
        </w:tc>
      </w:tr>
    </w:tbl>
    <w:p>
      <w:pPr>
        <w:spacing w:line="240" w:lineRule="auto" w:before="2"/>
        <w:rPr>
          <w:rFonts w:ascii="宋体" w:hAnsi="宋体" w:cs="宋体" w:eastAsia="宋体" w:hint="default"/>
          <w:sz w:val="18"/>
          <w:szCs w:val="18"/>
        </w:rPr>
      </w:pPr>
    </w:p>
    <w:p>
      <w:pPr>
        <w:spacing w:line="499" w:lineRule="auto" w:before="26"/>
        <w:ind w:left="633" w:right="6652" w:hanging="480"/>
        <w:jc w:val="left"/>
        <w:rPr>
          <w:rFonts w:ascii="宋体" w:hAnsi="宋体" w:cs="宋体" w:eastAsia="宋体" w:hint="default"/>
          <w:sz w:val="24"/>
          <w:szCs w:val="24"/>
        </w:rPr>
      </w:pPr>
      <w:r>
        <w:rPr/>
        <w:pict>
          <v:group style="position:absolute;margin-left:373.959991pt;margin-top:-103.384377pt;width:80.25pt;height:28pt;mso-position-horizontal-relative:page;mso-position-vertical-relative:paragraph;z-index:-741112" coordorigin="7479,-2068" coordsize="1605,560">
            <v:group style="position:absolute;left:7479;top:-2068;width:1605;height:156" coordorigin="7479,-2068" coordsize="1605,156">
              <v:shape style="position:absolute;left:7479;top:-2068;width:1605;height:156" coordorigin="7479,-2068" coordsize="1605,156" path="m7479,-1912l9084,-1912,9084,-2068,7479,-2068,7479,-1912xe" filled="true" fillcolor="#ffffff" stroked="false">
                <v:path arrowok="t"/>
                <v:fill type="solid"/>
              </v:shape>
            </v:group>
            <v:group style="position:absolute;left:7491;top:-1912;width:2;height:393" coordorigin="7491,-1912" coordsize="2,393">
              <v:shape style="position:absolute;left:7491;top:-1912;width:2;height:393" coordorigin="7491,-1912" coordsize="0,393" path="m7491,-1912l7491,-1519e" filled="false" stroked="true" strokeweight="1.140pt" strokecolor="#ffffff">
                <v:path arrowok="t"/>
              </v:shape>
            </v:group>
            <v:group style="position:absolute;left:7502;top:-1912;width:1560;height:393" coordorigin="7502,-1912" coordsize="1560,393">
              <v:shape style="position:absolute;left:7502;top:-1912;width:1560;height:393" coordorigin="7502,-1912" coordsize="1560,393" path="m7502,-1519l9061,-1519,9061,-1912,7502,-1912,7502,-1519xe" filled="true" fillcolor="#ffffff" stroked="false">
                <v:path arrowok="t"/>
                <v:fill type="solid"/>
              </v:shape>
            </v:group>
            <w10:wrap type="none"/>
          </v:group>
        </w:pict>
      </w:r>
      <w:bookmarkStart w:name="（6）涉及政府补助的应收款项" w:id="384"/>
      <w:bookmarkEnd w:id="384"/>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6</w:t>
      </w:r>
      <w:r>
        <w:rPr>
          <w:rFonts w:ascii="宋体" w:hAnsi="宋体" w:cs="宋体" w:eastAsia="宋体" w:hint="default"/>
          <w:b/>
          <w:bCs/>
          <w:w w:val="95"/>
          <w:sz w:val="24"/>
          <w:szCs w:val="24"/>
        </w:rPr>
        <w:t>）涉及政府补助的应收款项</w:t>
      </w:r>
      <w:r>
        <w:rPr>
          <w:rFonts w:ascii="宋体" w:hAnsi="宋体" w:cs="宋体" w:eastAsia="宋体" w:hint="default"/>
          <w:b/>
          <w:bCs/>
          <w:spacing w:val="36"/>
          <w:w w:val="95"/>
          <w:sz w:val="24"/>
          <w:szCs w:val="24"/>
        </w:rPr>
        <w:t> </w:t>
      </w:r>
      <w:r>
        <w:rPr>
          <w:rFonts w:ascii="宋体" w:hAnsi="宋体" w:cs="宋体" w:eastAsia="宋体" w:hint="default"/>
          <w:sz w:val="24"/>
          <w:szCs w:val="24"/>
        </w:rPr>
        <w:t>无。</w:t>
      </w:r>
    </w:p>
    <w:p>
      <w:pPr>
        <w:spacing w:line="499" w:lineRule="auto" w:before="115"/>
        <w:ind w:left="633" w:right="4732" w:hanging="480"/>
        <w:jc w:val="left"/>
        <w:rPr>
          <w:rFonts w:ascii="宋体" w:hAnsi="宋体" w:cs="宋体" w:eastAsia="宋体" w:hint="default"/>
          <w:sz w:val="24"/>
          <w:szCs w:val="24"/>
        </w:rPr>
      </w:pPr>
      <w:bookmarkStart w:name="（7）因金融资产转移而终止确认的其他应收款" w:id="385"/>
      <w:bookmarkEnd w:id="385"/>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7</w:t>
      </w:r>
      <w:r>
        <w:rPr>
          <w:rFonts w:ascii="宋体" w:hAnsi="宋体" w:cs="宋体" w:eastAsia="宋体" w:hint="default"/>
          <w:b/>
          <w:bCs/>
          <w:w w:val="95"/>
          <w:sz w:val="24"/>
          <w:szCs w:val="24"/>
        </w:rPr>
        <w:t>）因金融资产转移而终止确认的其他应收款</w:t>
      </w:r>
      <w:r>
        <w:rPr>
          <w:rFonts w:ascii="宋体" w:hAnsi="宋体" w:cs="宋体" w:eastAsia="宋体" w:hint="default"/>
          <w:b/>
          <w:bCs/>
          <w:spacing w:val="114"/>
          <w:w w:val="95"/>
          <w:sz w:val="24"/>
          <w:szCs w:val="24"/>
        </w:rPr>
        <w:t> </w:t>
      </w:r>
      <w:r>
        <w:rPr>
          <w:rFonts w:ascii="宋体" w:hAnsi="宋体" w:cs="宋体" w:eastAsia="宋体" w:hint="default"/>
          <w:sz w:val="24"/>
          <w:szCs w:val="24"/>
        </w:rPr>
        <w:t>无。</w:t>
      </w:r>
    </w:p>
    <w:p>
      <w:pPr>
        <w:spacing w:line="499" w:lineRule="auto" w:before="115"/>
        <w:ind w:left="633" w:right="4012" w:hanging="480"/>
        <w:jc w:val="left"/>
        <w:rPr>
          <w:rFonts w:ascii="宋体" w:hAnsi="宋体" w:cs="宋体" w:eastAsia="宋体" w:hint="default"/>
          <w:sz w:val="24"/>
          <w:szCs w:val="24"/>
        </w:rPr>
      </w:pPr>
      <w:bookmarkStart w:name="（8）转移其他应收款且继续涉入形成的资产、负债金额" w:id="386"/>
      <w:bookmarkEnd w:id="386"/>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8</w:t>
      </w:r>
      <w:r>
        <w:rPr>
          <w:rFonts w:ascii="宋体" w:hAnsi="宋体" w:cs="宋体" w:eastAsia="宋体" w:hint="default"/>
          <w:b/>
          <w:bCs/>
          <w:w w:val="95"/>
          <w:sz w:val="24"/>
          <w:szCs w:val="24"/>
        </w:rPr>
        <w:t>）转移其他应收款且继续涉入形成的资产、负债金额</w:t>
      </w:r>
      <w:r>
        <w:rPr>
          <w:rFonts w:ascii="宋体" w:hAnsi="宋体" w:cs="宋体" w:eastAsia="宋体" w:hint="default"/>
          <w:b/>
          <w:bCs/>
          <w:spacing w:val="43"/>
          <w:w w:val="95"/>
          <w:sz w:val="24"/>
          <w:szCs w:val="24"/>
        </w:rPr>
        <w:t> </w:t>
      </w:r>
      <w:r>
        <w:rPr>
          <w:rFonts w:ascii="宋体" w:hAnsi="宋体" w:cs="宋体" w:eastAsia="宋体" w:hint="default"/>
          <w:sz w:val="24"/>
          <w:szCs w:val="24"/>
        </w:rPr>
        <w:t>无。</w:t>
      </w:r>
    </w:p>
    <w:p>
      <w:pPr>
        <w:spacing w:before="116"/>
        <w:ind w:left="153" w:right="0" w:firstLine="0"/>
        <w:jc w:val="left"/>
        <w:rPr>
          <w:rFonts w:ascii="宋体" w:hAnsi="宋体" w:cs="宋体" w:eastAsia="宋体" w:hint="default"/>
          <w:sz w:val="24"/>
          <w:szCs w:val="24"/>
        </w:rPr>
      </w:pPr>
      <w:bookmarkStart w:name="3、长期股权投资" w:id="387"/>
      <w:bookmarkEnd w:id="387"/>
      <w:r>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、长期股权投资</w:t>
      </w:r>
      <w:r>
        <w:rPr>
          <w:rFonts w:ascii="宋体" w:hAnsi="宋体" w:cs="宋体" w:eastAsia="宋体" w:hint="default"/>
          <w:sz w:val="24"/>
          <w:szCs w:val="24"/>
        </w:rPr>
      </w:r>
    </w:p>
    <w:p>
      <w:pPr>
        <w:spacing w:line="240" w:lineRule="auto" w:before="6"/>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56"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56"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56"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57"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57"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56"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71,053,934.99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71,053,934.99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6" w:right="0"/>
              <w:jc w:val="center"/>
              <w:rPr>
                <w:rFonts w:ascii="Times New Roman" w:hAnsi="Times New Roman" w:cs="Times New Roman" w:eastAsia="Times New Roman" w:hint="default"/>
                <w:sz w:val="21"/>
                <w:szCs w:val="21"/>
              </w:rPr>
            </w:pPr>
            <w:r>
              <w:rPr>
                <w:rFonts w:ascii="Times New Roman"/>
                <w:sz w:val="21"/>
              </w:rPr>
              <w:t>61,046,024.99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4" w:right="0"/>
              <w:jc w:val="center"/>
              <w:rPr>
                <w:rFonts w:ascii="Times New Roman" w:hAnsi="Times New Roman" w:cs="Times New Roman" w:eastAsia="Times New Roman" w:hint="default"/>
                <w:sz w:val="21"/>
                <w:szCs w:val="21"/>
              </w:rPr>
            </w:pPr>
            <w:r>
              <w:rPr>
                <w:rFonts w:ascii="Times New Roman"/>
                <w:sz w:val="21"/>
              </w:rPr>
              <w:t>61,046,024.99</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75"/>
              <w:jc w:val="left"/>
              <w:rPr>
                <w:rFonts w:ascii="宋体" w:hAnsi="宋体" w:cs="宋体" w:eastAsia="宋体" w:hint="default"/>
                <w:sz w:val="21"/>
                <w:szCs w:val="21"/>
              </w:rPr>
            </w:pPr>
            <w:r>
              <w:rPr>
                <w:rFonts w:ascii="宋体" w:hAnsi="宋体" w:cs="宋体" w:eastAsia="宋体" w:hint="default"/>
                <w:sz w:val="21"/>
                <w:szCs w:val="21"/>
              </w:rPr>
              <w:t>对联营、合营 企业投资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34,414,628.71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34,414,628.71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31,683,339.54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4" w:right="0"/>
              <w:jc w:val="center"/>
              <w:rPr>
                <w:rFonts w:ascii="Times New Roman" w:hAnsi="Times New Roman" w:cs="Times New Roman" w:eastAsia="Times New Roman" w:hint="default"/>
                <w:sz w:val="21"/>
                <w:szCs w:val="21"/>
              </w:rPr>
            </w:pPr>
            <w:r>
              <w:rPr>
                <w:rFonts w:ascii="Times New Roman"/>
                <w:sz w:val="21"/>
              </w:rPr>
              <w:t>31,683,339.54</w:t>
            </w: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9" w:space="0" w:color="D2D2D2"/>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105,468,563.7</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0</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105,468,563.7</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0</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8" w:right="0"/>
              <w:jc w:val="left"/>
              <w:rPr>
                <w:rFonts w:ascii="Times New Roman" w:hAnsi="Times New Roman" w:cs="Times New Roman" w:eastAsia="Times New Roman" w:hint="default"/>
                <w:sz w:val="21"/>
                <w:szCs w:val="21"/>
              </w:rPr>
            </w:pPr>
            <w:r>
              <w:rPr>
                <w:rFonts w:ascii="Times New Roman"/>
                <w:sz w:val="21"/>
              </w:rPr>
              <w:t>92,729,364.53</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92,729,364.53</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8" w:type="dxa"/>
            <w:vMerge/>
            <w:tcBorders>
              <w:left w:val="single" w:sz="9" w:space="0" w:color="D2D2D2"/>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9" w:space="0" w:color="D2D2D2"/>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1）对子公司投资" w:id="388"/>
      <w:bookmarkEnd w:id="388"/>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）对子公司投资</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0" w:right="0"/>
              <w:jc w:val="left"/>
              <w:rPr>
                <w:rFonts w:ascii="宋体" w:hAnsi="宋体" w:cs="宋体" w:eastAsia="宋体" w:hint="default"/>
                <w:sz w:val="21"/>
                <w:szCs w:val="21"/>
              </w:rPr>
            </w:pPr>
            <w:r>
              <w:rPr>
                <w:rFonts w:ascii="宋体" w:hAnsi="宋体" w:cs="宋体" w:eastAsia="宋体" w:hint="default"/>
                <w:b/>
                <w:bCs/>
                <w:sz w:val="21"/>
                <w:szCs w:val="21"/>
              </w:rPr>
              <w:t>被投资单位</w:t>
            </w:r>
            <w:r>
              <w:rPr>
                <w:rFonts w:ascii="宋体" w:hAnsi="宋体" w:cs="宋体" w:eastAsia="宋体" w:hint="default"/>
                <w:sz w:val="21"/>
                <w:szCs w:val="21"/>
              </w:rPr>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9"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9"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79" w:right="57" w:hanging="423"/>
              <w:jc w:val="left"/>
              <w:rPr>
                <w:rFonts w:ascii="宋体" w:hAnsi="宋体" w:cs="宋体" w:eastAsia="宋体" w:hint="default"/>
                <w:sz w:val="21"/>
                <w:szCs w:val="21"/>
              </w:rPr>
            </w:pPr>
            <w:r>
              <w:rPr>
                <w:rFonts w:ascii="宋体" w:hAnsi="宋体" w:cs="宋体" w:eastAsia="宋体" w:hint="default"/>
                <w:b/>
                <w:bCs/>
                <w:sz w:val="21"/>
                <w:szCs w:val="21"/>
              </w:rPr>
              <w:t>本期计提减值</w:t>
            </w:r>
            <w:r>
              <w:rPr>
                <w:rFonts w:ascii="宋体" w:hAnsi="宋体" w:cs="宋体" w:eastAsia="宋体" w:hint="default"/>
                <w:b/>
                <w:bCs/>
                <w:w w:val="99"/>
                <w:sz w:val="21"/>
                <w:szCs w:val="21"/>
              </w:rPr>
              <w:t> </w:t>
            </w:r>
            <w:r>
              <w:rPr>
                <w:rFonts w:ascii="宋体" w:hAnsi="宋体" w:cs="宋体" w:eastAsia="宋体" w:hint="default"/>
                <w:b/>
                <w:bCs/>
                <w:sz w:val="21"/>
                <w:szCs w:val="21"/>
              </w:rPr>
              <w:t>准备</w:t>
            </w:r>
            <w:r>
              <w:rPr>
                <w:rFonts w:ascii="宋体" w:hAnsi="宋体" w:cs="宋体" w:eastAsia="宋体" w:hint="default"/>
                <w:sz w:val="21"/>
                <w:szCs w:val="21"/>
              </w:rPr>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78" w:right="58" w:hanging="423"/>
              <w:jc w:val="left"/>
              <w:rPr>
                <w:rFonts w:ascii="宋体" w:hAnsi="宋体" w:cs="宋体" w:eastAsia="宋体" w:hint="default"/>
                <w:sz w:val="21"/>
                <w:szCs w:val="21"/>
              </w:rPr>
            </w:pPr>
            <w:r>
              <w:rPr>
                <w:rFonts w:ascii="宋体" w:hAnsi="宋体" w:cs="宋体" w:eastAsia="宋体" w:hint="default"/>
                <w:b/>
                <w:bCs/>
                <w:sz w:val="21"/>
                <w:szCs w:val="21"/>
              </w:rPr>
              <w:t>减值准备期末</w:t>
            </w:r>
            <w:r>
              <w:rPr>
                <w:rFonts w:ascii="宋体" w:hAnsi="宋体" w:cs="宋体" w:eastAsia="宋体" w:hint="default"/>
                <w:b/>
                <w:bCs/>
                <w:w w:val="99"/>
                <w:sz w:val="21"/>
                <w:szCs w:val="21"/>
              </w:rPr>
              <w:t> </w:t>
            </w:r>
            <w:r>
              <w:rPr>
                <w:rFonts w:ascii="宋体" w:hAnsi="宋体" w:cs="宋体" w:eastAsia="宋体" w:hint="default"/>
                <w:b/>
                <w:bCs/>
                <w:sz w:val="21"/>
                <w:szCs w:val="21"/>
              </w:rPr>
              <w:t>余额</w:t>
            </w:r>
            <w:r>
              <w:rPr>
                <w:rFonts w:ascii="宋体" w:hAnsi="宋体" w:cs="宋体" w:eastAsia="宋体" w:hint="default"/>
                <w:sz w:val="21"/>
                <w:szCs w:val="21"/>
              </w:rPr>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53"/>
              <w:jc w:val="both"/>
              <w:rPr>
                <w:rFonts w:ascii="宋体" w:hAnsi="宋体" w:cs="宋体" w:eastAsia="宋体" w:hint="default"/>
                <w:sz w:val="21"/>
                <w:szCs w:val="21"/>
              </w:rPr>
            </w:pPr>
            <w:r>
              <w:rPr>
                <w:rFonts w:ascii="宋体" w:hAnsi="宋体" w:cs="宋体" w:eastAsia="宋体" w:hint="default"/>
                <w:sz w:val="21"/>
                <w:szCs w:val="21"/>
              </w:rPr>
              <w:t>北京中文在线 文化传媒有限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r>
      <w:tr>
        <w:trPr>
          <w:trHeight w:val="67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7"/>
              <w:ind w:left="22" w:right="153"/>
              <w:jc w:val="left"/>
              <w:rPr>
                <w:rFonts w:ascii="宋体" w:hAnsi="宋体" w:cs="宋体" w:eastAsia="宋体" w:hint="default"/>
                <w:sz w:val="21"/>
                <w:szCs w:val="21"/>
              </w:rPr>
            </w:pPr>
            <w:r>
              <w:rPr>
                <w:rFonts w:ascii="宋体" w:hAnsi="宋体" w:cs="宋体" w:eastAsia="宋体" w:hint="default"/>
                <w:sz w:val="21"/>
                <w:szCs w:val="21"/>
              </w:rPr>
              <w:t>上海中文在线 文化发展有限</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53"/>
              <w:jc w:val="both"/>
              <w:rPr>
                <w:rFonts w:ascii="宋体" w:hAnsi="宋体" w:cs="宋体" w:eastAsia="宋体" w:hint="default"/>
                <w:sz w:val="21"/>
                <w:szCs w:val="21"/>
              </w:rPr>
            </w:pPr>
            <w:r>
              <w:rPr>
                <w:rFonts w:ascii="宋体" w:hAnsi="宋体" w:cs="宋体" w:eastAsia="宋体" w:hint="default"/>
                <w:sz w:val="21"/>
                <w:szCs w:val="21"/>
              </w:rPr>
              <w:t>杭州中文在线 信息科技有限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53"/>
              <w:jc w:val="both"/>
              <w:rPr>
                <w:rFonts w:ascii="宋体" w:hAnsi="宋体" w:cs="宋体" w:eastAsia="宋体" w:hint="default"/>
                <w:sz w:val="21"/>
                <w:szCs w:val="21"/>
              </w:rPr>
            </w:pPr>
            <w:r>
              <w:rPr>
                <w:rFonts w:ascii="宋体" w:hAnsi="宋体" w:cs="宋体" w:eastAsia="宋体" w:hint="default"/>
                <w:sz w:val="21"/>
                <w:szCs w:val="21"/>
              </w:rPr>
              <w:t>北京中文在线 教育科技发展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20,449,035.32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20,449,035.32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53"/>
              <w:jc w:val="both"/>
              <w:rPr>
                <w:rFonts w:ascii="宋体" w:hAnsi="宋体" w:cs="宋体" w:eastAsia="宋体" w:hint="default"/>
                <w:sz w:val="21"/>
                <w:szCs w:val="21"/>
              </w:rPr>
            </w:pPr>
            <w:r>
              <w:rPr>
                <w:rFonts w:ascii="宋体" w:hAnsi="宋体" w:cs="宋体" w:eastAsia="宋体" w:hint="default"/>
                <w:sz w:val="21"/>
                <w:szCs w:val="21"/>
              </w:rPr>
              <w:t>广州市四月天 信息科技有限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2,796,989.67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2,796,989.67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53"/>
              <w:jc w:val="both"/>
              <w:rPr>
                <w:rFonts w:ascii="宋体" w:hAnsi="宋体" w:cs="宋体" w:eastAsia="宋体" w:hint="default"/>
                <w:sz w:val="21"/>
                <w:szCs w:val="21"/>
              </w:rPr>
            </w:pPr>
            <w:r>
              <w:rPr>
                <w:rFonts w:ascii="宋体" w:hAnsi="宋体" w:cs="宋体" w:eastAsia="宋体" w:hint="default"/>
                <w:sz w:val="21"/>
                <w:szCs w:val="21"/>
              </w:rPr>
              <w:t>湖北中文在线 数字出版有限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19,800,000.00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19,800,000.00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r>
      <w:tr>
        <w:trPr>
          <w:trHeight w:val="133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53"/>
              <w:jc w:val="both"/>
              <w:rPr>
                <w:rFonts w:ascii="宋体" w:hAnsi="宋体" w:cs="宋体" w:eastAsia="宋体" w:hint="default"/>
                <w:sz w:val="21"/>
                <w:szCs w:val="21"/>
              </w:rPr>
            </w:pPr>
            <w:r>
              <w:rPr>
                <w:rFonts w:ascii="宋体" w:hAnsi="宋体" w:cs="宋体" w:eastAsia="宋体" w:hint="default"/>
                <w:sz w:val="21"/>
                <w:szCs w:val="21"/>
              </w:rPr>
              <w:t>北京汤圆和它 的小伙伴们网 络科技有限公 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53"/>
              <w:jc w:val="left"/>
              <w:rPr>
                <w:rFonts w:ascii="宋体" w:hAnsi="宋体" w:cs="宋体" w:eastAsia="宋体" w:hint="default"/>
                <w:sz w:val="21"/>
                <w:szCs w:val="21"/>
              </w:rPr>
            </w:pPr>
            <w:r>
              <w:rPr>
                <w:rFonts w:ascii="宋体" w:hAnsi="宋体" w:cs="宋体" w:eastAsia="宋体" w:hint="default"/>
                <w:sz w:val="21"/>
                <w:szCs w:val="21"/>
              </w:rPr>
              <w:t>中文在线教育 集团有限公司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7,910.00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7,910.00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61,046,024.99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10,007,910.00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71,053,934.99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2）对联营、合营企业投资" w:id="389"/>
      <w:bookmarkEnd w:id="389"/>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）对联营、合营企业投资</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3" w:lineRule="auto"/>
              <w:ind w:left="286" w:right="75" w:hanging="210"/>
              <w:jc w:val="left"/>
              <w:rPr>
                <w:rFonts w:ascii="宋体" w:hAnsi="宋体" w:cs="宋体" w:eastAsia="宋体" w:hint="default"/>
                <w:sz w:val="21"/>
                <w:szCs w:val="21"/>
              </w:rPr>
            </w:pPr>
            <w:r>
              <w:rPr>
                <w:rFonts w:ascii="宋体" w:hAnsi="宋体" w:cs="宋体" w:eastAsia="宋体" w:hint="default"/>
                <w:b/>
                <w:bCs/>
                <w:sz w:val="21"/>
                <w:szCs w:val="21"/>
              </w:rPr>
              <w:t>投资单</w:t>
            </w:r>
            <w:r>
              <w:rPr>
                <w:rFonts w:ascii="宋体" w:hAnsi="宋体" w:cs="宋体" w:eastAsia="宋体" w:hint="default"/>
                <w:b/>
                <w:bCs/>
                <w:spacing w:val="1"/>
                <w:w w:val="99"/>
                <w:sz w:val="21"/>
                <w:szCs w:val="21"/>
              </w:rPr>
              <w:t> </w:t>
            </w:r>
            <w:r>
              <w:rPr>
                <w:rFonts w:ascii="宋体" w:hAnsi="宋体" w:cs="宋体" w:eastAsia="宋体" w:hint="default"/>
                <w:b/>
                <w:bCs/>
                <w:sz w:val="21"/>
                <w:szCs w:val="21"/>
              </w:rPr>
              <w:t>位</w:t>
            </w:r>
            <w:r>
              <w:rPr>
                <w:rFonts w:ascii="宋体" w:hAnsi="宋体" w:cs="宋体" w:eastAsia="宋体" w:hint="default"/>
                <w:sz w:val="21"/>
                <w:szCs w:val="21"/>
              </w:rPr>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3" w:lineRule="auto"/>
              <w:ind w:left="289" w:right="74" w:hanging="212"/>
              <w:jc w:val="left"/>
              <w:rPr>
                <w:rFonts w:ascii="宋体" w:hAnsi="宋体" w:cs="宋体" w:eastAsia="宋体" w:hint="default"/>
                <w:sz w:val="21"/>
                <w:szCs w:val="21"/>
              </w:rPr>
            </w:pPr>
            <w:r>
              <w:rPr>
                <w:rFonts w:ascii="宋体" w:hAnsi="宋体" w:cs="宋体" w:eastAsia="宋体" w:hint="default"/>
                <w:b/>
                <w:bCs/>
                <w:sz w:val="21"/>
                <w:szCs w:val="21"/>
              </w:rPr>
              <w:t>期初余</w:t>
            </w:r>
            <w:r>
              <w:rPr>
                <w:rFonts w:ascii="宋体" w:hAnsi="宋体" w:cs="宋体" w:eastAsia="宋体" w:hint="default"/>
                <w:b/>
                <w:bCs/>
                <w:spacing w:val="1"/>
                <w:w w:val="99"/>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本期增减变动</w:t>
            </w:r>
            <w:r>
              <w:rPr>
                <w:rFonts w:ascii="宋体" w:hAnsi="宋体" w:cs="宋体" w:eastAsia="宋体" w:hint="default"/>
                <w:sz w:val="21"/>
                <w:szCs w:val="21"/>
              </w:rPr>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3" w:lineRule="auto"/>
              <w:ind w:left="288" w:right="77" w:hanging="212"/>
              <w:jc w:val="left"/>
              <w:rPr>
                <w:rFonts w:ascii="宋体" w:hAnsi="宋体" w:cs="宋体" w:eastAsia="宋体" w:hint="default"/>
                <w:sz w:val="21"/>
                <w:szCs w:val="21"/>
              </w:rPr>
            </w:pPr>
            <w:r>
              <w:rPr>
                <w:rFonts w:ascii="宋体" w:hAnsi="宋体" w:cs="宋体" w:eastAsia="宋体" w:hint="default"/>
                <w:b/>
                <w:bCs/>
                <w:sz w:val="21"/>
                <w:szCs w:val="21"/>
              </w:rPr>
              <w:t>期末余</w:t>
            </w:r>
            <w:r>
              <w:rPr>
                <w:rFonts w:ascii="宋体" w:hAnsi="宋体" w:cs="宋体" w:eastAsia="宋体" w:hint="default"/>
                <w:b/>
                <w:bCs/>
                <w:spacing w:val="1"/>
                <w:w w:val="99"/>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9"/>
                <w:szCs w:val="29"/>
              </w:rPr>
            </w:pPr>
          </w:p>
          <w:p>
            <w:pPr>
              <w:pStyle w:val="TableParagraph"/>
              <w:spacing w:line="273" w:lineRule="auto"/>
              <w:ind w:left="76" w:right="77"/>
              <w:jc w:val="both"/>
              <w:rPr>
                <w:rFonts w:ascii="宋体" w:hAnsi="宋体" w:cs="宋体" w:eastAsia="宋体" w:hint="default"/>
                <w:sz w:val="21"/>
                <w:szCs w:val="21"/>
              </w:rPr>
            </w:pPr>
            <w:r>
              <w:rPr>
                <w:rFonts w:ascii="宋体" w:hAnsi="宋体" w:cs="宋体" w:eastAsia="宋体" w:hint="default"/>
                <w:b/>
                <w:bCs/>
                <w:sz w:val="21"/>
                <w:szCs w:val="21"/>
              </w:rPr>
              <w:t>减值准</w:t>
            </w:r>
            <w:r>
              <w:rPr>
                <w:rFonts w:ascii="宋体" w:hAnsi="宋体" w:cs="宋体" w:eastAsia="宋体" w:hint="default"/>
                <w:b/>
                <w:bCs/>
                <w:spacing w:val="1"/>
                <w:w w:val="99"/>
                <w:sz w:val="21"/>
                <w:szCs w:val="21"/>
              </w:rPr>
              <w:t> </w:t>
            </w:r>
            <w:r>
              <w:rPr>
                <w:rFonts w:ascii="宋体" w:hAnsi="宋体" w:cs="宋体" w:eastAsia="宋体" w:hint="default"/>
                <w:b/>
                <w:bCs/>
                <w:sz w:val="21"/>
                <w:szCs w:val="21"/>
              </w:rPr>
              <w:t>备期末</w:t>
            </w:r>
            <w:r>
              <w:rPr>
                <w:rFonts w:ascii="宋体" w:hAnsi="宋体" w:cs="宋体" w:eastAsia="宋体" w:hint="default"/>
                <w:b/>
                <w:bCs/>
                <w:spacing w:val="1"/>
                <w:w w:val="99"/>
                <w:sz w:val="21"/>
                <w:szCs w:val="21"/>
              </w:rPr>
              <w:t> </w:t>
            </w:r>
            <w:r>
              <w:rPr>
                <w:rFonts w:ascii="宋体" w:hAnsi="宋体" w:cs="宋体" w:eastAsia="宋体" w:hint="default"/>
                <w:b/>
                <w:bCs/>
                <w:sz w:val="21"/>
                <w:szCs w:val="21"/>
              </w:rPr>
              <w:t>余额</w:t>
            </w:r>
            <w:r>
              <w:rPr>
                <w:rFonts w:ascii="宋体" w:hAnsi="宋体" w:cs="宋体" w:eastAsia="宋体" w:hint="default"/>
                <w:sz w:val="21"/>
                <w:szCs w:val="21"/>
              </w:rPr>
            </w:r>
          </w:p>
        </w:tc>
      </w:tr>
      <w:tr>
        <w:trPr>
          <w:trHeight w:val="1337"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88" w:right="74" w:hanging="212"/>
              <w:jc w:val="left"/>
              <w:rPr>
                <w:rFonts w:ascii="宋体" w:hAnsi="宋体" w:cs="宋体" w:eastAsia="宋体" w:hint="default"/>
                <w:sz w:val="21"/>
                <w:szCs w:val="21"/>
              </w:rPr>
            </w:pPr>
            <w:r>
              <w:rPr>
                <w:rFonts w:ascii="宋体" w:hAnsi="宋体" w:cs="宋体" w:eastAsia="宋体" w:hint="default"/>
                <w:b/>
                <w:bCs/>
                <w:sz w:val="21"/>
                <w:szCs w:val="21"/>
              </w:rPr>
              <w:t>追加投</w:t>
            </w:r>
            <w:r>
              <w:rPr>
                <w:rFonts w:ascii="宋体" w:hAnsi="宋体" w:cs="宋体" w:eastAsia="宋体" w:hint="default"/>
                <w:b/>
                <w:bCs/>
                <w:spacing w:val="1"/>
                <w:w w:val="99"/>
                <w:sz w:val="21"/>
                <w:szCs w:val="21"/>
              </w:rPr>
              <w:t> </w:t>
            </w:r>
            <w:r>
              <w:rPr>
                <w:rFonts w:ascii="宋体" w:hAnsi="宋体" w:cs="宋体" w:eastAsia="宋体" w:hint="default"/>
                <w:b/>
                <w:bCs/>
                <w:sz w:val="21"/>
                <w:szCs w:val="21"/>
              </w:rPr>
              <w:t>资</w:t>
            </w:r>
            <w:r>
              <w:rPr>
                <w:rFonts w:ascii="宋体" w:hAnsi="宋体" w:cs="宋体" w:eastAsia="宋体" w:hint="default"/>
                <w:sz w:val="21"/>
                <w:szCs w:val="21"/>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87" w:right="77" w:hanging="212"/>
              <w:jc w:val="left"/>
              <w:rPr>
                <w:rFonts w:ascii="宋体" w:hAnsi="宋体" w:cs="宋体" w:eastAsia="宋体" w:hint="default"/>
                <w:sz w:val="21"/>
                <w:szCs w:val="21"/>
              </w:rPr>
            </w:pPr>
            <w:r>
              <w:rPr>
                <w:rFonts w:ascii="宋体" w:hAnsi="宋体" w:cs="宋体" w:eastAsia="宋体" w:hint="default"/>
                <w:b/>
                <w:bCs/>
                <w:sz w:val="21"/>
                <w:szCs w:val="21"/>
              </w:rPr>
              <w:t>减少投</w:t>
            </w:r>
            <w:r>
              <w:rPr>
                <w:rFonts w:ascii="宋体" w:hAnsi="宋体" w:cs="宋体" w:eastAsia="宋体" w:hint="default"/>
                <w:b/>
                <w:bCs/>
                <w:spacing w:val="1"/>
                <w:w w:val="99"/>
                <w:sz w:val="21"/>
                <w:szCs w:val="21"/>
              </w:rPr>
              <w:t> </w:t>
            </w:r>
            <w:r>
              <w:rPr>
                <w:rFonts w:ascii="宋体" w:hAnsi="宋体" w:cs="宋体" w:eastAsia="宋体" w:hint="default"/>
                <w:b/>
                <w:bCs/>
                <w:sz w:val="21"/>
                <w:szCs w:val="21"/>
              </w:rPr>
              <w:t>资</w:t>
            </w:r>
            <w:r>
              <w:rPr>
                <w:rFonts w:ascii="宋体" w:hAnsi="宋体" w:cs="宋体" w:eastAsia="宋体" w:hint="default"/>
                <w:sz w:val="21"/>
                <w:szCs w:val="21"/>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6" w:right="76"/>
              <w:jc w:val="both"/>
              <w:rPr>
                <w:rFonts w:ascii="宋体" w:hAnsi="宋体" w:cs="宋体" w:eastAsia="宋体" w:hint="default"/>
                <w:sz w:val="21"/>
                <w:szCs w:val="21"/>
              </w:rPr>
            </w:pPr>
            <w:r>
              <w:rPr>
                <w:rFonts w:ascii="宋体" w:hAnsi="宋体" w:cs="宋体" w:eastAsia="宋体" w:hint="default"/>
                <w:b/>
                <w:bCs/>
                <w:sz w:val="21"/>
                <w:szCs w:val="21"/>
              </w:rPr>
              <w:t>权益法</w:t>
            </w:r>
            <w:r>
              <w:rPr>
                <w:rFonts w:ascii="宋体" w:hAnsi="宋体" w:cs="宋体" w:eastAsia="宋体" w:hint="default"/>
                <w:b/>
                <w:bCs/>
                <w:spacing w:val="1"/>
                <w:w w:val="99"/>
                <w:sz w:val="21"/>
                <w:szCs w:val="21"/>
              </w:rPr>
              <w:t> </w:t>
            </w:r>
            <w:r>
              <w:rPr>
                <w:rFonts w:ascii="宋体" w:hAnsi="宋体" w:cs="宋体" w:eastAsia="宋体" w:hint="default"/>
                <w:b/>
                <w:bCs/>
                <w:sz w:val="21"/>
                <w:szCs w:val="21"/>
              </w:rPr>
              <w:t>下确认</w:t>
            </w:r>
            <w:r>
              <w:rPr>
                <w:rFonts w:ascii="宋体" w:hAnsi="宋体" w:cs="宋体" w:eastAsia="宋体" w:hint="default"/>
                <w:b/>
                <w:bCs/>
                <w:spacing w:val="1"/>
                <w:w w:val="99"/>
                <w:sz w:val="21"/>
                <w:szCs w:val="21"/>
              </w:rPr>
              <w:t> </w:t>
            </w:r>
            <w:r>
              <w:rPr>
                <w:rFonts w:ascii="宋体" w:hAnsi="宋体" w:cs="宋体" w:eastAsia="宋体" w:hint="default"/>
                <w:b/>
                <w:bCs/>
                <w:sz w:val="21"/>
                <w:szCs w:val="21"/>
              </w:rPr>
              <w:t>的投资</w:t>
            </w:r>
            <w:r>
              <w:rPr>
                <w:rFonts w:ascii="宋体" w:hAnsi="宋体" w:cs="宋体" w:eastAsia="宋体" w:hint="default"/>
                <w:b/>
                <w:bCs/>
                <w:spacing w:val="1"/>
                <w:w w:val="99"/>
                <w:sz w:val="21"/>
                <w:szCs w:val="21"/>
              </w:rPr>
              <w:t> </w:t>
            </w:r>
            <w:r>
              <w:rPr>
                <w:rFonts w:ascii="宋体" w:hAnsi="宋体" w:cs="宋体" w:eastAsia="宋体" w:hint="default"/>
                <w:b/>
                <w:bCs/>
                <w:sz w:val="21"/>
                <w:szCs w:val="21"/>
              </w:rPr>
              <w:t>损益</w:t>
            </w:r>
            <w:r>
              <w:rPr>
                <w:rFonts w:ascii="宋体" w:hAnsi="宋体" w:cs="宋体" w:eastAsia="宋体" w:hint="default"/>
                <w:sz w:val="21"/>
                <w:szCs w:val="21"/>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76" w:right="77"/>
              <w:jc w:val="both"/>
              <w:rPr>
                <w:rFonts w:ascii="宋体" w:hAnsi="宋体" w:cs="宋体" w:eastAsia="宋体" w:hint="default"/>
                <w:sz w:val="21"/>
                <w:szCs w:val="21"/>
              </w:rPr>
            </w:pPr>
            <w:r>
              <w:rPr>
                <w:rFonts w:ascii="宋体" w:hAnsi="宋体" w:cs="宋体" w:eastAsia="宋体" w:hint="default"/>
                <w:b/>
                <w:bCs/>
                <w:sz w:val="21"/>
                <w:szCs w:val="21"/>
              </w:rPr>
              <w:t>其他综</w:t>
            </w:r>
            <w:r>
              <w:rPr>
                <w:rFonts w:ascii="宋体" w:hAnsi="宋体" w:cs="宋体" w:eastAsia="宋体" w:hint="default"/>
                <w:b/>
                <w:bCs/>
                <w:spacing w:val="1"/>
                <w:w w:val="99"/>
                <w:sz w:val="21"/>
                <w:szCs w:val="21"/>
              </w:rPr>
              <w:t> </w:t>
            </w:r>
            <w:r>
              <w:rPr>
                <w:rFonts w:ascii="宋体" w:hAnsi="宋体" w:cs="宋体" w:eastAsia="宋体" w:hint="default"/>
                <w:b/>
                <w:bCs/>
                <w:sz w:val="21"/>
                <w:szCs w:val="21"/>
              </w:rPr>
              <w:t>合收益</w:t>
            </w:r>
            <w:r>
              <w:rPr>
                <w:rFonts w:ascii="宋体" w:hAnsi="宋体" w:cs="宋体" w:eastAsia="宋体" w:hint="default"/>
                <w:b/>
                <w:bCs/>
                <w:spacing w:val="1"/>
                <w:w w:val="99"/>
                <w:sz w:val="21"/>
                <w:szCs w:val="21"/>
              </w:rPr>
              <w:t> </w:t>
            </w:r>
            <w:r>
              <w:rPr>
                <w:rFonts w:ascii="宋体" w:hAnsi="宋体" w:cs="宋体" w:eastAsia="宋体" w:hint="default"/>
                <w:b/>
                <w:bCs/>
                <w:sz w:val="21"/>
                <w:szCs w:val="21"/>
              </w:rPr>
              <w:t>调整</w:t>
            </w:r>
            <w:r>
              <w:rPr>
                <w:rFonts w:ascii="宋体" w:hAnsi="宋体" w:cs="宋体" w:eastAsia="宋体" w:hint="default"/>
                <w:sz w:val="21"/>
                <w:szCs w:val="21"/>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76" w:right="77"/>
              <w:jc w:val="left"/>
              <w:rPr>
                <w:rFonts w:ascii="宋体" w:hAnsi="宋体" w:cs="宋体" w:eastAsia="宋体" w:hint="default"/>
                <w:sz w:val="21"/>
                <w:szCs w:val="21"/>
              </w:rPr>
            </w:pPr>
            <w:r>
              <w:rPr>
                <w:rFonts w:ascii="宋体" w:hAnsi="宋体" w:cs="宋体" w:eastAsia="宋体" w:hint="default"/>
                <w:b/>
                <w:bCs/>
                <w:sz w:val="21"/>
                <w:szCs w:val="21"/>
              </w:rPr>
              <w:t>其他权</w:t>
            </w:r>
            <w:r>
              <w:rPr>
                <w:rFonts w:ascii="宋体" w:hAnsi="宋体" w:cs="宋体" w:eastAsia="宋体" w:hint="default"/>
                <w:b/>
                <w:bCs/>
                <w:spacing w:val="1"/>
                <w:w w:val="99"/>
                <w:sz w:val="21"/>
                <w:szCs w:val="21"/>
              </w:rPr>
              <w:t> </w:t>
            </w:r>
            <w:r>
              <w:rPr>
                <w:rFonts w:ascii="宋体" w:hAnsi="宋体" w:cs="宋体" w:eastAsia="宋体" w:hint="default"/>
                <w:b/>
                <w:bCs/>
                <w:sz w:val="21"/>
                <w:szCs w:val="21"/>
              </w:rPr>
              <w:t>益变动</w:t>
            </w:r>
            <w:r>
              <w:rPr>
                <w:rFonts w:ascii="宋体" w:hAnsi="宋体" w:cs="宋体" w:eastAsia="宋体" w:hint="default"/>
                <w:sz w:val="21"/>
                <w:szCs w:val="21"/>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6" w:right="77"/>
              <w:jc w:val="both"/>
              <w:rPr>
                <w:rFonts w:ascii="宋体" w:hAnsi="宋体" w:cs="宋体" w:eastAsia="宋体" w:hint="default"/>
                <w:sz w:val="21"/>
                <w:szCs w:val="21"/>
              </w:rPr>
            </w:pPr>
            <w:r>
              <w:rPr>
                <w:rFonts w:ascii="宋体" w:hAnsi="宋体" w:cs="宋体" w:eastAsia="宋体" w:hint="default"/>
                <w:b/>
                <w:bCs/>
                <w:sz w:val="21"/>
                <w:szCs w:val="21"/>
              </w:rPr>
              <w:t>宣告发</w:t>
            </w:r>
            <w:r>
              <w:rPr>
                <w:rFonts w:ascii="宋体" w:hAnsi="宋体" w:cs="宋体" w:eastAsia="宋体" w:hint="default"/>
                <w:b/>
                <w:bCs/>
                <w:spacing w:val="1"/>
                <w:w w:val="99"/>
                <w:sz w:val="21"/>
                <w:szCs w:val="21"/>
              </w:rPr>
              <w:t> </w:t>
            </w:r>
            <w:r>
              <w:rPr>
                <w:rFonts w:ascii="宋体" w:hAnsi="宋体" w:cs="宋体" w:eastAsia="宋体" w:hint="default"/>
                <w:b/>
                <w:bCs/>
                <w:sz w:val="21"/>
                <w:szCs w:val="21"/>
              </w:rPr>
              <w:t>放现金</w:t>
            </w:r>
            <w:r>
              <w:rPr>
                <w:rFonts w:ascii="宋体" w:hAnsi="宋体" w:cs="宋体" w:eastAsia="宋体" w:hint="default"/>
                <w:b/>
                <w:bCs/>
                <w:spacing w:val="1"/>
                <w:w w:val="99"/>
                <w:sz w:val="21"/>
                <w:szCs w:val="21"/>
              </w:rPr>
              <w:t> </w:t>
            </w:r>
            <w:r>
              <w:rPr>
                <w:rFonts w:ascii="宋体" w:hAnsi="宋体" w:cs="宋体" w:eastAsia="宋体" w:hint="default"/>
                <w:b/>
                <w:bCs/>
                <w:sz w:val="21"/>
                <w:szCs w:val="21"/>
              </w:rPr>
              <w:t>股利或</w:t>
            </w:r>
            <w:r>
              <w:rPr>
                <w:rFonts w:ascii="宋体" w:hAnsi="宋体" w:cs="宋体" w:eastAsia="宋体" w:hint="default"/>
                <w:b/>
                <w:bCs/>
                <w:spacing w:val="1"/>
                <w:w w:val="99"/>
                <w:sz w:val="21"/>
                <w:szCs w:val="21"/>
              </w:rPr>
              <w:t> </w:t>
            </w:r>
            <w:r>
              <w:rPr>
                <w:rFonts w:ascii="宋体" w:hAnsi="宋体" w:cs="宋体" w:eastAsia="宋体" w:hint="default"/>
                <w:b/>
                <w:bCs/>
                <w:sz w:val="21"/>
                <w:szCs w:val="21"/>
              </w:rPr>
              <w:t>利润</w:t>
            </w:r>
            <w:r>
              <w:rPr>
                <w:rFonts w:ascii="宋体" w:hAnsi="宋体" w:cs="宋体" w:eastAsia="宋体" w:hint="default"/>
                <w:sz w:val="21"/>
                <w:szCs w:val="21"/>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76" w:right="76"/>
              <w:jc w:val="left"/>
              <w:rPr>
                <w:rFonts w:ascii="宋体" w:hAnsi="宋体" w:cs="宋体" w:eastAsia="宋体" w:hint="default"/>
                <w:sz w:val="21"/>
                <w:szCs w:val="21"/>
              </w:rPr>
            </w:pPr>
            <w:r>
              <w:rPr>
                <w:rFonts w:ascii="宋体" w:hAnsi="宋体" w:cs="宋体" w:eastAsia="宋体" w:hint="default"/>
                <w:b/>
                <w:bCs/>
                <w:sz w:val="21"/>
                <w:szCs w:val="21"/>
              </w:rPr>
              <w:t>计提减</w:t>
            </w:r>
            <w:r>
              <w:rPr>
                <w:rFonts w:ascii="宋体" w:hAnsi="宋体" w:cs="宋体" w:eastAsia="宋体" w:hint="default"/>
                <w:b/>
                <w:bCs/>
                <w:spacing w:val="1"/>
                <w:w w:val="99"/>
                <w:sz w:val="21"/>
                <w:szCs w:val="21"/>
              </w:rPr>
              <w:t> </w:t>
            </w:r>
            <w:r>
              <w:rPr>
                <w:rFonts w:ascii="宋体" w:hAnsi="宋体" w:cs="宋体" w:eastAsia="宋体" w:hint="default"/>
                <w:b/>
                <w:bCs/>
                <w:sz w:val="21"/>
                <w:szCs w:val="21"/>
              </w:rPr>
              <w:t>值准备</w:t>
            </w:r>
            <w:r>
              <w:rPr>
                <w:rFonts w:ascii="宋体" w:hAnsi="宋体" w:cs="宋体" w:eastAsia="宋体" w:hint="default"/>
                <w:sz w:val="21"/>
                <w:szCs w:val="21"/>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31"/>
              <w:jc w:val="both"/>
              <w:rPr>
                <w:rFonts w:ascii="宋体" w:hAnsi="宋体" w:cs="宋体" w:eastAsia="宋体" w:hint="default"/>
                <w:sz w:val="21"/>
                <w:szCs w:val="21"/>
              </w:rPr>
            </w:pPr>
            <w:r>
              <w:rPr>
                <w:rFonts w:ascii="宋体" w:hAnsi="宋体" w:cs="宋体" w:eastAsia="宋体" w:hint="default"/>
                <w:sz w:val="21"/>
                <w:szCs w:val="21"/>
              </w:rPr>
              <w:t>广州市 迈步信 息科技 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31"/>
              <w:jc w:val="both"/>
              <w:rPr>
                <w:rFonts w:ascii="宋体" w:hAnsi="宋体" w:cs="宋体" w:eastAsia="宋体" w:hint="default"/>
                <w:sz w:val="21"/>
                <w:szCs w:val="21"/>
              </w:rPr>
            </w:pPr>
            <w:r>
              <w:rPr>
                <w:rFonts w:ascii="宋体" w:hAnsi="宋体" w:cs="宋体" w:eastAsia="宋体" w:hint="default"/>
                <w:sz w:val="21"/>
                <w:szCs w:val="21"/>
              </w:rPr>
              <w:t>北京鸿 达以太 文化发 展有限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31,683,3</w:t>
            </w:r>
          </w:p>
          <w:p>
            <w:pPr>
              <w:pStyle w:val="TableParagraph"/>
              <w:spacing w:line="240" w:lineRule="auto" w:before="70"/>
              <w:ind w:left="292" w:right="0"/>
              <w:jc w:val="left"/>
              <w:rPr>
                <w:rFonts w:ascii="Times New Roman" w:hAnsi="Times New Roman" w:cs="Times New Roman" w:eastAsia="Times New Roman" w:hint="default"/>
                <w:sz w:val="21"/>
                <w:szCs w:val="21"/>
              </w:rPr>
            </w:pPr>
            <w:r>
              <w:rPr>
                <w:rFonts w:ascii="Times New Roman"/>
                <w:sz w:val="21"/>
              </w:rPr>
              <w:t>39.54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0" w:right="0"/>
              <w:jc w:val="left"/>
              <w:rPr>
                <w:rFonts w:ascii="Times New Roman" w:hAnsi="Times New Roman" w:cs="Times New Roman" w:eastAsia="Times New Roman" w:hint="default"/>
                <w:sz w:val="21"/>
                <w:szCs w:val="21"/>
              </w:rPr>
            </w:pPr>
            <w:r>
              <w:rPr>
                <w:rFonts w:ascii="Times New Roman"/>
                <w:sz w:val="21"/>
              </w:rPr>
              <w:t>2,731,28</w:t>
            </w:r>
          </w:p>
          <w:p>
            <w:pPr>
              <w:pStyle w:val="TableParagraph"/>
              <w:spacing w:line="240" w:lineRule="auto" w:before="70"/>
              <w:ind w:left="397" w:right="0"/>
              <w:jc w:val="left"/>
              <w:rPr>
                <w:rFonts w:ascii="Times New Roman" w:hAnsi="Times New Roman" w:cs="Times New Roman" w:eastAsia="Times New Roman" w:hint="default"/>
                <w:sz w:val="21"/>
                <w:szCs w:val="21"/>
              </w:rPr>
            </w:pPr>
            <w:r>
              <w:rPr>
                <w:rFonts w:ascii="Times New Roman"/>
                <w:sz w:val="21"/>
              </w:rPr>
              <w:t>9.17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0" w:right="0"/>
              <w:jc w:val="left"/>
              <w:rPr>
                <w:rFonts w:ascii="Times New Roman" w:hAnsi="Times New Roman" w:cs="Times New Roman" w:eastAsia="Times New Roman" w:hint="default"/>
                <w:sz w:val="21"/>
                <w:szCs w:val="21"/>
              </w:rPr>
            </w:pPr>
            <w:r>
              <w:rPr>
                <w:rFonts w:ascii="Times New Roman"/>
                <w:sz w:val="21"/>
              </w:rPr>
              <w:t>34,414,6</w:t>
            </w:r>
          </w:p>
          <w:p>
            <w:pPr>
              <w:pStyle w:val="TableParagraph"/>
              <w:spacing w:line="240" w:lineRule="auto" w:before="70"/>
              <w:ind w:left="291" w:right="0"/>
              <w:jc w:val="left"/>
              <w:rPr>
                <w:rFonts w:ascii="Times New Roman" w:hAnsi="Times New Roman" w:cs="Times New Roman" w:eastAsia="Times New Roman" w:hint="default"/>
                <w:sz w:val="21"/>
                <w:szCs w:val="21"/>
              </w:rPr>
            </w:pPr>
            <w:r>
              <w:rPr>
                <w:rFonts w:ascii="Times New Roman"/>
                <w:sz w:val="21"/>
              </w:rPr>
              <w:t>28.71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31,683,3</w:t>
            </w:r>
          </w:p>
          <w:p>
            <w:pPr>
              <w:pStyle w:val="TableParagraph"/>
              <w:spacing w:line="240" w:lineRule="auto" w:before="71"/>
              <w:ind w:left="292" w:right="0"/>
              <w:jc w:val="left"/>
              <w:rPr>
                <w:rFonts w:ascii="Times New Roman" w:hAnsi="Times New Roman" w:cs="Times New Roman" w:eastAsia="Times New Roman" w:hint="default"/>
                <w:sz w:val="21"/>
                <w:szCs w:val="21"/>
              </w:rPr>
            </w:pPr>
            <w:r>
              <w:rPr>
                <w:rFonts w:ascii="Times New Roman"/>
                <w:sz w:val="21"/>
              </w:rPr>
              <w:t>39.54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0" w:right="0"/>
              <w:jc w:val="left"/>
              <w:rPr>
                <w:rFonts w:ascii="Times New Roman" w:hAnsi="Times New Roman" w:cs="Times New Roman" w:eastAsia="Times New Roman" w:hint="default"/>
                <w:sz w:val="21"/>
                <w:szCs w:val="21"/>
              </w:rPr>
            </w:pPr>
            <w:r>
              <w:rPr>
                <w:rFonts w:ascii="Times New Roman"/>
                <w:sz w:val="21"/>
              </w:rPr>
              <w:t>2,731,28</w:t>
            </w:r>
          </w:p>
          <w:p>
            <w:pPr>
              <w:pStyle w:val="TableParagraph"/>
              <w:spacing w:line="240" w:lineRule="auto" w:before="71"/>
              <w:ind w:left="397" w:right="0"/>
              <w:jc w:val="left"/>
              <w:rPr>
                <w:rFonts w:ascii="Times New Roman" w:hAnsi="Times New Roman" w:cs="Times New Roman" w:eastAsia="Times New Roman" w:hint="default"/>
                <w:sz w:val="21"/>
                <w:szCs w:val="21"/>
              </w:rPr>
            </w:pPr>
            <w:r>
              <w:rPr>
                <w:rFonts w:ascii="Times New Roman"/>
                <w:sz w:val="21"/>
              </w:rPr>
              <w:t>9.17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0" w:right="0"/>
              <w:jc w:val="left"/>
              <w:rPr>
                <w:rFonts w:ascii="Times New Roman" w:hAnsi="Times New Roman" w:cs="Times New Roman" w:eastAsia="Times New Roman" w:hint="default"/>
                <w:sz w:val="21"/>
                <w:szCs w:val="21"/>
              </w:rPr>
            </w:pPr>
            <w:r>
              <w:rPr>
                <w:rFonts w:ascii="Times New Roman"/>
                <w:sz w:val="21"/>
              </w:rPr>
              <w:t>34,414,6</w:t>
            </w:r>
          </w:p>
          <w:p>
            <w:pPr>
              <w:pStyle w:val="TableParagraph"/>
              <w:spacing w:line="240" w:lineRule="auto" w:before="71"/>
              <w:ind w:left="291" w:right="0"/>
              <w:jc w:val="left"/>
              <w:rPr>
                <w:rFonts w:ascii="Times New Roman" w:hAnsi="Times New Roman" w:cs="Times New Roman" w:eastAsia="Times New Roman" w:hint="default"/>
                <w:sz w:val="21"/>
                <w:szCs w:val="21"/>
              </w:rPr>
            </w:pPr>
            <w:r>
              <w:rPr>
                <w:rFonts w:ascii="Times New Roman"/>
                <w:sz w:val="21"/>
              </w:rPr>
              <w:t>28.71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31,683,3</w:t>
            </w:r>
          </w:p>
          <w:p>
            <w:pPr>
              <w:pStyle w:val="TableParagraph"/>
              <w:spacing w:line="240" w:lineRule="auto" w:before="71"/>
              <w:ind w:left="292" w:right="0"/>
              <w:jc w:val="left"/>
              <w:rPr>
                <w:rFonts w:ascii="Times New Roman" w:hAnsi="Times New Roman" w:cs="Times New Roman" w:eastAsia="Times New Roman" w:hint="default"/>
                <w:sz w:val="21"/>
                <w:szCs w:val="21"/>
              </w:rPr>
            </w:pPr>
            <w:r>
              <w:rPr>
                <w:rFonts w:ascii="Times New Roman"/>
                <w:sz w:val="21"/>
              </w:rPr>
              <w:t>39.54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0" w:right="0"/>
              <w:jc w:val="left"/>
              <w:rPr>
                <w:rFonts w:ascii="Times New Roman" w:hAnsi="Times New Roman" w:cs="Times New Roman" w:eastAsia="Times New Roman" w:hint="default"/>
                <w:sz w:val="21"/>
                <w:szCs w:val="21"/>
              </w:rPr>
            </w:pPr>
            <w:r>
              <w:rPr>
                <w:rFonts w:ascii="Times New Roman"/>
                <w:sz w:val="21"/>
              </w:rPr>
              <w:t>2,731,28</w:t>
            </w:r>
          </w:p>
          <w:p>
            <w:pPr>
              <w:pStyle w:val="TableParagraph"/>
              <w:spacing w:line="240" w:lineRule="auto" w:before="71"/>
              <w:ind w:left="397" w:right="0"/>
              <w:jc w:val="left"/>
              <w:rPr>
                <w:rFonts w:ascii="Times New Roman" w:hAnsi="Times New Roman" w:cs="Times New Roman" w:eastAsia="Times New Roman" w:hint="default"/>
                <w:sz w:val="21"/>
                <w:szCs w:val="21"/>
              </w:rPr>
            </w:pPr>
            <w:r>
              <w:rPr>
                <w:rFonts w:ascii="Times New Roman"/>
                <w:sz w:val="21"/>
              </w:rPr>
              <w:t>9.17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0" w:right="0"/>
              <w:jc w:val="left"/>
              <w:rPr>
                <w:rFonts w:ascii="Times New Roman" w:hAnsi="Times New Roman" w:cs="Times New Roman" w:eastAsia="Times New Roman" w:hint="default"/>
                <w:sz w:val="21"/>
                <w:szCs w:val="21"/>
              </w:rPr>
            </w:pPr>
            <w:r>
              <w:rPr>
                <w:rFonts w:ascii="Times New Roman"/>
                <w:sz w:val="21"/>
              </w:rPr>
              <w:t>34,414,6</w:t>
            </w:r>
          </w:p>
          <w:p>
            <w:pPr>
              <w:pStyle w:val="TableParagraph"/>
              <w:spacing w:line="240" w:lineRule="auto" w:before="71"/>
              <w:ind w:left="291" w:right="0"/>
              <w:jc w:val="left"/>
              <w:rPr>
                <w:rFonts w:ascii="Times New Roman" w:hAnsi="Times New Roman" w:cs="Times New Roman" w:eastAsia="Times New Roman" w:hint="default"/>
                <w:sz w:val="21"/>
                <w:szCs w:val="21"/>
              </w:rPr>
            </w:pPr>
            <w:r>
              <w:rPr>
                <w:rFonts w:ascii="Times New Roman"/>
                <w:sz w:val="21"/>
              </w:rPr>
              <w:t>28.71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4、营业收入和营业成本" w:id="390"/>
      <w:bookmarkEnd w:id="390"/>
      <w:r>
        <w:rPr/>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、营业收入和营业成本</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19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b/>
                <w:bCs/>
                <w:sz w:val="21"/>
                <w:szCs w:val="21"/>
              </w:rPr>
              <w:t>成本</w:t>
            </w:r>
            <w:r>
              <w:rPr>
                <w:rFonts w:ascii="宋体" w:hAnsi="宋体" w:cs="宋体" w:eastAsia="宋体" w:hint="default"/>
                <w:sz w:val="21"/>
                <w:szCs w:val="21"/>
              </w:rPr>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b/>
                <w:bCs/>
                <w:sz w:val="21"/>
                <w:szCs w:val="21"/>
              </w:rPr>
              <w:t>成本</w:t>
            </w:r>
            <w:r>
              <w:rPr>
                <w:rFonts w:ascii="宋体" w:hAnsi="宋体" w:cs="宋体" w:eastAsia="宋体" w:hint="default"/>
                <w:sz w:val="21"/>
                <w:szCs w:val="21"/>
              </w:rPr>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176,240,104.57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82,766,518.64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133,013,498.49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70,048,046.39</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176,240,104.57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82,766,518.64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133,013,498.49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70,048,046.39</w:t>
            </w:r>
          </w:p>
        </w:tc>
      </w:tr>
    </w:tbl>
    <w:p>
      <w:pPr>
        <w:spacing w:line="240" w:lineRule="auto" w:before="2"/>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bookmarkStart w:name="5、投资收益" w:id="391"/>
      <w:bookmarkEnd w:id="391"/>
      <w:r>
        <w:rPr/>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、投资收益</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0" w:right="15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0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22,714,007.52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24,465,445.84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2,731,289.17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617,014.29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28"/>
              <w:jc w:val="both"/>
              <w:rPr>
                <w:rFonts w:ascii="宋体" w:hAnsi="宋体" w:cs="宋体" w:eastAsia="宋体" w:hint="default"/>
                <w:sz w:val="21"/>
                <w:szCs w:val="21"/>
              </w:rPr>
            </w:pPr>
            <w:r>
              <w:rPr>
                <w:rFonts w:ascii="宋体" w:hAnsi="宋体" w:cs="宋体" w:eastAsia="宋体" w:hint="default"/>
                <w:sz w:val="21"/>
                <w:szCs w:val="21"/>
              </w:rPr>
              <w:t>以公允价值计量且其变动计入当期 损益的金融资产在持有期间的投资 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28"/>
              <w:jc w:val="both"/>
              <w:rPr>
                <w:rFonts w:ascii="宋体" w:hAnsi="宋体" w:cs="宋体" w:eastAsia="宋体" w:hint="default"/>
                <w:sz w:val="21"/>
                <w:szCs w:val="21"/>
              </w:rPr>
            </w:pPr>
            <w:r>
              <w:rPr>
                <w:rFonts w:ascii="宋体" w:hAnsi="宋体" w:cs="宋体" w:eastAsia="宋体" w:hint="default"/>
                <w:sz w:val="21"/>
                <w:szCs w:val="21"/>
              </w:rPr>
              <w:t>处置以公允价值计量且其变动计入 当期损益的金融资产取得的投资收 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28"/>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 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28"/>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 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28"/>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 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2"/>
              <w:jc w:val="left"/>
              <w:rPr>
                <w:rFonts w:ascii="宋体" w:hAnsi="宋体" w:cs="宋体" w:eastAsia="宋体" w:hint="default"/>
                <w:sz w:val="21"/>
                <w:szCs w:val="21"/>
              </w:rPr>
            </w:pPr>
            <w:r>
              <w:rPr>
                <w:rFonts w:ascii="宋体" w:hAnsi="宋体" w:cs="宋体" w:eastAsia="宋体" w:hint="default"/>
                <w:spacing w:val="-6"/>
                <w:sz w:val="21"/>
                <w:szCs w:val="21"/>
              </w:rPr>
              <w:t>丧失控制权后，剩余股权按公允价值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重新计量产生的利得</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25,445,296.69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25,082,460.13</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00" w:bottom="1160" w:left="980" w:right="980"/>
        </w:sectPr>
      </w:pPr>
    </w:p>
    <w:p>
      <w:pPr>
        <w:spacing w:line="240" w:lineRule="auto" w:before="9"/>
        <w:rPr>
          <w:rFonts w:ascii="宋体" w:hAnsi="宋体" w:cs="宋体" w:eastAsia="宋体" w:hint="default"/>
          <w:sz w:val="19"/>
          <w:szCs w:val="19"/>
        </w:rPr>
      </w:pPr>
      <w:r>
        <w:rPr/>
        <w:pict>
          <v:group style="position:absolute;margin-left:223.160004pt;margin-top:494.859985pt;width:152.5pt;height:28pt;mso-position-horizontal-relative:page;mso-position-vertical-relative:page;z-index:-741088" coordorigin="4463,9897" coordsize="3050,560">
            <v:group style="position:absolute;left:4463;top:9897;width:3050;height:156" coordorigin="4463,9897" coordsize="3050,156">
              <v:shape style="position:absolute;left:4463;top:9897;width:3050;height:156" coordorigin="4463,9897" coordsize="3050,156" path="m4463,10053l7513,10053,7513,9897,4463,9897,4463,10053xe" filled="true" fillcolor="#ffffff" stroked="false">
                <v:path arrowok="t"/>
                <v:fill type="solid"/>
              </v:shape>
            </v:group>
            <v:group style="position:absolute;left:4475;top:10053;width:2;height:393" coordorigin="4475,10053" coordsize="2,393">
              <v:shape style="position:absolute;left:4475;top:10053;width:2;height:393" coordorigin="4475,10053" coordsize="0,393" path="m4475,10053l4475,10446e" filled="false" stroked="true" strokeweight="1.140pt" strokecolor="#ffffff">
                <v:path arrowok="t"/>
              </v:shape>
            </v:group>
            <v:group style="position:absolute;left:4486;top:10053;width:3004;height:393" coordorigin="4486,10053" coordsize="3004,393">
              <v:shape style="position:absolute;left:4486;top:10053;width:3004;height:393" coordorigin="4486,10053" coordsize="3004,393" path="m4486,10446l7490,10446,7490,10053,4486,10053,4486,10446xe" filled="true" fillcolor="#ffffff" stroked="false">
                <v:path arrowok="t"/>
                <v:fill type="solid"/>
              </v:shape>
            </v:group>
            <w10:wrap type="none"/>
          </v:group>
        </w:pict>
      </w:r>
    </w:p>
    <w:p>
      <w:pPr>
        <w:spacing w:before="26"/>
        <w:ind w:left="154" w:right="0" w:firstLine="0"/>
        <w:jc w:val="left"/>
        <w:rPr>
          <w:rFonts w:ascii="宋体" w:hAnsi="宋体" w:cs="宋体" w:eastAsia="宋体" w:hint="default"/>
          <w:sz w:val="24"/>
          <w:szCs w:val="24"/>
        </w:rPr>
      </w:pPr>
      <w:bookmarkStart w:name="十八、补充资料" w:id="392"/>
      <w:bookmarkEnd w:id="392"/>
      <w:r>
        <w:rPr/>
      </w:r>
      <w:r>
        <w:rPr>
          <w:rFonts w:ascii="宋体" w:hAnsi="宋体" w:cs="宋体" w:eastAsia="宋体" w:hint="default"/>
          <w:b/>
          <w:bCs/>
          <w:sz w:val="24"/>
          <w:szCs w:val="24"/>
        </w:rPr>
        <w:t>十八、补充资料</w:t>
      </w:r>
      <w:r>
        <w:rPr>
          <w:rFonts w:ascii="宋体" w:hAnsi="宋体" w:cs="宋体" w:eastAsia="宋体" w:hint="default"/>
          <w:sz w:val="24"/>
          <w:szCs w:val="24"/>
        </w:rPr>
      </w:r>
    </w:p>
    <w:p>
      <w:pPr>
        <w:spacing w:line="240" w:lineRule="auto" w:before="11"/>
        <w:rPr>
          <w:rFonts w:ascii="宋体" w:hAnsi="宋体" w:cs="宋体" w:eastAsia="宋体" w:hint="default"/>
          <w:b/>
          <w:bCs/>
          <w:sz w:val="22"/>
          <w:szCs w:val="22"/>
        </w:rPr>
      </w:pPr>
    </w:p>
    <w:p>
      <w:pPr>
        <w:spacing w:before="0"/>
        <w:ind w:left="154" w:right="0" w:firstLine="0"/>
        <w:jc w:val="left"/>
        <w:rPr>
          <w:rFonts w:ascii="宋体" w:hAnsi="宋体" w:cs="宋体" w:eastAsia="宋体" w:hint="default"/>
          <w:sz w:val="24"/>
          <w:szCs w:val="24"/>
        </w:rPr>
      </w:pPr>
      <w:bookmarkStart w:name="1、当期非经常性损益明细表" w:id="393"/>
      <w:bookmarkEnd w:id="393"/>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、当期非经常性损益明细表</w:t>
      </w:r>
      <w:r>
        <w:rPr>
          <w:rFonts w:ascii="宋体" w:hAnsi="宋体" w:cs="宋体" w:eastAsia="宋体" w:hint="default"/>
          <w:sz w:val="24"/>
          <w:szCs w:val="24"/>
        </w:rPr>
      </w:r>
    </w:p>
    <w:p>
      <w:pPr>
        <w:spacing w:line="240" w:lineRule="auto" w:before="6"/>
        <w:rPr>
          <w:rFonts w:ascii="宋体" w:hAnsi="宋体" w:cs="宋体" w:eastAsia="宋体"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40" w:lineRule="auto" w:before="19"/>
        <w:ind w:left="0" w:right="150"/>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说明</w:t>
            </w:r>
            <w:r>
              <w:rPr>
                <w:rFonts w:ascii="宋体" w:hAnsi="宋体" w:cs="宋体" w:eastAsia="宋体" w:hint="default"/>
                <w:sz w:val="21"/>
                <w:szCs w:val="21"/>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8"/>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 返还、减免</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
              <w:jc w:val="both"/>
              <w:rPr>
                <w:rFonts w:ascii="宋体" w:hAnsi="宋体" w:cs="宋体" w:eastAsia="宋体" w:hint="default"/>
                <w:sz w:val="21"/>
                <w:szCs w:val="21"/>
              </w:rPr>
            </w:pPr>
            <w:r>
              <w:rPr>
                <w:rFonts w:ascii="宋体" w:hAnsi="宋体" w:cs="宋体" w:eastAsia="宋体" w:hint="default"/>
                <w:spacing w:val="-6"/>
                <w:sz w:val="21"/>
                <w:szCs w:val="21"/>
              </w:rPr>
              <w:t>计入当期损益的政府补助（与企业业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务密切相关，按照国家统一标准定额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或定量享受的政府补助除外）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818" w:right="0"/>
              <w:jc w:val="left"/>
              <w:rPr>
                <w:rFonts w:ascii="Times New Roman" w:hAnsi="Times New Roman" w:cs="Times New Roman" w:eastAsia="Times New Roman" w:hint="default"/>
                <w:sz w:val="21"/>
                <w:szCs w:val="21"/>
              </w:rPr>
            </w:pPr>
            <w:r>
              <w:rPr>
                <w:rFonts w:ascii="Times New Roman"/>
                <w:sz w:val="21"/>
              </w:rPr>
              <w:t>13,991,797.38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8"/>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 的资金占用费</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
              <w:jc w:val="left"/>
              <w:rPr>
                <w:rFonts w:ascii="宋体" w:hAnsi="宋体" w:cs="宋体" w:eastAsia="宋体" w:hint="default"/>
                <w:sz w:val="21"/>
                <w:szCs w:val="21"/>
              </w:rPr>
            </w:pPr>
            <w:r>
              <w:rPr>
                <w:rFonts w:ascii="宋体" w:hAnsi="宋体" w:cs="宋体" w:eastAsia="宋体" w:hint="default"/>
                <w:spacing w:val="-6"/>
                <w:sz w:val="21"/>
                <w:szCs w:val="21"/>
              </w:rPr>
              <w:t>企业取得子公司、联营企业及合营企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业的投资成本小于取得投资时应享 有被投资单位可辨认净资产公允价 值产生的收益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
              <w:jc w:val="left"/>
              <w:rPr>
                <w:rFonts w:ascii="宋体" w:hAnsi="宋体" w:cs="宋体" w:eastAsia="宋体" w:hint="default"/>
                <w:sz w:val="21"/>
                <w:szCs w:val="21"/>
              </w:rPr>
            </w:pPr>
            <w:r>
              <w:rPr>
                <w:rFonts w:ascii="宋体" w:hAnsi="宋体" w:cs="宋体" w:eastAsia="宋体" w:hint="default"/>
                <w:spacing w:val="-6"/>
                <w:sz w:val="21"/>
                <w:szCs w:val="21"/>
              </w:rPr>
              <w:t>因不可抗力因素，如遭受自然灾害而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计提的各项资产减值准备</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8"/>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 整合费用等</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52" w:right="0"/>
              <w:jc w:val="left"/>
              <w:rPr>
                <w:rFonts w:ascii="宋体" w:hAnsi="宋体" w:cs="宋体" w:eastAsia="宋体" w:hint="default"/>
                <w:sz w:val="21"/>
                <w:szCs w:val="21"/>
              </w:rPr>
            </w:pPr>
            <w:r>
              <w:rPr>
                <w:rFonts w:ascii="宋体" w:hAnsi="宋体" w:cs="宋体" w:eastAsia="宋体" w:hint="default"/>
                <w:sz w:val="21"/>
                <w:szCs w:val="21"/>
              </w:rPr>
              <w:t>、</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8"/>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 过公允价值部分的损益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8"/>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 期初至合并日的当期净损益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8"/>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 项产生的损益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 </w:t>
            </w:r>
            <w:r>
              <w:rPr>
                <w:rFonts w:ascii="宋体" w:hAnsi="宋体" w:cs="宋体" w:eastAsia="宋体" w:hint="default"/>
                <w:spacing w:val="-6"/>
                <w:sz w:val="21"/>
                <w:szCs w:val="21"/>
              </w:rPr>
              <w:t>套期保值业务外，持有交易性金融资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产、交易性金融负债产生的公允价值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变动损益，以及处置交易性金融资 </w:t>
            </w:r>
            <w:r>
              <w:rPr>
                <w:rFonts w:ascii="宋体" w:hAnsi="宋体" w:cs="宋体" w:eastAsia="宋体" w:hint="default"/>
                <w:spacing w:val="-6"/>
                <w:sz w:val="21"/>
                <w:szCs w:val="21"/>
              </w:rPr>
              <w:t>产、交易性金融负债和可供出售金融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3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准备转回</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41"/>
              <w:jc w:val="both"/>
              <w:rPr>
                <w:rFonts w:ascii="宋体" w:hAnsi="宋体" w:cs="宋体" w:eastAsia="宋体" w:hint="default"/>
                <w:sz w:val="21"/>
                <w:szCs w:val="21"/>
              </w:rPr>
            </w:pPr>
            <w:r>
              <w:rPr>
                <w:rFonts w:ascii="宋体" w:hAnsi="宋体" w:cs="宋体" w:eastAsia="宋体" w:hint="default"/>
                <w:sz w:val="21"/>
                <w:szCs w:val="21"/>
              </w:rPr>
              <w:t>采用公允价值模式进行后续计量的 投资性房地产公允价值变动产生的 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1"/>
              <w:jc w:val="left"/>
              <w:rPr>
                <w:rFonts w:ascii="宋体" w:hAnsi="宋体" w:cs="宋体" w:eastAsia="宋体" w:hint="default"/>
                <w:sz w:val="21"/>
                <w:szCs w:val="21"/>
              </w:rPr>
            </w:pPr>
            <w:r>
              <w:rPr>
                <w:rFonts w:ascii="宋体" w:hAnsi="宋体" w:cs="宋体" w:eastAsia="宋体" w:hint="default"/>
                <w:spacing w:val="-6"/>
                <w:sz w:val="21"/>
                <w:szCs w:val="21"/>
              </w:rPr>
              <w:t>根据税收、会计等法律、法规的要求</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对当期损益进行一次性调整对当期 损益的影响</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39"/>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 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-217,761.35</w:t>
            </w:r>
            <w:r>
              <w:rPr>
                <w:rFonts w:ascii="Times New Roman"/>
                <w:sz w:val="21"/>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41"/>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 项目</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1,118,413.14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12,655,622.89</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81"/>
        <w:ind w:left="634" w:right="0"/>
        <w:jc w:val="left"/>
      </w:pPr>
      <w:r>
        <w:rPr/>
        <w:t>对公司根据《公开发行证券的公司信息披露解释性公告第</w:t>
      </w:r>
      <w:r>
        <w:rPr>
          <w:spacing w:val="-61"/>
        </w:rPr>
        <w:t> </w:t>
      </w:r>
      <w:r>
        <w:rPr>
          <w:rFonts w:ascii="宋体" w:hAnsi="宋体" w:cs="宋体" w:eastAsia="宋体" w:hint="default"/>
        </w:rPr>
        <w:t>1</w:t>
      </w:r>
      <w:r>
        <w:rPr>
          <w:rFonts w:ascii="宋体" w:hAnsi="宋体" w:cs="宋体" w:eastAsia="宋体" w:hint="default"/>
          <w:spacing w:val="-61"/>
        </w:rPr>
        <w:t> </w:t>
      </w:r>
      <w:r>
        <w:rPr/>
        <w:t>号</w:t>
      </w:r>
      <w:r>
        <w:rPr>
          <w:rFonts w:ascii="Calibri" w:hAnsi="Calibri" w:cs="Calibri" w:eastAsia="Calibri" w:hint="default"/>
        </w:rPr>
        <w:t>——</w:t>
      </w:r>
      <w:r>
        <w:rPr/>
        <w:t>非经常性损益》定义</w:t>
      </w:r>
    </w:p>
    <w:p>
      <w:pPr>
        <w:pStyle w:val="BodyText"/>
        <w:spacing w:line="326" w:lineRule="auto" w:before="122"/>
        <w:ind w:left="154" w:right="218"/>
        <w:jc w:val="left"/>
      </w:pPr>
      <w:r>
        <w:rPr/>
        <w:t>界定的非经常性损益项目，以及把《公开发行证券的公司信息披露解释性公告第</w:t>
      </w:r>
      <w:r>
        <w:rPr>
          <w:spacing w:val="-60"/>
        </w:rPr>
        <w:t> </w:t>
      </w:r>
      <w:r>
        <w:rPr>
          <w:rFonts w:ascii="宋体" w:hAnsi="宋体" w:cs="宋体" w:eastAsia="宋体" w:hint="default"/>
        </w:rPr>
        <w:t>1</w:t>
      </w:r>
      <w:r>
        <w:rPr>
          <w:rFonts w:ascii="宋体" w:hAnsi="宋体" w:cs="宋体" w:eastAsia="宋体" w:hint="default"/>
          <w:spacing w:val="-61"/>
        </w:rPr>
        <w:t> </w:t>
      </w:r>
      <w:r>
        <w:rPr/>
        <w:t>号</w:t>
      </w:r>
      <w:r>
        <w:rPr>
          <w:rFonts w:ascii="Calibri" w:hAnsi="Calibri" w:cs="Calibri" w:eastAsia="Calibri" w:hint="default"/>
        </w:rPr>
        <w:t>——</w:t>
      </w:r>
      <w:r>
        <w:rPr/>
        <w:t>非 经常性损益》中列举的非经常性损益项目界定为经常性损益的项目，应说明原因。</w:t>
      </w:r>
    </w:p>
    <w:p>
      <w:pPr>
        <w:pStyle w:val="BodyText"/>
        <w:tabs>
          <w:tab w:pos="994" w:val="left" w:leader="none"/>
        </w:tabs>
        <w:spacing w:line="240" w:lineRule="auto" w:before="108"/>
        <w:ind w:left="634" w:right="0"/>
        <w:jc w:val="left"/>
      </w:pPr>
      <w:r>
        <w:rPr>
          <w:rFonts w:ascii="Arial" w:hAnsi="Arial" w:cs="Arial" w:eastAsia="Arial" w:hint="default"/>
        </w:rPr>
        <w:t>□</w:t>
        <w:tab/>
      </w:r>
      <w:r>
        <w:rPr/>
        <w:t>适用 </w:t>
      </w:r>
      <w:r>
        <w:rPr>
          <w:rFonts w:ascii="Calibri" w:hAnsi="Calibri" w:cs="Calibri" w:eastAsia="Calibri" w:hint="default"/>
        </w:rPr>
        <w:t>√ </w:t>
      </w:r>
      <w:r>
        <w:rPr>
          <w:rFonts w:ascii="Calibri" w:hAnsi="Calibri" w:cs="Calibri" w:eastAsia="Calibri" w:hint="default"/>
          <w:spacing w:val="11"/>
        </w:rPr>
        <w:t> </w:t>
      </w:r>
      <w:r>
        <w:rPr/>
        <w:t>不适用</w:t>
      </w:r>
    </w:p>
    <w:p>
      <w:pPr>
        <w:spacing w:line="240" w:lineRule="auto" w:before="4"/>
        <w:rPr>
          <w:rFonts w:ascii="宋体" w:hAnsi="宋体" w:cs="宋体" w:eastAsia="宋体" w:hint="default"/>
          <w:sz w:val="26"/>
          <w:szCs w:val="26"/>
        </w:rPr>
      </w:pPr>
    </w:p>
    <w:p>
      <w:pPr>
        <w:spacing w:before="0"/>
        <w:ind w:left="154" w:right="0" w:firstLine="0"/>
        <w:jc w:val="left"/>
        <w:rPr>
          <w:rFonts w:ascii="宋体" w:hAnsi="宋体" w:cs="宋体" w:eastAsia="宋体" w:hint="default"/>
          <w:sz w:val="24"/>
          <w:szCs w:val="24"/>
        </w:rPr>
      </w:pPr>
      <w:bookmarkStart w:name="2、净资产收益率及每股收益" w:id="394"/>
      <w:bookmarkEnd w:id="394"/>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、净资产收益率及每股收益</w:t>
      </w:r>
      <w:r>
        <w:rPr>
          <w:rFonts w:ascii="宋体" w:hAnsi="宋体" w:cs="宋体" w:eastAsia="宋体" w:hint="default"/>
          <w:sz w:val="24"/>
          <w:szCs w:val="24"/>
        </w:rPr>
      </w:r>
    </w:p>
    <w:p>
      <w:pPr>
        <w:spacing w:line="240" w:lineRule="auto" w:before="5"/>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3533"/>
        <w:gridCol w:w="2199"/>
        <w:gridCol w:w="1913"/>
        <w:gridCol w:w="1913"/>
      </w:tblGrid>
      <w:tr>
        <w:trPr>
          <w:trHeight w:val="389" w:hRule="exact"/>
        </w:trPr>
        <w:tc>
          <w:tcPr>
            <w:tcW w:w="3533" w:type="dxa"/>
            <w:tcBorders>
              <w:top w:val="single" w:sz="4" w:space="0" w:color="000000"/>
              <w:left w:val="single" w:sz="4" w:space="0" w:color="000000"/>
              <w:bottom w:val="single" w:sz="6" w:space="0" w:color="FFFFFF"/>
              <w:right w:val="single" w:sz="4" w:space="0" w:color="000000"/>
            </w:tcBorders>
            <w:shd w:val="clear" w:color="auto" w:fill="D2D2D2"/>
          </w:tcPr>
          <w:p>
            <w:pPr/>
          </w:p>
        </w:tc>
        <w:tc>
          <w:tcPr>
            <w:tcW w:w="2199" w:type="dxa"/>
            <w:tcBorders>
              <w:top w:val="single" w:sz="4" w:space="0" w:color="000000"/>
              <w:left w:val="single" w:sz="4" w:space="0" w:color="000000"/>
              <w:bottom w:val="single" w:sz="6" w:space="0" w:color="FFFFFF"/>
              <w:right w:val="single" w:sz="4" w:space="0" w:color="000000"/>
            </w:tcBorders>
            <w:shd w:val="clear" w:color="auto" w:fill="D2D2D2"/>
          </w:tcPr>
          <w:p>
            <w:pPr/>
          </w:p>
        </w:tc>
        <w:tc>
          <w:tcPr>
            <w:tcW w:w="3826" w:type="dxa"/>
            <w:gridSpan w:val="2"/>
            <w:tcBorders>
              <w:top w:val="single" w:sz="4" w:space="0" w:color="000000"/>
              <w:left w:val="single" w:sz="4" w:space="0" w:color="000000"/>
              <w:bottom w:val="single" w:sz="6" w:space="0" w:color="FFFFFF"/>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每股收益</w:t>
            </w:r>
            <w:r>
              <w:rPr>
                <w:rFonts w:ascii="宋体" w:hAnsi="宋体" w:cs="宋体" w:eastAsia="宋体" w:hint="default"/>
                <w:sz w:val="21"/>
                <w:szCs w:val="21"/>
              </w:rPr>
            </w:r>
          </w:p>
        </w:tc>
      </w:tr>
      <w:tr>
        <w:trPr>
          <w:trHeight w:val="385" w:hRule="exact"/>
        </w:trPr>
        <w:tc>
          <w:tcPr>
            <w:tcW w:w="3533" w:type="dxa"/>
            <w:tcBorders>
              <w:top w:val="single" w:sz="6" w:space="0" w:color="FFFFFF"/>
              <w:left w:val="single" w:sz="4" w:space="0" w:color="000000"/>
              <w:bottom w:val="nil" w:sz="6" w:space="0" w:color="auto"/>
              <w:right w:val="single" w:sz="4" w:space="0" w:color="000000"/>
            </w:tcBorders>
            <w:shd w:val="clear" w:color="auto" w:fill="D2D2D2"/>
          </w:tcPr>
          <w:p>
            <w:pPr>
              <w:pStyle w:val="TableParagraph"/>
              <w:spacing w:line="240" w:lineRule="auto" w:before="10"/>
              <w:ind w:right="10"/>
              <w:jc w:val="center"/>
              <w:rPr>
                <w:rFonts w:ascii="宋体" w:hAnsi="宋体" w:cs="宋体" w:eastAsia="宋体" w:hint="default"/>
                <w:sz w:val="21"/>
                <w:szCs w:val="21"/>
              </w:rPr>
            </w:pPr>
            <w:r>
              <w:rPr>
                <w:rFonts w:ascii="宋体" w:hAnsi="宋体" w:cs="宋体" w:eastAsia="宋体" w:hint="default"/>
                <w:b/>
                <w:bCs/>
                <w:sz w:val="21"/>
                <w:szCs w:val="21"/>
              </w:rPr>
              <w:t>报告期利润</w:t>
            </w:r>
            <w:r>
              <w:rPr>
                <w:rFonts w:ascii="宋体" w:hAnsi="宋体" w:cs="宋体" w:eastAsia="宋体" w:hint="default"/>
                <w:sz w:val="21"/>
                <w:szCs w:val="21"/>
              </w:rPr>
            </w:r>
          </w:p>
        </w:tc>
        <w:tc>
          <w:tcPr>
            <w:tcW w:w="2199" w:type="dxa"/>
            <w:tcBorders>
              <w:top w:val="single" w:sz="6" w:space="0" w:color="FFFFFF"/>
              <w:left w:val="single" w:sz="4" w:space="0" w:color="000000"/>
              <w:bottom w:val="nil" w:sz="6" w:space="0" w:color="auto"/>
              <w:right w:val="single" w:sz="4" w:space="0" w:color="000000"/>
            </w:tcBorders>
            <w:shd w:val="clear" w:color="auto" w:fill="D2D2D2"/>
          </w:tcPr>
          <w:p>
            <w:pPr>
              <w:pStyle w:val="TableParagraph"/>
              <w:spacing w:line="240" w:lineRule="auto" w:before="10"/>
              <w:ind w:right="39"/>
              <w:jc w:val="right"/>
              <w:rPr>
                <w:rFonts w:ascii="宋体" w:hAnsi="宋体" w:cs="宋体" w:eastAsia="宋体" w:hint="default"/>
                <w:sz w:val="21"/>
                <w:szCs w:val="21"/>
              </w:rPr>
            </w:pPr>
            <w:r>
              <w:rPr>
                <w:rFonts w:ascii="宋体" w:hAnsi="宋体" w:cs="宋体" w:eastAsia="宋体" w:hint="default"/>
                <w:b/>
                <w:bCs/>
                <w:w w:val="95"/>
                <w:sz w:val="21"/>
                <w:szCs w:val="21"/>
              </w:rPr>
              <w:t>加权平均净资产收益率</w:t>
            </w:r>
            <w:r>
              <w:rPr>
                <w:rFonts w:ascii="宋体" w:hAnsi="宋体" w:cs="宋体" w:eastAsia="宋体" w:hint="default"/>
                <w:sz w:val="21"/>
                <w:szCs w:val="21"/>
              </w:rPr>
            </w:r>
          </w:p>
        </w:tc>
        <w:tc>
          <w:tcPr>
            <w:tcW w:w="1913" w:type="dxa"/>
            <w:vMerge w:val="restart"/>
            <w:tcBorders>
              <w:top w:val="single" w:sz="6" w:space="0" w:color="FFFFFF"/>
              <w:left w:val="single" w:sz="4" w:space="0" w:color="000000"/>
              <w:right w:val="single" w:sz="4" w:space="0" w:color="000000"/>
            </w:tcBorders>
            <w:shd w:val="clear" w:color="auto" w:fill="D2D2D2"/>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b/>
                <w:bCs/>
                <w:sz w:val="21"/>
                <w:szCs w:val="21"/>
              </w:rPr>
              <w:t>基本每股收益</w:t>
            </w:r>
            <w:r>
              <w:rPr>
                <w:rFonts w:ascii="宋体" w:hAnsi="宋体" w:cs="宋体" w:eastAsia="宋体" w:hint="default"/>
                <w:sz w:val="21"/>
                <w:szCs w:val="21"/>
              </w:rPr>
            </w:r>
          </w:p>
          <w:p>
            <w:pPr>
              <w:pStyle w:val="TableParagraph"/>
              <w:spacing w:line="240" w:lineRule="auto" w:before="78"/>
              <w:ind w:right="1"/>
              <w:jc w:val="center"/>
              <w:rPr>
                <w:rFonts w:ascii="宋体" w:hAnsi="宋体" w:cs="宋体" w:eastAsia="宋体" w:hint="default"/>
                <w:sz w:val="21"/>
                <w:szCs w:val="21"/>
              </w:rPr>
            </w:pPr>
            <w:r>
              <w:rPr>
                <w:rFonts w:ascii="宋体" w:hAnsi="宋体" w:cs="宋体" w:eastAsia="宋体" w:hint="default"/>
                <w:b/>
                <w:bCs/>
                <w:sz w:val="21"/>
                <w:szCs w:val="21"/>
              </w:rPr>
              <w:t>（元</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股）</w:t>
            </w:r>
            <w:r>
              <w:rPr>
                <w:rFonts w:ascii="宋体" w:hAnsi="宋体" w:cs="宋体" w:eastAsia="宋体" w:hint="default"/>
                <w:sz w:val="21"/>
                <w:szCs w:val="21"/>
              </w:rPr>
            </w:r>
          </w:p>
        </w:tc>
        <w:tc>
          <w:tcPr>
            <w:tcW w:w="1913" w:type="dxa"/>
            <w:vMerge w:val="restart"/>
            <w:tcBorders>
              <w:top w:val="single" w:sz="6" w:space="0" w:color="FFFFFF"/>
              <w:left w:val="single" w:sz="4" w:space="0" w:color="000000"/>
              <w:right w:val="single" w:sz="4" w:space="0" w:color="000000"/>
            </w:tcBorders>
            <w:shd w:val="clear" w:color="auto" w:fill="D2D2D2"/>
          </w:tcPr>
          <w:p>
            <w:pPr>
              <w:pStyle w:val="TableParagraph"/>
              <w:spacing w:line="240" w:lineRule="auto" w:before="35"/>
              <w:ind w:right="1"/>
              <w:jc w:val="center"/>
              <w:rPr>
                <w:rFonts w:ascii="宋体" w:hAnsi="宋体" w:cs="宋体" w:eastAsia="宋体" w:hint="default"/>
                <w:sz w:val="21"/>
                <w:szCs w:val="21"/>
              </w:rPr>
            </w:pPr>
            <w:r>
              <w:rPr>
                <w:rFonts w:ascii="宋体" w:hAnsi="宋体" w:cs="宋体" w:eastAsia="宋体" w:hint="default"/>
                <w:b/>
                <w:bCs/>
                <w:sz w:val="21"/>
                <w:szCs w:val="21"/>
              </w:rPr>
              <w:t>稀释每股收益</w:t>
            </w:r>
            <w:r>
              <w:rPr>
                <w:rFonts w:ascii="宋体" w:hAnsi="宋体" w:cs="宋体" w:eastAsia="宋体" w:hint="default"/>
                <w:sz w:val="21"/>
                <w:szCs w:val="21"/>
              </w:rPr>
            </w:r>
          </w:p>
          <w:p>
            <w:pPr>
              <w:pStyle w:val="TableParagraph"/>
              <w:spacing w:line="240" w:lineRule="auto" w:before="78"/>
              <w:ind w:right="1"/>
              <w:jc w:val="center"/>
              <w:rPr>
                <w:rFonts w:ascii="宋体" w:hAnsi="宋体" w:cs="宋体" w:eastAsia="宋体" w:hint="default"/>
                <w:sz w:val="21"/>
                <w:szCs w:val="21"/>
              </w:rPr>
            </w:pPr>
            <w:r>
              <w:rPr>
                <w:rFonts w:ascii="宋体" w:hAnsi="宋体" w:cs="宋体" w:eastAsia="宋体" w:hint="default"/>
                <w:b/>
                <w:bCs/>
                <w:sz w:val="21"/>
                <w:szCs w:val="21"/>
              </w:rPr>
              <w:t>（元</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股）</w:t>
            </w:r>
            <w:r>
              <w:rPr>
                <w:rFonts w:ascii="宋体" w:hAnsi="宋体" w:cs="宋体" w:eastAsia="宋体" w:hint="default"/>
                <w:sz w:val="21"/>
                <w:szCs w:val="21"/>
              </w:rPr>
            </w:r>
          </w:p>
        </w:tc>
      </w:tr>
      <w:tr>
        <w:trPr>
          <w:trHeight w:val="382" w:hRule="exact"/>
        </w:trPr>
        <w:tc>
          <w:tcPr>
            <w:tcW w:w="3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21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1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16.40%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0.51</w:t>
            </w:r>
          </w:p>
        </w:tc>
      </w:tr>
      <w:tr>
        <w:trPr>
          <w:trHeight w:val="714"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49"/>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 股股东的净利润</w:t>
            </w:r>
          </w:p>
        </w:tc>
        <w:tc>
          <w:tcPr>
            <w:tcW w:w="21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2"/>
                <w:sz w:val="21"/>
              </w:rPr>
              <w:t>11.90%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0.37</w:t>
            </w:r>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bookmarkStart w:name="3、境内外会计准则下会计数据差异" w:id="395"/>
      <w:bookmarkEnd w:id="395"/>
      <w:r>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、境内外会计准则下会计数据差异</w:t>
      </w:r>
      <w:r>
        <w:rPr>
          <w:rFonts w:ascii="宋体" w:hAnsi="宋体" w:cs="宋体" w:eastAsia="宋体" w:hint="default"/>
          <w:sz w:val="24"/>
          <w:szCs w:val="24"/>
        </w:rPr>
      </w:r>
    </w:p>
    <w:p>
      <w:pPr>
        <w:spacing w:line="240" w:lineRule="auto" w:before="6"/>
        <w:rPr>
          <w:rFonts w:ascii="宋体" w:hAnsi="宋体" w:cs="宋体" w:eastAsia="宋体" w:hint="default"/>
          <w:b/>
          <w:bCs/>
          <w:sz w:val="21"/>
          <w:szCs w:val="21"/>
        </w:rPr>
      </w:pPr>
    </w:p>
    <w:p>
      <w:pPr>
        <w:spacing w:before="0"/>
        <w:ind w:left="153" w:right="0" w:firstLine="0"/>
        <w:jc w:val="left"/>
        <w:rPr>
          <w:rFonts w:ascii="宋体" w:hAnsi="宋体" w:cs="宋体" w:eastAsia="宋体" w:hint="default"/>
          <w:sz w:val="24"/>
          <w:szCs w:val="24"/>
        </w:rPr>
      </w:pPr>
      <w:bookmarkStart w:name="（1）同时按照国际会计准则与按中国会计准则披露的财务报告中净利润和净资产差异情况" w:id="396"/>
      <w:bookmarkEnd w:id="396"/>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）同时按照国际会计准则与按中国会计准则披露的财务报告中净利润和净资产差异情况</w:t>
      </w:r>
      <w:r>
        <w:rPr>
          <w:rFonts w:ascii="宋体" w:hAnsi="宋体" w:cs="宋体" w:eastAsia="宋体" w:hint="default"/>
          <w:sz w:val="24"/>
          <w:szCs w:val="24"/>
        </w:rPr>
      </w:r>
    </w:p>
    <w:p>
      <w:pPr>
        <w:spacing w:line="240" w:lineRule="auto" w:before="6"/>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0" w:footer="979" w:top="1100" w:bottom="1160" w:left="980" w:right="980"/>
        </w:sectPr>
      </w:pPr>
    </w:p>
    <w:p>
      <w:pPr>
        <w:pStyle w:val="BodyText"/>
        <w:tabs>
          <w:tab w:pos="994" w:val="left" w:leader="none"/>
        </w:tabs>
        <w:spacing w:line="240" w:lineRule="auto"/>
        <w:ind w:left="633" w:right="-19"/>
        <w:jc w:val="left"/>
      </w:pPr>
      <w:r>
        <w:rPr>
          <w:rFonts w:ascii="Arial" w:hAnsi="Arial" w:cs="Arial" w:eastAsia="Arial" w:hint="default"/>
        </w:rPr>
        <w:t>□</w:t>
        <w:tab/>
      </w:r>
      <w:r>
        <w:rPr/>
        <w:t>适用 </w:t>
      </w:r>
      <w:r>
        <w:rPr>
          <w:rFonts w:ascii="Calibri" w:hAnsi="Calibri" w:cs="Calibri" w:eastAsia="Calibri" w:hint="default"/>
        </w:rPr>
        <w:t>√ </w:t>
      </w:r>
      <w:r>
        <w:rPr>
          <w:rFonts w:ascii="Calibri" w:hAnsi="Calibri" w:cs="Calibri" w:eastAsia="Calibri" w:hint="default"/>
          <w:spacing w:val="11"/>
        </w:rPr>
        <w:t> </w:t>
      </w:r>
      <w:r>
        <w:rPr/>
        <w:t>不适用</w:t>
      </w:r>
    </w:p>
    <w:p>
      <w:pPr>
        <w:spacing w:line="240" w:lineRule="auto" w:before="11"/>
        <w:rPr>
          <w:rFonts w:ascii="宋体" w:hAnsi="宋体" w:cs="宋体" w:eastAsia="宋体" w:hint="default"/>
          <w:sz w:val="34"/>
          <w:szCs w:val="34"/>
        </w:rPr>
      </w:pPr>
      <w:r>
        <w:rPr/>
        <w:br w:type="column"/>
      </w:r>
      <w:r>
        <w:rPr>
          <w:rFonts w:ascii="宋体"/>
          <w:sz w:val="34"/>
        </w:rPr>
      </w:r>
    </w:p>
    <w:p>
      <w:pPr>
        <w:pStyle w:val="BodyText"/>
        <w:spacing w:line="240" w:lineRule="auto" w:before="0"/>
        <w:ind w:left="633" w:right="0"/>
        <w:jc w:val="left"/>
      </w:pPr>
      <w:r>
        <w:rPr/>
        <w:t>单位： 元</w:t>
      </w:r>
    </w:p>
    <w:p>
      <w:pPr>
        <w:spacing w:after="0" w:line="240" w:lineRule="auto"/>
        <w:jc w:val="left"/>
        <w:sectPr>
          <w:type w:val="continuous"/>
          <w:pgSz w:w="11910" w:h="16840"/>
          <w:pgMar w:top="1060" w:bottom="1160" w:left="980" w:right="980"/>
          <w:cols w:num="2" w:equalWidth="0">
            <w:col w:w="2555" w:space="5525"/>
            <w:col w:w="1870"/>
          </w:cols>
        </w:sectPr>
      </w:pPr>
    </w:p>
    <w:p>
      <w:pPr>
        <w:spacing w:line="240" w:lineRule="auto" w:before="8"/>
        <w:rPr>
          <w:rFonts w:ascii="宋体" w:hAnsi="宋体" w:cs="宋体" w:eastAsia="宋体" w:hint="default"/>
          <w:sz w:val="19"/>
          <w:szCs w:val="19"/>
        </w:rPr>
      </w:pPr>
    </w:p>
    <w:p>
      <w:pPr>
        <w:spacing w:before="26"/>
        <w:ind w:left="154" w:right="0" w:firstLine="0"/>
        <w:jc w:val="left"/>
        <w:rPr>
          <w:rFonts w:ascii="宋体" w:hAnsi="宋体" w:cs="宋体" w:eastAsia="宋体" w:hint="default"/>
          <w:sz w:val="24"/>
          <w:szCs w:val="24"/>
        </w:rPr>
      </w:pPr>
      <w:bookmarkStart w:name="（2）同时按照境外会计准则与按中国会计准则披露的财务报告中净利润和净资产差异情况" w:id="397"/>
      <w:bookmarkEnd w:id="397"/>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）同时按照境外会计准则与按中国会计准则披露的财务报告中净利润和净资产差异情况</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pStyle w:val="BodyText"/>
        <w:tabs>
          <w:tab w:pos="994" w:val="left" w:leader="none"/>
        </w:tabs>
        <w:spacing w:line="240" w:lineRule="auto" w:before="0"/>
        <w:ind w:left="633" w:right="0"/>
        <w:jc w:val="left"/>
      </w:pPr>
      <w:r>
        <w:rPr>
          <w:rFonts w:ascii="Arial" w:hAnsi="Arial" w:cs="Arial" w:eastAsia="Arial" w:hint="default"/>
        </w:rPr>
        <w:t>□</w:t>
        <w:tab/>
      </w:r>
      <w:r>
        <w:rPr/>
        <w:t>适用 </w:t>
      </w:r>
      <w:r>
        <w:rPr>
          <w:rFonts w:ascii="Calibri" w:hAnsi="Calibri" w:cs="Calibri" w:eastAsia="Calibri" w:hint="default"/>
        </w:rPr>
        <w:t>√ </w:t>
      </w:r>
      <w:r>
        <w:rPr>
          <w:rFonts w:ascii="Calibri" w:hAnsi="Calibri" w:cs="Calibri" w:eastAsia="Calibri" w:hint="default"/>
          <w:spacing w:val="11"/>
        </w:rPr>
        <w:t> </w:t>
      </w:r>
      <w:r>
        <w:rPr/>
        <w:t>不适用</w:t>
      </w:r>
    </w:p>
    <w:p>
      <w:pPr>
        <w:spacing w:line="240" w:lineRule="auto" w:before="7"/>
        <w:rPr>
          <w:rFonts w:ascii="宋体" w:hAnsi="宋体" w:cs="宋体" w:eastAsia="宋体" w:hint="default"/>
          <w:sz w:val="28"/>
          <w:szCs w:val="28"/>
        </w:rPr>
      </w:pPr>
    </w:p>
    <w:p>
      <w:pPr>
        <w:spacing w:line="314" w:lineRule="exact" w:before="0"/>
        <w:ind w:left="153" w:right="0" w:firstLine="0"/>
        <w:jc w:val="left"/>
        <w:rPr>
          <w:rFonts w:ascii="宋体" w:hAnsi="宋体" w:cs="宋体" w:eastAsia="宋体" w:hint="default"/>
          <w:sz w:val="24"/>
          <w:szCs w:val="24"/>
        </w:rPr>
      </w:pPr>
      <w:bookmarkStart w:name="（3）境内外会计准则下会计数据差异原因说明，对已经境外审计机构审计的数据进行差异" w:id="398"/>
      <w:bookmarkEnd w:id="398"/>
      <w:r>
        <w:rPr/>
      </w:r>
      <w:r>
        <w:rPr>
          <w:rFonts w:ascii="宋体" w:hAnsi="宋体" w:cs="宋体" w:eastAsia="宋体" w:hint="default"/>
          <w:b/>
          <w:bCs/>
          <w:spacing w:val="-3"/>
          <w:w w:val="95"/>
          <w:sz w:val="24"/>
          <w:szCs w:val="24"/>
        </w:rPr>
        <w:t>（</w:t>
      </w:r>
      <w:r>
        <w:rPr>
          <w:rFonts w:ascii="Times New Roman" w:hAnsi="Times New Roman" w:cs="Times New Roman" w:eastAsia="Times New Roman" w:hint="default"/>
          <w:b/>
          <w:bCs/>
          <w:spacing w:val="-3"/>
          <w:w w:val="95"/>
          <w:sz w:val="24"/>
          <w:szCs w:val="24"/>
        </w:rPr>
        <w:t>3</w:t>
      </w:r>
      <w:r>
        <w:rPr>
          <w:rFonts w:ascii="宋体" w:hAnsi="宋体" w:cs="宋体" w:eastAsia="宋体" w:hint="default"/>
          <w:b/>
          <w:bCs/>
          <w:spacing w:val="-3"/>
          <w:w w:val="95"/>
          <w:sz w:val="24"/>
          <w:szCs w:val="24"/>
        </w:rPr>
        <w:t>）境内外会计准则下会计数据差异原因说明，对已经境外审计机构审计的数据进行差异调</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r>
        <w:rPr>
          <w:rFonts w:ascii="宋体" w:hAnsi="宋体" w:cs="宋体" w:eastAsia="宋体" w:hint="default"/>
          <w:b/>
          <w:bCs/>
          <w:sz w:val="24"/>
          <w:szCs w:val="24"/>
        </w:rPr>
        <w:t>节的，应注明该境外机构的名称</w:t>
      </w:r>
      <w:r>
        <w:rPr>
          <w:rFonts w:ascii="宋体" w:hAnsi="宋体" w:cs="宋体" w:eastAsia="宋体" w:hint="default"/>
          <w:sz w:val="24"/>
          <w:szCs w:val="24"/>
        </w:rPr>
      </w:r>
    </w:p>
    <w:p>
      <w:pPr>
        <w:spacing w:line="240" w:lineRule="auto" w:before="8"/>
        <w:rPr>
          <w:rFonts w:ascii="宋体" w:hAnsi="宋体" w:cs="宋体" w:eastAsia="宋体" w:hint="default"/>
          <w:b/>
          <w:bCs/>
          <w:sz w:val="20"/>
          <w:szCs w:val="20"/>
        </w:rPr>
      </w:pPr>
    </w:p>
    <w:p>
      <w:pPr>
        <w:spacing w:before="0"/>
        <w:ind w:left="153" w:right="0" w:firstLine="0"/>
        <w:jc w:val="left"/>
        <w:rPr>
          <w:rFonts w:ascii="宋体" w:hAnsi="宋体" w:cs="宋体" w:eastAsia="宋体" w:hint="default"/>
          <w:sz w:val="24"/>
          <w:szCs w:val="24"/>
        </w:rPr>
      </w:pPr>
      <w:bookmarkStart w:name="4、会计政策变更相关补充资料" w:id="399"/>
      <w:bookmarkEnd w:id="399"/>
      <w:r>
        <w:rPr/>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、会计政策变更相关补充资料</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pStyle w:val="BodyText"/>
        <w:tabs>
          <w:tab w:pos="1834" w:val="left" w:leader="none"/>
        </w:tabs>
        <w:spacing w:line="240" w:lineRule="auto" w:before="0"/>
        <w:ind w:left="633" w:right="0"/>
        <w:jc w:val="left"/>
      </w:pPr>
      <w:r>
        <w:rPr>
          <w:rFonts w:ascii="Calibri" w:hAnsi="Calibri" w:cs="Calibri" w:eastAsia="Calibri" w:hint="default"/>
        </w:rPr>
        <w:t>√  </w:t>
      </w:r>
      <w:r>
        <w:rPr/>
        <w:t>适用</w:t>
      </w:r>
      <w:r>
        <w:rPr>
          <w:spacing w:val="11"/>
        </w:rPr>
        <w:t> </w:t>
      </w:r>
      <w:r>
        <w:rPr>
          <w:rFonts w:ascii="Arial" w:hAnsi="Arial" w:cs="Arial" w:eastAsia="Arial" w:hint="default"/>
        </w:rPr>
        <w:t>□</w:t>
        <w:tab/>
      </w:r>
      <w:r>
        <w:rPr/>
        <w:t>不适用</w:t>
      </w:r>
    </w:p>
    <w:p>
      <w:pPr>
        <w:pStyle w:val="BodyText"/>
        <w:spacing w:line="240" w:lineRule="auto" w:before="163"/>
        <w:ind w:left="634" w:right="0"/>
        <w:jc w:val="left"/>
      </w:pPr>
      <w:r>
        <w:rPr/>
        <w:t>公司根据财政部</w:t>
      </w:r>
      <w:r>
        <w:rPr>
          <w:spacing w:val="-70"/>
        </w:rPr>
        <w:t> </w:t>
      </w:r>
      <w:r>
        <w:rPr>
          <w:rFonts w:ascii="宋体" w:hAnsi="宋体" w:cs="宋体" w:eastAsia="宋体" w:hint="default"/>
        </w:rPr>
        <w:t>2014</w:t>
      </w:r>
      <w:r>
        <w:rPr>
          <w:rFonts w:ascii="宋体" w:hAnsi="宋体" w:cs="宋体" w:eastAsia="宋体" w:hint="default"/>
          <w:spacing w:val="-70"/>
        </w:rPr>
        <w:t> </w:t>
      </w:r>
      <w:r>
        <w:rPr/>
        <w:t>年发布的《企业会计准则第</w:t>
      </w:r>
      <w:r>
        <w:rPr>
          <w:spacing w:val="-70"/>
        </w:rPr>
        <w:t> </w:t>
      </w:r>
      <w:r>
        <w:rPr>
          <w:rFonts w:ascii="宋体" w:hAnsi="宋体" w:cs="宋体" w:eastAsia="宋体" w:hint="default"/>
        </w:rPr>
        <w:t>2</w:t>
      </w:r>
      <w:r>
        <w:rPr>
          <w:rFonts w:ascii="宋体" w:hAnsi="宋体" w:cs="宋体" w:eastAsia="宋体" w:hint="default"/>
          <w:spacing w:val="-70"/>
        </w:rPr>
        <w:t> </w:t>
      </w:r>
      <w:r>
        <w:rPr/>
        <w:t>号</w:t>
      </w:r>
      <w:r>
        <w:rPr>
          <w:rFonts w:ascii="Calibri" w:hAnsi="Calibri" w:cs="Calibri" w:eastAsia="Calibri" w:hint="default"/>
        </w:rPr>
        <w:t>——</w:t>
      </w:r>
      <w:r>
        <w:rPr/>
        <w:t>长期股权投资》等八项会计准</w:t>
      </w:r>
    </w:p>
    <w:p>
      <w:pPr>
        <w:pStyle w:val="BodyText"/>
        <w:spacing w:line="240" w:lineRule="auto" w:before="123"/>
        <w:ind w:right="0"/>
        <w:jc w:val="left"/>
        <w:rPr>
          <w:rFonts w:ascii="宋体" w:hAnsi="宋体" w:cs="宋体" w:eastAsia="宋体" w:hint="default"/>
        </w:rPr>
      </w:pPr>
      <w:r>
        <w:rPr/>
        <w:t>则变更了相关会计政策并对比较财务报表进行了追溯重述，重述后的</w:t>
      </w:r>
      <w:r>
        <w:rPr>
          <w:spacing w:val="-73"/>
        </w:rPr>
        <w:t> </w:t>
      </w:r>
      <w:r>
        <w:rPr>
          <w:rFonts w:ascii="宋体" w:hAnsi="宋体" w:cs="宋体" w:eastAsia="宋体" w:hint="default"/>
        </w:rPr>
        <w:t>2013</w:t>
      </w:r>
      <w:r>
        <w:rPr>
          <w:rFonts w:ascii="宋体" w:hAnsi="宋体" w:cs="宋体" w:eastAsia="宋体" w:hint="default"/>
          <w:spacing w:val="-75"/>
        </w:rPr>
        <w:t> </w:t>
      </w:r>
      <w:r>
        <w:rPr/>
        <w:t>年</w:t>
      </w:r>
      <w:r>
        <w:rPr>
          <w:spacing w:val="-76"/>
        </w:rPr>
        <w:t> </w:t>
      </w:r>
      <w:r>
        <w:rPr>
          <w:rFonts w:ascii="宋体" w:hAnsi="宋体" w:cs="宋体" w:eastAsia="宋体" w:hint="default"/>
        </w:rPr>
        <w:t>1</w:t>
      </w:r>
      <w:r>
        <w:rPr>
          <w:rFonts w:ascii="宋体" w:hAnsi="宋体" w:cs="宋体" w:eastAsia="宋体" w:hint="default"/>
          <w:spacing w:val="-75"/>
        </w:rPr>
        <w:t> </w:t>
      </w:r>
      <w:r>
        <w:rPr/>
        <w:t>月</w:t>
      </w:r>
      <w:r>
        <w:rPr>
          <w:spacing w:val="-75"/>
        </w:rPr>
        <w:t> </w:t>
      </w:r>
      <w:r>
        <w:rPr>
          <w:rFonts w:ascii="宋体" w:hAnsi="宋体" w:cs="宋体" w:eastAsia="宋体" w:hint="default"/>
        </w:rPr>
        <w:t>1</w:t>
      </w:r>
      <w:r>
        <w:rPr>
          <w:rFonts w:ascii="宋体" w:hAnsi="宋体" w:cs="宋体" w:eastAsia="宋体" w:hint="default"/>
          <w:spacing w:val="-75"/>
        </w:rPr>
        <w:t> </w:t>
      </w:r>
      <w:r>
        <w:rPr/>
        <w:t>日、</w:t>
      </w:r>
      <w:r>
        <w:rPr>
          <w:rFonts w:ascii="宋体" w:hAnsi="宋体" w:cs="宋体" w:eastAsia="宋体" w:hint="default"/>
        </w:rPr>
        <w:t>2013</w:t>
      </w:r>
    </w:p>
    <w:p>
      <w:pPr>
        <w:pStyle w:val="BodyText"/>
        <w:spacing w:line="240" w:lineRule="auto" w:before="155"/>
        <w:ind w:right="0"/>
        <w:jc w:val="left"/>
      </w:pP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日合并资产负债表如下：</w:t>
      </w:r>
    </w:p>
    <w:p>
      <w:pPr>
        <w:pStyle w:val="BodyText"/>
        <w:spacing w:line="240" w:lineRule="auto" w:before="114"/>
        <w:ind w:left="0" w:right="150"/>
        <w:jc w:val="right"/>
      </w:pPr>
      <w:r>
        <w:rPr/>
        <w:t>单位：元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7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2013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5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2013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5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2014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104,499,198.35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116,330,817.83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59,956,818.95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60" w:firstLine="420"/>
              <w:jc w:val="both"/>
              <w:rPr>
                <w:rFonts w:ascii="宋体" w:hAnsi="宋体" w:cs="宋体" w:eastAsia="宋体" w:hint="default"/>
                <w:sz w:val="21"/>
                <w:szCs w:val="21"/>
              </w:rPr>
            </w:pPr>
            <w:r>
              <w:rPr>
                <w:rFonts w:ascii="宋体" w:hAnsi="宋体" w:cs="宋体" w:eastAsia="宋体" w:hint="default"/>
                <w:sz w:val="21"/>
                <w:szCs w:val="21"/>
              </w:rPr>
              <w:t>以公允价值计量且 其变动计入当期损益的 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57,914,138.15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66,570,485.30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97,537,231.63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2,055,229.01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3,598,826.86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23,931,717.71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应收分保合同准备</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6,660,909.90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7,740,248.89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9,249,765.75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60"/>
              <w:jc w:val="righ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1,446,666.98</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60"/>
              <w:jc w:val="right"/>
              <w:rPr>
                <w:rFonts w:ascii="宋体" w:hAnsi="宋体" w:cs="宋体" w:eastAsia="宋体" w:hint="default"/>
                <w:sz w:val="21"/>
                <w:szCs w:val="21"/>
              </w:rPr>
            </w:pPr>
            <w:r>
              <w:rPr>
                <w:rFonts w:ascii="宋体" w:hAnsi="宋体" w:cs="宋体" w:eastAsia="宋体" w:hint="default"/>
                <w:sz w:val="21"/>
                <w:szCs w:val="21"/>
              </w:rPr>
              <w:t>划分为持有待售的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36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60" w:firstLine="420"/>
              <w:jc w:val="left"/>
              <w:rPr>
                <w:rFonts w:ascii="宋体" w:hAnsi="宋体" w:cs="宋体" w:eastAsia="宋体" w:hint="default"/>
                <w:sz w:val="21"/>
                <w:szCs w:val="21"/>
              </w:rPr>
            </w:pPr>
            <w:r>
              <w:rPr>
                <w:rFonts w:ascii="宋体" w:hAnsi="宋体" w:cs="宋体" w:eastAsia="宋体" w:hint="default"/>
                <w:sz w:val="21"/>
                <w:szCs w:val="21"/>
              </w:rPr>
              <w:t>一年内到期的非流 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171,129,475.41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194,240,378.88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192,122,201.02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96,748,300.00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64,906,430.42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68,508,849.85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73,505,105.81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4,562,914.94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4,279,356.44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4,849,986.52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36,284,967.64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49,915,164.95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61,489,393.28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1,654,444.08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1,654,444.08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1,654,444.08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257,172.76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1,867,612.60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2,150,834.21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2,503,767.41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109,276,369.68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126,508,649.53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241,008,169.86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280,405,845.09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320,749,028.41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433,130,370.88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55,000,000.00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吸收存款及同业存</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60" w:firstLine="420"/>
              <w:jc w:val="both"/>
              <w:rPr>
                <w:rFonts w:ascii="宋体" w:hAnsi="宋体" w:cs="宋体" w:eastAsia="宋体" w:hint="default"/>
                <w:sz w:val="21"/>
                <w:szCs w:val="21"/>
              </w:rPr>
            </w:pPr>
            <w:r>
              <w:rPr>
                <w:rFonts w:ascii="宋体" w:hAnsi="宋体" w:cs="宋体" w:eastAsia="宋体" w:hint="default"/>
                <w:sz w:val="21"/>
                <w:szCs w:val="21"/>
              </w:rPr>
              <w:t>以公允价值计量且 其变动计入当期损益的 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19,576,733.20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23,919,186.41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32,480,250.85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3,210,199.49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6,691,807.30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12,110,316.70</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卖出回购金融资产</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60"/>
              <w:jc w:val="righ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6,626,852.45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10,729,759.87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11,129,997.79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9,890,833.62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10,020,681.29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14,672,301.23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101,077.78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6,043,182.13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153,056.86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527,625.70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60" w:firstLine="420"/>
              <w:jc w:val="left"/>
              <w:rPr>
                <w:rFonts w:ascii="宋体" w:hAnsi="宋体" w:cs="宋体" w:eastAsia="宋体" w:hint="default"/>
                <w:sz w:val="21"/>
                <w:szCs w:val="21"/>
              </w:rPr>
            </w:pPr>
            <w:r>
              <w:rPr>
                <w:rFonts w:ascii="宋体" w:hAnsi="宋体" w:cs="宋体" w:eastAsia="宋体" w:hint="default"/>
                <w:sz w:val="21"/>
                <w:szCs w:val="21"/>
              </w:rPr>
              <w:t>划分为持有待售的 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60" w:firstLine="420"/>
              <w:jc w:val="left"/>
              <w:rPr>
                <w:rFonts w:ascii="宋体" w:hAnsi="宋体" w:cs="宋体" w:eastAsia="宋体" w:hint="default"/>
                <w:sz w:val="21"/>
                <w:szCs w:val="21"/>
              </w:rPr>
            </w:pPr>
            <w:r>
              <w:rPr>
                <w:rFonts w:ascii="宋体" w:hAnsi="宋体" w:cs="宋体" w:eastAsia="宋体" w:hint="default"/>
                <w:sz w:val="21"/>
                <w:szCs w:val="21"/>
              </w:rPr>
              <w:t>一年内到期的非流 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45,347,800.89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51,514,491.73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126,021,570.05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7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60"/>
              <w:jc w:val="righ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4,498,514.54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5,122,920.93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5,195,800.12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4,498,514.54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5,122,920.93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5,195,800.12</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49,846,315.43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56,637,412.66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131,217,370.17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90,000,000.00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7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29,880,245.78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29,880,245.78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29,880,245.78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9,183,398.59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13,794,398.76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20,198,350.08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100,970,867.51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129,661,894.51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161,127,686.55</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53"/>
              <w:jc w:val="left"/>
              <w:rPr>
                <w:rFonts w:ascii="宋体" w:hAnsi="宋体" w:cs="宋体" w:eastAsia="宋体" w:hint="default"/>
                <w:sz w:val="21"/>
                <w:szCs w:val="21"/>
              </w:rPr>
            </w:pPr>
            <w:r>
              <w:rPr>
                <w:rFonts w:ascii="宋体" w:hAnsi="宋体" w:cs="宋体" w:eastAsia="宋体" w:hint="default"/>
                <w:b/>
                <w:bCs/>
                <w:sz w:val="21"/>
                <w:szCs w:val="21"/>
              </w:rPr>
              <w:t>归属于母公司所有者权</w:t>
            </w:r>
            <w:r>
              <w:rPr>
                <w:rFonts w:ascii="宋体" w:hAnsi="宋体" w:cs="宋体" w:eastAsia="宋体" w:hint="default"/>
                <w:b/>
                <w:bCs/>
                <w:w w:val="99"/>
                <w:sz w:val="21"/>
                <w:szCs w:val="21"/>
              </w:rPr>
              <w:t> </w:t>
            </w:r>
            <w:r>
              <w:rPr>
                <w:rFonts w:ascii="宋体" w:hAnsi="宋体" w:cs="宋体" w:eastAsia="宋体" w:hint="default"/>
                <w:b/>
                <w:bCs/>
                <w:sz w:val="21"/>
                <w:szCs w:val="21"/>
              </w:rPr>
              <w:t>益合计</w:t>
            </w:r>
            <w:r>
              <w:rPr>
                <w:rFonts w:ascii="宋体" w:hAnsi="宋体" w:cs="宋体" w:eastAsia="宋体" w:hint="default"/>
                <w:sz w:val="21"/>
                <w:szCs w:val="21"/>
              </w:rPr>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230,034,511.88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263,336,539.05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301,206,282.41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525,017.78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775,076.70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706,718.30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230,559,529.66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2"/>
                <w:sz w:val="21"/>
              </w:rPr>
              <w:t>264,111,615.75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301,913,000.71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280,405,845.09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320,749,028.41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433,130,370.88</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0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1"/>
          <w:szCs w:val="21"/>
        </w:rPr>
      </w:pPr>
    </w:p>
    <w:p>
      <w:pPr>
        <w:pStyle w:val="Heading1"/>
        <w:spacing w:line="240" w:lineRule="auto"/>
        <w:ind w:right="134"/>
        <w:jc w:val="center"/>
        <w:rPr>
          <w:b w:val="0"/>
          <w:bCs w:val="0"/>
        </w:rPr>
      </w:pPr>
      <w:bookmarkStart w:name="第十节 备查文件目录" w:id="400"/>
      <w:bookmarkEnd w:id="400"/>
      <w:r>
        <w:rPr>
          <w:b w:val="0"/>
          <w:bCs w:val="0"/>
        </w:rPr>
      </w:r>
      <w:bookmarkStart w:name="_bookmark9" w:id="401"/>
      <w:bookmarkEnd w:id="401"/>
      <w:r>
        <w:rPr>
          <w:b w:val="0"/>
          <w:bCs w:val="0"/>
        </w:rPr>
      </w:r>
      <w:r>
        <w:rPr/>
        <w:t>第十节</w:t>
      </w:r>
      <w:r>
        <w:rPr>
          <w:spacing w:val="-7"/>
        </w:rPr>
        <w:t> </w:t>
      </w:r>
      <w:r>
        <w:rPr/>
        <w:t>备查文件目录</w:t>
      </w:r>
      <w:r>
        <w:rPr>
          <w:b w:val="0"/>
          <w:bCs w:val="0"/>
        </w:rPr>
      </w:r>
    </w:p>
    <w:p>
      <w:pPr>
        <w:spacing w:line="240" w:lineRule="auto" w:before="11"/>
        <w:rPr>
          <w:rFonts w:ascii="宋体" w:hAnsi="宋体" w:cs="宋体" w:eastAsia="宋体" w:hint="default"/>
          <w:b/>
          <w:bCs/>
          <w:sz w:val="44"/>
          <w:szCs w:val="44"/>
        </w:rPr>
      </w:pPr>
    </w:p>
    <w:p>
      <w:pPr>
        <w:pStyle w:val="BodyText"/>
        <w:spacing w:line="240" w:lineRule="auto" w:before="0"/>
        <w:ind w:left="634" w:right="0"/>
        <w:jc w:val="left"/>
      </w:pPr>
      <w:r>
        <w:rPr>
          <w:rFonts w:ascii="宋体" w:hAnsi="宋体" w:cs="宋体" w:eastAsia="宋体" w:hint="default"/>
        </w:rPr>
        <w:t>1</w:t>
      </w:r>
      <w:r>
        <w:rPr/>
        <w:t>、载有公司法定代表人童之磊先生签名的公司</w:t>
      </w:r>
      <w:r>
        <w:rPr>
          <w:spacing w:val="-60"/>
        </w:rPr>
        <w:t> </w:t>
      </w:r>
      <w:r>
        <w:rPr>
          <w:rFonts w:ascii="宋体" w:hAnsi="宋体" w:cs="宋体" w:eastAsia="宋体" w:hint="default"/>
        </w:rPr>
        <w:t>2014</w:t>
      </w:r>
      <w:r>
        <w:rPr>
          <w:rFonts w:ascii="宋体" w:hAnsi="宋体" w:cs="宋体" w:eastAsia="宋体" w:hint="default"/>
          <w:spacing w:val="-60"/>
        </w:rPr>
        <w:t> </w:t>
      </w:r>
      <w:r>
        <w:rPr/>
        <w:t>年度报告文本原件；</w:t>
      </w:r>
    </w:p>
    <w:p>
      <w:pPr>
        <w:pStyle w:val="BodyText"/>
        <w:spacing w:line="357" w:lineRule="auto" w:before="193"/>
        <w:ind w:left="154" w:right="0" w:firstLine="480"/>
        <w:jc w:val="left"/>
      </w:pPr>
      <w:r>
        <w:rPr>
          <w:rFonts w:ascii="宋体" w:hAnsi="宋体" w:cs="宋体" w:eastAsia="宋体" w:hint="default"/>
          <w:spacing w:val="-3"/>
        </w:rPr>
        <w:t>2</w:t>
      </w:r>
      <w:r>
        <w:rPr>
          <w:spacing w:val="-3"/>
        </w:rPr>
        <w:t>、载有公司负责人童之磊先生、主管会计工作负责人原森民先生及会计机构负责人（会</w:t>
      </w:r>
      <w:r>
        <w:rPr/>
        <w:t> 计主管人员）李凤梅女士签名并盖章的财务报表文本原件；</w:t>
      </w:r>
    </w:p>
    <w:p>
      <w:pPr>
        <w:pStyle w:val="BodyText"/>
        <w:spacing w:line="357" w:lineRule="auto" w:before="74"/>
        <w:ind w:right="293" w:firstLine="480"/>
        <w:jc w:val="left"/>
      </w:pPr>
      <w:r>
        <w:rPr>
          <w:rFonts w:ascii="宋体" w:hAnsi="宋体" w:cs="宋体" w:eastAsia="宋体" w:hint="default"/>
        </w:rPr>
        <w:t>3</w:t>
      </w:r>
      <w:r>
        <w:rPr/>
        <w:t>、报告期内在中国证监会指定的创业板信息披露网站上刊登的所有公司文件的正本及 公告的原件；</w:t>
      </w:r>
    </w:p>
    <w:p>
      <w:pPr>
        <w:pStyle w:val="BodyText"/>
        <w:spacing w:line="240" w:lineRule="auto" w:before="76"/>
        <w:ind w:left="633" w:right="0"/>
        <w:jc w:val="left"/>
      </w:pPr>
      <w:r>
        <w:rPr>
          <w:rFonts w:ascii="宋体" w:hAnsi="宋体" w:cs="宋体" w:eastAsia="宋体" w:hint="default"/>
        </w:rPr>
        <w:t>4</w:t>
      </w:r>
      <w:r>
        <w:rPr/>
        <w:t>、其他相关资料。</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5"/>
          <w:szCs w:val="35"/>
        </w:rPr>
      </w:pPr>
    </w:p>
    <w:p>
      <w:pPr>
        <w:pStyle w:val="BodyText"/>
        <w:spacing w:line="506" w:lineRule="auto" w:before="0"/>
        <w:ind w:left="5434" w:right="669"/>
        <w:jc w:val="center"/>
      </w:pPr>
      <w:r>
        <w:rPr/>
        <w:t>北京中文在线数字出版股份有限公司 法定代表人：童之磊</w:t>
      </w:r>
    </w:p>
    <w:p>
      <w:pPr>
        <w:pStyle w:val="BodyText"/>
        <w:spacing w:line="240" w:lineRule="auto" w:before="84"/>
        <w:ind w:left="5434" w:right="491"/>
        <w:jc w:val="center"/>
      </w:pP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w:t>
      </w:r>
    </w:p>
    <w:sectPr>
      <w:pgSz w:w="11910" w:h="16840"/>
      <w:pgMar w:header="0" w:footer="979" w:top="110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200012pt;margin-top:781.957947pt;width:17pt;height:11pt;mso-position-horizontal-relative:page;mso-position-vertical-relative:page;z-index:-7420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10</w:t>
                </w:r>
                <w:r>
                  <w:rPr/>
                  <w:fldChar w:fldCharType="end"/>
                </w:r>
                <w:r>
                  <w:rPr>
                    <w:rFonts w:ascii="Times New Roman"/>
                    <w:sz w:val="18"/>
                  </w:rPr>
                  <w:t>-</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200012pt;margin-top:781.957947pt;width:17pt;height:11pt;mso-position-horizontal-relative:page;mso-position-vertical-relative:page;z-index:-7417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48</w:t>
                </w:r>
                <w:r>
                  <w:rPr/>
                  <w:fldChar w:fldCharType="end"/>
                </w:r>
                <w:r>
                  <w:rPr>
                    <w:rFonts w:ascii="Times New Roman"/>
                    <w:sz w:val="18"/>
                  </w:rPr>
                  <w:t>-</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480011pt;margin-top:535.357971pt;width:17.05pt;height:11pt;mso-position-horizontal-relative:page;mso-position-vertical-relative:page;z-index:-7416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56</w:t>
                </w:r>
                <w:r>
                  <w:rPr/>
                  <w:fldChar w:fldCharType="end"/>
                </w:r>
                <w:r>
                  <w:rPr>
                    <w:rFonts w:ascii="Times New Roman"/>
                    <w:sz w:val="18"/>
                  </w:rPr>
                  <w:t>-</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200012pt;margin-top:781.957947pt;width:17pt;height:11pt;mso-position-horizontal-relative:page;mso-position-vertical-relative:page;z-index:-7416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60</w:t>
                </w:r>
                <w:r>
                  <w:rPr/>
                  <w:fldChar w:fldCharType="end"/>
                </w:r>
                <w:r>
                  <w:rPr>
                    <w:rFonts w:ascii="Times New Roman"/>
                    <w:sz w:val="18"/>
                  </w:rPr>
                  <w:t>-</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480011pt;margin-top:535.357971pt;width:17.05pt;height:11pt;mso-position-horizontal-relative:page;mso-position-vertical-relative:page;z-index:-7415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82</w:t>
                </w:r>
                <w:r>
                  <w:rPr/>
                  <w:fldChar w:fldCharType="end"/>
                </w:r>
                <w:r>
                  <w:rPr>
                    <w:rFonts w:ascii="Times New Roman"/>
                    <w:sz w:val="18"/>
                  </w:rPr>
                  <w:t>-</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200012pt;margin-top:781.957947pt;width:17pt;height:11pt;mso-position-horizontal-relative:page;mso-position-vertical-relative:page;z-index:-7414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89</w:t>
                </w:r>
                <w:r>
                  <w:rPr/>
                  <w:fldChar w:fldCharType="end"/>
                </w:r>
                <w:r>
                  <w:rPr>
                    <w:rFonts w:ascii="Times New Roman"/>
                    <w:sz w:val="18"/>
                  </w:rPr>
                  <w:t>-</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20013pt;margin-top:781.957947pt;width:21.5pt;height:11pt;mso-position-horizontal-relative:page;mso-position-vertical-relative:page;z-index:-7414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20013pt;margin-top:781.957947pt;width:21.5pt;height:11pt;mso-position-horizontal-relative:page;mso-position-vertical-relative:page;z-index:-7414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101</w:t>
                </w:r>
                <w:r>
                  <w:rPr/>
                  <w:fldChar w:fldCharType="end"/>
                </w:r>
                <w:r>
                  <w:rPr>
                    <w:rFonts w:ascii="Times New Roman"/>
                    <w:sz w:val="18"/>
                  </w:rPr>
                  <w:t>-</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20013pt;margin-top:781.957947pt;width:21.5pt;height:11pt;mso-position-horizontal-relative:page;mso-position-vertical-relative:page;z-index:-7414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112</w:t>
                </w:r>
                <w:r>
                  <w:rPr/>
                  <w:fldChar w:fldCharType="end"/>
                </w:r>
                <w:r>
                  <w:rPr>
                    <w:rFonts w:ascii="Times New Roman"/>
                    <w:sz w:val="18"/>
                  </w:rPr>
                  <w:t>-</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200012pt;margin-top:781.957947pt;width:17pt;height:11pt;mso-position-horizontal-relative:page;mso-position-vertical-relative:page;z-index:-7420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15</w:t>
                </w:r>
                <w:r>
                  <w:rPr/>
                  <w:fldChar w:fldCharType="end"/>
                </w:r>
                <w:r>
                  <w:rPr>
                    <w:rFonts w:ascii="Times New Roman"/>
                    <w:sz w:val="18"/>
                  </w:rPr>
                  <w:t>-</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20013pt;margin-top:781.957947pt;width:21.5pt;height:11pt;mso-position-horizontal-relative:page;mso-position-vertical-relative:page;z-index:-7414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116</w:t>
                </w:r>
                <w:r>
                  <w:rPr/>
                  <w:fldChar w:fldCharType="end"/>
                </w:r>
                <w:r>
                  <w:rPr>
                    <w:rFonts w:ascii="Times New Roman"/>
                    <w:sz w:val="18"/>
                  </w:rPr>
                  <w:t>-</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20013pt;margin-top:781.957947pt;width:21.5pt;height:11pt;mso-position-horizontal-relative:page;mso-position-vertical-relative:page;z-index:-7413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121</w:t>
                </w:r>
                <w:r>
                  <w:rPr/>
                  <w:fldChar w:fldCharType="end"/>
                </w:r>
                <w:r>
                  <w:rPr>
                    <w:rFonts w:ascii="Times New Roman"/>
                    <w:sz w:val="18"/>
                  </w:rPr>
                  <w:t>-</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20013pt;margin-top:781.957947pt;width:21.5pt;height:11pt;mso-position-horizontal-relative:page;mso-position-vertical-relative:page;z-index:-7413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148</w:t>
                </w:r>
                <w:r>
                  <w:rPr/>
                  <w:fldChar w:fldCharType="end"/>
                </w:r>
                <w:r>
                  <w:rPr>
                    <w:rFonts w:ascii="Times New Roman"/>
                    <w:sz w:val="18"/>
                  </w:rPr>
                  <w:t>-</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20013pt;margin-top:781.957947pt;width:21.5pt;height:11pt;mso-position-horizontal-relative:page;mso-position-vertical-relative:page;z-index:-7413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157</w:t>
                </w:r>
                <w:r>
                  <w:rPr/>
                  <w:fldChar w:fldCharType="end"/>
                </w:r>
                <w:r>
                  <w:rPr>
                    <w:rFonts w:ascii="Times New Roman"/>
                    <w:sz w:val="18"/>
                  </w:rPr>
                  <w:t>-</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200012pt;margin-top:781.957947pt;width:17pt;height:11pt;mso-position-horizontal-relative:page;mso-position-vertical-relative:page;z-index:-7420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18</w:t>
                </w:r>
                <w:r>
                  <w:rPr/>
                  <w:fldChar w:fldCharType="end"/>
                </w:r>
                <w:r>
                  <w:rPr>
                    <w:rFonts w:ascii="Times New Roman"/>
                    <w:sz w:val="18"/>
                  </w:rPr>
                  <w:t>-</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480011pt;margin-top:535.357971pt;width:17.05pt;height:11pt;mso-position-horizontal-relative:page;mso-position-vertical-relative:page;z-index:-7420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24</w:t>
                </w:r>
                <w:r>
                  <w:rPr/>
                  <w:fldChar w:fldCharType="end"/>
                </w:r>
                <w:r>
                  <w:rPr>
                    <w:rFonts w:ascii="Times New Roman"/>
                    <w:sz w:val="18"/>
                  </w:rPr>
                  <w:t>-</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200012pt;margin-top:781.957947pt;width:17pt;height:11pt;mso-position-horizontal-relative:page;mso-position-vertical-relative:page;z-index:-7419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26</w:t>
                </w:r>
                <w:r>
                  <w:rPr/>
                  <w:fldChar w:fldCharType="end"/>
                </w:r>
                <w:r>
                  <w:rPr>
                    <w:rFonts w:ascii="Times New Roman"/>
                    <w:sz w:val="18"/>
                  </w:rPr>
                  <w:t>-</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200012pt;margin-top:781.957947pt;width:17pt;height:11pt;mso-position-horizontal-relative:page;mso-position-vertical-relative:page;z-index:-7419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29</w:t>
                </w:r>
                <w:r>
                  <w:rPr/>
                  <w:fldChar w:fldCharType="end"/>
                </w:r>
                <w:r>
                  <w:rPr>
                    <w:rFonts w:ascii="Times New Roman"/>
                    <w:sz w:val="18"/>
                  </w:rPr>
                  <w:t>-</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200012pt;margin-top:781.957947pt;width:17pt;height:11pt;mso-position-horizontal-relative:page;mso-position-vertical-relative:page;z-index:-7418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30</w:t>
                </w:r>
                <w:r>
                  <w:rPr/>
                  <w:fldChar w:fldCharType="end"/>
                </w:r>
                <w:r>
                  <w:rPr>
                    <w:rFonts w:ascii="Times New Roman"/>
                    <w:sz w:val="18"/>
                  </w:rPr>
                  <w:t>-</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200012pt;margin-top:781.957947pt;width:17pt;height:11pt;mso-position-horizontal-relative:page;mso-position-vertical-relative:page;z-index:-7418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32</w:t>
                </w:r>
                <w:r>
                  <w:rPr/>
                  <w:fldChar w:fldCharType="end"/>
                </w:r>
                <w:r>
                  <w:rPr>
                    <w:rFonts w:ascii="Times New Roman"/>
                    <w:sz w:val="18"/>
                  </w:rPr>
                  <w:t>-</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480011pt;margin-top:535.357971pt;width:17.05pt;height:11pt;mso-position-horizontal-relative:page;mso-position-vertical-relative:page;z-index:-7418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42</w:t>
                </w:r>
                <w:r>
                  <w:rPr/>
                  <w:fldChar w:fldCharType="end"/>
                </w:r>
                <w:r>
                  <w:rPr>
                    <w:rFonts w:ascii="Times New Roman"/>
                    <w:sz w:val="18"/>
                  </w:rPr>
                  <w: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74214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90.160004pt;margin-top:42.865608pt;width:249.55pt;height:11.5pt;mso-position-horizontal-relative:page;mso-position-vertical-relative:page;z-index:-7421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北京中文在线数字出版股份有限公司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1.460022pt;margin-top:42.865631pt;width:249.5pt;height:11.5pt;mso-position-horizontal-relative:page;mso-position-vertical-relative:page;z-index:-7420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北京中文在线数字出版股份有限公司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74197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290.160004pt;margin-top:42.865608pt;width:249.55pt;height:11.5pt;mso-position-horizontal-relative:page;mso-position-vertical-relative:page;z-index:-7419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北京中文在线数字出版股份有限公司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1.460022pt;margin-top:42.865631pt;width:249.5pt;height:11.5pt;mso-position-horizontal-relative:page;mso-position-vertical-relative:page;z-index:-7418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北京中文在线数字出版股份有限公司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74178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290.160004pt;margin-top:42.865608pt;width:249.55pt;height:11.5pt;mso-position-horizontal-relative:page;mso-position-vertical-relative:page;z-index:-7417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北京中文在线数字出版股份有限公司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1.460022pt;margin-top:42.865631pt;width:249.5pt;height:11.5pt;mso-position-horizontal-relative:page;mso-position-vertical-relative:page;z-index:-7417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北京中文在线数字出版股份有限公司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74166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290.160004pt;margin-top:42.865608pt;width:249.55pt;height:11.5pt;mso-position-horizontal-relative:page;mso-position-vertical-relative:page;z-index:-7416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北京中文在线数字出版股份有限公司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1.460022pt;margin-top:42.865631pt;width:249.5pt;height:11.5pt;mso-position-horizontal-relative:page;mso-position-vertical-relative:page;z-index:-7415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北京中文在线数字出版股份有限公司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74154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290.160004pt;margin-top:42.865608pt;width:249.55pt;height:11.5pt;mso-position-horizontal-relative:page;mso-position-vertical-relative:page;z-index:-7415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北京中文在线数字出版股份有限公司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00"/>
      <w:ind w:left="153"/>
    </w:pPr>
    <w:rPr>
      <w:rFonts w:ascii="宋体" w:hAnsi="宋体" w:eastAsia="宋体"/>
      <w:sz w:val="22"/>
      <w:szCs w:val="22"/>
    </w:rPr>
  </w:style>
  <w:style w:styleId="BodyText" w:type="paragraph">
    <w:name w:val="Body Text"/>
    <w:basedOn w:val="Normal"/>
    <w:uiPriority w:val="1"/>
    <w:qFormat/>
    <w:pPr>
      <w:spacing w:before="26"/>
      <w:ind w:left="153"/>
    </w:pPr>
    <w:rPr>
      <w:rFonts w:ascii="宋体" w:hAnsi="宋体" w:eastAsia="宋体"/>
      <w:sz w:val="24"/>
      <w:szCs w:val="24"/>
    </w:rPr>
  </w:style>
  <w:style w:styleId="Heading1" w:type="paragraph">
    <w:name w:val="Heading 1"/>
    <w:basedOn w:val="Normal"/>
    <w:uiPriority w:val="1"/>
    <w:qFormat/>
    <w:pPr>
      <w:spacing w:before="1"/>
      <w:ind w:left="134"/>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http://www.17K.com/" TargetMode="External"/><Relationship Id="rId9" Type="http://schemas.openxmlformats.org/officeDocument/2006/relationships/hyperlink" Target="http://www.chineseall.com/" TargetMode="External"/><Relationship Id="rId10" Type="http://schemas.openxmlformats.org/officeDocument/2006/relationships/hyperlink" Target="mailto:ir@chineseall.com" TargetMode="External"/><Relationship Id="rId11" Type="http://schemas.openxmlformats.org/officeDocument/2006/relationships/hyperlink" Target="mailto:zhangf@chineseall.com" TargetMode="External"/><Relationship Id="rId12" Type="http://schemas.openxmlformats.org/officeDocument/2006/relationships/hyperlink" Target="mailto:wangjj@chineseall.com" TargetMode="External"/><Relationship Id="rId13" Type="http://schemas.openxmlformats.org/officeDocument/2006/relationships/hyperlink" Target="http://www.cninfo.com.cn/" TargetMode="External"/><Relationship Id="rId14" Type="http://schemas.openxmlformats.org/officeDocument/2006/relationships/hyperlink" Target="http://www.17k.com/" TargetMode="Externa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2.xml"/><Relationship Id="rId18" Type="http://schemas.openxmlformats.org/officeDocument/2006/relationships/footer" Target="footer4.xml"/><Relationship Id="rId19" Type="http://schemas.openxmlformats.org/officeDocument/2006/relationships/header" Target="header3.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header" Target="header4.xml"/><Relationship Id="rId25" Type="http://schemas.openxmlformats.org/officeDocument/2006/relationships/footer" Target="footer9.xml"/><Relationship Id="rId26" Type="http://schemas.openxmlformats.org/officeDocument/2006/relationships/header" Target="header5.xml"/><Relationship Id="rId27" Type="http://schemas.openxmlformats.org/officeDocument/2006/relationships/footer" Target="footer10.xml"/><Relationship Id="rId28" Type="http://schemas.openxmlformats.org/officeDocument/2006/relationships/image" Target="media/image2.png"/><Relationship Id="rId29" Type="http://schemas.openxmlformats.org/officeDocument/2006/relationships/image" Target="media/image3.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image" Target="media/image7.png"/><Relationship Id="rId34" Type="http://schemas.openxmlformats.org/officeDocument/2006/relationships/header" Target="header6.xml"/><Relationship Id="rId35" Type="http://schemas.openxmlformats.org/officeDocument/2006/relationships/footer" Target="footer11.xml"/><Relationship Id="rId36" Type="http://schemas.openxmlformats.org/officeDocument/2006/relationships/header" Target="header7.xml"/><Relationship Id="rId37" Type="http://schemas.openxmlformats.org/officeDocument/2006/relationships/footer" Target="footer12.xml"/><Relationship Id="rId38" Type="http://schemas.openxmlformats.org/officeDocument/2006/relationships/header" Target="header8.xml"/><Relationship Id="rId39" Type="http://schemas.openxmlformats.org/officeDocument/2006/relationships/footer" Target="footer13.xml"/><Relationship Id="rId40" Type="http://schemas.openxmlformats.org/officeDocument/2006/relationships/header" Target="header9.xml"/><Relationship Id="rId41" Type="http://schemas.openxmlformats.org/officeDocument/2006/relationships/footer" Target="footer14.xml"/><Relationship Id="rId42" Type="http://schemas.openxmlformats.org/officeDocument/2006/relationships/footer" Target="footer15.xml"/><Relationship Id="rId43" Type="http://schemas.openxmlformats.org/officeDocument/2006/relationships/footer" Target="footer16.xml"/><Relationship Id="rId44" Type="http://schemas.openxmlformats.org/officeDocument/2006/relationships/header" Target="header10.xml"/><Relationship Id="rId45" Type="http://schemas.openxmlformats.org/officeDocument/2006/relationships/footer" Target="footer17.xml"/><Relationship Id="rId46" Type="http://schemas.openxmlformats.org/officeDocument/2006/relationships/footer" Target="footer18.xml"/><Relationship Id="rId47" Type="http://schemas.openxmlformats.org/officeDocument/2006/relationships/header" Target="header11.xml"/><Relationship Id="rId48" Type="http://schemas.openxmlformats.org/officeDocument/2006/relationships/footer" Target="footer19.xml"/><Relationship Id="rId49" Type="http://schemas.openxmlformats.org/officeDocument/2006/relationships/footer" Target="footer20.xml"/><Relationship Id="rId50" Type="http://schemas.openxmlformats.org/officeDocument/2006/relationships/header" Target="header12.xml"/><Relationship Id="rId51" Type="http://schemas.openxmlformats.org/officeDocument/2006/relationships/footer" Target="footer21.xml"/><Relationship Id="rId52" Type="http://schemas.openxmlformats.org/officeDocument/2006/relationships/footer" Target="footer22.xml"/><Relationship Id="rId53" Type="http://schemas.openxmlformats.org/officeDocument/2006/relationships/header" Target="header13.xml"/><Relationship Id="rId54" Type="http://schemas.openxmlformats.org/officeDocument/2006/relationships/footer" Target="footer23.xml"/><Relationship Id="rId55" Type="http://schemas.openxmlformats.org/officeDocument/2006/relationships/footer" Target="footer24.xml"/><Relationship Id="rId56" Type="http://schemas.openxmlformats.org/officeDocument/2006/relationships/header" Target="header14.xml"/><Relationship Id="rId57" Type="http://schemas.openxmlformats.org/officeDocument/2006/relationships/footer" Target="footer25.xml"/><Relationship Id="rId58" Type="http://schemas.openxmlformats.org/officeDocument/2006/relationships/footer" Target="footer2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2020-05-06T19:36:16Z</dcterms:created>
  <dcterms:modified xsi:type="dcterms:W3CDTF">2020-05-06T19:36:16Z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2015-04-22T00:00:00Z</vt:filetime>
  </property>
  <property fmtid="{D5CDD505-2E9C-101B-9397-08002B2CF9AE}" pid="3" name="Creator">
    <vt:lpwstr>Microsoft® Office Word 2007</vt:lpwstr>
  </property>
  <property fmtid="{D5CDD505-2E9C-101B-9397-08002B2CF9AE}" pid="4" name="LastSaved">
    <vt:filetime>2020-05-06T00:00:00Z</vt:filetime>
  </property>
</Properties>
</file>