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1.699997pt;margin-top:14.149994pt;width:488.85pt;height:42.65pt;mso-position-horizontal-relative:page;mso-position-vertical-relative:page;z-index:-865792" coordorigin="1034,283" coordsize="9777,853">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shape style="position:absolute;left:1034;top:283;width:1720;height:853"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829" w:lineRule="exact"/>
        <w:ind w:left="3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drawing>
          <wp:inline distT="0" distB="0" distL="0" distR="0">
            <wp:extent cx="3605642" cy="179679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605642" cy="1796796"/>
                    </a:xfrm>
                    <a:prstGeom prst="rect">
                      <a:avLst/>
                    </a:prstGeom>
                  </pic:spPr>
                </pic:pic>
              </a:graphicData>
            </a:graphic>
          </wp:inline>
        </w:drawing>
      </w:r>
      <w:r>
        <w:rPr>
          <w:rFonts w:ascii="Times New Roman" w:hAnsi="Times New Roman" w:cs="Times New Roman" w:eastAsia="Times New Roman" w:hint="default"/>
          <w:position w:val="-5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580" w:lineRule="exact" w:before="0"/>
        <w:ind w:left="1114" w:right="1119" w:firstLine="0"/>
        <w:jc w:val="center"/>
        <w:rPr>
          <w:rFonts w:ascii="宋体" w:hAnsi="宋体" w:cs="宋体" w:eastAsia="宋体" w:hint="default"/>
          <w:sz w:val="48"/>
          <w:szCs w:val="48"/>
        </w:rPr>
      </w:pPr>
      <w:r>
        <w:rPr>
          <w:rFonts w:ascii="宋体" w:hAnsi="宋体" w:cs="宋体" w:eastAsia="宋体" w:hint="default"/>
          <w:b/>
          <w:bCs/>
          <w:sz w:val="48"/>
          <w:szCs w:val="48"/>
        </w:rPr>
        <w:t>中文在线数字出版集团股份有限公司</w:t>
      </w:r>
      <w:r>
        <w:rPr>
          <w:rFonts w:ascii="宋体" w:hAnsi="宋体" w:cs="宋体" w:eastAsia="宋体" w:hint="default"/>
          <w:sz w:val="48"/>
          <w:szCs w:val="48"/>
        </w:rPr>
      </w:r>
    </w:p>
    <w:p>
      <w:pPr>
        <w:spacing w:before="400"/>
        <w:ind w:left="1114" w:right="1114"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2015</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2"/>
        <w:rPr>
          <w:rFonts w:ascii="宋体" w:hAnsi="宋体" w:cs="宋体" w:eastAsia="宋体" w:hint="default"/>
          <w:b/>
          <w:bCs/>
          <w:sz w:val="33"/>
          <w:szCs w:val="33"/>
        </w:rPr>
      </w:pPr>
    </w:p>
    <w:p>
      <w:pPr>
        <w:pStyle w:val="Heading2"/>
        <w:spacing w:line="240" w:lineRule="auto" w:before="0"/>
        <w:ind w:left="1114" w:right="1114"/>
        <w:jc w:val="center"/>
        <w:rPr>
          <w:rFonts w:ascii="Times New Roman" w:hAnsi="Times New Roman" w:cs="Times New Roman" w:eastAsia="Times New Roman" w:hint="default"/>
          <w:b w:val="0"/>
          <w:bCs w:val="0"/>
        </w:rPr>
      </w:pPr>
      <w:r>
        <w:rPr>
          <w:rFonts w:ascii="Times New Roman"/>
        </w:rPr>
        <w:t>2016-017</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52"/>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group style="position:absolute;margin-left:51.699997pt;margin-top:20.699982pt;width:488.85pt;height:42.65pt;mso-position-horizontal-relative:page;mso-position-vertical-relative:page;z-index:1048" coordorigin="1034,414" coordsize="9777,85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034;top:414;width:1720;height:853" type="#_x0000_t75" stroked="false">
                <v:imagedata r:id="rId9"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1115"/>
        <w:jc w:val="center"/>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BodyText"/>
        <w:spacing w:line="357" w:lineRule="auto"/>
        <w:ind w:left="1133" w:right="1073" w:firstLine="480"/>
        <w:jc w:val="left"/>
      </w:pPr>
      <w:r>
        <w:rPr/>
        <w:t>本公司董事会、监事会及董事、监事、高级管理人员保证年度报告内容的真实、准确、 完整，不存在虚假记载、误导性陈述或重大遗漏，并承担个别和连带的法律责任。</w:t>
      </w:r>
    </w:p>
    <w:p>
      <w:pPr>
        <w:pStyle w:val="BodyText"/>
        <w:spacing w:line="338" w:lineRule="auto" w:before="136"/>
        <w:ind w:left="1133" w:right="1073" w:firstLine="480"/>
        <w:jc w:val="left"/>
      </w:pPr>
      <w:r>
        <w:rPr>
          <w:spacing w:val="2"/>
        </w:rPr>
        <w:t>公司负责人童之磊、主管会计工作负责人原森民及会计机构负责人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李凤</w:t>
      </w:r>
      <w:r>
        <w:rPr>
          <w:spacing w:val="3"/>
        </w:rPr>
        <w:t> </w:t>
      </w:r>
      <w:r>
        <w:rPr/>
        <w:t>梅声明：保证年度报告中财务报告的真实、准确、完整。</w:t>
      </w:r>
    </w:p>
    <w:p>
      <w:pPr>
        <w:pStyle w:val="BodyText"/>
        <w:spacing w:line="424" w:lineRule="auto" w:before="155"/>
        <w:ind w:left="1613" w:right="1073"/>
        <w:jc w:val="left"/>
      </w:pPr>
      <w:r>
        <w:rPr/>
        <w:t>所有董事均已出席了审议本报告的董事会会议。 本公司请投资者认真阅读本年度报告全文，并特别注意下列风险因素： </w:t>
      </w:r>
      <w:r>
        <w:rPr>
          <w:rFonts w:ascii="Times New Roman" w:hAnsi="Times New Roman" w:cs="Times New Roman" w:eastAsia="Times New Roman" w:hint="default"/>
        </w:rPr>
        <w:t>1</w:t>
      </w:r>
      <w:r>
        <w:rPr/>
        <w:t>、宏观经济波动 数字出版行业属于依托于数字技术、信息技术、网络技术新兴出版行业。数字出版新技</w:t>
      </w:r>
    </w:p>
    <w:p>
      <w:pPr>
        <w:pStyle w:val="BodyText"/>
        <w:spacing w:line="283" w:lineRule="exact"/>
        <w:ind w:left="1134" w:right="1073"/>
        <w:jc w:val="left"/>
      </w:pPr>
      <w:r>
        <w:rPr/>
        <w:t>术、新产品、新业态不断涌现，新的消费理念不断形成，中国数字出版产业呈现出产业规模</w:t>
      </w:r>
    </w:p>
    <w:p>
      <w:pPr>
        <w:pStyle w:val="BodyText"/>
        <w:spacing w:line="357" w:lineRule="auto" w:before="154"/>
        <w:ind w:left="1134" w:right="1135"/>
        <w:jc w:val="both"/>
      </w:pPr>
      <w:r>
        <w:rPr/>
        <w:t>不断扩大、产品形态日益丰富、盈利模式日趋成熟、传统出版企业转型步伐加快、数字阅读</w:t>
      </w:r>
      <w:r>
        <w:rPr>
          <w:spacing w:val="-115"/>
        </w:rPr>
        <w:t> </w:t>
      </w:r>
      <w:r>
        <w:rPr>
          <w:spacing w:val="-115"/>
        </w:rPr>
      </w:r>
      <w:r>
        <w:rPr/>
        <w:t>消费需求日益旺盛的特点。近年来，随着宏观经济和信息文化需求的不断增长，人们对数字 版权阅读产品和服务的需求也呈现不断增长态势。数字出版行业与国民经济呈现一定的相关 性，宏观经济波动将导致数字阅读类产品和服务的需求出现一定的波动。</w:t>
      </w:r>
    </w:p>
    <w:p>
      <w:pPr>
        <w:pStyle w:val="BodyText"/>
        <w:spacing w:line="240" w:lineRule="auto" w:before="136"/>
        <w:ind w:left="1613" w:right="1073"/>
        <w:jc w:val="left"/>
      </w:pPr>
      <w:r>
        <w:rPr>
          <w:rFonts w:ascii="Times New Roman" w:hAnsi="Times New Roman" w:cs="Times New Roman" w:eastAsia="Times New Roman" w:hint="default"/>
        </w:rPr>
        <w:t>2</w:t>
      </w:r>
      <w:r>
        <w:rPr/>
        <w:t>、经营风险</w:t>
      </w:r>
    </w:p>
    <w:p>
      <w:pPr>
        <w:spacing w:line="240" w:lineRule="auto" w:before="13"/>
        <w:rPr>
          <w:rFonts w:ascii="宋体" w:hAnsi="宋体" w:cs="宋体" w:eastAsia="宋体" w:hint="default"/>
          <w:sz w:val="17"/>
          <w:szCs w:val="17"/>
        </w:rPr>
      </w:pPr>
    </w:p>
    <w:p>
      <w:pPr>
        <w:pStyle w:val="BodyText"/>
        <w:spacing w:line="240" w:lineRule="auto"/>
        <w:ind w:right="1073"/>
        <w:jc w:val="left"/>
      </w:pPr>
      <w:r>
        <w:rPr/>
        <w:t>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日与中国移动通信集团浙江有限公司续签了《关于手机阅读基地图</w:t>
      </w:r>
    </w:p>
    <w:p>
      <w:pPr>
        <w:pStyle w:val="BodyText"/>
        <w:spacing w:line="240" w:lineRule="auto" w:before="135"/>
        <w:ind w:left="1133" w:right="1073"/>
        <w:jc w:val="left"/>
      </w:pPr>
      <w:r>
        <w:rPr/>
        <w:t>书内容运营支撑的协议</w:t>
      </w:r>
      <w:r>
        <w:rPr>
          <w:spacing w:val="-120"/>
        </w:rPr>
        <w:t>》</w:t>
      </w:r>
      <w:r>
        <w:rPr/>
        <w:t>，该协议有效期至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日</w:t>
      </w:r>
      <w:r>
        <w:rPr>
          <w:spacing w:val="-2"/>
        </w:rPr>
        <w:t>止</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年，公司为中国移动</w:t>
      </w:r>
    </w:p>
    <w:p>
      <w:pPr>
        <w:pStyle w:val="BodyText"/>
        <w:spacing w:line="348" w:lineRule="auto" w:before="135"/>
        <w:ind w:left="1133" w:right="995"/>
        <w:jc w:val="left"/>
      </w:pPr>
      <w:r>
        <w:rPr/>
        <w:t>手机阅读基地（咪咕数字传媒有限公司）提供运营服务产生的收入为</w:t>
      </w:r>
      <w:r>
        <w:rPr>
          <w:spacing w:val="-66"/>
        </w:rPr>
        <w:t> </w:t>
      </w:r>
      <w:r>
        <w:rPr>
          <w:rFonts w:ascii="Times New Roman" w:hAnsi="Times New Roman" w:cs="Times New Roman" w:eastAsia="Times New Roman" w:hint="default"/>
        </w:rPr>
        <w:t>42,704,434.18</w:t>
      </w:r>
      <w:r>
        <w:rPr>
          <w:rFonts w:ascii="Times New Roman" w:hAnsi="Times New Roman" w:cs="Times New Roman" w:eastAsia="Times New Roman" w:hint="default"/>
          <w:spacing w:val="-6"/>
        </w:rPr>
        <w:t> </w:t>
      </w:r>
      <w:r>
        <w:rPr/>
        <w:t>元，占公 司当期营业收入的比例为</w:t>
      </w:r>
      <w:r>
        <w:rPr>
          <w:spacing w:val="-75"/>
        </w:rPr>
        <w:t> </w:t>
      </w:r>
      <w:r>
        <w:rPr>
          <w:rFonts w:ascii="Times New Roman" w:hAnsi="Times New Roman" w:cs="Times New Roman" w:eastAsia="Times New Roman" w:hint="default"/>
        </w:rPr>
        <w:t>10.94%</w:t>
      </w:r>
      <w:r>
        <w:rPr/>
        <w:t>。中国移动通信集团浙江有限公司作为公司的重要客户，对 公司的经营业绩有重要影响，而中国移动通信集团浙江有限公司在未来的合作过程中是否与</w:t>
      </w:r>
      <w:r>
        <w:rPr>
          <w:spacing w:val="-107"/>
        </w:rPr>
        <w:t> </w:t>
      </w:r>
      <w:r>
        <w:rPr>
          <w:spacing w:val="-107"/>
        </w:rPr>
      </w:r>
      <w:r>
        <w:rPr>
          <w:spacing w:val="-2"/>
        </w:rPr>
        <w:t>公司续签新的运营支撑协议尚存在不确定性，或在未来合作过程中是否会变更改变合作模式、</w:t>
      </w:r>
      <w:r>
        <w:rPr/>
        <w:t> 变更结算价格都存在不确定性，上述不确定性将对公司未来的盈利能力存在潜在风险。</w:t>
      </w:r>
    </w:p>
    <w:p>
      <w:pPr>
        <w:pStyle w:val="BodyText"/>
        <w:spacing w:line="410" w:lineRule="auto" w:before="145"/>
        <w:ind w:left="1613" w:right="1073"/>
        <w:jc w:val="left"/>
      </w:pPr>
      <w:r>
        <w:rPr>
          <w:rFonts w:ascii="Times New Roman" w:hAnsi="Times New Roman" w:cs="Times New Roman" w:eastAsia="Times New Roman" w:hint="default"/>
        </w:rPr>
        <w:t>3</w:t>
      </w:r>
      <w:r>
        <w:rPr/>
        <w:t>、版权采集价格上涨的风险 优质数字内容是吸引客户付费阅读的重要因素，其版权所有者要求的买断价格和版税分</w:t>
      </w:r>
    </w:p>
    <w:p>
      <w:pPr>
        <w:pStyle w:val="BodyText"/>
        <w:spacing w:line="298" w:lineRule="exact"/>
        <w:ind w:left="1133" w:right="1073"/>
        <w:jc w:val="left"/>
      </w:pPr>
      <w:r>
        <w:rPr/>
        <w:t>成比例也逐年上升。同时，随着数字出版行业盈利模式的逐渐成熟，不断有新的市场主体加</w:t>
      </w:r>
    </w:p>
    <w:p>
      <w:pPr>
        <w:pStyle w:val="BodyText"/>
        <w:spacing w:line="240" w:lineRule="auto" w:before="154"/>
        <w:ind w:left="1133" w:right="1073"/>
        <w:jc w:val="left"/>
      </w:pPr>
      <w:r>
        <w:rPr/>
        <w:t>入到数字出版行业，优质数字版权竞争加剧。上述原因导致公司的版权采购价格和分成比例</w:t>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7"/>
        <w:rPr>
          <w:rFonts w:ascii="宋体" w:hAnsi="宋体" w:cs="宋体" w:eastAsia="宋体" w:hint="default"/>
          <w:sz w:val="29"/>
          <w:szCs w:val="29"/>
        </w:rPr>
      </w:pPr>
      <w:r>
        <w:rPr/>
        <w:pict>
          <v:group style="position:absolute;margin-left:51.699997pt;margin-top:20.699982pt;width:488.85pt;height:42.65pt;mso-position-horizontal-relative:page;mso-position-vertical-relative:page;z-index:1072" coordorigin="1034,414" coordsize="9777,85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034;top:414;width:1720;height:853" type="#_x0000_t75" stroked="false">
                <v:imagedata r:id="rId9" o:title=""/>
              </v:shape>
            </v:group>
            <w10:wrap type="none"/>
          </v:group>
        </w:pict>
      </w:r>
    </w:p>
    <w:p>
      <w:pPr>
        <w:pStyle w:val="BodyText"/>
        <w:spacing w:line="357" w:lineRule="auto" w:before="26"/>
        <w:ind w:left="1134" w:right="1139"/>
        <w:jc w:val="both"/>
      </w:pPr>
      <w:r>
        <w:rPr/>
        <w:t>不断提高。如果优质数字版权竞争持续加剧，版权采集价格持续上涨，但却未能带来预期收 入的增加，将对公司的持续盈利能力和成长性产生不利影响。</w:t>
      </w:r>
    </w:p>
    <w:p>
      <w:pPr>
        <w:pStyle w:val="BodyText"/>
        <w:spacing w:line="240" w:lineRule="auto" w:before="136"/>
        <w:ind w:left="1613" w:right="1073"/>
        <w:jc w:val="left"/>
      </w:pPr>
      <w:r>
        <w:rPr>
          <w:rFonts w:ascii="Times New Roman" w:hAnsi="Times New Roman" w:cs="Times New Roman" w:eastAsia="Times New Roman" w:hint="default"/>
        </w:rPr>
        <w:t>4</w:t>
      </w:r>
      <w:r>
        <w:rPr/>
        <w:t>、应收款项回收风险</w:t>
      </w:r>
    </w:p>
    <w:p>
      <w:pPr>
        <w:spacing w:line="240" w:lineRule="auto" w:before="0"/>
        <w:rPr>
          <w:rFonts w:ascii="宋体" w:hAnsi="宋体" w:cs="宋体" w:eastAsia="宋体" w:hint="default"/>
          <w:sz w:val="18"/>
          <w:szCs w:val="18"/>
        </w:rPr>
      </w:pPr>
    </w:p>
    <w:p>
      <w:pPr>
        <w:pStyle w:val="BodyText"/>
        <w:spacing w:line="350" w:lineRule="auto"/>
        <w:ind w:left="1133" w:right="1129" w:firstLine="480"/>
        <w:jc w:val="both"/>
      </w:pPr>
      <w:r>
        <w:rPr>
          <w:spacing w:val="-3"/>
        </w:rPr>
        <w:t>最近三年各期末，公司应收账款账面价值分别为 </w:t>
      </w:r>
      <w:r>
        <w:rPr>
          <w:rFonts w:ascii="Times New Roman" w:hAnsi="Times New Roman" w:cs="Times New Roman" w:eastAsia="Times New Roman" w:hint="default"/>
        </w:rPr>
        <w:t>6,657.05 </w:t>
      </w:r>
      <w:r>
        <w:rPr>
          <w:spacing w:val="-5"/>
        </w:rPr>
        <w:t>万元、</w:t>
      </w:r>
      <w:r>
        <w:rPr>
          <w:rFonts w:ascii="Times New Roman" w:hAnsi="Times New Roman" w:cs="Times New Roman" w:eastAsia="Times New Roman" w:hint="default"/>
          <w:spacing w:val="-5"/>
        </w:rPr>
        <w:t>9,753.72</w:t>
      </w:r>
      <w:r>
        <w:rPr>
          <w:rFonts w:ascii="Times New Roman" w:hAnsi="Times New Roman" w:cs="Times New Roman" w:eastAsia="Times New Roman" w:hint="default"/>
          <w:spacing w:val="-34"/>
        </w:rPr>
        <w:t> </w:t>
      </w:r>
      <w:r>
        <w:rPr>
          <w:spacing w:val="-4"/>
        </w:rPr>
        <w:t>万元、</w:t>
      </w:r>
      <w:r>
        <w:rPr>
          <w:rFonts w:ascii="Times New Roman" w:hAnsi="Times New Roman" w:cs="Times New Roman" w:eastAsia="Times New Roman" w:hint="default"/>
          <w:spacing w:val="-4"/>
        </w:rPr>
        <w:t>15,985.60</w:t>
      </w:r>
      <w:r>
        <w:rPr>
          <w:rFonts w:ascii="Times New Roman" w:hAnsi="Times New Roman" w:cs="Times New Roman" w:eastAsia="Times New Roman" w:hint="default"/>
        </w:rPr>
        <w:t> </w:t>
      </w:r>
      <w:r>
        <w:rPr/>
        <w:t>万元，呈逐年上升趋势，主要是因为公司中国移动手机阅读基地（咪咕数字传媒有限公司）</w:t>
      </w:r>
      <w:r>
        <w:rPr>
          <w:spacing w:val="-113"/>
        </w:rPr>
        <w:t> </w:t>
      </w:r>
      <w:r>
        <w:rPr>
          <w:spacing w:val="-113"/>
        </w:rPr>
      </w:r>
      <w:r>
        <w:rPr/>
        <w:t>相关业务结算周期较长。公司一般在提供数字阅读产品后的 </w:t>
      </w:r>
      <w:r>
        <w:rPr>
          <w:rFonts w:ascii="Times New Roman" w:hAnsi="Times New Roman" w:cs="Times New Roman" w:eastAsia="Times New Roman" w:hint="default"/>
        </w:rPr>
        <w:t>4-5</w:t>
      </w:r>
      <w:r>
        <w:rPr>
          <w:rFonts w:ascii="Times New Roman" w:hAnsi="Times New Roman" w:cs="Times New Roman" w:eastAsia="Times New Roman" w:hint="default"/>
          <w:spacing w:val="17"/>
        </w:rPr>
        <w:t> </w:t>
      </w:r>
      <w:r>
        <w:rPr/>
        <w:t>个月后收到相关结算款项， 在第四季度收到当年前三季度以及上年度第四季度的运营费用，导致各期末应收账款余额较 大。如果未来公司客户信用情况发生恶化，应收账款无法足额收回，可能给公司带来相应损 失。</w:t>
      </w:r>
    </w:p>
    <w:p>
      <w:pPr>
        <w:pStyle w:val="BodyText"/>
        <w:spacing w:line="408" w:lineRule="auto" w:before="143"/>
        <w:ind w:right="1073"/>
        <w:jc w:val="left"/>
      </w:pPr>
      <w:r>
        <w:rPr>
          <w:rFonts w:ascii="Times New Roman" w:hAnsi="Times New Roman" w:cs="Times New Roman" w:eastAsia="Times New Roman" w:hint="default"/>
        </w:rPr>
        <w:t>5</w:t>
      </w:r>
      <w:r>
        <w:rPr/>
        <w:t>、业绩季节性波动风险 由于公司第一大客户中国移动手机阅读基地（咪咕数字传媒有限公司）出具的结算单一</w:t>
      </w:r>
    </w:p>
    <w:p>
      <w:pPr>
        <w:pStyle w:val="BodyText"/>
        <w:spacing w:line="355" w:lineRule="auto"/>
        <w:ind w:left="1133" w:right="1131"/>
        <w:jc w:val="both"/>
      </w:pPr>
      <w:r>
        <w:rPr/>
        <w:t>般会滞后</w:t>
      </w:r>
      <w:r>
        <w:rPr>
          <w:spacing w:val="-41"/>
        </w:rPr>
        <w:t> </w:t>
      </w:r>
      <w:r>
        <w:rPr>
          <w:rFonts w:ascii="Times New Roman" w:hAnsi="Times New Roman" w:cs="Times New Roman" w:eastAsia="Times New Roman" w:hint="default"/>
        </w:rPr>
        <w:t>3-5</w:t>
      </w:r>
      <w:r>
        <w:rPr>
          <w:rFonts w:ascii="Times New Roman" w:hAnsi="Times New Roman" w:cs="Times New Roman" w:eastAsia="Times New Roman" w:hint="default"/>
          <w:spacing w:val="19"/>
        </w:rPr>
        <w:t> </w:t>
      </w:r>
      <w:r>
        <w:rPr/>
        <w:t>个月左右，公司手机阅读基地业务数字阅读产品上半年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个月左右的包月收入 因为结算单滞后，未能确认收入导致该业务上半年所贡献的收入偏少。教育阅读产品方面， 客户通常在每年上半年编制预算、制定采购计划，经过方案审查、立项批复、采购申请、招</w:t>
      </w:r>
      <w:r>
        <w:rPr>
          <w:spacing w:val="-113"/>
        </w:rPr>
        <w:t> </w:t>
      </w:r>
      <w:r>
        <w:rPr>
          <w:spacing w:val="-113"/>
        </w:rPr>
      </w:r>
      <w:r>
        <w:rPr/>
        <w:t>投标、合同签订等程序后，项目实施主要集中在下半年，相应地公司该业务收入主要集中在 下半年。受上述等因素的影响，公司上半年的营业收入占全年比重偏低。而营业成本及管理 费用主要构成部分人员工资及差旅费等上下半年基本持平，使得公司上半年的营业利润和净 利润较全年相比偏低。公司业绩季节性波动会给公司经营活动带来较大影响，如资金使用安 排、融资活动安排等，同时也会造成公司各类财务指标出现较大的波动，从而对投资者的判 断带来不利影响。</w:t>
      </w:r>
    </w:p>
    <w:p>
      <w:pPr>
        <w:pStyle w:val="BodyText"/>
        <w:spacing w:line="240" w:lineRule="auto" w:before="138"/>
        <w:ind w:left="1613" w:right="1073"/>
        <w:jc w:val="left"/>
      </w:pPr>
      <w:r>
        <w:rPr/>
        <w:t>公司经本次董事会审议通过的利润分配预案为：以</w:t>
      </w:r>
      <w:r>
        <w:rPr>
          <w:spacing w:val="-79"/>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19"/>
        </w:rPr>
        <w:t> </w:t>
      </w:r>
      <w:r>
        <w:rPr>
          <w:spacing w:val="-4"/>
        </w:rPr>
        <w:t>股为基数，向全体股东每</w:t>
      </w:r>
    </w:p>
    <w:p>
      <w:pPr>
        <w:pStyle w:val="BodyText"/>
        <w:spacing w:line="240" w:lineRule="auto" w:before="135"/>
        <w:ind w:left="1134" w:right="0"/>
        <w:jc w:val="both"/>
      </w:pP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0.2 </w:t>
      </w:r>
      <w:r>
        <w:rPr>
          <w:spacing w:val="-21"/>
        </w:rPr>
        <w:t>元</w:t>
      </w:r>
      <w:r>
        <w:rPr/>
        <w:t>（含税</w:t>
      </w:r>
      <w:r>
        <w:rPr>
          <w:spacing w:val="-120"/>
        </w:rPr>
        <w:t>）</w:t>
      </w:r>
      <w:r>
        <w:rPr>
          <w:spacing w:val="-21"/>
        </w:rPr>
        <w:t>，</w:t>
      </w:r>
      <w:r>
        <w:rPr/>
        <w:t>送红股</w:t>
      </w:r>
      <w:r>
        <w:rPr>
          <w:spacing w:val="-60"/>
        </w:rPr>
        <w:t> </w:t>
      </w:r>
      <w:r>
        <w:rPr>
          <w:rFonts w:ascii="Times New Roman" w:hAnsi="Times New Roman" w:cs="Times New Roman" w:eastAsia="Times New Roman" w:hint="default"/>
        </w:rPr>
        <w:t>0 </w:t>
      </w:r>
      <w:r>
        <w:rPr>
          <w:spacing w:val="-21"/>
        </w:rPr>
        <w:t>股</w:t>
      </w:r>
      <w:r>
        <w:rPr/>
        <w:t>（含税</w:t>
      </w:r>
      <w:r>
        <w:rPr>
          <w:spacing w:val="-120"/>
        </w:rPr>
        <w:t>）</w:t>
      </w:r>
      <w:r>
        <w:rPr>
          <w:spacing w:val="-21"/>
        </w:rPr>
        <w:t>，</w:t>
      </w:r>
      <w:r>
        <w:rPr/>
        <w:t>以资本公积金向全体股东每</w:t>
      </w:r>
      <w:r>
        <w:rPr>
          <w:spacing w:val="-60"/>
        </w:rPr>
        <w:t> </w:t>
      </w:r>
      <w:r>
        <w:rPr>
          <w:rFonts w:ascii="Times New Roman" w:hAnsi="Times New Roman" w:cs="Times New Roman" w:eastAsia="Times New Roman" w:hint="default"/>
        </w:rPr>
        <w:t>10 </w:t>
      </w:r>
      <w:r>
        <w:rPr/>
        <w:t>股转</w:t>
      </w:r>
    </w:p>
    <w:p>
      <w:pPr>
        <w:pStyle w:val="BodyText"/>
        <w:spacing w:line="240" w:lineRule="auto" w:before="137"/>
        <w:ind w:left="1134" w:right="0"/>
        <w:jc w:val="both"/>
      </w:pPr>
      <w:r>
        <w:rPr/>
        <w:t>增</w:t>
      </w:r>
      <w:r>
        <w:rPr>
          <w:spacing w:val="-60"/>
        </w:rPr>
        <w:t> </w:t>
      </w:r>
      <w:r>
        <w:rPr>
          <w:rFonts w:ascii="Times New Roman" w:hAnsi="Times New Roman" w:cs="Times New Roman" w:eastAsia="Times New Roman" w:hint="default"/>
        </w:rPr>
        <w:t>10 </w:t>
      </w:r>
      <w:r>
        <w:rPr/>
        <w:t>股。</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460" w:lineRule="exact" w:before="0"/>
        <w:ind w:left="1114"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管理层讨论与分析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headerReference w:type="default" r:id="rId10"/>
          <w:pgSz w:w="11910" w:h="16840"/>
          <w:pgMar w:header="414" w:footer="979" w:top="1260" w:bottom="1160" w:left="0" w:right="0"/>
        </w:sectPr>
      </w:pPr>
    </w:p>
    <w:p>
      <w:pPr>
        <w:spacing w:before="746"/>
        <w:ind w:left="1114"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本公司、公司、中文在线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北京中文在线文化传媒有限公司，系公司全资子公司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四月天科技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广州市四月天信息科技有限公司，系公司全资子公司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北京汤圆和它的小伙伴们网络科技有限公司，系公司全资子公司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鸿达以太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北京鸿达以太文化发展有限公司，系公司全资子公司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在线教育</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63"/>
              <w:jc w:val="left"/>
              <w:rPr>
                <w:rFonts w:ascii="宋体" w:hAnsi="宋体" w:cs="宋体" w:eastAsia="宋体" w:hint="default"/>
                <w:sz w:val="18"/>
                <w:szCs w:val="18"/>
              </w:rPr>
            </w:pPr>
            <w:r>
              <w:rPr>
                <w:rFonts w:ascii="宋体" w:hAnsi="宋体" w:cs="宋体" w:eastAsia="宋体" w:hint="default"/>
                <w:w w:val="99"/>
                <w:sz w:val="18"/>
                <w:szCs w:val="18"/>
              </w:rPr>
              <w:t>中文在线教育集团有限公司（</w:t>
            </w:r>
            <w:r>
              <w:rPr>
                <w:rFonts w:ascii="Times New Roman" w:hAnsi="Times New Roman" w:cs="Times New Roman" w:eastAsia="Times New Roman" w:hint="default"/>
                <w:w w:val="99"/>
                <w:sz w:val="18"/>
                <w:szCs w:val="18"/>
              </w:rPr>
              <w:t>ChineseAll </w:t>
            </w:r>
            <w:r>
              <w:rPr>
                <w:rFonts w:ascii="Times New Roman" w:hAnsi="Times New Roman" w:cs="Times New Roman" w:eastAsia="Times New Roman" w:hint="default"/>
                <w:spacing w:val="-1"/>
                <w:sz w:val="18"/>
                <w:szCs w:val="18"/>
              </w:rPr>
              <w:t>Education</w:t>
            </w:r>
            <w:r>
              <w:rPr>
                <w:rFonts w:ascii="Times New Roman" w:hAnsi="Times New Roman" w:cs="Times New Roman" w:eastAsia="Times New Roman" w:hint="default"/>
                <w:sz w:val="18"/>
                <w:szCs w:val="18"/>
              </w:rPr>
              <w:t> Group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0"/>
                <w:sz w:val="18"/>
                <w:szCs w:val="18"/>
              </w:rPr>
              <w:t>Limited</w:t>
            </w:r>
            <w:r>
              <w:rPr>
                <w:rFonts w:ascii="宋体" w:hAnsi="宋体" w:cs="宋体" w:eastAsia="宋体" w:hint="default"/>
                <w:spacing w:val="-20"/>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系公司全资子公司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北京中文在线教育科技发展有限公司，系公司控股子公司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上海中文在线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上海中文在线文化发展有限公司，系教育科技全资子公司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湖北中文在线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湖北中文在线数字出版有限公司，系教育科技全资子公司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杭州中文在线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杭州中文在线信息科技有限公司，系公司控股子公司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万维科技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北京中文万维科技有限公司，系公司控股子公司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天翼阅读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天翼阅读文化传播有限公司，系公司参股公司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迈步科技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广州市迈步信息科技有限公司，系公司参股公司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JOINGEAR</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JOINGEAR</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，公司参股公司，该公司使用资金收购</w:t>
            </w:r>
            <w:r>
              <w:rPr>
                <w:rFonts w:ascii="宋体" w:hAnsi="宋体" w:cs="宋体" w:eastAsia="宋体" w:hint="default"/>
                <w:spacing w:val="-64"/>
                <w:sz w:val="18"/>
                <w:szCs w:val="18"/>
              </w:rPr>
              <w:t> </w:t>
            </w: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Inc.</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Cayman</w:t>
            </w:r>
            <w:r>
              <w:rPr>
                <w:rFonts w:ascii="宋体" w:hAnsi="宋体" w:cs="宋体" w:eastAsia="宋体" w:hint="default"/>
                <w:sz w:val="18"/>
                <w:szCs w:val="18"/>
              </w:rPr>
              <w:t>）</w:t>
            </w:r>
            <w:r>
              <w:rPr>
                <w:rFonts w:ascii="Times New Roman" w:hAnsi="Times New Roman" w:cs="Times New Roman" w:eastAsia="Times New Roman" w:hint="default"/>
                <w:sz w:val="18"/>
                <w:szCs w:val="18"/>
              </w:rPr>
              <w:t>31.68%</w:t>
            </w:r>
            <w:r>
              <w:rPr>
                <w:rFonts w:ascii="宋体" w:hAnsi="宋体" w:cs="宋体" w:eastAsia="宋体" w:hint="default"/>
                <w:sz w:val="18"/>
                <w:szCs w:val="18"/>
              </w:rPr>
              <w:t>股权</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0"/>
              <w:jc w:val="both"/>
              <w:rPr>
                <w:rFonts w:ascii="宋体" w:hAnsi="宋体" w:cs="宋体" w:eastAsia="宋体" w:hint="default"/>
                <w:sz w:val="18"/>
                <w:szCs w:val="18"/>
              </w:rPr>
            </w:pPr>
            <w:r>
              <w:rPr>
                <w:rFonts w:ascii="宋体" w:hAnsi="宋体" w:cs="宋体" w:eastAsia="宋体" w:hint="default"/>
                <w:spacing w:val="-2"/>
                <w:sz w:val="18"/>
                <w:szCs w:val="18"/>
              </w:rPr>
              <w:t>纳斯达克上市公司，致力于为考试机构及教育机构提供技术和运营服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ATA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公司凭借丰富的大型考试运营经验，遍布全国考站渠道 为客户提供优质考试整体解决方案及</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考试服务；为用人单位 </w:t>
            </w:r>
            <w:r>
              <w:rPr>
                <w:rFonts w:ascii="宋体" w:hAnsi="宋体" w:cs="宋体" w:eastAsia="宋体" w:hint="default"/>
                <w:spacing w:val="-2"/>
                <w:sz w:val="18"/>
                <w:szCs w:val="18"/>
              </w:rPr>
              <w:t>提供世界领先的全方位人才测评内容，涵盖个性测试、能力测试、语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言测试。</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启迪华创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北京启迪华创投资咨询有限公司，系公司持股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文睿投资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上海文睿投资有限公司，系公司持股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华睿海越创投</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pacing w:val="-2"/>
                <w:sz w:val="18"/>
                <w:szCs w:val="18"/>
              </w:rPr>
              <w:t>浙江华睿海越现代服务业创业投资有限公司，系公司首发上市前持股</w:t>
            </w:r>
          </w:p>
          <w:p>
            <w:pPr>
              <w:pStyle w:val="TableParagraph"/>
              <w:spacing w:line="240" w:lineRule="auto" w:before="7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MOOC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massive online open courses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的缩写，大型开放式网络课程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intellectual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property</w:t>
            </w:r>
            <w:r>
              <w:rPr>
                <w:rFonts w:ascii="宋体" w:hAnsi="宋体" w:cs="宋体" w:eastAsia="宋体" w:hint="default"/>
                <w:sz w:val="18"/>
                <w:szCs w:val="18"/>
              </w:rPr>
              <w:t>，知识产权</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《中文在线数字出版集团股份有限公司章程</w:t>
            </w:r>
            <w:r>
              <w:rPr>
                <w:rFonts w:ascii="宋体" w:hAnsi="宋体" w:cs="宋体" w:eastAsia="宋体" w:hint="default"/>
                <w:spacing w:val="-90"/>
                <w:sz w:val="18"/>
                <w:szCs w:val="18"/>
              </w:rPr>
              <w:t>》</w:t>
            </w:r>
            <w:r>
              <w:rPr>
                <w:rFonts w:ascii="宋体" w:hAnsi="宋体" w:cs="宋体" w:eastAsia="宋体" w:hint="default"/>
                <w:sz w:val="18"/>
                <w:szCs w:val="18"/>
              </w:rPr>
              <w:t>，现行有效的公司章程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0"/>
        <w:ind w:left="3624" w:right="1073"/>
        <w:jc w:val="left"/>
        <w:rPr>
          <w:b w:val="0"/>
          <w:bCs w:val="0"/>
        </w:rPr>
      </w:pPr>
      <w:bookmarkStart w:name="_TOC_250009" w:id="3"/>
      <w:bookmarkStart w:name="第二节 公司简介和主要财务指标" w:id="4"/>
      <w:r>
        <w:rPr>
          <w:b w:val="0"/>
          <w:bCs w:val="0"/>
        </w:rPr>
      </w:r>
      <w:r>
        <w:rPr/>
        <w:t>第二节</w:t>
      </w:r>
      <w:r>
        <w:rPr>
          <w:spacing w:val="-10"/>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133" w:right="1073"/>
        <w:jc w:val="left"/>
        <w:rPr>
          <w:b w:val="0"/>
          <w:bCs w:val="0"/>
        </w:rPr>
      </w:pPr>
      <w:r>
        <w:rPr/>
        <w:pict>
          <v:group style="position:absolute;margin-left:172.339996pt;margin-top:114.735596pt;width:361.5pt;height:19.6pt;mso-position-horizontal-relative:page;mso-position-vertical-relative:paragraph;z-index:-86572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中文在线</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300364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中文在线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ChineseAll Digital Publishing</w:t>
            </w:r>
            <w:r>
              <w:rPr>
                <w:rFonts w:ascii="Times New Roman"/>
                <w:spacing w:val="-6"/>
                <w:sz w:val="18"/>
              </w:rPr>
              <w:t> </w:t>
            </w:r>
            <w:r>
              <w:rPr>
                <w:rFonts w:ascii="Times New Roman"/>
                <w:sz w:val="18"/>
              </w:rPr>
              <w:t>GroupCo.,Ltd.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ChineseAll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童之磊</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http://www.chineseall.com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2">
              <w:r>
                <w:rPr>
                  <w:rFonts w:ascii="Times New Roman"/>
                  <w:sz w:val="18"/>
                </w:rPr>
                <w:t>ir@chineseall.com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07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王京京</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号楼</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010-84195757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010-84195757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010-84195550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010-84195550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2">
              <w:r>
                <w:rPr>
                  <w:rFonts w:ascii="Times New Roman"/>
                  <w:sz w:val="18"/>
                </w:rPr>
                <w:t>ir@chineseall.com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ir@chineseall.com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07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证券投资部</w:t>
            </w:r>
          </w:p>
        </w:tc>
      </w:tr>
    </w:tbl>
    <w:p>
      <w:pPr>
        <w:spacing w:line="240" w:lineRule="auto" w:before="2"/>
        <w:rPr>
          <w:rFonts w:ascii="宋体" w:hAnsi="宋体" w:cs="宋体" w:eastAsia="宋体" w:hint="default"/>
          <w:b/>
          <w:bCs/>
          <w:sz w:val="18"/>
          <w:szCs w:val="18"/>
        </w:rPr>
      </w:pPr>
    </w:p>
    <w:p>
      <w:pPr>
        <w:pStyle w:val="Heading2"/>
        <w:spacing w:line="240" w:lineRule="auto"/>
        <w:ind w:right="1073"/>
        <w:jc w:val="left"/>
        <w:rPr>
          <w:b w:val="0"/>
          <w:bCs w:val="0"/>
        </w:rPr>
      </w:pPr>
      <w:bookmarkStart w:name="四、其他有关资料" w:id="8"/>
      <w:bookmarkEnd w:id="8"/>
      <w:r>
        <w:rPr>
          <w:b w:val="0"/>
          <w:bCs w:val="0"/>
        </w:rPr>
      </w:r>
      <w:r>
        <w:rPr/>
        <w:t>四、其他有关资料</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公司聘请的会计师事务所</w:t>
      </w:r>
    </w:p>
    <w:p>
      <w:pPr>
        <w:spacing w:after="0" w:line="240" w:lineRule="auto"/>
        <w:jc w:val="left"/>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唐炫、郑小川</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公司聘请的报告期内履行持续督导职责的保荐机构</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7"/>
              <w:jc w:val="left"/>
              <w:rPr>
                <w:rFonts w:ascii="宋体" w:hAnsi="宋体" w:cs="宋体" w:eastAsia="宋体" w:hint="default"/>
                <w:sz w:val="18"/>
                <w:szCs w:val="18"/>
              </w:rPr>
            </w:pPr>
            <w:r>
              <w:rPr>
                <w:rFonts w:ascii="宋体" w:hAnsi="宋体" w:cs="宋体" w:eastAsia="宋体" w:hint="default"/>
                <w:sz w:val="18"/>
                <w:szCs w:val="18"/>
              </w:rPr>
              <w:t>广东省深圳市福田区中心三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方浩、璩潞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号西南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梁俊、田磊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公司聘请的报告期内履行持续督导职责的财务顾问</w:t>
      </w:r>
    </w:p>
    <w:p>
      <w:pPr>
        <w:spacing w:line="240" w:lineRule="auto" w:before="9"/>
        <w:rPr>
          <w:rFonts w:ascii="宋体" w:hAnsi="宋体" w:cs="宋体" w:eastAsia="宋体" w:hint="default"/>
          <w:sz w:val="23"/>
          <w:szCs w:val="23"/>
        </w:rPr>
      </w:pPr>
    </w:p>
    <w:p>
      <w:pPr>
        <w:spacing w:line="499" w:lineRule="auto" w:before="0"/>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主要会计数据和财务指标" w:id="9"/>
      <w:bookmarkEnd w:id="9"/>
      <w:r>
        <w:rPr>
          <w:rFonts w:ascii="宋体" w:hAnsi="宋体" w:cs="宋体" w:eastAsia="宋体" w:hint="default"/>
          <w:sz w:val="24"/>
          <w:szCs w:val="24"/>
        </w:rPr>
      </w:r>
      <w:r>
        <w:rPr>
          <w:rFonts w:ascii="宋体" w:hAnsi="宋体" w:cs="宋体" w:eastAsia="宋体" w:hint="default"/>
          <w:b/>
          <w:bCs/>
          <w:w w:val="95"/>
          <w:sz w:val="24"/>
          <w:szCs w:val="24"/>
        </w:rPr>
        <w:t>五、主要会计数据和财务指标</w:t>
      </w:r>
      <w:r>
        <w:rPr>
          <w:rFonts w:ascii="宋体" w:hAnsi="宋体" w:cs="宋体" w:eastAsia="宋体" w:hint="default"/>
          <w:sz w:val="24"/>
          <w:szCs w:val="24"/>
        </w:rPr>
      </w:r>
    </w:p>
    <w:p>
      <w:pPr>
        <w:pStyle w:val="BodyText"/>
        <w:spacing w:line="240" w:lineRule="auto" w:before="117"/>
        <w:ind w:right="1073"/>
        <w:jc w:val="left"/>
      </w:pPr>
      <w:r>
        <w:rPr/>
        <w:t>公司是否因会计政策变更及会计差错更正等追溯调整或重述以前年度会计数据</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19"/>
          <w:szCs w:val="19"/>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390,246,185.64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269,738,063.00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220,336,179.37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31,254,698.39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46,169,543.67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44,873,935.32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17,172,543.56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33,513,920.78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35,727,254.32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36,105,457.69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38,325,953.08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48,711,294.92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878,996,750.98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433,130,370.88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320,749,028.41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511,808,589.18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301,206,282.41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263,336,539.05</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49,334,726.08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80,311,359.96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94,111,016.14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166,489,083.46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-15,072,848.34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22,035,517.54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4,001,689.61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20,290,339.58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-17,002,848.32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16,352,364.22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3,961,062.28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13,861,965.38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-19,380,333.04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9,916,276.76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-7,156,002.95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52,725,516.92</w:t>
            </w:r>
          </w:p>
        </w:tc>
      </w:tr>
    </w:tbl>
    <w:p>
      <w:pPr>
        <w:spacing w:line="240" w:lineRule="auto" w:before="0"/>
        <w:rPr>
          <w:rFonts w:ascii="宋体" w:hAnsi="宋体" w:cs="宋体" w:eastAsia="宋体" w:hint="default"/>
          <w:sz w:val="13"/>
          <w:szCs w:val="13"/>
        </w:rPr>
      </w:pPr>
    </w:p>
    <w:p>
      <w:pPr>
        <w:pStyle w:val="BodyText"/>
        <w:spacing w:line="357" w:lineRule="auto" w:before="26"/>
        <w:ind w:left="1134" w:right="1152" w:firstLine="480"/>
        <w:jc w:val="left"/>
      </w:pPr>
      <w:r>
        <w:rPr/>
        <w:t>上述财务指标或其加总数是否与公司已披露季度报告、半年度报告相关财务指标存在重 大差异</w:t>
      </w:r>
    </w:p>
    <w:p>
      <w:pPr>
        <w:spacing w:line="499" w:lineRule="auto" w:before="192"/>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bookmarkStart w:name="七、境内外会计准则下会计数据差异" w:id="11"/>
      <w:bookmarkEnd w:id="11"/>
      <w:r>
        <w:rPr>
          <w:rFonts w:ascii="宋体" w:hAnsi="宋体" w:cs="宋体" w:eastAsia="宋体" w:hint="default"/>
          <w:sz w:val="24"/>
          <w:szCs w:val="24"/>
        </w:rPr>
      </w:r>
      <w:r>
        <w:rPr>
          <w:rFonts w:ascii="宋体" w:hAnsi="宋体" w:cs="宋体" w:eastAsia="宋体" w:hint="default"/>
          <w:b/>
          <w:bCs/>
          <w:w w:val="95"/>
          <w:sz w:val="24"/>
          <w:szCs w:val="24"/>
        </w:rPr>
        <w:t>七、境内外会计准则下会计数据差异</w:t>
      </w:r>
      <w:r>
        <w:rPr>
          <w:rFonts w:ascii="宋体" w:hAnsi="宋体" w:cs="宋体" w:eastAsia="宋体" w:hint="default"/>
          <w:sz w:val="24"/>
          <w:szCs w:val="24"/>
        </w:rPr>
      </w:r>
    </w:p>
    <w:p>
      <w:pPr>
        <w:spacing w:before="63"/>
        <w:ind w:left="1134" w:right="1073"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公司报告期不存在按照国际会计准则与按照中国会计准则披露的财务报告中净利润和净</w:t>
      </w:r>
    </w:p>
    <w:p>
      <w:pPr>
        <w:pStyle w:val="BodyText"/>
        <w:spacing w:line="257" w:lineRule="exact"/>
        <w:ind w:left="1134" w:right="1073"/>
        <w:jc w:val="left"/>
      </w:pPr>
      <w:r>
        <w:rPr/>
        <w:t>资产差异情况。</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公司报告期不存在按照境外会计准则与按照中国会计准则披露的财务报告中净利润和净</w:t>
      </w:r>
    </w:p>
    <w:p>
      <w:pPr>
        <w:pStyle w:val="BodyText"/>
        <w:spacing w:line="257" w:lineRule="exact"/>
        <w:ind w:left="1134" w:right="1073"/>
        <w:jc w:val="left"/>
      </w:pPr>
      <w:r>
        <w:rPr/>
        <w:t>资产差异情况。</w:t>
      </w:r>
    </w:p>
    <w:p>
      <w:pPr>
        <w:spacing w:line="240" w:lineRule="auto" w:before="11"/>
        <w:rPr>
          <w:rFonts w:ascii="宋体" w:hAnsi="宋体" w:cs="宋体" w:eastAsia="宋体" w:hint="default"/>
          <w:sz w:val="28"/>
          <w:szCs w:val="28"/>
        </w:rPr>
      </w:pPr>
    </w:p>
    <w:p>
      <w:pPr>
        <w:pStyle w:val="Heading2"/>
        <w:spacing w:line="240" w:lineRule="auto" w:before="0"/>
        <w:ind w:right="107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57"/>
        <w:gridCol w:w="1523"/>
        <w:gridCol w:w="1511"/>
        <w:gridCol w:w="1698"/>
        <w:gridCol w:w="1697"/>
      </w:tblGrid>
      <w:tr>
        <w:trPr>
          <w:trHeight w:val="402"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值准备的冲销部分）</w:t>
            </w:r>
          </w:p>
        </w:tc>
        <w:tc>
          <w:tcPr>
            <w:tcW w:w="15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2,460,598.41</w:t>
            </w:r>
          </w:p>
        </w:tc>
        <w:tc>
          <w:tcPr>
            <w:tcW w:w="1511"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01" w:type="dxa"/>
        <w:tblLayout w:type="fixed"/>
        <w:tblCellMar>
          <w:top w:w="0" w:type="dxa"/>
          <w:left w:w="0" w:type="dxa"/>
          <w:bottom w:w="0" w:type="dxa"/>
          <w:right w:w="0" w:type="dxa"/>
        </w:tblCellMar>
        <w:tblLook w:val="01E0"/>
      </w:tblPr>
      <w:tblGrid>
        <w:gridCol w:w="3280"/>
        <w:gridCol w:w="1511"/>
        <w:gridCol w:w="1511"/>
        <w:gridCol w:w="1698"/>
        <w:gridCol w:w="1697"/>
      </w:tblGrid>
      <w:tr>
        <w:trPr>
          <w:trHeight w:val="1026" w:hRule="exact"/>
        </w:trPr>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切相关，按照国家统一标准定额或定量享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受的政府补助除外）</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14,174,999.92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13,991,797.38</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11,034,282.30</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-202,159.97</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-217,761.35</w:t>
            </w:r>
            <w:r>
              <w:rPr>
                <w:rFonts w:ascii="Times New Roman"/>
                <w:sz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-273,966.42</w:t>
            </w:r>
            <w:r>
              <w:rPr>
                <w:rFonts w:ascii="Times New Roman"/>
                <w:sz w:val="18"/>
              </w:rPr>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2,272,174.94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1,118,413.14</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1,614,459.88</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79,108.59</w:t>
            </w:r>
          </w:p>
        </w:tc>
        <w:tc>
          <w:tcPr>
            <w:tcW w:w="1511"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-825.00</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14,082,154.83</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12,655,622.89</w:t>
            </w:r>
          </w:p>
        </w:tc>
        <w:tc>
          <w:tcPr>
            <w:tcW w:w="169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9,146,681.00</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5"/>
        <w:ind w:left="1133" w:right="115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before="211"/>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338" w:lineRule="auto"/>
        <w:ind w:left="1133" w:right="1152" w:firstLine="480"/>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性损益》定义、列举的非经常性损益项目界定为经常性损益的项目的情形。</w:t>
      </w:r>
    </w:p>
    <w:p>
      <w:pPr>
        <w:spacing w:after="0" w:line="338"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1114"/>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07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spacing w:val="-4"/>
        </w:rPr>
        <w:t>在全球领域，数字出版已经成为了主流趋势，预计</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年全球的娱乐和媒体产业将达到</w:t>
      </w:r>
    </w:p>
    <w:p>
      <w:pPr>
        <w:pStyle w:val="BodyText"/>
        <w:spacing w:line="240" w:lineRule="auto" w:before="135"/>
        <w:ind w:left="1134" w:right="10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万亿美元的规模，而数字出版在其中是主要的增长部分；在电子书领域，预测</w:t>
      </w:r>
      <w:r>
        <w:rPr>
          <w:spacing w:val="-6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年移动</w:t>
      </w:r>
    </w:p>
    <w:p>
      <w:pPr>
        <w:pStyle w:val="BodyText"/>
        <w:spacing w:line="338" w:lineRule="auto" w:before="135"/>
        <w:ind w:left="1134" w:right="1152"/>
        <w:jc w:val="left"/>
      </w:pPr>
      <w:r>
        <w:rPr/>
        <w:t>产品电子书销售额将接近</w:t>
      </w:r>
      <w:r>
        <w:rPr>
          <w:spacing w:val="-60"/>
        </w:rPr>
        <w:t> </w:t>
      </w:r>
      <w:r>
        <w:rPr>
          <w:rFonts w:ascii="Times New Roman" w:hAnsi="Times New Roman" w:cs="Times New Roman" w:eastAsia="Times New Roman" w:hint="default"/>
        </w:rPr>
        <w:t>100 </w:t>
      </w:r>
      <w:r>
        <w:rPr/>
        <w:t>亿美元；在发达国家如美国、英国，数字出版已经占据整体市 场的</w:t>
      </w:r>
      <w:r>
        <w:rPr>
          <w:spacing w:val="-60"/>
        </w:rPr>
        <w:t> </w:t>
      </w:r>
      <w:r>
        <w:rPr>
          <w:rFonts w:ascii="Times New Roman" w:hAnsi="Times New Roman" w:cs="Times New Roman" w:eastAsia="Times New Roman" w:hint="default"/>
        </w:rPr>
        <w:t>30%</w:t>
      </w:r>
      <w:r>
        <w:rPr/>
        <w:t>。</w:t>
      </w:r>
    </w:p>
    <w:p>
      <w:pPr>
        <w:pStyle w:val="BodyText"/>
        <w:spacing w:line="345" w:lineRule="auto" w:before="183"/>
        <w:ind w:left="1133" w:right="1000" w:firstLine="480"/>
        <w:jc w:val="left"/>
      </w:pPr>
      <w:r>
        <w:rPr/>
        <w:t>聚焦国内文化产业，目前处于文化大爆发的空前繁荣阶段，万亿市场空间即将打开，行 业增速超过</w:t>
      </w:r>
      <w:r>
        <w:rPr>
          <w:spacing w:val="-56"/>
        </w:rPr>
        <w:t> </w:t>
      </w:r>
      <w:r>
        <w:rPr>
          <w:rFonts w:ascii="Times New Roman" w:hAnsi="Times New Roman" w:cs="Times New Roman" w:eastAsia="Times New Roman" w:hint="default"/>
          <w:spacing w:val="-4"/>
        </w:rPr>
        <w:t>40%</w:t>
      </w:r>
      <w:r>
        <w:rPr>
          <w:spacing w:val="-4"/>
        </w:rPr>
        <w:t>。网络文学市场规模近百亿，动漫市场规模近</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spacing w:val="-5"/>
        </w:rPr>
        <w:t>亿元，影视剧超</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亿元， 游戏超</w:t>
      </w:r>
      <w:r>
        <w:rPr>
          <w:spacing w:val="-60"/>
        </w:rPr>
        <w:t> </w:t>
      </w:r>
      <w:r>
        <w:rPr>
          <w:rFonts w:ascii="Times New Roman" w:hAnsi="Times New Roman" w:cs="Times New Roman" w:eastAsia="Times New Roman" w:hint="default"/>
        </w:rPr>
        <w:t>2000 </w:t>
      </w:r>
      <w:r>
        <w:rPr/>
        <w:t>亿元</w:t>
      </w:r>
      <w:r>
        <w:rPr>
          <w:rFonts w:ascii="Times New Roman" w:hAnsi="Times New Roman" w:cs="Times New Roman" w:eastAsia="Times New Roman" w:hint="default"/>
        </w:rPr>
        <w:t>……</w:t>
      </w:r>
      <w:r>
        <w:rPr/>
        <w:t>而</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已成为影视、游戏、动漫等泛娱乐产业的源头及引爆点，单部</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t>授权价格屡创新高。</w:t>
      </w:r>
    </w:p>
    <w:p>
      <w:pPr>
        <w:pStyle w:val="BodyText"/>
        <w:spacing w:line="348" w:lineRule="auto" w:before="204"/>
        <w:ind w:left="1133" w:right="1132" w:firstLine="480"/>
        <w:jc w:val="both"/>
      </w:pPr>
      <w:r>
        <w:rPr/>
        <w:t>在线教育浪潮已然来袭，互联网及移动互联网正在教育产业产生深刻变革。中国在线教 育产业的增速已达</w:t>
      </w:r>
      <w:r>
        <w:rPr>
          <w:spacing w:val="-81"/>
        </w:rPr>
        <w:t> </w:t>
      </w:r>
      <w:r>
        <w:rPr>
          <w:rFonts w:ascii="Times New Roman" w:hAnsi="Times New Roman" w:cs="Times New Roman" w:eastAsia="Times New Roman" w:hint="default"/>
        </w:rPr>
        <w:t>52%</w:t>
      </w:r>
      <w:r>
        <w:rPr/>
        <w:t>，位于世界第二。根据权威行业报告，</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年在线教育产业的市场规 模将超过</w:t>
      </w:r>
      <w:r>
        <w:rPr>
          <w:spacing w:val="-60"/>
        </w:rPr>
        <w:t> </w:t>
      </w:r>
      <w:r>
        <w:rPr>
          <w:rFonts w:ascii="Times New Roman" w:hAnsi="Times New Roman" w:cs="Times New Roman" w:eastAsia="Times New Roman" w:hint="default"/>
        </w:rPr>
        <w:t>1700 </w:t>
      </w:r>
      <w:r>
        <w:rPr/>
        <w:t>亿元，而在线教育用户规模将超</w:t>
      </w:r>
      <w:r>
        <w:rPr>
          <w:spacing w:val="-60"/>
        </w:rPr>
        <w:t> </w:t>
      </w:r>
      <w:r>
        <w:rPr>
          <w:rFonts w:ascii="Times New Roman" w:hAnsi="Times New Roman" w:cs="Times New Roman" w:eastAsia="Times New Roman" w:hint="default"/>
        </w:rPr>
        <w:t>2 </w:t>
      </w:r>
      <w:r>
        <w:rPr/>
        <w:t>亿。</w:t>
      </w:r>
    </w:p>
    <w:p>
      <w:pPr>
        <w:pStyle w:val="BodyText"/>
        <w:spacing w:line="340" w:lineRule="auto" w:before="172"/>
        <w:ind w:left="1133" w:right="1128" w:firstLine="480"/>
        <w:jc w:val="both"/>
      </w:pPr>
      <w:r>
        <w:rPr/>
        <w:t>中文在线的两大业务领域</w:t>
      </w:r>
      <w:r>
        <w:rPr>
          <w:rFonts w:ascii="Times New Roman" w:hAnsi="Times New Roman" w:cs="Times New Roman" w:eastAsia="Times New Roman" w:hint="default"/>
        </w:rPr>
        <w:t>——“</w:t>
      </w:r>
      <w:r>
        <w:rPr/>
        <w:t>基于</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的泛娱乐</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在线教育</w:t>
      </w:r>
      <w:r>
        <w:rPr>
          <w:rFonts w:ascii="Times New Roman" w:hAnsi="Times New Roman" w:cs="Times New Roman" w:eastAsia="Times New Roman" w:hint="default"/>
        </w:rPr>
        <w:t>”</w:t>
      </w:r>
      <w:r>
        <w:rPr/>
        <w:t>，正处于三大风口之上： 互联网</w:t>
      </w:r>
      <w:r>
        <w:rPr>
          <w:rFonts w:ascii="Times New Roman" w:hAnsi="Times New Roman" w:cs="Times New Roman" w:eastAsia="Times New Roman" w:hint="default"/>
        </w:rPr>
        <w:t>+</w:t>
      </w:r>
      <w:r>
        <w:rPr/>
        <w:t>，文化大爆发，在线教育。</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代表着一种新的社会形态，受到了国家的高度 重视，多次出现在《政府工作报告》中；随着中产阶级崛起、消费升级多重因素影响，人们 从基本的衣食住行需求转向文化需求的升级，从而导致文化需求空前旺盛，</w:t>
      </w:r>
      <w:r>
        <w:rPr>
          <w:rFonts w:ascii="Times New Roman" w:hAnsi="Times New Roman" w:cs="Times New Roman" w:eastAsia="Times New Roman" w:hint="default"/>
        </w:rPr>
        <w:t>“</w:t>
      </w:r>
      <w:r>
        <w:rPr/>
        <w:t>文化大爆发</w:t>
      </w:r>
      <w:r>
        <w:rPr>
          <w:rFonts w:ascii="Times New Roman" w:hAnsi="Times New Roman" w:cs="Times New Roman" w:eastAsia="Times New Roman" w:hint="default"/>
        </w:rPr>
        <w:t>”</w:t>
      </w:r>
      <w:r>
        <w:rPr/>
        <w:t>时 代来临并将持续；习近平总书记也提出了建设</w:t>
      </w:r>
      <w:r>
        <w:rPr>
          <w:rFonts w:ascii="Times New Roman" w:hAnsi="Times New Roman" w:cs="Times New Roman" w:eastAsia="Times New Roman" w:hint="default"/>
        </w:rPr>
        <w:t>“</w:t>
      </w:r>
      <w:r>
        <w:rPr/>
        <w:t>人人皆学、处处能学、时时可学</w:t>
      </w:r>
      <w:r>
        <w:rPr>
          <w:rFonts w:ascii="Times New Roman" w:hAnsi="Times New Roman" w:cs="Times New Roman" w:eastAsia="Times New Roman" w:hint="default"/>
        </w:rPr>
        <w:t>”</w:t>
      </w:r>
      <w:r>
        <w:rPr/>
        <w:t>的学习型社 会，在线教育则是实现教育公平的最好途径和方式。</w:t>
      </w:r>
    </w:p>
    <w:p>
      <w:pPr>
        <w:pStyle w:val="BodyText"/>
        <w:spacing w:line="240" w:lineRule="auto" w:before="209"/>
        <w:ind w:right="1073"/>
        <w:jc w:val="left"/>
      </w:pPr>
      <w:r>
        <w:rPr/>
        <w:t>中文在线的两大业务领域：基于</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的泛娱乐生态和在线教育。</w:t>
      </w:r>
    </w:p>
    <w:p>
      <w:pPr>
        <w:spacing w:line="240" w:lineRule="auto" w:before="4"/>
        <w:rPr>
          <w:rFonts w:ascii="宋体" w:hAnsi="宋体" w:cs="宋体" w:eastAsia="宋体" w:hint="default"/>
          <w:sz w:val="22"/>
          <w:szCs w:val="22"/>
        </w:rPr>
      </w:pPr>
    </w:p>
    <w:p>
      <w:pPr>
        <w:pStyle w:val="BodyText"/>
        <w:spacing w:line="240" w:lineRule="auto"/>
        <w:ind w:right="1073"/>
        <w:jc w:val="left"/>
      </w:pPr>
      <w:r>
        <w:rPr>
          <w:rFonts w:ascii="Times New Roman" w:hAnsi="Times New Roman" w:cs="Times New Roman" w:eastAsia="Times New Roman" w:hint="default"/>
        </w:rPr>
        <w:t>1</w:t>
      </w:r>
      <w:r>
        <w:rPr/>
        <w:t>、基于</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的泛娱乐生态</w:t>
      </w:r>
    </w:p>
    <w:p>
      <w:pPr>
        <w:spacing w:line="240" w:lineRule="auto" w:before="4"/>
        <w:rPr>
          <w:rFonts w:ascii="宋体" w:hAnsi="宋体" w:cs="宋体" w:eastAsia="宋体" w:hint="default"/>
          <w:sz w:val="22"/>
          <w:szCs w:val="22"/>
        </w:rPr>
      </w:pPr>
    </w:p>
    <w:p>
      <w:pPr>
        <w:pStyle w:val="BodyText"/>
        <w:spacing w:line="345" w:lineRule="auto"/>
        <w:ind w:left="1133" w:right="1130" w:firstLine="480"/>
        <w:jc w:val="both"/>
      </w:pPr>
      <w:r>
        <w:rPr/>
        <w:t>基于</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的泛娱乐生态，主要是指以文学</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为核心，以授权、合作分成、联合出品等多 种方式多维度深度开发大众娱乐产品，衍生为游戏、文学、动漫、影视、听书、纸书等，实 现版权价值最大化。泛娱乐业务上游对应海量内容，下游通过自有渠道和合作渠道将</w:t>
      </w:r>
      <w:r>
        <w:rPr>
          <w:spacing w:val="-86"/>
        </w:rPr>
        <w:t> </w:t>
      </w:r>
      <w:r>
        <w:rPr>
          <w:rFonts w:ascii="Times New Roman" w:hAnsi="Times New Roman" w:cs="Times New Roman" w:eastAsia="Times New Roman" w:hint="default"/>
        </w:rPr>
        <w:t>IP</w:t>
      </w:r>
      <w:r>
        <w:rPr>
          <w:rFonts w:ascii="Times New Roman" w:hAnsi="Times New Roman" w:cs="Times New Roman" w:eastAsia="Times New Roman" w:hint="default"/>
          <w:spacing w:val="-27"/>
        </w:rPr>
        <w:t> </w:t>
      </w:r>
      <w:r>
        <w:rPr/>
        <w:t>以不 同形态到达海量用户。</w:t>
      </w:r>
    </w:p>
    <w:p>
      <w:pPr>
        <w:spacing w:after="0" w:line="345"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rFonts w:ascii="Times New Roman" w:hAnsi="Times New Roman" w:cs="Times New Roman" w:eastAsia="Times New Roman" w:hint="default"/>
        </w:rPr>
        <w:t>1</w:t>
      </w:r>
      <w:r>
        <w:rPr/>
        <w:t>）海量内容构成文学策源地</w:t>
      </w:r>
    </w:p>
    <w:p>
      <w:pPr>
        <w:spacing w:line="240" w:lineRule="auto" w:before="4"/>
        <w:rPr>
          <w:rFonts w:ascii="宋体" w:hAnsi="宋体" w:cs="宋体" w:eastAsia="宋体" w:hint="default"/>
          <w:sz w:val="22"/>
          <w:szCs w:val="22"/>
        </w:rPr>
      </w:pPr>
    </w:p>
    <w:p>
      <w:pPr>
        <w:pStyle w:val="BodyText"/>
        <w:spacing w:line="338" w:lineRule="auto"/>
        <w:ind w:left="1133" w:right="1112" w:firstLine="480"/>
        <w:jc w:val="both"/>
        <w:rPr>
          <w:rFonts w:ascii="Times New Roman" w:hAnsi="Times New Roman" w:cs="Times New Roman" w:eastAsia="Times New Roman" w:hint="default"/>
        </w:rPr>
      </w:pPr>
      <w:r>
        <w:rPr>
          <w:rFonts w:ascii="Times New Roman" w:hAnsi="Times New Roman" w:cs="Times New Roman" w:eastAsia="Times New Roman" w:hint="default"/>
        </w:rPr>
        <w:t>17K</w:t>
      </w:r>
      <w:r>
        <w:rPr>
          <w:rFonts w:ascii="Times New Roman" w:hAnsi="Times New Roman" w:cs="Times New Roman" w:eastAsia="Times New Roman" w:hint="default"/>
          <w:spacing w:val="-4"/>
        </w:rPr>
        <w:t> </w:t>
      </w:r>
      <w:r>
        <w:rPr/>
        <w:t>小说网</w:t>
      </w:r>
      <w:r>
        <w:rPr>
          <w:rFonts w:ascii="Times New Roman" w:hAnsi="Times New Roman" w:cs="Times New Roman" w:eastAsia="Times New Roman" w:hint="default"/>
        </w:rPr>
        <w:t>——</w:t>
      </w:r>
      <w:r>
        <w:rPr/>
        <w:t>网络文学原创</w:t>
      </w:r>
      <w:r>
        <w:rPr>
          <w:spacing w:val="-64"/>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孵化器，目前拥有原创</w:t>
      </w:r>
      <w:r>
        <w:rPr>
          <w:spacing w:val="-64"/>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作品达</w:t>
      </w:r>
      <w:r>
        <w:rPr>
          <w:spacing w:val="-64"/>
        </w:rPr>
        <w:t> </w:t>
      </w:r>
      <w:r>
        <w:rPr>
          <w:rFonts w:ascii="Times New Roman" w:hAnsi="Times New Roman" w:cs="Times New Roman" w:eastAsia="Times New Roman" w:hint="default"/>
        </w:rPr>
        <w:t>60</w:t>
      </w:r>
      <w:r>
        <w:rPr>
          <w:rFonts w:ascii="Times New Roman" w:hAnsi="Times New Roman" w:cs="Times New Roman" w:eastAsia="Times New Roman" w:hint="default"/>
          <w:spacing w:val="-4"/>
        </w:rPr>
        <w:t> </w:t>
      </w:r>
      <w:r>
        <w:rPr/>
        <w:t>万种，拥有注册用</w:t>
      </w:r>
      <w:r>
        <w:rPr>
          <w:w w:val="99"/>
        </w:rPr>
        <w:t> </w:t>
      </w:r>
      <w:r>
        <w:rPr/>
        <w:t>户数</w:t>
      </w:r>
      <w:r>
        <w:rPr>
          <w:spacing w:val="-58"/>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spacing w:val="-3"/>
        </w:rPr>
        <w:t>万，驻站网络作者</w:t>
      </w:r>
      <w:r>
        <w:rPr>
          <w:spacing w:val="-58"/>
        </w:rPr>
        <w:t> </w:t>
      </w:r>
      <w:r>
        <w:rPr>
          <w:rFonts w:ascii="Times New Roman" w:hAnsi="Times New Roman" w:cs="Times New Roman" w:eastAsia="Times New Roman" w:hint="default"/>
        </w:rPr>
        <w:t>60</w:t>
      </w:r>
      <w:r>
        <w:rPr>
          <w:rFonts w:ascii="Times New Roman" w:hAnsi="Times New Roman" w:cs="Times New Roman" w:eastAsia="Times New Roman" w:hint="default"/>
          <w:spacing w:val="2"/>
        </w:rPr>
        <w:t> </w:t>
      </w:r>
      <w:r>
        <w:rPr>
          <w:spacing w:val="-3"/>
        </w:rPr>
        <w:t>万，月活跃作者数超过</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万，点击过亿作品</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4"/>
        </w:rPr>
        <w:t>余部，改编为</w:t>
      </w:r>
      <w:r>
        <w:rPr>
          <w:w w:val="99"/>
        </w:rPr>
        <w:t> </w:t>
      </w:r>
      <w:r>
        <w:rPr>
          <w:spacing w:val="16"/>
        </w:rPr>
        <w:t>影视游戏动漫等衍生作品近百部，先后有数十位作者入驻作协。中文在线旗下</w:t>
      </w:r>
      <w:r>
        <w:rPr>
          <w:rFonts w:ascii="Times New Roman" w:hAnsi="Times New Roman" w:cs="Times New Roman" w:eastAsia="Times New Roman" w:hint="default"/>
          <w:spacing w:val="16"/>
        </w:rPr>
        <w:t>“</w:t>
      </w:r>
      <w:r>
        <w:rPr>
          <w:spacing w:val="16"/>
        </w:rPr>
        <w:t>汤圆创</w:t>
      </w:r>
      <w:r>
        <w:rPr>
          <w:spacing w:val="-84"/>
        </w:rPr>
        <w:t> </w:t>
      </w:r>
      <w:r>
        <w:rPr/>
        <w:t>作</w:t>
      </w:r>
      <w:r>
        <w:rPr>
          <w:rFonts w:ascii="Times New Roman" w:hAnsi="Times New Roman" w:cs="Times New Roman" w:eastAsia="Times New Roman" w:hint="default"/>
        </w:rPr>
        <w:t>”APP——</w:t>
      </w:r>
      <w:r>
        <w:rPr/>
        <w:t>国内最大的移动创作社区，拥有月活跃作者数超过 </w:t>
      </w:r>
      <w:r>
        <w:rPr>
          <w:rFonts w:ascii="Times New Roman" w:hAnsi="Times New Roman" w:cs="Times New Roman" w:eastAsia="Times New Roman" w:hint="default"/>
        </w:rPr>
        <w:t>23 </w:t>
      </w:r>
      <w:r>
        <w:rPr/>
        <w:t>万。</w:t>
      </w:r>
      <w:r>
        <w:rPr>
          <w:rFonts w:ascii="Times New Roman" w:hAnsi="Times New Roman" w:cs="Times New Roman" w:eastAsia="Times New Roman" w:hint="default"/>
        </w:rPr>
        <w:t>2015</w:t>
      </w:r>
      <w:r>
        <w:rPr>
          <w:rFonts w:ascii="Times New Roman" w:hAnsi="Times New Roman" w:cs="Times New Roman" w:eastAsia="Times New Roman" w:hint="default"/>
          <w:spacing w:val="-32"/>
        </w:rPr>
        <w:t> </w:t>
      </w:r>
      <w:r>
        <w:rPr/>
        <w:t>年，汤圆创作组 建了全国最大的校园文学联盟，目前下辖国内七大区 </w:t>
      </w:r>
      <w:r>
        <w:rPr>
          <w:rFonts w:ascii="Times New Roman" w:hAnsi="Times New Roman" w:cs="Times New Roman" w:eastAsia="Times New Roman" w:hint="default"/>
        </w:rPr>
        <w:t>30  </w:t>
      </w:r>
      <w:r>
        <w:rPr/>
        <w:t>省市校园文学联盟，渠道覆盖</w:t>
      </w:r>
      <w:r>
        <w:rPr>
          <w:spacing w:val="-83"/>
        </w:rPr>
        <w:t> </w:t>
      </w:r>
      <w:r>
        <w:rPr>
          <w:rFonts w:ascii="Times New Roman" w:hAnsi="Times New Roman" w:cs="Times New Roman" w:eastAsia="Times New Roman" w:hint="default"/>
        </w:rPr>
        <w:t>3000</w:t>
      </w:r>
    </w:p>
    <w:p>
      <w:pPr>
        <w:pStyle w:val="BodyText"/>
        <w:spacing w:line="240" w:lineRule="auto" w:before="27"/>
        <w:ind w:left="1134" w:right="1073"/>
        <w:jc w:val="left"/>
      </w:pPr>
      <w:r>
        <w:rPr/>
        <w:t>所校园（大学</w:t>
      </w:r>
      <w:r>
        <w:rPr>
          <w:rFonts w:ascii="Times New Roman" w:hAnsi="Times New Roman" w:cs="Times New Roman" w:eastAsia="Times New Roman" w:hint="default"/>
        </w:rPr>
        <w:t>+</w:t>
      </w:r>
      <w:r>
        <w:rPr/>
        <w:t>中学</w:t>
      </w:r>
      <w:r>
        <w:rPr>
          <w:spacing w:val="-120"/>
        </w:rPr>
        <w:t>）</w:t>
      </w:r>
      <w:r>
        <w:rPr/>
        <w:t>，旗下成员单位包括</w:t>
      </w:r>
      <w:r>
        <w:rPr>
          <w:spacing w:val="-54"/>
        </w:rPr>
        <w:t> </w:t>
      </w:r>
      <w:r>
        <w:rPr>
          <w:rFonts w:ascii="Times New Roman" w:hAnsi="Times New Roman" w:cs="Times New Roman" w:eastAsia="Times New Roman" w:hint="default"/>
        </w:rPr>
        <w:t>1555</w:t>
      </w:r>
      <w:r>
        <w:rPr>
          <w:rFonts w:ascii="Times New Roman" w:hAnsi="Times New Roman" w:cs="Times New Roman" w:eastAsia="Times New Roman" w:hint="default"/>
          <w:spacing w:val="6"/>
        </w:rPr>
        <w:t> </w:t>
      </w:r>
      <w:r>
        <w:rPr/>
        <w:t>个校园文学社团，超过</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w:t>
      </w:r>
      <w:r>
        <w:rPr>
          <w:spacing w:val="-2"/>
        </w:rPr>
        <w:t>名</w:t>
      </w:r>
      <w:r>
        <w:rPr/>
        <w:t>校园作者入驻</w:t>
      </w:r>
    </w:p>
    <w:p>
      <w:pPr>
        <w:pStyle w:val="BodyText"/>
        <w:spacing w:line="240" w:lineRule="auto" w:before="135"/>
        <w:ind w:left="1134" w:right="1073"/>
        <w:jc w:val="left"/>
        <w:rPr>
          <w:rFonts w:ascii="Times New Roman" w:hAnsi="Times New Roman" w:cs="Times New Roman" w:eastAsia="Times New Roman" w:hint="default"/>
        </w:rPr>
      </w:pPr>
      <w:r>
        <w:rPr/>
        <w:t>校园专区。</w:t>
      </w:r>
      <w:r>
        <w:rPr>
          <w:rFonts w:ascii="Times New Roman" w:hAnsi="Times New Roman" w:cs="Times New Roman" w:eastAsia="Times New Roman" w:hint="default"/>
        </w:rPr>
        <w:t>2016 </w:t>
      </w:r>
      <w:r>
        <w:rPr/>
        <w:t>年，汤圆创作成立中国校园漫画家俱乐部，目前渠道覆盖 </w:t>
      </w:r>
      <w:r>
        <w:rPr>
          <w:rFonts w:ascii="Times New Roman" w:hAnsi="Times New Roman" w:cs="Times New Roman" w:eastAsia="Times New Roman" w:hint="default"/>
        </w:rPr>
        <w:t>240 </w:t>
      </w:r>
      <w:r>
        <w:rPr/>
        <w:t>个城市近</w:t>
      </w:r>
      <w:r>
        <w:rPr>
          <w:spacing w:val="-84"/>
        </w:rPr>
        <w:t> </w:t>
      </w:r>
      <w:r>
        <w:rPr>
          <w:rFonts w:ascii="Times New Roman" w:hAnsi="Times New Roman" w:cs="Times New Roman" w:eastAsia="Times New Roman" w:hint="default"/>
        </w:rPr>
        <w:t>500</w:t>
      </w:r>
    </w:p>
    <w:p>
      <w:pPr>
        <w:pStyle w:val="BodyText"/>
        <w:spacing w:line="240" w:lineRule="auto" w:before="135"/>
        <w:ind w:left="1134" w:right="1073"/>
        <w:jc w:val="left"/>
      </w:pPr>
      <w:r>
        <w:rPr>
          <w:spacing w:val="-3"/>
        </w:rPr>
        <w:t>所高校，漫画创作者超过 </w:t>
      </w:r>
      <w:r>
        <w:rPr>
          <w:rFonts w:ascii="Times New Roman" w:hAnsi="Times New Roman" w:cs="Times New Roman" w:eastAsia="Times New Roman" w:hint="default"/>
        </w:rPr>
        <w:t>1000</w:t>
      </w:r>
      <w:r>
        <w:rPr>
          <w:rFonts w:ascii="Times New Roman" w:hAnsi="Times New Roman" w:cs="Times New Roman" w:eastAsia="Times New Roman" w:hint="default"/>
          <w:spacing w:val="-27"/>
        </w:rPr>
        <w:t> </w:t>
      </w:r>
      <w:r>
        <w:rPr>
          <w:spacing w:val="-3"/>
        </w:rPr>
        <w:t>名。在纸质出版物领域</w:t>
      </w:r>
      <w:r>
        <w:rPr>
          <w:rFonts w:ascii="Times New Roman" w:hAnsi="Times New Roman" w:cs="Times New Roman" w:eastAsia="Times New Roman" w:hint="default"/>
          <w:spacing w:val="-3"/>
        </w:rPr>
        <w:t>——</w:t>
      </w:r>
      <w:r>
        <w:rPr>
          <w:spacing w:val="-3"/>
        </w:rPr>
        <w:t>顶级作家汇聚地，公司签约名家及</w:t>
      </w:r>
    </w:p>
    <w:p>
      <w:pPr>
        <w:pStyle w:val="BodyText"/>
        <w:spacing w:line="338" w:lineRule="auto" w:before="135"/>
        <w:ind w:left="1134" w:right="1117"/>
        <w:jc w:val="left"/>
      </w:pPr>
      <w:r>
        <w:rPr/>
        <w:t>畅销书作家</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spacing w:val="-7"/>
        </w:rPr>
        <w:t>余人，与</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6"/>
        </w:rPr>
        <w:t> </w:t>
      </w:r>
      <w:r>
        <w:rPr>
          <w:spacing w:val="-3"/>
        </w:rPr>
        <w:t>余家版权机构合作。在听书领域，全资子公司鸿达以太目前拥</w:t>
      </w:r>
      <w:r>
        <w:rPr/>
        <w:t> 有</w:t>
      </w:r>
      <w:r>
        <w:rPr>
          <w:spacing w:val="-60"/>
        </w:rPr>
        <w:t> </w:t>
      </w:r>
      <w:r>
        <w:rPr>
          <w:rFonts w:ascii="Times New Roman" w:hAnsi="Times New Roman" w:cs="Times New Roman" w:eastAsia="Times New Roman" w:hint="default"/>
        </w:rPr>
        <w:t>10 </w:t>
      </w:r>
      <w:r>
        <w:rPr/>
        <w:t>万集部、</w:t>
      </w:r>
      <w:r>
        <w:rPr>
          <w:rFonts w:ascii="Times New Roman" w:hAnsi="Times New Roman" w:cs="Times New Roman" w:eastAsia="Times New Roman" w:hint="default"/>
        </w:rPr>
        <w:t>4 </w:t>
      </w:r>
      <w:r>
        <w:rPr/>
        <w:t>万小时的有声读物资源和优质原创小说资源。</w:t>
      </w:r>
    </w:p>
    <w:p>
      <w:pPr>
        <w:pStyle w:val="BodyText"/>
        <w:spacing w:line="240" w:lineRule="auto" w:before="183"/>
        <w:ind w:left="1613" w:right="1073"/>
        <w:jc w:val="left"/>
      </w:pPr>
      <w:r>
        <w:rPr>
          <w:rFonts w:ascii="Times New Roman" w:hAnsi="Times New Roman" w:cs="Times New Roman" w:eastAsia="Times New Roman" w:hint="default"/>
        </w:rPr>
        <w:t>2</w:t>
      </w:r>
      <w:r>
        <w:rPr/>
        <w:t>）全渠道覆盖到达海量用户加速</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变现</w:t>
      </w:r>
    </w:p>
    <w:p>
      <w:pPr>
        <w:spacing w:line="240" w:lineRule="auto" w:before="4"/>
        <w:rPr>
          <w:rFonts w:ascii="宋体" w:hAnsi="宋体" w:cs="宋体" w:eastAsia="宋体" w:hint="default"/>
          <w:sz w:val="22"/>
          <w:szCs w:val="22"/>
        </w:rPr>
      </w:pPr>
    </w:p>
    <w:p>
      <w:pPr>
        <w:pStyle w:val="BodyText"/>
        <w:spacing w:line="345" w:lineRule="auto"/>
        <w:ind w:left="1133" w:right="1170" w:firstLine="480"/>
        <w:jc w:val="both"/>
      </w:pPr>
      <w:r>
        <w:rPr/>
        <w:t>海量内容通过自有和合作渠道发布到达海量用户。自有渠道包括：</w:t>
      </w:r>
      <w:r>
        <w:rPr>
          <w:rFonts w:ascii="Times New Roman" w:hAnsi="Times New Roman" w:cs="Times New Roman" w:eastAsia="Times New Roman" w:hint="default"/>
        </w:rPr>
        <w:t>17K</w:t>
      </w:r>
      <w:r>
        <w:rPr>
          <w:rFonts w:ascii="Times New Roman" w:hAnsi="Times New Roman" w:cs="Times New Roman" w:eastAsia="Times New Roman" w:hint="default"/>
          <w:spacing w:val="-1"/>
        </w:rPr>
        <w:t> </w:t>
      </w:r>
      <w:r>
        <w:rPr/>
        <w:t>小说网、汤圆创 作</w:t>
      </w:r>
      <w:r>
        <w:rPr>
          <w:spacing w:val="-61"/>
        </w:rPr>
        <w:t> </w:t>
      </w:r>
      <w:r>
        <w:rPr>
          <w:rFonts w:ascii="Times New Roman" w:hAnsi="Times New Roman" w:cs="Times New Roman" w:eastAsia="Times New Roman" w:hint="default"/>
        </w:rPr>
        <w:t>APP</w:t>
      </w:r>
      <w:r>
        <w:rPr/>
        <w:t>、中文书城</w:t>
      </w:r>
      <w:r>
        <w:rPr>
          <w:spacing w:val="-61"/>
        </w:rPr>
        <w:t> </w:t>
      </w:r>
      <w:r>
        <w:rPr>
          <w:rFonts w:ascii="Times New Roman" w:hAnsi="Times New Roman" w:cs="Times New Roman" w:eastAsia="Times New Roman" w:hint="default"/>
        </w:rPr>
        <w:t>APP</w:t>
      </w:r>
      <w:r>
        <w:rPr/>
        <w:t>、四月天网站、书香中国、微书房等等，覆盖用户超</w:t>
      </w:r>
      <w:r>
        <w:rPr>
          <w:spacing w:val="-61"/>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万。合作 渠道包括：三大电信运营商、互联网及移动互联网平台、手机硬件厂商以及其他多种阅读平 台，间接覆盖用户数以亿计。</w:t>
      </w:r>
    </w:p>
    <w:p>
      <w:pPr>
        <w:pStyle w:val="BodyText"/>
        <w:spacing w:line="240" w:lineRule="auto" w:before="204"/>
        <w:ind w:right="107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）精品内容＋多元渠道 打造版权衍生超级</w:t>
      </w:r>
      <w:r>
        <w:rPr>
          <w:spacing w:val="-61"/>
        </w:rPr>
        <w:t> </w:t>
      </w:r>
      <w:r>
        <w:rPr>
          <w:rFonts w:ascii="Times New Roman" w:hAnsi="Times New Roman" w:cs="Times New Roman" w:eastAsia="Times New Roman" w:hint="default"/>
        </w:rPr>
        <w:t>IP</w:t>
      </w:r>
    </w:p>
    <w:p>
      <w:pPr>
        <w:spacing w:line="240" w:lineRule="auto" w:before="4"/>
        <w:rPr>
          <w:rFonts w:ascii="Times New Roman" w:hAnsi="Times New Roman" w:cs="Times New Roman" w:eastAsia="Times New Roman" w:hint="default"/>
          <w:sz w:val="25"/>
          <w:szCs w:val="25"/>
        </w:rPr>
      </w:pPr>
    </w:p>
    <w:p>
      <w:pPr>
        <w:pStyle w:val="BodyText"/>
        <w:spacing w:line="338" w:lineRule="auto"/>
        <w:ind w:left="1134" w:right="1130" w:firstLine="480"/>
        <w:jc w:val="both"/>
      </w:pPr>
      <w:r>
        <w:rPr>
          <w:spacing w:val="-3"/>
        </w:rPr>
        <w:t>精品内容和多元渠道相结合，通过</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一体化开发模式打造版权衍生超级</w:t>
      </w:r>
      <w:r>
        <w:rPr>
          <w:spacing w:val="-60"/>
        </w:rPr>
        <w:t> </w:t>
      </w:r>
      <w:r>
        <w:rPr>
          <w:rFonts w:ascii="Times New Roman" w:hAnsi="Times New Roman" w:cs="Times New Roman" w:eastAsia="Times New Roman" w:hint="default"/>
          <w:spacing w:val="-6"/>
        </w:rPr>
        <w:t>IP</w:t>
      </w:r>
      <w:r>
        <w:rPr>
          <w:spacing w:val="-6"/>
        </w:rPr>
        <w:t>，构建了中文</w:t>
      </w:r>
      <w:r>
        <w:rPr/>
        <w:t> 在线泛娱乐生态。</w:t>
      </w:r>
    </w:p>
    <w:p>
      <w:pPr>
        <w:pStyle w:val="BodyText"/>
        <w:spacing w:line="240" w:lineRule="auto" w:before="211"/>
        <w:ind w:right="1073"/>
        <w:jc w:val="left"/>
      </w:pPr>
      <w:r>
        <w:rPr>
          <w:rFonts w:ascii="Times New Roman" w:hAnsi="Times New Roman" w:cs="Times New Roman" w:eastAsia="Times New Roman" w:hint="default"/>
        </w:rPr>
        <w:t>2</w:t>
      </w:r>
      <w:r>
        <w:rPr/>
        <w:t>、在线教育</w:t>
      </w:r>
    </w:p>
    <w:p>
      <w:pPr>
        <w:spacing w:line="240" w:lineRule="auto" w:before="4"/>
        <w:rPr>
          <w:rFonts w:ascii="宋体" w:hAnsi="宋体" w:cs="宋体" w:eastAsia="宋体" w:hint="default"/>
          <w:sz w:val="22"/>
          <w:szCs w:val="22"/>
        </w:rPr>
      </w:pPr>
    </w:p>
    <w:p>
      <w:pPr>
        <w:pStyle w:val="BodyText"/>
        <w:spacing w:line="348" w:lineRule="auto"/>
        <w:ind w:left="1134" w:right="1170" w:firstLine="480"/>
        <w:jc w:val="both"/>
      </w:pPr>
      <w:r>
        <w:rPr/>
        <w:t>在在线教育领域，围绕公司内容以及教育行业先发优势，打造</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的 在线教育生态。在线教育三大平台：针对教育阅读的书香中国全民阅读平台，针对基础教育 的数字教材教辅平台，针对高等教育的</w:t>
      </w:r>
      <w:r>
        <w:rPr>
          <w:spacing w:val="-61"/>
        </w:rPr>
        <w:t> </w:t>
      </w:r>
      <w:r>
        <w:rPr>
          <w:rFonts w:ascii="Times New Roman" w:hAnsi="Times New Roman" w:cs="Times New Roman" w:eastAsia="Times New Roman" w:hint="default"/>
        </w:rPr>
        <w:t>MOOC</w:t>
      </w:r>
      <w:r>
        <w:rPr>
          <w:rFonts w:ascii="Times New Roman" w:hAnsi="Times New Roman" w:cs="Times New Roman" w:eastAsia="Times New Roman" w:hint="default"/>
          <w:spacing w:val="-1"/>
        </w:rPr>
        <w:t> </w:t>
      </w:r>
      <w:r>
        <w:rPr/>
        <w:t>平台。</w:t>
      </w:r>
    </w:p>
    <w:p>
      <w:pPr>
        <w:pStyle w:val="BodyText"/>
        <w:spacing w:line="240" w:lineRule="auto" w:before="172"/>
        <w:ind w:left="1613" w:right="1073"/>
        <w:jc w:val="left"/>
      </w:pPr>
      <w:r>
        <w:rPr>
          <w:rFonts w:ascii="Times New Roman" w:hAnsi="Times New Roman" w:cs="Times New Roman" w:eastAsia="Times New Roman" w:hint="default"/>
        </w:rPr>
        <w:t>1</w:t>
      </w:r>
      <w:r>
        <w:rPr/>
        <w:t>）书香中国</w:t>
      </w:r>
    </w:p>
    <w:p>
      <w:pPr>
        <w:spacing w:line="240" w:lineRule="auto" w:before="4"/>
        <w:rPr>
          <w:rFonts w:ascii="宋体" w:hAnsi="宋体" w:cs="宋体" w:eastAsia="宋体" w:hint="default"/>
          <w:sz w:val="22"/>
          <w:szCs w:val="22"/>
        </w:rPr>
      </w:pPr>
    </w:p>
    <w:p>
      <w:pPr>
        <w:pStyle w:val="BodyText"/>
        <w:spacing w:line="338" w:lineRule="auto"/>
        <w:ind w:left="1133" w:right="1131" w:firstLine="480"/>
        <w:jc w:val="both"/>
      </w:pPr>
      <w:r>
        <w:rPr/>
        <w:t>书香中国，采用</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模式，为用户提供</w:t>
      </w:r>
      <w:r>
        <w:rPr>
          <w:spacing w:val="-60"/>
        </w:rPr>
        <w:t> </w:t>
      </w:r>
      <w:r>
        <w:rPr>
          <w:rFonts w:ascii="Times New Roman" w:hAnsi="Times New Roman" w:cs="Times New Roman" w:eastAsia="Times New Roman" w:hint="default"/>
        </w:rPr>
        <w:t>24 </w:t>
      </w:r>
      <w:r>
        <w:rPr/>
        <w:t>小时无墙化的不闭馆的数字图书馆，目前 覆盖</w:t>
      </w:r>
      <w:r>
        <w:rPr>
          <w:spacing w:val="-71"/>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个省</w:t>
      </w:r>
      <w:r>
        <w:rPr>
          <w:spacing w:val="-21"/>
        </w:rPr>
        <w:t> </w:t>
      </w:r>
      <w:r>
        <w:rPr>
          <w:spacing w:val="-3"/>
        </w:rPr>
        <w:t>，</w:t>
      </w:r>
      <w:r>
        <w:rPr>
          <w:rFonts w:ascii="Times New Roman" w:hAnsi="Times New Roman" w:cs="Times New Roman" w:eastAsia="Times New Roman" w:hint="default"/>
          <w:spacing w:val="-3"/>
        </w:rPr>
        <w:t>50,000</w:t>
      </w:r>
      <w:r>
        <w:rPr>
          <w:rFonts w:ascii="Times New Roman" w:hAnsi="Times New Roman" w:cs="Times New Roman" w:eastAsia="Times New Roman" w:hint="default"/>
          <w:spacing w:val="-11"/>
        </w:rPr>
        <w:t> </w:t>
      </w:r>
      <w:r>
        <w:rPr/>
        <w:t>余所中小学校，</w:t>
      </w:r>
      <w:r>
        <w:rPr>
          <w:rFonts w:ascii="Times New Roman" w:hAnsi="Times New Roman" w:cs="Times New Roman" w:eastAsia="Times New Roman" w:hint="default"/>
        </w:rPr>
        <w:t>1,700</w:t>
      </w:r>
      <w:r>
        <w:rPr>
          <w:rFonts w:ascii="Times New Roman" w:hAnsi="Times New Roman" w:cs="Times New Roman" w:eastAsia="Times New Roman" w:hint="default"/>
          <w:spacing w:val="-11"/>
        </w:rPr>
        <w:t> </w:t>
      </w:r>
      <w:r>
        <w:rPr/>
        <w:t>余所高校。云端储存丰富的数字内容，通过触控</w:t>
      </w:r>
    </w:p>
    <w:p>
      <w:pPr>
        <w:spacing w:after="0" w:line="338"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45" w:lineRule="auto" w:before="26"/>
        <w:ind w:left="1133" w:right="1131"/>
        <w:jc w:val="both"/>
      </w:pPr>
      <w:r>
        <w:rPr/>
        <w:t>扫码下载图书。</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年，进一步强化了公司在数字教育领域的市场优势，教育业务实现了跨 越式发展。公司教育行业阅读产品纵贯中小学并延伸至高校及公共图书馆，形成数字教育行 业阅读产品全覆盖，包括传统的数字图书馆、基于互联网模式的</w:t>
      </w: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数字图书馆、云 屏数字借阅机等相关产品，拥有行业注册用户</w:t>
      </w:r>
      <w:r>
        <w:rPr>
          <w:spacing w:val="-60"/>
        </w:rPr>
        <w:t> </w:t>
      </w:r>
      <w:r>
        <w:rPr>
          <w:rFonts w:ascii="Times New Roman" w:hAnsi="Times New Roman" w:cs="Times New Roman" w:eastAsia="Times New Roman" w:hint="default"/>
        </w:rPr>
        <w:t>2000 </w:t>
      </w:r>
      <w:r>
        <w:rPr/>
        <w:t>余万。</w:t>
      </w:r>
    </w:p>
    <w:p>
      <w:pPr>
        <w:pStyle w:val="BodyText"/>
        <w:spacing w:line="451" w:lineRule="auto" w:before="175"/>
        <w:ind w:right="1152"/>
        <w:jc w:val="left"/>
      </w:pPr>
      <w:r>
        <w:rPr>
          <w:rFonts w:ascii="Times New Roman" w:hAnsi="Times New Roman" w:cs="Times New Roman" w:eastAsia="Times New Roman" w:hint="default"/>
        </w:rPr>
        <w:t>2</w:t>
      </w:r>
      <w:r>
        <w:rPr/>
        <w:t>）数字教材教辅平台 数字教材教辅平台，是以老师和学生为核心，有效贯通教、学、测、评、管各环节，在</w:t>
      </w:r>
    </w:p>
    <w:p>
      <w:pPr>
        <w:pStyle w:val="BodyText"/>
        <w:spacing w:line="257" w:lineRule="exact"/>
        <w:ind w:left="1134" w:right="0"/>
        <w:jc w:val="both"/>
      </w:pPr>
      <w:r>
        <w:rPr/>
        <w:t>线上完成备课、授课、作业、批示、展示的教学平台。公司是中国首个中小学教材发行平台</w:t>
      </w:r>
    </w:p>
    <w:p>
      <w:pPr>
        <w:pStyle w:val="BodyText"/>
        <w:spacing w:line="338" w:lineRule="auto" w:before="154"/>
        <w:ind w:left="1134" w:right="1196"/>
        <w:jc w:val="both"/>
      </w:pPr>
      <w:r>
        <w:rPr/>
        <w:t>项目</w:t>
      </w:r>
      <w:r>
        <w:rPr>
          <w:rFonts w:ascii="Times New Roman" w:hAnsi="Times New Roman" w:cs="Times New Roman" w:eastAsia="Times New Roman" w:hint="default"/>
        </w:rPr>
        <w:t>“</w:t>
      </w:r>
      <w:r>
        <w:rPr/>
        <w:t>上海市中小学数字教材项目</w:t>
      </w:r>
      <w:r>
        <w:rPr>
          <w:rFonts w:ascii="Times New Roman" w:hAnsi="Times New Roman" w:cs="Times New Roman" w:eastAsia="Times New Roman" w:hint="default"/>
        </w:rPr>
        <w:t>”</w:t>
      </w:r>
      <w:r>
        <w:rPr/>
        <w:t>的总规划方；与此同时，公司还承担了北京市首个中小学 电子教材发行平台项目。</w:t>
      </w:r>
    </w:p>
    <w:p>
      <w:pPr>
        <w:pStyle w:val="BodyText"/>
        <w:spacing w:line="240" w:lineRule="auto" w:before="211"/>
        <w:ind w:right="107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MOOC</w:t>
      </w:r>
      <w:r>
        <w:rPr>
          <w:rFonts w:ascii="Times New Roman" w:hAnsi="Times New Roman" w:cs="Times New Roman" w:eastAsia="Times New Roman" w:hint="default"/>
          <w:spacing w:val="-2"/>
        </w:rPr>
        <w:t> </w:t>
      </w:r>
      <w:r>
        <w:rPr/>
        <w:t>平台</w:t>
      </w:r>
    </w:p>
    <w:p>
      <w:pPr>
        <w:spacing w:line="240" w:lineRule="auto" w:before="4"/>
        <w:rPr>
          <w:rFonts w:ascii="宋体" w:hAnsi="宋体" w:cs="宋体" w:eastAsia="宋体" w:hint="default"/>
          <w:sz w:val="22"/>
          <w:szCs w:val="22"/>
        </w:rPr>
      </w:pPr>
    </w:p>
    <w:p>
      <w:pPr>
        <w:pStyle w:val="BodyText"/>
        <w:spacing w:line="338" w:lineRule="auto"/>
        <w:ind w:left="1133" w:right="1121" w:firstLine="480"/>
        <w:jc w:val="left"/>
      </w:pPr>
      <w:r>
        <w:rPr>
          <w:rFonts w:ascii="Times New Roman" w:hAnsi="Times New Roman" w:cs="Times New Roman" w:eastAsia="Times New Roman" w:hint="default"/>
        </w:rPr>
        <w:t>MOOC </w:t>
      </w:r>
      <w:r>
        <w:rPr>
          <w:spacing w:val="-5"/>
        </w:rPr>
        <w:t>平台，中文在线是清华大学</w:t>
      </w:r>
      <w:r>
        <w:rPr>
          <w:spacing w:val="-59"/>
        </w:rPr>
        <w:t> </w:t>
      </w:r>
      <w:r>
        <w:rPr>
          <w:rFonts w:ascii="Times New Roman" w:hAnsi="Times New Roman" w:cs="Times New Roman" w:eastAsia="Times New Roman" w:hint="default"/>
        </w:rPr>
        <w:t>MOOC</w:t>
      </w:r>
      <w:r>
        <w:rPr>
          <w:rFonts w:ascii="Times New Roman" w:hAnsi="Times New Roman" w:cs="Times New Roman" w:eastAsia="Times New Roman" w:hint="default"/>
          <w:spacing w:val="1"/>
        </w:rPr>
        <w:t> </w:t>
      </w:r>
      <w:r>
        <w:rPr>
          <w:spacing w:val="-3"/>
        </w:rPr>
        <w:t>平台</w:t>
      </w:r>
      <w:r>
        <w:rPr>
          <w:rFonts w:ascii="Times New Roman" w:hAnsi="Times New Roman" w:cs="Times New Roman" w:eastAsia="Times New Roman" w:hint="default"/>
          <w:spacing w:val="-3"/>
        </w:rPr>
        <w:t>“</w:t>
      </w:r>
      <w:r>
        <w:rPr>
          <w:spacing w:val="-3"/>
        </w:rPr>
        <w:t>学堂在线</w:t>
      </w:r>
      <w:r>
        <w:rPr>
          <w:rFonts w:ascii="Times New Roman" w:hAnsi="Times New Roman" w:cs="Times New Roman" w:eastAsia="Times New Roman" w:hint="default"/>
          <w:spacing w:val="-3"/>
        </w:rPr>
        <w:t>”</w:t>
      </w:r>
      <w:r>
        <w:rPr>
          <w:spacing w:val="-3"/>
        </w:rPr>
        <w:t>投资方和合作推广方，将以合</w:t>
      </w:r>
      <w:r>
        <w:rPr/>
        <w:t> 作推广模式促进</w:t>
      </w:r>
      <w:r>
        <w:rPr>
          <w:spacing w:val="-61"/>
        </w:rPr>
        <w:t> </w:t>
      </w:r>
      <w:r>
        <w:rPr>
          <w:rFonts w:ascii="Times New Roman" w:hAnsi="Times New Roman" w:cs="Times New Roman" w:eastAsia="Times New Roman" w:hint="default"/>
        </w:rPr>
        <w:t>MOOC</w:t>
      </w:r>
      <w:r>
        <w:rPr>
          <w:rFonts w:ascii="Times New Roman" w:hAnsi="Times New Roman" w:cs="Times New Roman" w:eastAsia="Times New Roman" w:hint="default"/>
          <w:spacing w:val="-1"/>
        </w:rPr>
        <w:t> </w:t>
      </w:r>
      <w:r>
        <w:rPr/>
        <w:t>平台在国内外市场规模进一步扩大。</w:t>
      </w:r>
    </w:p>
    <w:p>
      <w:pPr>
        <w:spacing w:line="240" w:lineRule="auto" w:before="1"/>
        <w:rPr>
          <w:rFonts w:ascii="宋体" w:hAnsi="宋体" w:cs="宋体" w:eastAsia="宋体" w:hint="default"/>
          <w:sz w:val="19"/>
          <w:szCs w:val="19"/>
        </w:rPr>
      </w:pPr>
    </w:p>
    <w:p>
      <w:pPr>
        <w:pStyle w:val="Heading2"/>
        <w:spacing w:line="240" w:lineRule="auto" w:before="0"/>
        <w:ind w:left="1133"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1"/>
              <w:jc w:val="left"/>
              <w:rPr>
                <w:rFonts w:ascii="宋体" w:hAnsi="宋体" w:cs="宋体" w:eastAsia="宋体" w:hint="default"/>
                <w:sz w:val="18"/>
                <w:szCs w:val="18"/>
              </w:rPr>
            </w:pPr>
            <w:r>
              <w:rPr>
                <w:rFonts w:ascii="宋体" w:hAnsi="宋体" w:cs="宋体" w:eastAsia="宋体" w:hint="default"/>
                <w:sz w:val="18"/>
                <w:szCs w:val="18"/>
              </w:rPr>
              <w:t>本期新增投资</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JOINEGAR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2300 </w:t>
            </w:r>
            <w:r>
              <w:rPr>
                <w:rFonts w:ascii="宋体" w:hAnsi="宋体" w:cs="宋体" w:eastAsia="宋体" w:hint="default"/>
                <w:spacing w:val="-1"/>
                <w:sz w:val="18"/>
                <w:szCs w:val="18"/>
              </w:rPr>
              <w:t>万美元（</w:t>
            </w:r>
            <w:r>
              <w:rPr>
                <w:rFonts w:ascii="Times New Roman" w:hAnsi="Times New Roman" w:cs="Times New Roman" w:eastAsia="Times New Roman" w:hint="default"/>
                <w:spacing w:val="-1"/>
                <w:sz w:val="18"/>
                <w:szCs w:val="18"/>
              </w:rPr>
              <w:t>14,892.50</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万元人民币）；通</w:t>
            </w:r>
            <w:r>
              <w:rPr>
                <w:rFonts w:ascii="宋体" w:hAnsi="宋体" w:cs="宋体" w:eastAsia="宋体" w:hint="default"/>
                <w:spacing w:val="-10"/>
                <w:sz w:val="18"/>
                <w:szCs w:val="18"/>
              </w:rPr>
              <w:t> </w:t>
            </w:r>
            <w:r>
              <w:rPr>
                <w:rFonts w:ascii="宋体" w:hAnsi="宋体" w:cs="宋体" w:eastAsia="宋体" w:hint="default"/>
                <w:sz w:val="18"/>
                <w:szCs w:val="18"/>
              </w:rPr>
              <w:t>过投资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JOINEGAR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公司间接持有</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ATA.Inc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12.14%</w:t>
            </w:r>
            <w:r>
              <w:rPr>
                <w:rFonts w:ascii="宋体" w:hAnsi="宋体" w:cs="宋体" w:eastAsia="宋体" w:hint="default"/>
                <w:sz w:val="18"/>
                <w:szCs w:val="18"/>
              </w:rPr>
              <w:t>的股份。</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062"/>
        <w:gridCol w:w="1063"/>
        <w:gridCol w:w="1064"/>
        <w:gridCol w:w="1066"/>
        <w:gridCol w:w="1064"/>
        <w:gridCol w:w="1063"/>
        <w:gridCol w:w="1065"/>
        <w:gridCol w:w="1062"/>
        <w:gridCol w:w="1060"/>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4"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14,892.50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英属维京群 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本期末完成 </w:t>
            </w:r>
            <w:r>
              <w:rPr>
                <w:rFonts w:ascii="宋体" w:hAnsi="宋体" w:cs="宋体" w:eastAsia="宋体" w:hint="default"/>
                <w:spacing w:val="-12"/>
                <w:sz w:val="18"/>
                <w:szCs w:val="18"/>
              </w:rPr>
              <w:t>收购，未确认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38.33%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062"/>
        <w:gridCol w:w="1063"/>
        <w:gridCol w:w="1064"/>
        <w:gridCol w:w="1066"/>
        <w:gridCol w:w="1064"/>
        <w:gridCol w:w="1063"/>
        <w:gridCol w:w="1065"/>
        <w:gridCol w:w="1062"/>
        <w:gridCol w:w="1060"/>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公司第二届董事会第二十六次会议审议通过了《关于公司全资子公司中文在线教育集团有限公司拟投资 </w:t>
            </w:r>
            <w:r>
              <w:rPr>
                <w:rFonts w:ascii="Times New Roman" w:hAnsi="Times New Roman" w:cs="Times New Roman" w:eastAsia="Times New Roman" w:hint="default"/>
                <w:spacing w:val="-1"/>
                <w:w w:val="99"/>
                <w:sz w:val="18"/>
                <w:szCs w:val="18"/>
              </w:rPr>
              <w:t>JOINGEAR</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w w:val="99"/>
                <w:sz w:val="18"/>
                <w:szCs w:val="18"/>
              </w:rPr>
              <w:t>LIMITED </w:t>
            </w:r>
            <w:r>
              <w:rPr>
                <w:rFonts w:ascii="宋体" w:hAnsi="宋体" w:cs="宋体" w:eastAsia="宋体" w:hint="default"/>
                <w:spacing w:val="-4"/>
                <w:w w:val="99"/>
                <w:sz w:val="18"/>
                <w:szCs w:val="18"/>
              </w:rPr>
              <w:t>股权的议案》。公司全资子公司中文在线教育集团有限公司以</w:t>
            </w:r>
            <w:r>
              <w:rPr>
                <w:rFonts w:ascii="宋体" w:hAnsi="宋体" w:cs="宋体" w:eastAsia="宋体" w:hint="default"/>
                <w:spacing w:val="-44"/>
                <w:w w:val="99"/>
                <w:sz w:val="18"/>
                <w:szCs w:val="18"/>
              </w:rPr>
              <w:t> </w:t>
            </w:r>
            <w:r>
              <w:rPr>
                <w:rFonts w:ascii="Times New Roman" w:hAnsi="Times New Roman" w:cs="Times New Roman" w:eastAsia="Times New Roman" w:hint="default"/>
                <w:w w:val="99"/>
                <w:sz w:val="18"/>
                <w:szCs w:val="18"/>
              </w:rPr>
              <w:t>2,300 </w:t>
            </w:r>
            <w:r>
              <w:rPr>
                <w:rFonts w:ascii="宋体" w:hAnsi="宋体" w:cs="宋体" w:eastAsia="宋体" w:hint="default"/>
                <w:w w:val="99"/>
                <w:sz w:val="18"/>
                <w:szCs w:val="18"/>
              </w:rPr>
              <w:t>万美元投资</w:t>
            </w:r>
            <w:r>
              <w:rPr>
                <w:rFonts w:ascii="宋体" w:hAnsi="宋体" w:cs="宋体" w:eastAsia="宋体" w:hint="default"/>
                <w:spacing w:val="-72"/>
                <w:w w:val="99"/>
                <w:sz w:val="18"/>
                <w:szCs w:val="18"/>
              </w:rPr>
              <w:t> </w:t>
            </w:r>
            <w:r>
              <w:rPr>
                <w:rFonts w:ascii="Times New Roman" w:hAnsi="Times New Roman" w:cs="Times New Roman" w:eastAsia="Times New Roman" w:hint="default"/>
                <w:sz w:val="18"/>
                <w:szCs w:val="18"/>
              </w:rPr>
              <w:t>JOINGEAR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获得其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38.33%</w:t>
            </w:r>
            <w:r>
              <w:rPr>
                <w:rFonts w:ascii="宋体" w:hAnsi="宋体" w:cs="宋体" w:eastAsia="宋体" w:hint="default"/>
                <w:sz w:val="18"/>
                <w:szCs w:val="18"/>
              </w:rPr>
              <w:t>的股权，通过投资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JOINEGAR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间接持有</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12.14%</w:t>
            </w:r>
            <w:r>
              <w:rPr>
                <w:rFonts w:ascii="宋体" w:hAnsi="宋体" w:cs="宋体" w:eastAsia="宋体" w:hint="default"/>
                <w:sz w:val="18"/>
                <w:szCs w:val="18"/>
              </w:rPr>
              <w:t>的股</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w:t>
            </w:r>
          </w:p>
        </w:tc>
      </w:tr>
    </w:tbl>
    <w:p>
      <w:pPr>
        <w:spacing w:line="240" w:lineRule="auto" w:before="2"/>
        <w:rPr>
          <w:rFonts w:ascii="宋体" w:hAnsi="宋体" w:cs="宋体" w:eastAsia="宋体" w:hint="default"/>
          <w:sz w:val="18"/>
          <w:szCs w:val="18"/>
        </w:rPr>
      </w:pPr>
    </w:p>
    <w:p>
      <w:pPr>
        <w:pStyle w:val="Heading2"/>
        <w:spacing w:line="240" w:lineRule="auto"/>
        <w:ind w:right="107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0"/>
        <w:rPr>
          <w:rFonts w:ascii="宋体" w:hAnsi="宋体" w:cs="宋体" w:eastAsia="宋体" w:hint="default"/>
          <w:b/>
          <w:bCs/>
          <w:sz w:val="28"/>
          <w:szCs w:val="28"/>
        </w:rPr>
      </w:pPr>
    </w:p>
    <w:p>
      <w:pPr>
        <w:pStyle w:val="BodyText"/>
        <w:spacing w:line="338" w:lineRule="auto"/>
        <w:ind w:left="1133" w:right="1124" w:firstLine="480"/>
        <w:jc w:val="left"/>
      </w:pPr>
      <w:r>
        <w:rPr>
          <w:spacing w:val="-2"/>
        </w:rPr>
        <w:t>中文在线为中国数字出版的开创者之一，也是全球最大的中文数字出版机构之一，以</w:t>
      </w:r>
      <w:r>
        <w:rPr>
          <w:rFonts w:ascii="Times New Roman" w:hAnsi="Times New Roman" w:cs="Times New Roman" w:eastAsia="Times New Roman" w:hint="default"/>
          <w:spacing w:val="-2"/>
        </w:rPr>
        <w:t>“</w:t>
      </w:r>
      <w:r>
        <w:rPr>
          <w:spacing w:val="-2"/>
        </w:rPr>
        <w:t>数</w:t>
      </w:r>
      <w:r>
        <w:rPr/>
        <w:t> 字传承文明</w:t>
      </w:r>
      <w:r>
        <w:rPr>
          <w:rFonts w:ascii="Times New Roman" w:hAnsi="Times New Roman" w:cs="Times New Roman" w:eastAsia="Times New Roman" w:hint="default"/>
        </w:rPr>
        <w:t>”</w:t>
      </w:r>
      <w:r>
        <w:rPr/>
        <w:t>为使命，秉承</w:t>
      </w:r>
      <w:r>
        <w:rPr>
          <w:rFonts w:ascii="Times New Roman" w:hAnsi="Times New Roman" w:cs="Times New Roman" w:eastAsia="Times New Roman" w:hint="default"/>
        </w:rPr>
        <w:t>“</w:t>
      </w:r>
      <w:r>
        <w:rPr/>
        <w:t>先授权、后传播</w:t>
      </w:r>
      <w:r>
        <w:rPr>
          <w:rFonts w:ascii="Times New Roman" w:hAnsi="Times New Roman" w:cs="Times New Roman" w:eastAsia="Times New Roman" w:hint="default"/>
        </w:rPr>
        <w:t>”</w:t>
      </w:r>
      <w:r>
        <w:rPr/>
        <w:t>的理念，提出全媒体出版模式</w:t>
      </w:r>
      <w:r>
        <w:rPr>
          <w:rFonts w:ascii="Times New Roman" w:hAnsi="Times New Roman" w:cs="Times New Roman" w:eastAsia="Times New Roman" w:hint="default"/>
        </w:rPr>
        <w:t>“</w:t>
      </w:r>
      <w:r>
        <w:rPr/>
        <w:t>一种内容、多种 媒体、同步出版</w:t>
      </w:r>
      <w:r>
        <w:rPr>
          <w:rFonts w:ascii="Times New Roman" w:hAnsi="Times New Roman" w:cs="Times New Roman" w:eastAsia="Times New Roman" w:hint="default"/>
        </w:rPr>
        <w:t>”</w:t>
      </w:r>
      <w:r>
        <w:rPr/>
        <w:t>，拥有六大优势：</w:t>
      </w:r>
    </w:p>
    <w:p>
      <w:pPr>
        <w:pStyle w:val="BodyText"/>
        <w:spacing w:line="240" w:lineRule="auto" w:before="183"/>
        <w:ind w:left="1613" w:right="1073"/>
        <w:jc w:val="left"/>
      </w:pPr>
      <w:r>
        <w:rPr>
          <w:rFonts w:ascii="Times New Roman" w:hAnsi="Times New Roman" w:cs="Times New Roman" w:eastAsia="Times New Roman" w:hint="default"/>
        </w:rPr>
        <w:t>1</w:t>
      </w:r>
      <w:r>
        <w:rPr/>
        <w:t>、内容优势</w:t>
      </w:r>
    </w:p>
    <w:p>
      <w:pPr>
        <w:spacing w:line="240" w:lineRule="auto" w:before="4"/>
        <w:rPr>
          <w:rFonts w:ascii="宋体" w:hAnsi="宋体" w:cs="宋体" w:eastAsia="宋体" w:hint="default"/>
          <w:sz w:val="22"/>
          <w:szCs w:val="22"/>
        </w:rPr>
      </w:pPr>
    </w:p>
    <w:p>
      <w:pPr>
        <w:pStyle w:val="BodyText"/>
        <w:spacing w:line="338" w:lineRule="auto"/>
        <w:ind w:left="1133" w:right="997" w:firstLine="480"/>
        <w:jc w:val="left"/>
      </w:pPr>
      <w:r>
        <w:rPr/>
        <w:t>公司目前拥有数字内容超</w:t>
      </w:r>
      <w:r>
        <w:rPr>
          <w:spacing w:val="-60"/>
        </w:rPr>
        <w:t> </w:t>
      </w:r>
      <w:r>
        <w:rPr>
          <w:rFonts w:ascii="Times New Roman" w:hAnsi="Times New Roman" w:cs="Times New Roman" w:eastAsia="Times New Roman" w:hint="default"/>
        </w:rPr>
        <w:t>100 </w:t>
      </w:r>
      <w:r>
        <w:rPr/>
        <w:t>万种，签约近</w:t>
      </w:r>
      <w:r>
        <w:rPr>
          <w:spacing w:val="-60"/>
        </w:rPr>
        <w:t> </w:t>
      </w:r>
      <w:r>
        <w:rPr>
          <w:rFonts w:ascii="Times New Roman" w:hAnsi="Times New Roman" w:cs="Times New Roman" w:eastAsia="Times New Roman" w:hint="default"/>
        </w:rPr>
        <w:t>600 </w:t>
      </w:r>
      <w:r>
        <w:rPr/>
        <w:t>家出版机构和</w:t>
      </w:r>
      <w:r>
        <w:rPr>
          <w:spacing w:val="-60"/>
        </w:rPr>
        <w:t> </w:t>
      </w:r>
      <w:r>
        <w:rPr>
          <w:rFonts w:ascii="Times New Roman" w:hAnsi="Times New Roman" w:cs="Times New Roman" w:eastAsia="Times New Roman" w:hint="default"/>
        </w:rPr>
        <w:t>2000 </w:t>
      </w:r>
      <w:r>
        <w:rPr/>
        <w:t>余位的畅销书作家， 签约作家不仅有</w:t>
      </w:r>
      <w:r>
        <w:rPr>
          <w:rFonts w:ascii="Times New Roman" w:hAnsi="Times New Roman" w:cs="Times New Roman" w:eastAsia="Times New Roman" w:hint="default"/>
        </w:rPr>
        <w:t>“</w:t>
      </w:r>
      <w:r>
        <w:rPr/>
        <w:t>诺贝尔文学奖</w:t>
      </w:r>
      <w:r>
        <w:rPr>
          <w:rFonts w:ascii="Times New Roman" w:hAnsi="Times New Roman" w:cs="Times New Roman" w:eastAsia="Times New Roman" w:hint="default"/>
        </w:rPr>
        <w:t>”</w:t>
      </w:r>
      <w:r>
        <w:rPr/>
        <w:t>的获得者莫言、余秋雨、巴金等顶级传统名家、还包括大批 </w:t>
      </w:r>
      <w:r>
        <w:rPr>
          <w:spacing w:val="-3"/>
        </w:rPr>
        <w:t>的新生代作家匪我思存、顾漫、明晓溪、流潋紫等。同时拥有超</w:t>
      </w:r>
      <w:r>
        <w:rPr>
          <w:spacing w:val="-60"/>
        </w:rPr>
        <w:t> </w:t>
      </w:r>
      <w:r>
        <w:rPr>
          <w:rFonts w:ascii="Times New Roman" w:hAnsi="Times New Roman" w:cs="Times New Roman" w:eastAsia="Times New Roman" w:hint="default"/>
        </w:rPr>
        <w:t>100 </w:t>
      </w:r>
      <w:r>
        <w:rPr/>
        <w:t>万的网络原创驻站作者， 包括被誉为</w:t>
      </w:r>
      <w:r>
        <w:rPr>
          <w:rFonts w:ascii="Times New Roman" w:hAnsi="Times New Roman" w:cs="Times New Roman" w:eastAsia="Times New Roman" w:hint="default"/>
        </w:rPr>
        <w:t>“</w:t>
      </w:r>
      <w:r>
        <w:rPr/>
        <w:t>架空历史小说的开山鼻祖</w:t>
      </w:r>
      <w:r>
        <w:rPr>
          <w:rFonts w:ascii="Times New Roman" w:hAnsi="Times New Roman" w:cs="Times New Roman" w:eastAsia="Times New Roman" w:hint="default"/>
        </w:rPr>
        <w:t>”</w:t>
      </w:r>
      <w:r>
        <w:rPr/>
        <w:t>酒徒以及众多大神作者，如骁骑校、风清阳、观棋、 善良的蜜蜂、黑夜</w:t>
      </w:r>
      <w:r>
        <w:rPr>
          <w:spacing w:val="-60"/>
        </w:rPr>
        <w:t> </w:t>
      </w:r>
      <w:r>
        <w:rPr>
          <w:rFonts w:ascii="Times New Roman" w:hAnsi="Times New Roman" w:cs="Times New Roman" w:eastAsia="Times New Roman" w:hint="default"/>
        </w:rPr>
        <w:t>de </w:t>
      </w:r>
      <w:r>
        <w:rPr/>
        <w:t>白羊等等。</w:t>
      </w:r>
    </w:p>
    <w:p>
      <w:pPr>
        <w:pStyle w:val="BodyText"/>
        <w:spacing w:line="240" w:lineRule="auto" w:before="183"/>
        <w:ind w:left="1613" w:right="1073"/>
        <w:jc w:val="left"/>
      </w:pPr>
      <w:r>
        <w:rPr>
          <w:rFonts w:ascii="Times New Roman" w:hAnsi="Times New Roman" w:cs="Times New Roman" w:eastAsia="Times New Roman" w:hint="default"/>
        </w:rPr>
        <w:t>2</w:t>
      </w:r>
      <w:r>
        <w:rPr/>
        <w:t>、渠道优势</w:t>
      </w:r>
    </w:p>
    <w:p>
      <w:pPr>
        <w:spacing w:line="240" w:lineRule="auto" w:before="4"/>
        <w:rPr>
          <w:rFonts w:ascii="宋体" w:hAnsi="宋体" w:cs="宋体" w:eastAsia="宋体" w:hint="default"/>
          <w:sz w:val="22"/>
          <w:szCs w:val="22"/>
        </w:rPr>
      </w:pPr>
    </w:p>
    <w:p>
      <w:pPr>
        <w:pStyle w:val="BodyText"/>
        <w:spacing w:line="348" w:lineRule="auto"/>
        <w:ind w:left="1133" w:right="1004" w:firstLine="480"/>
        <w:jc w:val="left"/>
      </w:pPr>
      <w:r>
        <w:rPr>
          <w:spacing w:val="-10"/>
        </w:rPr>
        <w:t>在渠道方面，主要分为自有渠道、合作渠道，自有渠道包括：</w:t>
      </w:r>
      <w:r>
        <w:rPr>
          <w:rFonts w:ascii="Times New Roman" w:hAnsi="Times New Roman" w:cs="Times New Roman" w:eastAsia="Times New Roman" w:hint="default"/>
          <w:spacing w:val="-10"/>
        </w:rPr>
        <w:t>17K </w:t>
      </w:r>
      <w:r>
        <w:rPr>
          <w:spacing w:val="-9"/>
        </w:rPr>
        <w:t>小说网、汤圆创作</w:t>
      </w:r>
      <w:r>
        <w:rPr>
          <w:spacing w:val="-23"/>
        </w:rPr>
        <w:t> </w:t>
      </w:r>
      <w:r>
        <w:rPr>
          <w:rFonts w:ascii="Times New Roman" w:hAnsi="Times New Roman" w:cs="Times New Roman" w:eastAsia="Times New Roman" w:hint="default"/>
        </w:rPr>
        <w:t>APP</w:t>
      </w:r>
      <w:r>
        <w:rPr/>
        <w:t>、 中文书城</w:t>
      </w:r>
      <w:r>
        <w:rPr>
          <w:spacing w:val="-61"/>
        </w:rPr>
        <w:t> </w:t>
      </w:r>
      <w:r>
        <w:rPr>
          <w:rFonts w:ascii="Times New Roman" w:hAnsi="Times New Roman" w:cs="Times New Roman" w:eastAsia="Times New Roman" w:hint="default"/>
        </w:rPr>
        <w:t>APP</w:t>
      </w:r>
      <w:r>
        <w:rPr/>
        <w:t>、四月天网站、书香中国、微书房</w:t>
      </w:r>
      <w:r>
        <w:rPr>
          <w:spacing w:val="-61"/>
        </w:rPr>
        <w:t> </w:t>
      </w:r>
      <w:r>
        <w:rPr>
          <w:rFonts w:ascii="Times New Roman" w:hAnsi="Times New Roman" w:cs="Times New Roman" w:eastAsia="Times New Roman" w:hint="default"/>
        </w:rPr>
        <w:t>APP</w:t>
      </w:r>
      <w:r>
        <w:rPr>
          <w:rFonts w:ascii="Times New Roman" w:hAnsi="Times New Roman" w:cs="Times New Roman" w:eastAsia="Times New Roman" w:hint="default"/>
          <w:spacing w:val="-2"/>
        </w:rPr>
        <w:t> </w:t>
      </w:r>
      <w:r>
        <w:rPr/>
        <w:t>等，覆盖用户超</w:t>
      </w:r>
      <w:r>
        <w:rPr>
          <w:spacing w:val="-61"/>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万。合作渠道包 括：三大电信运营商、互联网及移动互联网平台、手机硬件厂商以及其他多种阅读平台，除 此之外，还有大量以影视、游戏、动漫、听书、纸书等衍生品形式覆盖除阅读以外的众多泛 娱乐受众用户，间接覆盖用户数以亿计。</w:t>
      </w:r>
    </w:p>
    <w:p>
      <w:pPr>
        <w:pStyle w:val="BodyText"/>
        <w:spacing w:line="451" w:lineRule="auto" w:before="202"/>
        <w:ind w:right="1152"/>
        <w:jc w:val="left"/>
      </w:pPr>
      <w:r>
        <w:rPr>
          <w:rFonts w:ascii="Times New Roman" w:hAnsi="Times New Roman" w:cs="Times New Roman" w:eastAsia="Times New Roman" w:hint="default"/>
        </w:rPr>
        <w:t>3</w:t>
      </w:r>
      <w:r>
        <w:rPr/>
        <w:t>、技术优势 公司数字出版技术体系纵贯全业务流程，包括数字内容采集平台、数字化加工平台、数</w:t>
      </w:r>
    </w:p>
    <w:p>
      <w:pPr>
        <w:pStyle w:val="BodyText"/>
        <w:spacing w:line="257" w:lineRule="exact"/>
        <w:ind w:left="1134" w:right="1073"/>
        <w:jc w:val="left"/>
      </w:pPr>
      <w:r>
        <w:rPr/>
        <w:t>字资产管理平台、多渠道分发管理平台、全媒体出品管理平台，建立起了数字出版全流程、</w:t>
      </w:r>
    </w:p>
    <w:p>
      <w:pPr>
        <w:pStyle w:val="BodyText"/>
        <w:spacing w:line="240" w:lineRule="auto" w:before="154"/>
        <w:ind w:left="1134" w:right="0"/>
        <w:jc w:val="left"/>
      </w:pPr>
      <w:r>
        <w:rPr/>
        <w:t>全终端、全媒体技术体系。公司凭借行业领先的技术优势承担了多项中央部委重大工程项目。</w:t>
      </w:r>
    </w:p>
    <w:p>
      <w:pPr>
        <w:spacing w:line="240" w:lineRule="auto" w:before="9"/>
        <w:rPr>
          <w:rFonts w:ascii="宋体" w:hAnsi="宋体" w:cs="宋体" w:eastAsia="宋体" w:hint="default"/>
          <w:sz w:val="23"/>
          <w:szCs w:val="23"/>
        </w:rPr>
      </w:pPr>
    </w:p>
    <w:p>
      <w:pPr>
        <w:pStyle w:val="BodyText"/>
        <w:spacing w:line="240" w:lineRule="auto"/>
        <w:ind w:right="1073"/>
        <w:jc w:val="left"/>
      </w:pPr>
      <w:r>
        <w:rPr/>
        <w:t>报告期内，公司及子公司拥有专利</w:t>
      </w:r>
      <w:r>
        <w:rPr>
          <w:spacing w:val="-60"/>
        </w:rPr>
        <w:t> </w:t>
      </w:r>
      <w:r>
        <w:rPr>
          <w:rFonts w:ascii="Times New Roman" w:hAnsi="Times New Roman" w:cs="Times New Roman" w:eastAsia="Times New Roman" w:hint="default"/>
        </w:rPr>
        <w:t>4 </w:t>
      </w:r>
      <w:r>
        <w:rPr/>
        <w:t>项，其中发明专利</w:t>
      </w:r>
      <w:r>
        <w:rPr>
          <w:spacing w:val="-60"/>
        </w:rPr>
        <w:t> </w:t>
      </w:r>
      <w:r>
        <w:rPr>
          <w:rFonts w:ascii="Times New Roman" w:hAnsi="Times New Roman" w:cs="Times New Roman" w:eastAsia="Times New Roman" w:hint="default"/>
        </w:rPr>
        <w:t>3 </w:t>
      </w:r>
      <w:r>
        <w:rPr/>
        <w:t>项，外观专利</w:t>
      </w:r>
      <w:r>
        <w:rPr>
          <w:spacing w:val="-60"/>
        </w:rPr>
        <w:t> </w:t>
      </w:r>
      <w:r>
        <w:rPr>
          <w:rFonts w:ascii="Times New Roman" w:hAnsi="Times New Roman" w:cs="Times New Roman" w:eastAsia="Times New Roman" w:hint="default"/>
        </w:rPr>
        <w:t>1 </w:t>
      </w:r>
      <w:r>
        <w:rPr/>
        <w:t>项；计算机软</w:t>
      </w:r>
    </w:p>
    <w:p>
      <w:pPr>
        <w:pStyle w:val="BodyText"/>
        <w:spacing w:line="240" w:lineRule="auto" w:before="135"/>
        <w:ind w:left="1133" w:right="1073"/>
        <w:jc w:val="left"/>
      </w:pPr>
      <w:r>
        <w:rPr/>
        <w:t>件著作权</w:t>
      </w:r>
      <w:r>
        <w:rPr>
          <w:spacing w:val="-60"/>
        </w:rPr>
        <w:t> </w:t>
      </w:r>
      <w:r>
        <w:rPr>
          <w:rFonts w:ascii="Times New Roman" w:hAnsi="Times New Roman" w:cs="Times New Roman" w:eastAsia="Times New Roman" w:hint="default"/>
        </w:rPr>
        <w:t>127 </w:t>
      </w:r>
      <w:r>
        <w:rPr/>
        <w:t>项；软件产品登记证书</w:t>
      </w:r>
      <w:r>
        <w:rPr>
          <w:spacing w:val="-60"/>
        </w:rPr>
        <w:t> </w:t>
      </w:r>
      <w:r>
        <w:rPr>
          <w:rFonts w:ascii="Times New Roman" w:hAnsi="Times New Roman" w:cs="Times New Roman" w:eastAsia="Times New Roman" w:hint="default"/>
        </w:rPr>
        <w:t>55 </w:t>
      </w:r>
      <w:r>
        <w:rPr/>
        <w:t>项；域名</w:t>
      </w:r>
      <w:r>
        <w:rPr>
          <w:spacing w:val="-60"/>
        </w:rPr>
        <w:t> </w:t>
      </w:r>
      <w:r>
        <w:rPr>
          <w:rFonts w:ascii="Times New Roman" w:hAnsi="Times New Roman" w:cs="Times New Roman" w:eastAsia="Times New Roman" w:hint="default"/>
        </w:rPr>
        <w:t>60 </w:t>
      </w:r>
      <w:r>
        <w:rPr/>
        <w:t>项；商标</w:t>
      </w:r>
      <w:r>
        <w:rPr>
          <w:spacing w:val="-60"/>
        </w:rPr>
        <w:t> </w:t>
      </w:r>
      <w:r>
        <w:rPr>
          <w:rFonts w:ascii="Times New Roman" w:hAnsi="Times New Roman" w:cs="Times New Roman" w:eastAsia="Times New Roman" w:hint="default"/>
        </w:rPr>
        <w:t>29 </w:t>
      </w:r>
      <w:r>
        <w:rPr/>
        <w:t>项等。</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451" w:lineRule="auto" w:before="26"/>
        <w:ind w:right="995"/>
        <w:jc w:val="left"/>
      </w:pPr>
      <w:r>
        <w:rPr>
          <w:rFonts w:ascii="Times New Roman" w:hAnsi="Times New Roman" w:cs="Times New Roman" w:eastAsia="Times New Roman" w:hint="default"/>
        </w:rPr>
        <w:t>4</w:t>
      </w:r>
      <w:r>
        <w:rPr/>
        <w:t>、出品运营优势 </w:t>
      </w:r>
      <w:r>
        <w:rPr>
          <w:spacing w:val="-3"/>
        </w:rPr>
        <w:t>海量内容通过版权审核及内容管理、大数据深度挖掘及运营、用户行为分析及数据管理、</w:t>
      </w:r>
    </w:p>
    <w:p>
      <w:pPr>
        <w:pStyle w:val="BodyText"/>
        <w:spacing w:line="257" w:lineRule="exact"/>
        <w:ind w:left="1134" w:right="1073"/>
        <w:jc w:val="left"/>
      </w:pPr>
      <w:r>
        <w:rPr/>
        <w:t>产品策略及升级、多维度用户适配等一系列独创运营机制，最终推送到多元渠道，到达海量</w:t>
      </w:r>
    </w:p>
    <w:p>
      <w:pPr>
        <w:pStyle w:val="BodyText"/>
        <w:spacing w:line="240" w:lineRule="auto" w:before="154"/>
        <w:ind w:left="1133" w:right="1073"/>
        <w:jc w:val="left"/>
      </w:pPr>
      <w:r>
        <w:rPr/>
        <w:t>不同需求的受众，实现</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的全内容、全流程、全媒体出品运营。</w:t>
      </w:r>
    </w:p>
    <w:p>
      <w:pPr>
        <w:pStyle w:val="BodyText"/>
        <w:spacing w:line="620" w:lineRule="atLeast" w:before="4"/>
        <w:ind w:right="1179"/>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版权保护优势 公司自成立之初一直秉承</w:t>
      </w:r>
      <w:r>
        <w:rPr>
          <w:rFonts w:ascii="Times New Roman" w:hAnsi="Times New Roman" w:cs="Times New Roman" w:eastAsia="Times New Roman" w:hint="default"/>
        </w:rPr>
        <w:t>“</w:t>
      </w:r>
      <w:r>
        <w:rPr/>
        <w:t>先授权、后传播</w:t>
      </w:r>
      <w:r>
        <w:rPr>
          <w:rFonts w:ascii="Times New Roman" w:hAnsi="Times New Roman" w:cs="Times New Roman" w:eastAsia="Times New Roman" w:hint="default"/>
        </w:rPr>
        <w:t>”</w:t>
      </w:r>
      <w:r>
        <w:rPr/>
        <w:t>的原则，通过技术保护、行政保护、司法保</w:t>
      </w:r>
    </w:p>
    <w:p>
      <w:pPr>
        <w:pStyle w:val="BodyText"/>
        <w:spacing w:line="357" w:lineRule="auto" w:before="135"/>
        <w:ind w:left="1134" w:right="1152"/>
        <w:jc w:val="left"/>
      </w:pPr>
      <w:r>
        <w:rPr/>
        <w:t>护和社会保护，形成了全方位立体化的保护版权体系。目前，维权诉讼上千起，涉案作品上 万部，已成为权利人维权的重要渠道。</w:t>
      </w:r>
    </w:p>
    <w:p>
      <w:pPr>
        <w:pStyle w:val="BodyText"/>
        <w:spacing w:line="451" w:lineRule="auto" w:before="192"/>
        <w:ind w:right="1152"/>
        <w:jc w:val="left"/>
      </w:pPr>
      <w:r>
        <w:rPr>
          <w:rFonts w:ascii="Times New Roman" w:hAnsi="Times New Roman" w:cs="Times New Roman" w:eastAsia="Times New Roman" w:hint="default"/>
        </w:rPr>
        <w:t>6</w:t>
      </w:r>
      <w:r>
        <w:rPr/>
        <w:t>、业内最全资质 公司拥有从事网络出版服务必备的《互联网出版许可证》该资质涵盖以下业务范畴：互</w:t>
      </w:r>
    </w:p>
    <w:p>
      <w:pPr>
        <w:pStyle w:val="BodyText"/>
        <w:spacing w:line="257" w:lineRule="exact"/>
        <w:ind w:left="1134" w:right="1073"/>
        <w:jc w:val="left"/>
      </w:pPr>
      <w:r>
        <w:rPr/>
        <w:t>联网图书、互联网杂志、互联网文学出版物、互联网教育出版物、手机出版物；同时也具有</w:t>
      </w:r>
    </w:p>
    <w:p>
      <w:pPr>
        <w:pStyle w:val="BodyText"/>
        <w:spacing w:line="357" w:lineRule="auto" w:before="154"/>
        <w:ind w:left="1134" w:right="1153"/>
        <w:jc w:val="left"/>
      </w:pPr>
      <w:r>
        <w:rPr/>
        <w:t>《出版物经营许可证》</w:t>
      </w:r>
      <w:r>
        <w:rPr>
          <w:spacing w:val="7"/>
        </w:rPr>
        <w:t> </w:t>
      </w:r>
      <w:r>
        <w:rPr>
          <w:spacing w:val="-19"/>
        </w:rPr>
        <w:t>、《网络文化经营许可证》、《广播电视节目制作许可证》、《增值电信</w:t>
      </w:r>
      <w:r>
        <w:rPr/>
        <w:t> 业务经营许可证》 等各项业务经营资质。</w:t>
      </w:r>
    </w:p>
    <w:p>
      <w:pPr>
        <w:spacing w:after="0" w:line="357"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spacing w:line="240" w:lineRule="auto"/>
        <w:ind w:right="1114"/>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133" w:right="1073"/>
        <w:jc w:val="left"/>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50" w:lineRule="auto"/>
        <w:ind w:left="1133" w:right="995" w:firstLine="480"/>
        <w:jc w:val="left"/>
      </w:pPr>
      <w:r>
        <w:rPr/>
        <w:t>自公司首次公开发行上市登陆深交所创业板以来，整体规模进一步扩大，发展能力不断 增强，通过持续的业务模式创新、研发投入、市场拓展，以用户为中心，依托内容及出品运 营优势，紧紧围绕</w:t>
      </w:r>
      <w:r>
        <w:rPr>
          <w:rFonts w:ascii="Times New Roman" w:hAnsi="Times New Roman" w:cs="Times New Roman" w:eastAsia="Times New Roman" w:hint="default"/>
        </w:rPr>
        <w:t>“</w:t>
      </w:r>
      <w:r>
        <w:rPr/>
        <w:t>文学</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发展战略，推动业务稳定发展，实现基于</w:t>
      </w:r>
      <w:r>
        <w:rPr>
          <w:spacing w:val="-69"/>
        </w:rPr>
        <w:t> </w:t>
      </w:r>
      <w:r>
        <w:rPr>
          <w:rFonts w:ascii="Times New Roman" w:hAnsi="Times New Roman" w:cs="Times New Roman" w:eastAsia="Times New Roman" w:hint="default"/>
        </w:rPr>
        <w:t>IP</w:t>
      </w:r>
      <w:r>
        <w:rPr>
          <w:rFonts w:ascii="Times New Roman" w:hAnsi="Times New Roman" w:cs="Times New Roman" w:eastAsia="Times New Roman" w:hint="default"/>
          <w:spacing w:val="-10"/>
        </w:rPr>
        <w:t> </w:t>
      </w:r>
      <w:r>
        <w:rPr/>
        <w:t>的泛娱乐和 </w:t>
      </w:r>
      <w:r>
        <w:rPr>
          <w:spacing w:val="-7"/>
        </w:rPr>
        <w:t>在线教育产业双翼发展。公司</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年实现营业收入</w:t>
      </w:r>
      <w:r>
        <w:rPr>
          <w:spacing w:val="-58"/>
        </w:rPr>
        <w:t> </w:t>
      </w:r>
      <w:r>
        <w:rPr>
          <w:rFonts w:ascii="Times New Roman" w:hAnsi="Times New Roman" w:cs="Times New Roman" w:eastAsia="Times New Roman" w:hint="default"/>
        </w:rPr>
        <w:t>39,024.62</w:t>
      </w:r>
      <w:r>
        <w:rPr>
          <w:rFonts w:ascii="Times New Roman" w:hAnsi="Times New Roman" w:cs="Times New Roman" w:eastAsia="Times New Roman" w:hint="default"/>
          <w:spacing w:val="2"/>
        </w:rPr>
        <w:t> </w:t>
      </w:r>
      <w:r>
        <w:rPr>
          <w:spacing w:val="-9"/>
        </w:rPr>
        <w:t>万元，较去年同期增长</w:t>
      </w:r>
      <w:r>
        <w:rPr>
          <w:spacing w:val="-58"/>
        </w:rPr>
        <w:t> </w:t>
      </w:r>
      <w:r>
        <w:rPr>
          <w:rFonts w:ascii="Times New Roman" w:hAnsi="Times New Roman" w:cs="Times New Roman" w:eastAsia="Times New Roman" w:hint="default"/>
        </w:rPr>
        <w:t>44.68%</w:t>
      </w:r>
      <w:r>
        <w:rPr/>
        <w:t>， </w:t>
      </w:r>
      <w:r>
        <w:rPr>
          <w:spacing w:val="-2"/>
        </w:rPr>
        <w:t>继续保持了两位数以上的中高速增长；由于增加了对教育公司、汤圆创作的研发和推广投入，</w:t>
      </w:r>
      <w:r>
        <w:rPr/>
        <w:t> 同时为吸引优秀人才完善激励机制，公司实施了两期期权激励措施并于报告期末确认了期权 费用，导致公司盈利较去年同期下降</w:t>
      </w:r>
      <w:r>
        <w:rPr>
          <w:spacing w:val="-61"/>
        </w:rPr>
        <w:t> </w:t>
      </w:r>
      <w:r>
        <w:rPr>
          <w:rFonts w:ascii="Times New Roman" w:hAnsi="Times New Roman" w:cs="Times New Roman" w:eastAsia="Times New Roman" w:hint="default"/>
        </w:rPr>
        <w:t>32.30%</w:t>
      </w:r>
      <w:r>
        <w:rPr/>
        <w:t>，实现归属于上市公司股东的净利润为</w:t>
      </w:r>
      <w:r>
        <w:rPr>
          <w:spacing w:val="-61"/>
        </w:rPr>
        <w:t> </w:t>
      </w:r>
      <w:r>
        <w:rPr>
          <w:rFonts w:ascii="Times New Roman" w:hAnsi="Times New Roman" w:cs="Times New Roman" w:eastAsia="Times New Roman" w:hint="default"/>
        </w:rPr>
        <w:t>3,125.47 </w:t>
      </w:r>
      <w:r>
        <w:rPr/>
        <w:t>万元。</w:t>
      </w:r>
    </w:p>
    <w:p>
      <w:pPr>
        <w:pStyle w:val="BodyText"/>
        <w:spacing w:line="240" w:lineRule="auto" w:before="199"/>
        <w:ind w:right="1073"/>
        <w:jc w:val="left"/>
      </w:pPr>
      <w:r>
        <w:rPr/>
        <w:t>报告期内公司主要业务情况如下：</w:t>
      </w:r>
    </w:p>
    <w:p>
      <w:pPr>
        <w:spacing w:line="240" w:lineRule="auto" w:before="9"/>
        <w:rPr>
          <w:rFonts w:ascii="宋体" w:hAnsi="宋体" w:cs="宋体" w:eastAsia="宋体" w:hint="default"/>
          <w:sz w:val="23"/>
          <w:szCs w:val="23"/>
        </w:rPr>
      </w:pPr>
    </w:p>
    <w:p>
      <w:pPr>
        <w:pStyle w:val="BodyText"/>
        <w:spacing w:line="240" w:lineRule="auto"/>
        <w:ind w:right="107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文学</w:t>
      </w:r>
      <w:r>
        <w:rPr>
          <w:rFonts w:ascii="Times New Roman" w:hAnsi="Times New Roman" w:cs="Times New Roman" w:eastAsia="Times New Roman" w:hint="default"/>
        </w:rPr>
        <w:t>+”</w:t>
      </w:r>
      <w:r>
        <w:rPr/>
        <w:t>领域，以</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一体化开发为核心</w:t>
      </w:r>
      <w:r>
        <w:rPr>
          <w:rFonts w:ascii="Times New Roman" w:hAnsi="Times New Roman" w:cs="Times New Roman" w:eastAsia="Times New Roman" w:hint="default"/>
        </w:rPr>
        <w:t>,</w:t>
      </w:r>
      <w:r>
        <w:rPr/>
        <w:t>构建泛娱乐生态</w:t>
      </w:r>
    </w:p>
    <w:p>
      <w:pPr>
        <w:spacing w:line="240" w:lineRule="auto" w:before="4"/>
        <w:rPr>
          <w:rFonts w:ascii="宋体" w:hAnsi="宋体" w:cs="宋体" w:eastAsia="宋体" w:hint="default"/>
          <w:sz w:val="22"/>
          <w:szCs w:val="22"/>
        </w:rPr>
      </w:pPr>
    </w:p>
    <w:p>
      <w:pPr>
        <w:pStyle w:val="BodyText"/>
        <w:spacing w:line="345" w:lineRule="auto"/>
        <w:ind w:left="1133" w:right="1000"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w w:val="100"/>
        </w:rPr>
        <w:t>年被誉为</w:t>
      </w:r>
      <w:r>
        <w:rPr>
          <w:rFonts w:ascii="Times New Roman" w:hAnsi="Times New Roman" w:cs="Times New Roman" w:eastAsia="Times New Roman" w:hint="default"/>
          <w:w w:val="100"/>
        </w:rPr>
        <w:t>“</w:t>
      </w:r>
      <w:r>
        <w:rPr>
          <w:w w:val="100"/>
        </w:rPr>
        <w:t>大</w:t>
      </w:r>
      <w:r>
        <w:rPr>
          <w:spacing w:val="-57"/>
          <w:w w:val="100"/>
        </w:rPr>
        <w:t> </w:t>
      </w:r>
      <w:r>
        <w:rPr>
          <w:rFonts w:ascii="Times New Roman" w:hAnsi="Times New Roman" w:cs="Times New Roman" w:eastAsia="Times New Roman" w:hint="default"/>
          <w:w w:val="99"/>
        </w:rPr>
        <w:t>IP</w:t>
      </w:r>
      <w:r>
        <w:rPr>
          <w:rFonts w:ascii="Times New Roman" w:hAnsi="Times New Roman" w:cs="Times New Roman" w:eastAsia="Times New Roman" w:hint="default"/>
          <w:spacing w:val="2"/>
          <w:w w:val="99"/>
        </w:rPr>
        <w:t> </w:t>
      </w:r>
      <w:r>
        <w:rPr>
          <w:spacing w:val="-7"/>
          <w:w w:val="100"/>
        </w:rPr>
        <w:t>元年</w:t>
      </w:r>
      <w:r>
        <w:rPr>
          <w:rFonts w:ascii="Times New Roman" w:hAnsi="Times New Roman" w:cs="Times New Roman" w:eastAsia="Times New Roman" w:hint="default"/>
          <w:spacing w:val="-7"/>
          <w:w w:val="100"/>
        </w:rPr>
        <w:t>”</w:t>
      </w:r>
      <w:r>
        <w:rPr>
          <w:spacing w:val="-7"/>
          <w:w w:val="100"/>
        </w:rPr>
        <w:t>，中国泛娱乐产业进入</w:t>
      </w:r>
      <w:r>
        <w:rPr>
          <w:rFonts w:ascii="Times New Roman" w:hAnsi="Times New Roman" w:cs="Times New Roman" w:eastAsia="Times New Roman" w:hint="default"/>
          <w:spacing w:val="-7"/>
          <w:w w:val="100"/>
        </w:rPr>
        <w:t>“IP</w:t>
      </w:r>
      <w:r>
        <w:rPr>
          <w:rFonts w:ascii="Times New Roman" w:hAnsi="Times New Roman" w:cs="Times New Roman" w:eastAsia="Times New Roman" w:hint="default"/>
          <w:spacing w:val="3"/>
          <w:w w:val="100"/>
        </w:rPr>
        <w:t> </w:t>
      </w:r>
      <w:r>
        <w:rPr>
          <w:spacing w:val="-7"/>
          <w:w w:val="100"/>
        </w:rPr>
        <w:t>为王</w:t>
      </w:r>
      <w:r>
        <w:rPr>
          <w:rFonts w:ascii="Times New Roman" w:hAnsi="Times New Roman" w:cs="Times New Roman" w:eastAsia="Times New Roman" w:hint="default"/>
          <w:spacing w:val="-7"/>
          <w:w w:val="100"/>
        </w:rPr>
        <w:t>”</w:t>
      </w:r>
      <w:r>
        <w:rPr>
          <w:spacing w:val="-7"/>
          <w:w w:val="100"/>
        </w:rPr>
        <w:t>时代，随着近几年的高速发展，</w:t>
      </w:r>
      <w:r>
        <w:rPr/>
        <w:t> 中国泛娱乐产业进入高度商业化和竞争加剧的市场格局，整个产业的结构跟传统相比发生了 巨大的变化，行业增速超</w:t>
      </w:r>
      <w:r>
        <w:rPr>
          <w:spacing w:val="-60"/>
        </w:rPr>
        <w:t> </w:t>
      </w:r>
      <w:r>
        <w:rPr>
          <w:rFonts w:ascii="Times New Roman" w:hAnsi="Times New Roman" w:cs="Times New Roman" w:eastAsia="Times New Roman" w:hint="default"/>
        </w:rPr>
        <w:t>40%</w:t>
      </w:r>
      <w:r>
        <w:rPr/>
        <w:t>。公司以文学</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为核心，在数字出版基础上，以投资、授权、 合作分成、联合出品等多种模式深度开发衍生为影视、游戏、动漫、听书、纸书等。截至报 告期末，公司共拥有</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过百万种，签约版权机构</w:t>
      </w:r>
      <w:r>
        <w:rPr>
          <w:spacing w:val="-60"/>
        </w:rPr>
        <w:t> </w:t>
      </w:r>
      <w:r>
        <w:rPr>
          <w:rFonts w:ascii="Times New Roman" w:hAnsi="Times New Roman" w:cs="Times New Roman" w:eastAsia="Times New Roman" w:hint="default"/>
        </w:rPr>
        <w:t>600 </w:t>
      </w:r>
      <w:r>
        <w:rPr/>
        <w:t>余家，名家及畅销书作家</w:t>
      </w:r>
      <w:r>
        <w:rPr>
          <w:spacing w:val="-60"/>
        </w:rPr>
        <w:t> </w:t>
      </w:r>
      <w:r>
        <w:rPr>
          <w:rFonts w:ascii="Times New Roman" w:hAnsi="Times New Roman" w:cs="Times New Roman" w:eastAsia="Times New Roman" w:hint="default"/>
        </w:rPr>
        <w:t>2000 </w:t>
      </w:r>
      <w:r>
        <w:rPr/>
        <w:t>余人。 通过加强品牌推广，完善产品用户体验，公司旗下网站、</w:t>
      </w:r>
      <w:r>
        <w:rPr>
          <w:rFonts w:ascii="Times New Roman" w:hAnsi="Times New Roman" w:cs="Times New Roman" w:eastAsia="Times New Roman" w:hint="default"/>
        </w:rPr>
        <w:t>APP</w:t>
      </w:r>
      <w:r>
        <w:rPr>
          <w:rFonts w:ascii="Times New Roman" w:hAnsi="Times New Roman" w:cs="Times New Roman" w:eastAsia="Times New Roman" w:hint="default"/>
          <w:spacing w:val="-2"/>
        </w:rPr>
        <w:t> </w:t>
      </w:r>
      <w:r>
        <w:rPr/>
        <w:t>流量、覆盖人数等各项关键指 标继续稳健提升，覆盖用户</w:t>
      </w:r>
      <w:r>
        <w:rPr>
          <w:spacing w:val="-61"/>
        </w:rPr>
        <w:t> </w:t>
      </w:r>
      <w:r>
        <w:rPr>
          <w:rFonts w:ascii="Times New Roman" w:hAnsi="Times New Roman" w:cs="Times New Roman" w:eastAsia="Times New Roman" w:hint="default"/>
        </w:rPr>
        <w:t>7000 </w:t>
      </w:r>
      <w:r>
        <w:rPr/>
        <w:t>余万。</w:t>
      </w:r>
    </w:p>
    <w:p>
      <w:pPr>
        <w:pStyle w:val="BodyText"/>
        <w:spacing w:line="348" w:lineRule="auto" w:before="175"/>
        <w:ind w:left="1133" w:right="999" w:firstLine="480"/>
        <w:jc w:val="left"/>
      </w:pPr>
      <w:r>
        <w:rPr/>
        <w:t>公司长期以来为中国移动、中国电信和中国联通三大运营商提供海量手机阅读产品。报 </w:t>
      </w:r>
      <w:r>
        <w:rPr>
          <w:spacing w:val="-4"/>
        </w:rPr>
        <w:t>告期内，公司累计为中国移动</w:t>
      </w:r>
      <w:r>
        <w:rPr>
          <w:rFonts w:ascii="Times New Roman" w:hAnsi="Times New Roman" w:cs="Times New Roman" w:eastAsia="Times New Roman" w:hint="default"/>
          <w:spacing w:val="-4"/>
        </w:rPr>
        <w:t>“</w:t>
      </w:r>
      <w:r>
        <w:rPr>
          <w:spacing w:val="-4"/>
        </w:rPr>
        <w:t>咪咕阅读</w:t>
      </w:r>
      <w:r>
        <w:rPr>
          <w:rFonts w:ascii="Times New Roman" w:hAnsi="Times New Roman" w:cs="Times New Roman" w:eastAsia="Times New Roman" w:hint="default"/>
          <w:spacing w:val="-4"/>
        </w:rPr>
        <w:t>”</w:t>
      </w:r>
      <w:r>
        <w:rPr>
          <w:spacing w:val="-4"/>
        </w:rPr>
        <w:t>提供</w:t>
      </w:r>
      <w:r>
        <w:rPr>
          <w:spacing w:val="-55"/>
        </w:rPr>
        <w:t> </w:t>
      </w:r>
      <w:r>
        <w:rPr>
          <w:rFonts w:ascii="Times New Roman" w:hAnsi="Times New Roman" w:cs="Times New Roman" w:eastAsia="Times New Roman" w:hint="default"/>
        </w:rPr>
        <w:t>6.01</w:t>
      </w:r>
      <w:r>
        <w:rPr>
          <w:rFonts w:ascii="Times New Roman" w:hAnsi="Times New Roman" w:cs="Times New Roman" w:eastAsia="Times New Roman" w:hint="default"/>
          <w:spacing w:val="5"/>
        </w:rPr>
        <w:t> </w:t>
      </w:r>
      <w:r>
        <w:rPr>
          <w:spacing w:val="-5"/>
        </w:rPr>
        <w:t>万种图书，占其图书数字版权的</w:t>
      </w:r>
      <w:r>
        <w:rPr>
          <w:spacing w:val="-55"/>
        </w:rPr>
        <w:t> </w:t>
      </w:r>
      <w:r>
        <w:rPr>
          <w:rFonts w:ascii="Times New Roman" w:hAnsi="Times New Roman" w:cs="Times New Roman" w:eastAsia="Times New Roman" w:hint="default"/>
        </w:rPr>
        <w:t>15%</w:t>
      </w:r>
      <w:r>
        <w:rPr/>
        <w:t>左右， 多部作品进入畅销榜前十。在中国电信</w:t>
      </w:r>
      <w:r>
        <w:rPr>
          <w:rFonts w:ascii="Times New Roman" w:hAnsi="Times New Roman" w:cs="Times New Roman" w:eastAsia="Times New Roman" w:hint="default"/>
        </w:rPr>
        <w:t>“</w:t>
      </w:r>
      <w:r>
        <w:rPr/>
        <w:t>天翼阅读</w:t>
      </w:r>
      <w:r>
        <w:rPr>
          <w:rFonts w:ascii="Times New Roman" w:hAnsi="Times New Roman" w:cs="Times New Roman" w:eastAsia="Times New Roman" w:hint="default"/>
        </w:rPr>
        <w:t>”</w:t>
      </w:r>
      <w:r>
        <w:rPr/>
        <w:t>和中国联通</w:t>
      </w:r>
      <w:r>
        <w:rPr>
          <w:rFonts w:ascii="Times New Roman" w:hAnsi="Times New Roman" w:cs="Times New Roman" w:eastAsia="Times New Roman" w:hint="default"/>
        </w:rPr>
        <w:t>“</w:t>
      </w:r>
      <w:r>
        <w:rPr/>
        <w:t>沃阅读</w:t>
      </w:r>
      <w:r>
        <w:rPr>
          <w:rFonts w:ascii="Times New Roman" w:hAnsi="Times New Roman" w:cs="Times New Roman" w:eastAsia="Times New Roman" w:hint="default"/>
        </w:rPr>
        <w:t>”</w:t>
      </w:r>
      <w:r>
        <w:rPr/>
        <w:t>也有优异表现，多部 作品进入热销榜、订购榜前十。同时，百度、腾讯、新浪、网易、凤凰网、爱奇艺、掌阅、 爱阅读、亚马逊中国、华为、魅族等客户建立了长期稳定的客户关系，实现了数字阅读渠道 全覆盖。报告期内数字阅读产品产生的收入（包括教育阅读产品的收入）为</w:t>
      </w:r>
      <w:r>
        <w:rPr>
          <w:spacing w:val="-59"/>
        </w:rPr>
        <w:t> </w:t>
      </w:r>
      <w:r>
        <w:rPr>
          <w:rFonts w:ascii="Times New Roman" w:hAnsi="Times New Roman" w:cs="Times New Roman" w:eastAsia="Times New Roman" w:hint="default"/>
        </w:rPr>
        <w:t>21,404.57 </w:t>
      </w:r>
      <w:r>
        <w:rPr/>
        <w:t>万元， 同比增长</w:t>
      </w:r>
      <w:r>
        <w:rPr>
          <w:spacing w:val="-60"/>
        </w:rPr>
        <w:t> </w:t>
      </w:r>
      <w:r>
        <w:rPr>
          <w:rFonts w:ascii="Times New Roman" w:hAnsi="Times New Roman" w:cs="Times New Roman" w:eastAsia="Times New Roman" w:hint="default"/>
        </w:rPr>
        <w:t>29.44%</w:t>
      </w:r>
      <w:r>
        <w:rPr/>
        <w:t>。</w:t>
      </w:r>
    </w:p>
    <w:p>
      <w:pPr>
        <w:spacing w:after="0" w:line="348"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995" w:firstLine="480"/>
        <w:jc w:val="left"/>
      </w:pPr>
      <w:r>
        <w:rPr/>
        <w:t>依托公司成熟的运营体系，公司持续为中国移动咪咕数字传媒有限公司、北京世纪卓越 </w:t>
      </w:r>
      <w:r>
        <w:rPr>
          <w:spacing w:val="-3"/>
        </w:rPr>
        <w:t>信息技术有限公司、山东人民出版社、山西春秋出版社等机构提供多维运营服务。报告期内，</w:t>
      </w:r>
      <w:r>
        <w:rPr>
          <w:spacing w:val="-81"/>
        </w:rPr>
        <w:t> </w:t>
      </w:r>
      <w:r>
        <w:rPr>
          <w:spacing w:val="-81"/>
        </w:rPr>
      </w:r>
      <w:r>
        <w:rPr/>
        <w:t>数字出版运营服务产生的收入为</w:t>
      </w:r>
      <w:r>
        <w:rPr>
          <w:spacing w:val="-63"/>
        </w:rPr>
        <w:t> </w:t>
      </w:r>
      <w:r>
        <w:rPr>
          <w:rFonts w:ascii="Times New Roman" w:hAnsi="Times New Roman" w:cs="Times New Roman" w:eastAsia="Times New Roman" w:hint="default"/>
        </w:rPr>
        <w:t>11,356.14</w:t>
      </w:r>
      <w:r>
        <w:rPr>
          <w:rFonts w:ascii="Times New Roman" w:hAnsi="Times New Roman" w:cs="Times New Roman" w:eastAsia="Times New Roman" w:hint="default"/>
          <w:spacing w:val="-3"/>
        </w:rPr>
        <w:t> </w:t>
      </w:r>
      <w:r>
        <w:rPr/>
        <w:t>万元，同比增长</w:t>
      </w:r>
      <w:r>
        <w:rPr>
          <w:spacing w:val="-63"/>
        </w:rPr>
        <w:t> </w:t>
      </w:r>
      <w:r>
        <w:rPr>
          <w:rFonts w:ascii="Times New Roman" w:hAnsi="Times New Roman" w:cs="Times New Roman" w:eastAsia="Times New Roman" w:hint="default"/>
        </w:rPr>
        <w:t>47.10%</w:t>
      </w:r>
      <w:r>
        <w:rPr/>
        <w:t>。</w:t>
      </w:r>
    </w:p>
    <w:p>
      <w:pPr>
        <w:pStyle w:val="BodyText"/>
        <w:spacing w:line="343" w:lineRule="auto" w:before="162"/>
        <w:ind w:left="1133" w:right="1133" w:firstLine="480"/>
        <w:jc w:val="both"/>
      </w:pPr>
      <w:r>
        <w:rPr/>
        <w:t>在影视衍生领域，中文在线和爱奇艺联合打造了《我的美女老师》网络剧，在爱奇艺独 家上映，两个月点击量突破</w:t>
      </w:r>
      <w:r>
        <w:rPr>
          <w:spacing w:val="-60"/>
        </w:rPr>
        <w:t> </w:t>
      </w:r>
      <w:r>
        <w:rPr>
          <w:rFonts w:ascii="Times New Roman" w:hAnsi="Times New Roman" w:cs="Times New Roman" w:eastAsia="Times New Roman" w:hint="default"/>
        </w:rPr>
        <w:t>2 </w:t>
      </w:r>
      <w:r>
        <w:rPr/>
        <w:t>亿；台播电视剧《诡案组》由海润影视出品发行。在游戏衍生 领域，</w:t>
      </w:r>
      <w:r>
        <w:rPr>
          <w:rFonts w:ascii="Times New Roman" w:hAnsi="Times New Roman" w:cs="Times New Roman" w:eastAsia="Times New Roman" w:hint="default"/>
        </w:rPr>
        <w:t>17K</w:t>
      </w:r>
      <w:r>
        <w:rPr>
          <w:rFonts w:ascii="Times New Roman" w:hAnsi="Times New Roman" w:cs="Times New Roman" w:eastAsia="Times New Roman" w:hint="default"/>
          <w:spacing w:val="-1"/>
        </w:rPr>
        <w:t> </w:t>
      </w:r>
      <w:r>
        <w:rPr/>
        <w:t>小说网连载小说《龙血战神》改编为同名游戏，安卓上线首日流水破</w:t>
      </w:r>
      <w:r>
        <w:rPr>
          <w:spacing w:val="-60"/>
        </w:rPr>
        <w:t> </w:t>
      </w:r>
      <w:r>
        <w:rPr>
          <w:rFonts w:ascii="Times New Roman" w:hAnsi="Times New Roman" w:cs="Times New Roman" w:eastAsia="Times New Roman" w:hint="default"/>
        </w:rPr>
        <w:t>210 </w:t>
      </w:r>
      <w:r>
        <w:rPr/>
        <w:t>万；烟 雨江南的《罪恶之城》总注册量超过</w:t>
      </w:r>
      <w:r>
        <w:rPr>
          <w:spacing w:val="-56"/>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万，付费率达到</w:t>
      </w:r>
      <w:r>
        <w:rPr>
          <w:spacing w:val="-56"/>
        </w:rPr>
        <w:t> </w:t>
      </w:r>
      <w:r>
        <w:rPr>
          <w:rFonts w:ascii="Times New Roman" w:hAnsi="Times New Roman" w:cs="Times New Roman" w:eastAsia="Times New Roman" w:hint="default"/>
          <w:spacing w:val="-8"/>
        </w:rPr>
        <w:t>12%</w:t>
      </w:r>
      <w:r>
        <w:rPr>
          <w:spacing w:val="-8"/>
        </w:rPr>
        <w:t>；《吞噬苍穹》上线后点击超过</w:t>
      </w:r>
      <w:r>
        <w:rPr/>
        <w:t> </w:t>
      </w:r>
      <w:r>
        <w:rPr>
          <w:rFonts w:ascii="Times New Roman" w:hAnsi="Times New Roman" w:cs="Times New Roman" w:eastAsia="Times New Roman" w:hint="default"/>
        </w:rPr>
        <w:t>2.4</w:t>
      </w:r>
      <w:r>
        <w:rPr>
          <w:rFonts w:ascii="Times New Roman" w:hAnsi="Times New Roman" w:cs="Times New Roman" w:eastAsia="Times New Roman" w:hint="default"/>
          <w:spacing w:val="35"/>
        </w:rPr>
        <w:t> </w:t>
      </w:r>
      <w:r>
        <w:rPr>
          <w:spacing w:val="-9"/>
        </w:rPr>
        <w:t>亿。在漫画衍生领域，《我才不会被女孩欺负呢》、失落叶《斩龙》等改编漫画作品也在腾</w:t>
      </w:r>
    </w:p>
    <w:p>
      <w:pPr>
        <w:pStyle w:val="BodyText"/>
        <w:spacing w:line="338" w:lineRule="auto" w:before="21"/>
        <w:ind w:left="1133" w:right="1169"/>
        <w:jc w:val="both"/>
      </w:pPr>
      <w:r>
        <w:rPr/>
        <w:t>讯、网易漫画表现优异。报告期内，数字内容增值服务产生的收入为</w:t>
      </w:r>
      <w:r>
        <w:rPr>
          <w:spacing w:val="-59"/>
        </w:rPr>
        <w:t> </w:t>
      </w:r>
      <w:r>
        <w:rPr>
          <w:rFonts w:ascii="Times New Roman" w:hAnsi="Times New Roman" w:cs="Times New Roman" w:eastAsia="Times New Roman" w:hint="default"/>
        </w:rPr>
        <w:t>6,263.90 </w:t>
      </w:r>
      <w:r>
        <w:rPr/>
        <w:t>万元，同比增 长</w:t>
      </w:r>
      <w:r>
        <w:rPr>
          <w:spacing w:val="-60"/>
        </w:rPr>
        <w:t> </w:t>
      </w:r>
      <w:r>
        <w:rPr>
          <w:rFonts w:ascii="Times New Roman" w:hAnsi="Times New Roman" w:cs="Times New Roman" w:eastAsia="Times New Roman" w:hint="default"/>
        </w:rPr>
        <w:t>130.51%</w:t>
      </w:r>
      <w:r>
        <w:rPr/>
        <w:t>。</w:t>
      </w:r>
    </w:p>
    <w:p>
      <w:pPr>
        <w:pStyle w:val="BodyText"/>
        <w:spacing w:line="350" w:lineRule="auto" w:before="183"/>
        <w:ind w:left="1133" w:right="1150" w:firstLine="480"/>
        <w:jc w:val="both"/>
      </w:pPr>
      <w:r>
        <w:rPr/>
        <w:t>公司实现了阅读、影视、游戏、动漫、听书、纸书等全渠道覆盖，与产业链上下游的诸 多重量级公司建立合作关系。其中影视合作伙伴如海润影视、唐德影视、小马奔腾、王马影 视、爱奇艺、克顿传媒、优土合一、荣信达等，游戏合作伙伴如奇虎</w:t>
      </w:r>
      <w:r>
        <w:rPr>
          <w:spacing w:val="-60"/>
        </w:rPr>
        <w:t> </w:t>
      </w:r>
      <w:r>
        <w:rPr>
          <w:rFonts w:ascii="Times New Roman" w:hAnsi="Times New Roman" w:cs="Times New Roman" w:eastAsia="Times New Roman" w:hint="default"/>
        </w:rPr>
        <w:t>360</w:t>
      </w:r>
      <w:r>
        <w:rPr/>
        <w:t>、广州百田、点我 游戏等，同时与大量互联网门户网站，手机</w:t>
      </w:r>
      <w:r>
        <w:rPr>
          <w:spacing w:val="-62"/>
        </w:rPr>
        <w:t> </w:t>
      </w:r>
      <w:r>
        <w:rPr>
          <w:rFonts w:ascii="Times New Roman" w:hAnsi="Times New Roman" w:cs="Times New Roman" w:eastAsia="Times New Roman" w:hint="default"/>
        </w:rPr>
        <w:t>APP</w:t>
      </w:r>
      <w:r>
        <w:rPr/>
        <w:t>、手机、电视硬件厂商及三大电信运营商和 广大的出版社（集团）形成长期稳定的合作关系，中文在线泛娱乐生态版图正在逐步扩大并 持续深化。</w:t>
      </w:r>
    </w:p>
    <w:p>
      <w:pPr>
        <w:pStyle w:val="BodyText"/>
        <w:spacing w:line="451" w:lineRule="auto" w:before="199"/>
        <w:ind w:right="115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领域，深耕细作形成在线教育三大平台 经过十几年在教育资源领域的深耕细作，公司已经积累了广泛的用户渠道，形成了一整</w:t>
      </w:r>
    </w:p>
    <w:p>
      <w:pPr>
        <w:pStyle w:val="BodyText"/>
        <w:spacing w:line="257" w:lineRule="exact"/>
        <w:ind w:left="1134" w:right="0"/>
        <w:jc w:val="both"/>
      </w:pPr>
      <w:r>
        <w:rPr/>
        <w:t>套应用指导服务体系，在中小学数字图书馆领域有较高影响力。在报告期内，进一步强化了</w:t>
      </w:r>
    </w:p>
    <w:p>
      <w:pPr>
        <w:pStyle w:val="BodyText"/>
        <w:spacing w:line="348" w:lineRule="auto" w:before="154"/>
        <w:ind w:left="1133" w:right="1169"/>
        <w:jc w:val="both"/>
      </w:pPr>
      <w:r>
        <w:rPr/>
        <w:t>公司在数字教育领域的市场优势，教育业务实现了跨越式发展。公司教育行业阅读产品纵贯 中小学并延伸至高校及公共图书馆，形成数字教育行业阅读产品全覆盖，包括传统的数字图 书馆、基于互联网模式的</w:t>
      </w: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数字图书馆、云屏数字借阅机等相关产品，拥有行业注 册用户</w:t>
      </w:r>
      <w:r>
        <w:rPr>
          <w:spacing w:val="-60"/>
        </w:rPr>
        <w:t> </w:t>
      </w:r>
      <w:r>
        <w:rPr>
          <w:rFonts w:ascii="Times New Roman" w:hAnsi="Times New Roman" w:cs="Times New Roman" w:eastAsia="Times New Roman" w:hint="default"/>
        </w:rPr>
        <w:t>2000 </w:t>
      </w:r>
      <w:r>
        <w:rPr/>
        <w:t>余万。校园网类型的数字图书馆已累计覆盖全国</w:t>
      </w:r>
      <w:r>
        <w:rPr>
          <w:spacing w:val="-60"/>
        </w:rPr>
        <w:t> </w:t>
      </w:r>
      <w:r>
        <w:rPr>
          <w:rFonts w:ascii="Times New Roman" w:hAnsi="Times New Roman" w:cs="Times New Roman" w:eastAsia="Times New Roman" w:hint="default"/>
        </w:rPr>
        <w:t>5 </w:t>
      </w:r>
      <w:r>
        <w:rPr/>
        <w:t>万多所中小学，</w:t>
      </w:r>
      <w:r>
        <w:rPr>
          <w:rFonts w:ascii="Times New Roman" w:hAnsi="Times New Roman" w:cs="Times New Roman" w:eastAsia="Times New Roman" w:hint="default"/>
        </w:rPr>
        <w:t>1700 </w:t>
      </w:r>
      <w:r>
        <w:rPr/>
        <w:t>多所高 校。</w:t>
      </w:r>
    </w:p>
    <w:p>
      <w:pPr>
        <w:pStyle w:val="BodyText"/>
        <w:spacing w:line="338" w:lineRule="auto" w:before="202"/>
        <w:ind w:left="1133" w:right="995" w:firstLine="480"/>
        <w:jc w:val="left"/>
      </w:pP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互联网阅读平台提供</w:t>
      </w:r>
      <w:r>
        <w:rPr>
          <w:spacing w:val="-60"/>
        </w:rPr>
        <w:t> </w:t>
      </w:r>
      <w:r>
        <w:rPr>
          <w:rFonts w:ascii="Times New Roman" w:hAnsi="Times New Roman" w:cs="Times New Roman" w:eastAsia="Times New Roman" w:hint="default"/>
        </w:rPr>
        <w:t>10 </w:t>
      </w:r>
      <w:r>
        <w:rPr/>
        <w:t>万种数字图书，</w:t>
      </w:r>
      <w:r>
        <w:rPr>
          <w:rFonts w:ascii="Times New Roman" w:hAnsi="Times New Roman" w:cs="Times New Roman" w:eastAsia="Times New Roman" w:hint="default"/>
        </w:rPr>
        <w:t>3 </w:t>
      </w:r>
      <w:r>
        <w:rPr/>
        <w:t>万集有声读物的在线阅读，可以极 大地满足群众文化生活的不同需求。</w:t>
      </w: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系列已覆盖</w:t>
      </w:r>
      <w:r>
        <w:rPr>
          <w:spacing w:val="-60"/>
        </w:rPr>
        <w:t> </w:t>
      </w:r>
      <w:r>
        <w:rPr>
          <w:rFonts w:ascii="Times New Roman" w:hAnsi="Times New Roman" w:cs="Times New Roman" w:eastAsia="Times New Roman" w:hint="default"/>
        </w:rPr>
        <w:t>28 </w:t>
      </w:r>
      <w:r>
        <w:rPr/>
        <w:t>个省，</w:t>
      </w:r>
      <w:r>
        <w:rPr>
          <w:rFonts w:ascii="Times New Roman" w:hAnsi="Times New Roman" w:cs="Times New Roman" w:eastAsia="Times New Roman" w:hint="default"/>
        </w:rPr>
        <w:t>5 </w:t>
      </w:r>
      <w:r>
        <w:rPr/>
        <w:t>万所中小学校，</w:t>
      </w:r>
      <w:r>
        <w:rPr>
          <w:rFonts w:ascii="Times New Roman" w:hAnsi="Times New Roman" w:cs="Times New Roman" w:eastAsia="Times New Roman" w:hint="default"/>
        </w:rPr>
        <w:t>1700 </w:t>
      </w:r>
      <w:r>
        <w:rPr>
          <w:spacing w:val="-5"/>
        </w:rPr>
        <w:t>余所高校，开通</w:t>
      </w:r>
      <w:r>
        <w:rPr>
          <w:rFonts w:ascii="Times New Roman" w:hAnsi="Times New Roman" w:cs="Times New Roman" w:eastAsia="Times New Roman" w:hint="default"/>
          <w:spacing w:val="-5"/>
        </w:rPr>
        <w:t>“</w:t>
      </w:r>
      <w:r>
        <w:rPr>
          <w:spacing w:val="-5"/>
        </w:rPr>
        <w:t>书香江苏</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书香八闽</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书香东城</w:t>
      </w:r>
      <w:r>
        <w:rPr>
          <w:rFonts w:ascii="Times New Roman" w:hAnsi="Times New Roman" w:cs="Times New Roman" w:eastAsia="Times New Roman" w:hint="default"/>
          <w:spacing w:val="-5"/>
        </w:rPr>
        <w:t>”</w:t>
      </w:r>
      <w:r>
        <w:rPr>
          <w:spacing w:val="-5"/>
        </w:rPr>
        <w:t>等省市服务和</w:t>
      </w:r>
      <w:r>
        <w:rPr>
          <w:rFonts w:ascii="Times New Roman" w:hAnsi="Times New Roman" w:cs="Times New Roman" w:eastAsia="Times New Roman" w:hint="default"/>
          <w:spacing w:val="-5"/>
        </w:rPr>
        <w:t>“</w:t>
      </w:r>
      <w:r>
        <w:rPr>
          <w:spacing w:val="-5"/>
        </w:rPr>
        <w:t>书香清华</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书香人大</w:t>
      </w:r>
      <w:r>
        <w:rPr>
          <w:rFonts w:ascii="Times New Roman" w:hAnsi="Times New Roman" w:cs="Times New Roman" w:eastAsia="Times New Roman" w:hint="default"/>
          <w:spacing w:val="-5"/>
        </w:rPr>
        <w:t>”</w:t>
      </w:r>
      <w:r>
        <w:rPr>
          <w:spacing w:val="-5"/>
        </w:rPr>
        <w:t>、</w:t>
      </w:r>
      <w:r>
        <w:rPr>
          <w:spacing w:val="-78"/>
        </w:rPr>
        <w:t> </w:t>
      </w:r>
      <w:r>
        <w:rPr>
          <w:rFonts w:ascii="Times New Roman" w:hAnsi="Times New Roman" w:cs="Times New Roman" w:eastAsia="Times New Roman" w:hint="default"/>
        </w:rPr>
        <w:t>“</w:t>
      </w:r>
      <w:r>
        <w:rPr/>
        <w:t>书香川大</w:t>
      </w:r>
      <w:r>
        <w:rPr>
          <w:rFonts w:ascii="Times New Roman" w:hAnsi="Times New Roman" w:cs="Times New Roman" w:eastAsia="Times New Roman" w:hint="default"/>
        </w:rPr>
        <w:t>”</w:t>
      </w:r>
      <w:r>
        <w:rPr/>
        <w:t>等高校服务，并为首都图书馆、福建图书馆、清华大学图书馆提供数字图书馆服</w:t>
      </w:r>
    </w:p>
    <w:p>
      <w:pPr>
        <w:spacing w:after="0" w:line="338"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务。</w:t>
      </w:r>
    </w:p>
    <w:p>
      <w:pPr>
        <w:spacing w:line="240" w:lineRule="auto" w:before="9"/>
        <w:rPr>
          <w:rFonts w:ascii="宋体" w:hAnsi="宋体" w:cs="宋体" w:eastAsia="宋体" w:hint="default"/>
          <w:sz w:val="23"/>
          <w:szCs w:val="23"/>
        </w:rPr>
      </w:pPr>
    </w:p>
    <w:p>
      <w:pPr>
        <w:pStyle w:val="BodyText"/>
        <w:spacing w:line="357" w:lineRule="auto"/>
        <w:ind w:left="1134" w:right="1170" w:firstLine="480"/>
        <w:jc w:val="both"/>
      </w:pPr>
      <w:r>
        <w:rPr/>
        <w:t>云屏数字借阅机由云资源和触控终端机组成，可部署在图书馆、学校、地铁、火车站等 公共场所作为全民数字阅读平台。通过手机扫描图书二维码，可轻松免费下载精品图书、听 书等资源。</w:t>
      </w:r>
    </w:p>
    <w:p>
      <w:pPr>
        <w:pStyle w:val="BodyText"/>
        <w:spacing w:line="350" w:lineRule="auto" w:before="192"/>
        <w:ind w:left="1133" w:right="1170" w:firstLine="480"/>
        <w:jc w:val="both"/>
      </w:pPr>
      <w:r>
        <w:rPr/>
        <w:t>数字教材教辅平台，是以老师和学生为核心，有效贯通教、学、测、评、管各环节，在 线上完成备课、授课、作业、批示、展示的教学平台。公司是中国首个中小学教材发行平台 项目</w:t>
      </w:r>
      <w:r>
        <w:rPr>
          <w:rFonts w:ascii="Times New Roman" w:hAnsi="Times New Roman" w:cs="Times New Roman" w:eastAsia="Times New Roman" w:hint="default"/>
        </w:rPr>
        <w:t>“</w:t>
      </w:r>
      <w:r>
        <w:rPr/>
        <w:t>上海市中小学数字教材项目</w:t>
      </w:r>
      <w:r>
        <w:rPr>
          <w:rFonts w:ascii="Times New Roman" w:hAnsi="Times New Roman" w:cs="Times New Roman" w:eastAsia="Times New Roman" w:hint="default"/>
        </w:rPr>
        <w:t>”</w:t>
      </w:r>
      <w:r>
        <w:rPr/>
        <w:t>的总规划方；与此同时，公司还承担了北京市首个中小学 电子教材发行平台项目。</w:t>
      </w:r>
    </w:p>
    <w:p>
      <w:pPr>
        <w:pStyle w:val="BodyText"/>
        <w:spacing w:line="338" w:lineRule="auto" w:before="199"/>
        <w:ind w:left="1133" w:right="1137" w:firstLine="480"/>
        <w:jc w:val="both"/>
      </w:pPr>
      <w:r>
        <w:rPr>
          <w:rFonts w:ascii="Times New Roman" w:hAnsi="Times New Roman" w:cs="Times New Roman" w:eastAsia="Times New Roman" w:hint="default"/>
        </w:rPr>
        <w:t>MOOC</w:t>
      </w:r>
      <w:r>
        <w:rPr>
          <w:rFonts w:ascii="Times New Roman" w:hAnsi="Times New Roman" w:cs="Times New Roman" w:eastAsia="Times New Roman" w:hint="default"/>
          <w:spacing w:val="-2"/>
        </w:rPr>
        <w:t> </w:t>
      </w:r>
      <w:r>
        <w:rPr/>
        <w:t>平台，中文在线是清华大学</w:t>
      </w:r>
      <w:r>
        <w:rPr>
          <w:rFonts w:ascii="Times New Roman" w:hAnsi="Times New Roman" w:cs="Times New Roman" w:eastAsia="Times New Roman" w:hint="default"/>
        </w:rPr>
        <w:t>“</w:t>
      </w:r>
      <w:r>
        <w:rPr/>
        <w:t>学堂在线</w:t>
      </w:r>
      <w:r>
        <w:rPr>
          <w:rFonts w:ascii="Times New Roman" w:hAnsi="Times New Roman" w:cs="Times New Roman" w:eastAsia="Times New Roman" w:hint="default"/>
        </w:rPr>
        <w:t>”</w:t>
      </w:r>
      <w:r>
        <w:rPr/>
        <w:t>投资方和合作推广方，将以合作推广模式 促进</w:t>
      </w:r>
      <w:r>
        <w:rPr>
          <w:spacing w:val="-61"/>
        </w:rPr>
        <w:t> </w:t>
      </w:r>
      <w:r>
        <w:rPr>
          <w:rFonts w:ascii="Times New Roman" w:hAnsi="Times New Roman" w:cs="Times New Roman" w:eastAsia="Times New Roman" w:hint="default"/>
        </w:rPr>
        <w:t>MOOC</w:t>
      </w:r>
      <w:r>
        <w:rPr>
          <w:rFonts w:ascii="Times New Roman" w:hAnsi="Times New Roman" w:cs="Times New Roman" w:eastAsia="Times New Roman" w:hint="default"/>
          <w:spacing w:val="-1"/>
        </w:rPr>
        <w:t> </w:t>
      </w:r>
      <w:r>
        <w:rPr/>
        <w:t>平台在国内外市场规模进一步扩大。</w:t>
      </w:r>
    </w:p>
    <w:p>
      <w:pPr>
        <w:pStyle w:val="BodyText"/>
        <w:spacing w:line="499" w:lineRule="auto" w:before="183"/>
        <w:ind w:left="1133" w:right="3713" w:firstLine="480"/>
        <w:jc w:val="left"/>
        <w:rPr>
          <w:rFonts w:ascii="宋体" w:hAnsi="宋体" w:cs="宋体" w:eastAsia="宋体" w:hint="default"/>
        </w:rPr>
      </w:pPr>
      <w:r>
        <w:rPr/>
        <w:t>报告期内，教育业务收入为</w:t>
      </w:r>
      <w:r>
        <w:rPr>
          <w:spacing w:val="-60"/>
        </w:rPr>
        <w:t> </w:t>
      </w:r>
      <w:r>
        <w:rPr>
          <w:rFonts w:ascii="Times New Roman" w:hAnsi="Times New Roman" w:cs="Times New Roman" w:eastAsia="Times New Roman" w:hint="default"/>
        </w:rPr>
        <w:t>7,333.40 </w:t>
      </w:r>
      <w:r>
        <w:rPr/>
        <w:t>万元，同比增长</w:t>
      </w:r>
      <w:r>
        <w:rPr>
          <w:spacing w:val="-60"/>
        </w:rPr>
        <w:t> </w:t>
      </w:r>
      <w:r>
        <w:rPr>
          <w:rFonts w:ascii="Times New Roman" w:hAnsi="Times New Roman" w:cs="Times New Roman" w:eastAsia="Times New Roman" w:hint="default"/>
        </w:rPr>
        <w:t>85.81%</w:t>
      </w:r>
      <w:r>
        <w:rPr/>
        <w:t>。 </w:t>
      </w:r>
      <w:bookmarkStart w:name="二、主营业务分析" w:id="25"/>
      <w:bookmarkEnd w:id="25"/>
      <w:r>
        <w:rPr/>
      </w:r>
      <w:r>
        <w:rPr>
          <w:rFonts w:ascii="宋体" w:hAnsi="宋体" w:cs="宋体" w:eastAsia="宋体" w:hint="default"/>
          <w:b/>
          <w:bCs/>
        </w:rPr>
        <w:t>二、主营业务分析</w:t>
      </w:r>
      <w:r>
        <w:rPr>
          <w:rFonts w:ascii="宋体" w:hAnsi="宋体" w:cs="宋体" w:eastAsia="宋体" w:hint="default"/>
        </w:rPr>
      </w:r>
    </w:p>
    <w:p>
      <w:pPr>
        <w:spacing w:before="63"/>
        <w:ind w:left="1133" w:right="10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收入与成本"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390,246,185.64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269,738,063.00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、教育行业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73,333,979.35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39,466,442.43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、文化行业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316,912,206.29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230,271,620.57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、数字阅读产品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214,045,711.32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165,366,217.52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、数字出版运营服 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113,561,425.37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77,197,798.89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、数字内容增值服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62,639,048.95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27,174,046.59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2,127,743.41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3,419,010.44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112,659,464.59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73,352,366.44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242,456,258.83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165,589,714.29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15,526,489.60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18,191,639.77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8,927,350.48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2,106,290.03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2,004,234.76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2,838,443.66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5,670,999.65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4,127,006.92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873,644.32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669.11%</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、教育行业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73,333,979.35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21,071,555.45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、文化行业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316,912,206.29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185,048,932.14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、数字阅读产品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214,045,711.32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124,588,852.63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、数字出版运营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113,561,425.37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66,652,433.52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、数字内容增值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62,639,048.95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14,879,201.44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112,659,464.59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41,772,448.54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242,456,258.83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148,784,508.30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r>
    </w:tbl>
    <w:p>
      <w:pPr>
        <w:spacing w:line="240" w:lineRule="auto" w:before="0"/>
        <w:rPr>
          <w:rFonts w:ascii="宋体" w:hAnsi="宋体" w:cs="宋体" w:eastAsia="宋体" w:hint="default"/>
          <w:sz w:val="13"/>
          <w:szCs w:val="13"/>
        </w:rPr>
      </w:pPr>
    </w:p>
    <w:p>
      <w:pPr>
        <w:pStyle w:val="BodyText"/>
        <w:spacing w:line="338" w:lineRule="auto" w:before="26"/>
        <w:ind w:left="1133" w:right="1152" w:firstLine="480"/>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before="212"/>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行业和产品分类</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5,797,045.29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2,818,387.26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105.69%</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6,108,761.74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3,133,981.48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94.92%</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8,720,279.08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1,684,550.81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417.66%</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1,438,139.39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445,469.34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1,107,103.73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-59.76%</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37,671,409.15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48,804,697.02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-22.81%</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102,469,247.21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43,254,404.05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2,474,350.52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1,940,250.07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维权成本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1,984,674.22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1,460,360.95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37,095,503.26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37,039,295.25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3,353,747.78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2,054,580.20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数字阅读产品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31,812,601.73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42,641,804.13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71,766,597.60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38,814,327.39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11,194,629.60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3,536,178.26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216.57%</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6,677,623.38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5,915,984.84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3,137,400.32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3,139,441.61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319" w:lineRule="auto" w:before="95"/>
              <w:ind w:left="22" w:right="75"/>
              <w:jc w:val="left"/>
              <w:rPr>
                <w:rFonts w:ascii="宋体" w:hAnsi="宋体" w:cs="宋体" w:eastAsia="宋体" w:hint="default"/>
                <w:sz w:val="18"/>
                <w:szCs w:val="18"/>
              </w:rPr>
            </w:pPr>
            <w:r>
              <w:rPr>
                <w:rFonts w:ascii="宋体" w:hAnsi="宋体" w:cs="宋体" w:eastAsia="宋体" w:hint="default"/>
                <w:sz w:val="18"/>
                <w:szCs w:val="18"/>
              </w:rPr>
              <w:t>数字出版运营服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472,247.04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915,379.08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-48.41%</w:t>
            </w:r>
          </w:p>
        </w:tc>
      </w:tr>
      <w:tr>
        <w:trPr>
          <w:trHeight w:val="402" w:hRule="exact"/>
        </w:trPr>
        <w:tc>
          <w:tcPr>
            <w:tcW w:w="1370" w:type="dxa"/>
            <w:vMerge/>
            <w:tcBorders>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35,762,306.60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7,441,982.67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380.55%</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nil" w:sz="6" w:space="0" w:color="auto"/>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88,622.62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30,417,879.88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32,561,449.80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数字内容增值服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11,185,610.39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8,065,901.07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38.68%</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132,075.47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694.32%</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维权成本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1,982,669.50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1,460,360.95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35.77%</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661,816.80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t>公司主要销售客户情况</w:t>
      </w:r>
    </w:p>
    <w:p>
      <w:pPr>
        <w:spacing w:line="240" w:lineRule="auto" w:before="9"/>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201,502,734.12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公司前</w:t>
      </w:r>
      <w:r>
        <w:rPr>
          <w:spacing w:val="-60"/>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咪咕数字传媒有限公司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108,364,357.10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上海东方龙新媒体有限公司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45,611,581.71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北京新浪阅读信息技术有限公司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19,811,320.83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天翼阅读文化传播有限公司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15,981,512.20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上海教育软件发展有限公司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11,733,962.28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201,502,734.12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公司主要供应商情况</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77,735,008.21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39.20%</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公司前</w:t>
      </w:r>
      <w:r>
        <w:rPr>
          <w:spacing w:val="-60"/>
        </w:rPr>
        <w:t> </w:t>
      </w:r>
      <w:r>
        <w:rPr>
          <w:rFonts w:ascii="Times New Roman" w:hAnsi="Times New Roman" w:cs="Times New Roman" w:eastAsia="Times New Roman" w:hint="default"/>
        </w:rPr>
        <w:t>5 </w:t>
      </w:r>
      <w:r>
        <w:rPr/>
        <w:t>名供应商资料</w:t>
      </w:r>
    </w:p>
    <w:p>
      <w:pPr>
        <w:spacing w:after="0" w:line="240" w:lineRule="auto"/>
        <w:jc w:val="left"/>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天翼视讯传媒有限公司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31,981,132.08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杭州纳加科技有限公司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14,605,321.50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天翼阅读文化传播有限公司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11,714,592.33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上海铂斐网络科技有限公司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上海游戏风云文化传媒有限公司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77,735,008.21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42,556,981.21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28,277,445.07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加大市场推广及宣传所致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120,539,776.49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57,918,599.21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股票期权费用及研发投入增加所致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415,487.60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393,408.08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6,042,590.71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7,593,033.80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为了巩固公司核心技术优势、全媒体出版优势，公司持续增加了对移动互联网产品、教</w:t>
      </w:r>
    </w:p>
    <w:p>
      <w:pPr>
        <w:pStyle w:val="BodyText"/>
        <w:spacing w:line="275" w:lineRule="exact"/>
        <w:ind w:left="1133" w:right="1073"/>
        <w:jc w:val="left"/>
      </w:pPr>
      <w:r>
        <w:rPr/>
        <w:t>育阅读产品及及汤圆项目的研发投入。报告期研发支出</w:t>
      </w:r>
      <w:r>
        <w:rPr>
          <w:spacing w:val="-60"/>
        </w:rPr>
        <w:t> </w:t>
      </w:r>
      <w:r>
        <w:rPr>
          <w:rFonts w:ascii="Times New Roman" w:hAnsi="Times New Roman" w:cs="Times New Roman" w:eastAsia="Times New Roman" w:hint="default"/>
        </w:rPr>
        <w:t>6,385.98 </w:t>
      </w:r>
      <w:r>
        <w:rPr/>
        <w:t>万元，同比增加</w:t>
      </w:r>
      <w:r>
        <w:rPr>
          <w:spacing w:val="-60"/>
        </w:rPr>
        <w:t> </w:t>
      </w:r>
      <w:r>
        <w:rPr>
          <w:rFonts w:ascii="Times New Roman" w:hAnsi="Times New Roman" w:cs="Times New Roman" w:eastAsia="Times New Roman" w:hint="default"/>
        </w:rPr>
        <w:t>100.03%</w:t>
      </w:r>
      <w:r>
        <w:rPr/>
        <w:t>，</w:t>
      </w:r>
    </w:p>
    <w:p>
      <w:pPr>
        <w:pStyle w:val="BodyText"/>
        <w:spacing w:line="338" w:lineRule="auto" w:before="135"/>
        <w:ind w:left="1133" w:right="1112"/>
        <w:jc w:val="left"/>
      </w:pPr>
      <w:r>
        <w:rPr/>
        <w:t>占营业收入的</w:t>
      </w:r>
      <w:r>
        <w:rPr>
          <w:spacing w:val="-99"/>
        </w:rPr>
        <w:t> </w:t>
      </w:r>
      <w:r>
        <w:rPr>
          <w:rFonts w:ascii="Times New Roman" w:hAnsi="Times New Roman" w:cs="Times New Roman" w:eastAsia="Times New Roman" w:hint="default"/>
        </w:rPr>
        <w:t>16.36%</w:t>
      </w:r>
      <w:r>
        <w:rPr/>
        <w:t>。新品研发已取得了阶段性成果，陆续投放市场，极大地提升了写作和 阅读体验，增加了教育阅读产品收入。</w:t>
      </w:r>
    </w:p>
    <w:p>
      <w:pPr>
        <w:pStyle w:val="BodyText"/>
        <w:spacing w:line="240" w:lineRule="auto" w:before="211"/>
        <w:ind w:left="1613" w:right="1073"/>
        <w:jc w:val="left"/>
      </w:pPr>
      <w:r>
        <w:rPr/>
        <w:t>近三年公司研发投入金额及占营业收入的比例</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67,291,967.05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31,924,600.61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24,059,864.58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3,432,209.62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研发投入总额占营业收入的比重较上年发生显著变化的原因</w:t>
      </w:r>
    </w:p>
    <w:p>
      <w:pPr>
        <w:spacing w:line="240" w:lineRule="auto" w:before="9"/>
        <w:rPr>
          <w:rFonts w:ascii="宋体" w:hAnsi="宋体" w:cs="宋体" w:eastAsia="宋体" w:hint="default"/>
          <w:sz w:val="23"/>
          <w:szCs w:val="23"/>
        </w:rPr>
      </w:pPr>
    </w:p>
    <w:p>
      <w:pPr>
        <w:pStyle w:val="BodyText"/>
        <w:spacing w:line="451"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338" w:lineRule="auto"/>
        <w:ind w:left="1134" w:right="1131" w:firstLine="480"/>
        <w:jc w:val="both"/>
      </w:pPr>
      <w:r>
        <w:rPr/>
        <w:t>公司从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3"/>
        </w:rPr>
        <w:t>年启动资产管理平台系统升级计划，整个升级系统计划在五年内完成，并且</w:t>
      </w:r>
      <w:r>
        <w:rPr/>
        <w:t> 在总体规划的前提下采取分步实施、分步上线的实施策略。具体的实施规划如下：</w:t>
      </w:r>
    </w:p>
    <w:p>
      <w:pPr>
        <w:pStyle w:val="BodyText"/>
        <w:spacing w:line="350" w:lineRule="auto" w:before="211"/>
        <w:ind w:left="1133" w:right="1132" w:firstLine="480"/>
        <w:jc w:val="both"/>
      </w:pPr>
      <w:r>
        <w:rPr/>
        <w:t>第一阶段（</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月），建设内容：项目整体论证、规划以及内容管理</w:t>
      </w:r>
      <w:r>
        <w:rPr/>
        <w:t> 系统基础功能建设。基础功能建设包括：原始文件库建设、成品文件库建设、元数据管理、 应用报表分析、日志管理、系统管理等五大基础模块。为内容管理平台搭建坚实的基础，建 立统一的内容数据标准以及加工数据标准。</w:t>
      </w:r>
    </w:p>
    <w:p>
      <w:pPr>
        <w:pStyle w:val="BodyText"/>
        <w:spacing w:line="350" w:lineRule="auto" w:before="199"/>
        <w:ind w:left="1133" w:right="1131" w:firstLine="480"/>
        <w:jc w:val="both"/>
      </w:pPr>
      <w:r>
        <w:rPr/>
        <w:t>第二阶段（</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月），建设内容：合同管理系统，规范合同拟定、合</w:t>
      </w:r>
      <w:r>
        <w:rPr/>
        <w:t> 同审核与审批、合同登记与签章、合同履行、合同变更和解除、合同归档及借阅、合同纠纷 处理等各合同管理环节中的相关工作，便于合同分类、统计分析，防范和降低因合同管理带 来的风险。</w:t>
      </w:r>
    </w:p>
    <w:p>
      <w:pPr>
        <w:pStyle w:val="BodyText"/>
        <w:spacing w:line="348" w:lineRule="auto" w:before="199"/>
        <w:ind w:left="1134" w:right="1032" w:firstLine="480"/>
        <w:jc w:val="left"/>
      </w:pPr>
      <w:r>
        <w:rPr/>
        <w:t>第三阶段（</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2 </w:t>
      </w:r>
      <w:r>
        <w:rPr/>
        <w:t>月），建设内容：充分利用系统内、外部海量数据， 根据业务需求建立多维度的数据分析模型，利用列表和图形分析工具全方面的展示，提取有 价值的数据。</w:t>
      </w:r>
    </w:p>
    <w:p>
      <w:pPr>
        <w:pStyle w:val="BodyText"/>
        <w:spacing w:line="350" w:lineRule="auto" w:before="202"/>
        <w:ind w:left="1133" w:right="1169" w:firstLine="480"/>
        <w:jc w:val="both"/>
      </w:pPr>
      <w:r>
        <w:rPr/>
        <w:t>第四阶段（</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月），建设内容：资产平台功能优化，实现结构化 文档尤其是复合文档的片段级管理、支持专题知识库的创建、支持不同特色资源库的构建与 管理、实现海量数据的存储以及高效检索，重点解决海量文件以及碎片化的文件在后续对日 后业务指导规划工作，建立多维度的生产数据分析模型，为生产提供指导性的意见。</w:t>
      </w:r>
    </w:p>
    <w:p>
      <w:pPr>
        <w:spacing w:line="240" w:lineRule="auto" w:before="2"/>
        <w:rPr>
          <w:rFonts w:ascii="宋体" w:hAnsi="宋体" w:cs="宋体" w:eastAsia="宋体" w:hint="default"/>
          <w:sz w:val="22"/>
          <w:szCs w:val="22"/>
        </w:rPr>
      </w:pPr>
    </w:p>
    <w:p>
      <w:pPr>
        <w:spacing w:before="0"/>
        <w:ind w:left="1133" w:right="1073"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399,469,473.56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275,015,850.02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45.25%</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363,364,015.87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236,689,896.94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36,105,457.69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38,325,953.08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41,640,627.95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1,080,175.37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240,500,715.40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141,810,152.59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-198,860,087.45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-140,729,977.22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431,139,900.00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234,567,892.00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9,785,973.35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2,296.98%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196,572,008.00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45,214,026.65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33,816,212.66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-57,189,998.88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159.13%</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相关数据同比发生重大变动的主要影响因素说明</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338" w:lineRule="auto"/>
        <w:ind w:left="1133" w:right="1193" w:firstLine="480"/>
        <w:jc w:val="left"/>
      </w:pPr>
      <w:r>
        <w:rPr>
          <w:rFonts w:ascii="Times New Roman" w:hAnsi="Times New Roman" w:cs="Times New Roman" w:eastAsia="Times New Roman" w:hint="default"/>
        </w:rPr>
        <w:t>1</w:t>
      </w:r>
      <w:r>
        <w:rPr/>
        <w:t>、经营活动的现金流入较上年同期增长</w:t>
      </w:r>
      <w:r>
        <w:rPr>
          <w:spacing w:val="-60"/>
        </w:rPr>
        <w:t> </w:t>
      </w:r>
      <w:r>
        <w:rPr>
          <w:rFonts w:ascii="Times New Roman" w:hAnsi="Times New Roman" w:cs="Times New Roman" w:eastAsia="Times New Roman" w:hint="default"/>
        </w:rPr>
        <w:t>45.25%</w:t>
      </w:r>
      <w:r>
        <w:rPr/>
        <w:t>，主要为收入规模增长与回款同比增加 所致；</w:t>
      </w:r>
    </w:p>
    <w:p>
      <w:pPr>
        <w:pStyle w:val="BodyText"/>
        <w:spacing w:line="338" w:lineRule="auto" w:before="212"/>
        <w:ind w:left="1133" w:right="1193" w:firstLine="480"/>
        <w:jc w:val="left"/>
      </w:pPr>
      <w:r>
        <w:rPr>
          <w:rFonts w:ascii="Times New Roman" w:hAnsi="Times New Roman" w:cs="Times New Roman" w:eastAsia="Times New Roman" w:hint="default"/>
        </w:rPr>
        <w:t>2</w:t>
      </w:r>
      <w:r>
        <w:rPr/>
        <w:t>、经营活动的现金出较上年同期增长</w:t>
      </w:r>
      <w:r>
        <w:rPr>
          <w:spacing w:val="-60"/>
        </w:rPr>
        <w:t> </w:t>
      </w:r>
      <w:r>
        <w:rPr>
          <w:rFonts w:ascii="Times New Roman" w:hAnsi="Times New Roman" w:cs="Times New Roman" w:eastAsia="Times New Roman" w:hint="default"/>
        </w:rPr>
        <w:t>53.52%</w:t>
      </w:r>
      <w:r>
        <w:rPr/>
        <w:t>，主要为业务规模增长，成本及存货增加 以及市场营销及研发投入增加所致；</w:t>
      </w:r>
    </w:p>
    <w:p>
      <w:pPr>
        <w:pStyle w:val="BodyText"/>
        <w:spacing w:line="338" w:lineRule="auto" w:before="211"/>
        <w:ind w:left="1133" w:right="1117" w:firstLine="480"/>
        <w:jc w:val="left"/>
      </w:pPr>
      <w:r>
        <w:rPr>
          <w:rFonts w:ascii="Times New Roman" w:hAnsi="Times New Roman" w:cs="Times New Roman" w:eastAsia="Times New Roman" w:hint="default"/>
        </w:rPr>
        <w:t>3</w:t>
      </w:r>
      <w:r>
        <w:rPr/>
        <w:t>、投资活动的现金流入较上年同期增长</w:t>
      </w:r>
      <w:r>
        <w:rPr>
          <w:spacing w:val="-64"/>
        </w:rPr>
        <w:t> </w:t>
      </w:r>
      <w:r>
        <w:rPr>
          <w:rFonts w:ascii="Times New Roman" w:hAnsi="Times New Roman" w:cs="Times New Roman" w:eastAsia="Times New Roman" w:hint="default"/>
        </w:rPr>
        <w:t>3754.99%</w:t>
      </w:r>
      <w:r>
        <w:rPr/>
        <w:t>，主要为处置参股公司</w:t>
      </w:r>
      <w:r>
        <w:rPr>
          <w:rFonts w:ascii="Times New Roman" w:hAnsi="Times New Roman" w:cs="Times New Roman" w:eastAsia="Times New Roman" w:hint="default"/>
        </w:rPr>
        <w:t>-</w:t>
      </w:r>
      <w:r>
        <w:rPr/>
        <w:t>学友园中少的 股权所致；</w:t>
      </w:r>
    </w:p>
    <w:p>
      <w:pPr>
        <w:pStyle w:val="BodyText"/>
        <w:spacing w:line="338" w:lineRule="auto" w:before="211"/>
        <w:ind w:left="1133" w:right="1120" w:firstLine="480"/>
        <w:jc w:val="left"/>
      </w:pPr>
      <w:r>
        <w:rPr>
          <w:rFonts w:ascii="Times New Roman" w:hAnsi="Times New Roman" w:cs="Times New Roman" w:eastAsia="Times New Roman" w:hint="default"/>
          <w:spacing w:val="-3"/>
        </w:rPr>
        <w:t>4</w:t>
      </w:r>
      <w:r>
        <w:rPr>
          <w:spacing w:val="-3"/>
        </w:rPr>
        <w:t>、投资活动的现金流出较上年同期增长</w:t>
      </w:r>
      <w:r>
        <w:rPr>
          <w:spacing w:val="-57"/>
        </w:rPr>
        <w:t> </w:t>
      </w:r>
      <w:r>
        <w:rPr>
          <w:rFonts w:ascii="Times New Roman" w:hAnsi="Times New Roman" w:cs="Times New Roman" w:eastAsia="Times New Roman" w:hint="default"/>
          <w:spacing w:val="-5"/>
        </w:rPr>
        <w:t>69.59%</w:t>
      </w:r>
      <w:r>
        <w:rPr>
          <w:spacing w:val="-5"/>
        </w:rPr>
        <w:t>，主要为增加对</w:t>
      </w:r>
      <w:r>
        <w:rPr>
          <w:spacing w:val="-57"/>
        </w:rPr>
        <w:t> </w:t>
      </w:r>
      <w:r>
        <w:rPr>
          <w:rFonts w:ascii="Times New Roman" w:hAnsi="Times New Roman" w:cs="Times New Roman" w:eastAsia="Times New Roman" w:hint="default"/>
        </w:rPr>
        <w:t>JOINEGAR</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公 司的股权投资所致；</w:t>
      </w:r>
    </w:p>
    <w:p>
      <w:pPr>
        <w:pStyle w:val="BodyText"/>
        <w:spacing w:line="240" w:lineRule="auto" w:before="211"/>
        <w:ind w:left="1613" w:right="0"/>
        <w:jc w:val="left"/>
      </w:pPr>
      <w:r>
        <w:rPr>
          <w:rFonts w:ascii="Times New Roman" w:hAnsi="Times New Roman" w:cs="Times New Roman" w:eastAsia="Times New Roman" w:hint="default"/>
          <w:spacing w:val="-5"/>
        </w:rPr>
        <w:t>5</w:t>
      </w:r>
      <w:r>
        <w:rPr>
          <w:spacing w:val="-5"/>
        </w:rPr>
        <w:t>、筹资活动的现金流入较上年同期增长</w:t>
      </w:r>
      <w:r>
        <w:rPr>
          <w:spacing w:val="-36"/>
        </w:rPr>
        <w:t> </w:t>
      </w:r>
      <w:r>
        <w:rPr>
          <w:rFonts w:ascii="Times New Roman" w:hAnsi="Times New Roman" w:cs="Times New Roman" w:eastAsia="Times New Roman" w:hint="default"/>
          <w:spacing w:val="-4"/>
        </w:rPr>
        <w:t>683.89%</w:t>
      </w:r>
      <w:r>
        <w:rPr>
          <w:spacing w:val="-4"/>
        </w:rPr>
        <w:t>，主要为发行股票及新增银行借款所致；</w:t>
      </w:r>
    </w:p>
    <w:p>
      <w:pPr>
        <w:spacing w:line="240" w:lineRule="auto" w:before="4"/>
        <w:rPr>
          <w:rFonts w:ascii="宋体" w:hAnsi="宋体" w:cs="宋体" w:eastAsia="宋体" w:hint="default"/>
          <w:sz w:val="22"/>
          <w:szCs w:val="22"/>
        </w:rPr>
      </w:pPr>
    </w:p>
    <w:p>
      <w:pPr>
        <w:pStyle w:val="BodyText"/>
        <w:spacing w:line="338" w:lineRule="auto"/>
        <w:ind w:left="1133" w:right="1193" w:firstLine="480"/>
        <w:jc w:val="left"/>
      </w:pPr>
      <w:r>
        <w:rPr>
          <w:rFonts w:ascii="Times New Roman" w:hAnsi="Times New Roman" w:cs="Times New Roman" w:eastAsia="Times New Roman" w:hint="default"/>
        </w:rPr>
        <w:t>6</w:t>
      </w:r>
      <w:r>
        <w:rPr/>
        <w:t>、筹资活动的现金流出较上年同期增长</w:t>
      </w:r>
      <w:r>
        <w:rPr>
          <w:spacing w:val="-60"/>
        </w:rPr>
        <w:t> </w:t>
      </w:r>
      <w:r>
        <w:rPr>
          <w:rFonts w:ascii="Times New Roman" w:hAnsi="Times New Roman" w:cs="Times New Roman" w:eastAsia="Times New Roman" w:hint="default"/>
        </w:rPr>
        <w:t>2296.98%</w:t>
      </w:r>
      <w:r>
        <w:rPr/>
        <w:t>，主要为归还银行借款与分配股利所 致；</w:t>
      </w:r>
    </w:p>
    <w:p>
      <w:pPr>
        <w:pStyle w:val="BodyText"/>
        <w:spacing w:line="338" w:lineRule="auto" w:before="211"/>
        <w:ind w:left="1133" w:right="1112" w:firstLine="480"/>
        <w:jc w:val="left"/>
      </w:pPr>
      <w:r>
        <w:rPr>
          <w:rFonts w:ascii="Times New Roman" w:hAnsi="Times New Roman" w:cs="Times New Roman" w:eastAsia="Times New Roman" w:hint="default"/>
        </w:rPr>
        <w:t>7</w:t>
      </w:r>
      <w:r>
        <w:rPr/>
        <w:t>、现金及现金等价物净增加额较上年同期增长</w:t>
      </w:r>
      <w:r>
        <w:rPr>
          <w:spacing w:val="-99"/>
        </w:rPr>
        <w:t> </w:t>
      </w:r>
      <w:r>
        <w:rPr>
          <w:rFonts w:ascii="Times New Roman" w:hAnsi="Times New Roman" w:cs="Times New Roman" w:eastAsia="Times New Roman" w:hint="default"/>
        </w:rPr>
        <w:t>159.13%</w:t>
      </w:r>
      <w:r>
        <w:rPr/>
        <w:t>，主要为发行股票、新增银行借 款、处置参股公司股权投资所致。</w:t>
      </w:r>
    </w:p>
    <w:p>
      <w:pPr>
        <w:pStyle w:val="BodyText"/>
        <w:spacing w:line="240" w:lineRule="auto" w:before="211"/>
        <w:ind w:left="1613" w:right="1073"/>
        <w:jc w:val="left"/>
      </w:pPr>
      <w:r>
        <w:rPr/>
        <w:t>报告期内公司经营活动产生的现金净流量与本年度净利润存在重大差异的原因说明</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spacing w:line="499" w:lineRule="auto" w:before="26"/>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非主营业务情况" w:id="39"/>
      <w:bookmarkEnd w:id="39"/>
      <w:r>
        <w:rPr>
          <w:rFonts w:ascii="宋体" w:hAnsi="宋体" w:cs="宋体" w:eastAsia="宋体" w:hint="default"/>
          <w:sz w:val="24"/>
          <w:szCs w:val="24"/>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line="491" w:lineRule="auto" w:before="117"/>
        <w:ind w:left="1134" w:right="8328"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资产及负债状况" w:id="40"/>
      <w:bookmarkEnd w:id="40"/>
      <w:r>
        <w:rPr>
          <w:rFonts w:ascii="宋体" w:hAnsi="宋体" w:cs="宋体" w:eastAsia="宋体" w:hint="default"/>
          <w:sz w:val="24"/>
          <w:szCs w:val="24"/>
        </w:rPr>
      </w:r>
      <w:r>
        <w:rPr>
          <w:rFonts w:ascii="宋体" w:hAnsi="宋体" w:cs="宋体" w:eastAsia="宋体" w:hint="default"/>
          <w:b/>
          <w:bCs/>
          <w:sz w:val="24"/>
          <w:szCs w:val="24"/>
        </w:rPr>
        <w:t>四、资产及负债状况</w:t>
      </w:r>
      <w:r>
        <w:rPr>
          <w:rFonts w:ascii="宋体" w:hAnsi="宋体" w:cs="宋体" w:eastAsia="宋体" w:hint="default"/>
          <w:b/>
          <w:bCs/>
          <w:w w:val="99"/>
          <w:sz w:val="24"/>
          <w:szCs w:val="24"/>
        </w:rPr>
        <w:t> </w:t>
      </w:r>
      <w:bookmarkStart w:name="1、资产构成重大变动情况" w:id="41"/>
      <w:bookmarkEnd w:id="4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901"/>
        <w:gridCol w:w="1196"/>
        <w:gridCol w:w="1063"/>
        <w:gridCol w:w="798"/>
        <w:gridCol w:w="2918"/>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255,813,531.61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59,956,818.95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159,856,030.80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97,537,231.63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8,794,654.27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1,446,666.98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148,925,000.00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73,505,105.81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10,880,746.75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4,849,986.52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249,352,800.00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491" w:lineRule="auto" w:before="0"/>
        <w:ind w:left="1134" w:right="8328"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投资状况分析" w:id="43"/>
      <w:bookmarkEnd w:id="43"/>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bookmarkStart w:name="1、总体情况" w:id="44"/>
      <w:bookmarkEnd w:id="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pStyle w:val="BodyText"/>
        <w:spacing w:line="240" w:lineRule="auto" w:before="132"/>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191,578,200.00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80,637,210.00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137.58%</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报告期内获取的重大的股权投资情况" w:id="45"/>
      <w:bookmarkEnd w:id="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5"/>
        <w:gridCol w:w="683"/>
        <w:gridCol w:w="683"/>
        <w:gridCol w:w="683"/>
        <w:gridCol w:w="683"/>
        <w:gridCol w:w="683"/>
        <w:gridCol w:w="683"/>
        <w:gridCol w:w="683"/>
        <w:gridCol w:w="683"/>
        <w:gridCol w:w="683"/>
        <w:gridCol w:w="684"/>
        <w:gridCol w:w="683"/>
        <w:gridCol w:w="683"/>
        <w:gridCol w:w="671"/>
      </w:tblGrid>
      <w:tr>
        <w:trPr>
          <w:trHeight w:val="402"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7"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主要业</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投资金</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投资期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产品类</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7" w:right="0"/>
              <w:jc w:val="left"/>
              <w:rPr>
                <w:rFonts w:ascii="宋体" w:hAnsi="宋体" w:cs="宋体" w:eastAsia="宋体" w:hint="default"/>
                <w:sz w:val="18"/>
                <w:szCs w:val="18"/>
              </w:rPr>
            </w:pPr>
            <w:r>
              <w:rPr>
                <w:rFonts w:ascii="宋体" w:hAnsi="宋体" w:cs="宋体" w:eastAsia="宋体" w:hint="default"/>
                <w:sz w:val="18"/>
                <w:szCs w:val="18"/>
              </w:rPr>
              <w:t>本期投</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是否涉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67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7" w:right="66"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5"/>
              <w:jc w:val="right"/>
              <w:rPr>
                <w:rFonts w:ascii="宋体" w:hAnsi="宋体" w:cs="宋体" w:eastAsia="宋体" w:hint="default"/>
                <w:sz w:val="18"/>
                <w:szCs w:val="18"/>
              </w:rPr>
            </w:pPr>
            <w:r>
              <w:rPr>
                <w:rFonts w:ascii="宋体" w:hAnsi="宋体" w:cs="宋体" w:eastAsia="宋体" w:hint="default"/>
                <w:sz w:val="18"/>
                <w:szCs w:val="18"/>
              </w:rPr>
              <w:t>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5" w:right="0"/>
              <w:jc w:val="left"/>
              <w:rPr>
                <w:rFonts w:ascii="宋体" w:hAnsi="宋体" w:cs="宋体" w:eastAsia="宋体" w:hint="default"/>
                <w:sz w:val="18"/>
                <w:szCs w:val="18"/>
              </w:rPr>
            </w:pPr>
            <w:r>
              <w:rPr>
                <w:rFonts w:ascii="宋体" w:hAnsi="宋体" w:cs="宋体" w:eastAsia="宋体" w:hint="default"/>
                <w:sz w:val="18"/>
                <w:szCs w:val="18"/>
              </w:rPr>
              <w:t>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5"/>
              <w:jc w:val="right"/>
              <w:rPr>
                <w:rFonts w:ascii="宋体" w:hAnsi="宋体" w:cs="宋体" w:eastAsia="宋体" w:hint="default"/>
                <w:sz w:val="18"/>
                <w:szCs w:val="18"/>
              </w:rPr>
            </w:pPr>
            <w:r>
              <w:rPr>
                <w:rFonts w:ascii="宋体" w:hAnsi="宋体" w:cs="宋体" w:eastAsia="宋体" w:hint="default"/>
                <w:sz w:val="18"/>
                <w:szCs w:val="18"/>
              </w:rPr>
              <w:t>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6" w:right="65" w:hanging="90"/>
              <w:jc w:val="left"/>
              <w:rPr>
                <w:rFonts w:ascii="宋体" w:hAnsi="宋体" w:cs="宋体" w:eastAsia="宋体" w:hint="default"/>
                <w:sz w:val="18"/>
                <w:szCs w:val="18"/>
              </w:rPr>
            </w:pPr>
            <w:r>
              <w:rPr>
                <w:rFonts w:ascii="宋体" w:hAnsi="宋体" w:cs="宋体" w:eastAsia="宋体" w:hint="default"/>
                <w:sz w:val="18"/>
                <w:szCs w:val="18"/>
              </w:rPr>
              <w:t>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6" w:right="65" w:hanging="90"/>
              <w:jc w:val="left"/>
              <w:rPr>
                <w:rFonts w:ascii="宋体" w:hAnsi="宋体" w:cs="宋体" w:eastAsia="宋体" w:hint="default"/>
                <w:sz w:val="18"/>
                <w:szCs w:val="18"/>
              </w:rPr>
            </w:pPr>
            <w:r>
              <w:rPr>
                <w:rFonts w:ascii="宋体" w:hAnsi="宋体" w:cs="宋体" w:eastAsia="宋体" w:hint="default"/>
                <w:sz w:val="18"/>
                <w:szCs w:val="18"/>
              </w:rPr>
              <w:t>引（如 有）</w:t>
            </w:r>
          </w:p>
        </w:tc>
      </w:tr>
      <w:tr>
        <w:trPr>
          <w:trHeight w:val="227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1"/>
              <w:jc w:val="both"/>
              <w:rPr>
                <w:rFonts w:ascii="宋体" w:hAnsi="宋体" w:cs="宋体" w:eastAsia="宋体" w:hint="default"/>
                <w:sz w:val="18"/>
                <w:szCs w:val="18"/>
              </w:rPr>
            </w:pPr>
            <w:r>
              <w:rPr>
                <w:rFonts w:ascii="宋体" w:hAnsi="宋体" w:cs="宋体" w:eastAsia="宋体" w:hint="default"/>
                <w:sz w:val="18"/>
                <w:szCs w:val="18"/>
              </w:rPr>
              <w:t>北京鸿 达以太 文化发 展有限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有声读 物的批 发零 售、有 声版权 的制作 与发行</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35,653,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8"/>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有声版 权的制 作与发 行</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7,268,3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83.37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3,295,2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52.96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38" w:lineRule="auto"/>
              <w:ind w:left="22"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pacing w:val="-3"/>
                <w:sz w:val="18"/>
                <w:szCs w:val="18"/>
              </w:rPr>
              <w:t>2015-11</w:t>
            </w:r>
            <w:r>
              <w:rPr>
                <w:rFonts w:ascii="Times New Roman" w:hAnsi="Times New Roman" w:cs="Times New Roman" w:eastAsia="Times New Roman" w:hint="default"/>
                <w:sz w:val="18"/>
                <w:szCs w:val="18"/>
              </w:rPr>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
              <w:jc w:val="left"/>
              <w:rPr>
                <w:rFonts w:ascii="Times New Roman" w:hAnsi="Times New Roman" w:cs="Times New Roman" w:eastAsia="Times New Roman" w:hint="default"/>
                <w:sz w:val="18"/>
                <w:szCs w:val="18"/>
              </w:rPr>
            </w:pPr>
            <w:r>
              <w:rPr>
                <w:rFonts w:ascii="Times New Roman"/>
                <w:sz w:val="18"/>
              </w:rPr>
              <w:t>JOING</w:t>
            </w:r>
            <w:r>
              <w:rPr>
                <w:rFonts w:ascii="Times New Roman"/>
                <w:w w:val="99"/>
                <w:sz w:val="18"/>
              </w:rPr>
              <w:t> </w:t>
            </w:r>
            <w:r>
              <w:rPr>
                <w:rFonts w:ascii="Times New Roman"/>
                <w:sz w:val="18"/>
              </w:rPr>
              <w:t>EAR</w:t>
            </w:r>
            <w:r>
              <w:rPr>
                <w:rFonts w:ascii="Times New Roman"/>
                <w:w w:val="99"/>
                <w:sz w:val="18"/>
              </w:rPr>
              <w:t> </w:t>
            </w:r>
            <w:r>
              <w:rPr>
                <w:rFonts w:ascii="Times New Roman"/>
                <w:sz w:val="18"/>
              </w:rPr>
              <w:t>LIMITE</w:t>
            </w:r>
            <w:r>
              <w:rPr>
                <w:rFonts w:ascii="Times New Roman"/>
                <w:w w:val="99"/>
                <w:sz w:val="18"/>
              </w:rPr>
              <w:t> </w:t>
            </w:r>
            <w:r>
              <w:rPr>
                <w:rFonts w:ascii="Times New Roman"/>
                <w:sz w:val="18"/>
              </w:rPr>
              <w:t>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148,925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38.33%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银行借 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教育测 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pacing w:val="-3"/>
                <w:sz w:val="18"/>
                <w:szCs w:val="18"/>
              </w:rPr>
              <w:t>2015-11</w:t>
            </w:r>
            <w:r>
              <w:rPr>
                <w:rFonts w:ascii="Times New Roman" w:hAnsi="Times New Roman" w:cs="Times New Roman" w:eastAsia="Times New Roman" w:hint="default"/>
                <w:sz w:val="18"/>
                <w:szCs w:val="18"/>
              </w:rPr>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184,578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7,268,3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83.37</w:t>
            </w: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3,295,2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52.96</w:t>
            </w:r>
          </w:p>
        </w:tc>
        <w:tc>
          <w:tcPr>
            <w:tcW w:w="683"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报告期内正在进行的重大的非股权投资情况" w:id="46"/>
      <w:bookmarkEnd w:id="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023" w:right="78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069" w:right="7861" w:firstLine="0"/>
        <w:jc w:val="center"/>
        <w:rPr>
          <w:rFonts w:ascii="宋体" w:hAnsi="宋体" w:cs="宋体" w:eastAsia="宋体" w:hint="default"/>
          <w:sz w:val="21"/>
          <w:szCs w:val="21"/>
        </w:rPr>
      </w:pPr>
      <w:bookmarkStart w:name="4、以公允价值计量的金融资产" w:id="47"/>
      <w:bookmarkEnd w:id="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023" w:right="78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5、募集资金使用情况" w:id="48"/>
      <w:bookmarkEnd w:id="4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023" w:right="78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858" w:right="7861" w:firstLine="0"/>
        <w:jc w:val="center"/>
        <w:rPr>
          <w:rFonts w:ascii="宋体" w:hAnsi="宋体" w:cs="宋体" w:eastAsia="宋体" w:hint="default"/>
          <w:sz w:val="21"/>
          <w:szCs w:val="21"/>
        </w:rPr>
      </w:pPr>
      <w:bookmarkStart w:name="（1）募集资金总体使用情况" w:id="49"/>
      <w:bookmarkEnd w:id="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023" w:right="78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16,746.83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15,364.98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15,364.98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用于募集 项目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16,746.83</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15,364.98</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15,364.98</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1,381.85</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8"/>
        <w:rPr>
          <w:rFonts w:ascii="宋体" w:hAnsi="宋体" w:cs="宋体" w:eastAsia="宋体" w:hint="default"/>
          <w:sz w:val="13"/>
          <w:szCs w:val="13"/>
        </w:rPr>
      </w:pPr>
    </w:p>
    <w:p>
      <w:pPr>
        <w:spacing w:line="714" w:lineRule="exact"/>
        <w:ind w:left="1134"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3pt;height:35.7pt;mso-position-horizontal-relative:char;mso-position-vertical-relative:line" type="#_x0000_t202" filled="false" stroked="true" strokeweight=".48pt" strokecolor="#000000">
            <w10:anchorlock/>
            <v:textbox inset="0,0,0,0">
              <w:txbxContent>
                <w:p>
                  <w:pPr>
                    <w:spacing w:before="51"/>
                    <w:ind w:left="22" w:right="0" w:firstLine="0"/>
                    <w:jc w:val="left"/>
                    <w:rPr>
                      <w:rFonts w:ascii="宋体" w:hAnsi="宋体" w:cs="宋体" w:eastAsia="宋体" w:hint="default"/>
                      <w:sz w:val="18"/>
                      <w:szCs w:val="18"/>
                    </w:rPr>
                  </w:pPr>
                  <w:r>
                    <w:rPr>
                      <w:rFonts w:ascii="宋体" w:hAnsi="宋体" w:cs="宋体" w:eastAsia="宋体" w:hint="default"/>
                      <w:sz w:val="18"/>
                      <w:szCs w:val="18"/>
                    </w:rPr>
                    <w:t>注：截止本报告期末，公司募集资金账户余额为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14,527,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02.34 </w:t>
                  </w:r>
                  <w:r>
                    <w:rPr>
                      <w:rFonts w:ascii="宋体" w:hAnsi="宋体" w:cs="宋体" w:eastAsia="宋体" w:hint="default"/>
                      <w:sz w:val="18"/>
                      <w:szCs w:val="18"/>
                    </w:rPr>
                    <w:t>元（含利息收入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709,447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，公司以自有资金投入募投</w:t>
                  </w:r>
                </w:p>
                <w:p>
                  <w:pPr>
                    <w:spacing w:before="64"/>
                    <w:ind w:left="22" w:right="0" w:firstLine="0"/>
                    <w:jc w:val="left"/>
                    <w:rPr>
                      <w:rFonts w:ascii="宋体" w:hAnsi="宋体" w:cs="宋体" w:eastAsia="宋体" w:hint="default"/>
                      <w:sz w:val="18"/>
                      <w:szCs w:val="18"/>
                    </w:rPr>
                  </w:pPr>
                  <w:r>
                    <w:rPr>
                      <w:rFonts w:ascii="宋体" w:hAnsi="宋体" w:cs="宋体" w:eastAsia="宋体" w:hint="default"/>
                      <w:sz w:val="18"/>
                      <w:szCs w:val="18"/>
                    </w:rPr>
                    <w:t>项目待置换的金额为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1,4,708,621.64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元，截止本报告期末募集资金实际已使用完毕。</w:t>
                  </w:r>
                </w:p>
              </w:txbxContent>
            </v:textbox>
          </v:shape>
        </w:pict>
      </w:r>
      <w:r>
        <w:rPr>
          <w:rFonts w:ascii="宋体" w:hAnsi="宋体" w:cs="宋体" w:eastAsia="宋体" w:hint="default"/>
          <w:position w:val="-13"/>
          <w:sz w:val="20"/>
          <w:szCs w:val="20"/>
        </w:rPr>
      </w:r>
    </w:p>
    <w:p>
      <w:pPr>
        <w:spacing w:line="240" w:lineRule="auto" w:before="7"/>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募集资金承诺项目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47"/>
        <w:gridCol w:w="742"/>
        <w:gridCol w:w="722"/>
        <w:gridCol w:w="717"/>
        <w:gridCol w:w="716"/>
        <w:gridCol w:w="703"/>
        <w:gridCol w:w="735"/>
        <w:gridCol w:w="716"/>
        <w:gridCol w:w="719"/>
        <w:gridCol w:w="718"/>
        <w:gridCol w:w="718"/>
        <w:gridCol w:w="711"/>
      </w:tblGrid>
      <w:tr>
        <w:trPr>
          <w:trHeight w:val="1650"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7"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数字内容资源平台 升级改造项目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15,364.9</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15,364.9</w:t>
            </w: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91.75%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3,154.07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9,754.16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15,364.9</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w:t>
            </w:r>
          </w:p>
        </w:tc>
        <w:tc>
          <w:tcPr>
            <w:tcW w:w="7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15,364.9</w:t>
            </w: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8</w:t>
            </w:r>
          </w:p>
        </w:tc>
        <w:tc>
          <w:tcPr>
            <w:tcW w:w="7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3,154.07</w:t>
            </w:r>
          </w:p>
        </w:tc>
        <w:tc>
          <w:tcPr>
            <w:tcW w:w="718"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9,754.16</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shd w:val="clear" w:color="auto" w:fill="D9D9D9"/>
          </w:tcPr>
          <w:p>
            <w:pPr/>
          </w:p>
        </w:tc>
        <w:tc>
          <w:tcPr>
            <w:tcW w:w="717" w:type="dxa"/>
            <w:vMerge/>
            <w:tcBorders>
              <w:left w:val="single" w:sz="4" w:space="0" w:color="000000"/>
              <w:right w:val="single" w:sz="4" w:space="0" w:color="000000"/>
            </w:tcBorders>
            <w:shd w:val="clear" w:color="auto" w:fill="D9D9D9"/>
          </w:tcPr>
          <w:p>
            <w:pPr/>
          </w:p>
        </w:tc>
        <w:tc>
          <w:tcPr>
            <w:tcW w:w="716" w:type="dxa"/>
            <w:vMerge/>
            <w:tcBorders>
              <w:left w:val="single" w:sz="4" w:space="0" w:color="000000"/>
              <w:right w:val="single" w:sz="4" w:space="0" w:color="000000"/>
            </w:tcBorders>
            <w:shd w:val="clear" w:color="auto" w:fill="D9D9D9"/>
          </w:tcPr>
          <w:p>
            <w:pPr/>
          </w:p>
        </w:tc>
        <w:tc>
          <w:tcPr>
            <w:tcW w:w="703" w:type="dxa"/>
            <w:vMerge/>
            <w:tcBorders>
              <w:left w:val="single" w:sz="4" w:space="0" w:color="000000"/>
              <w:right w:val="single" w:sz="4" w:space="0" w:color="000000"/>
            </w:tcBorders>
            <w:shd w:val="clear" w:color="auto" w:fill="D9D9D9"/>
          </w:tcPr>
          <w:p>
            <w:pPr/>
          </w:p>
        </w:tc>
        <w:tc>
          <w:tcPr>
            <w:tcW w:w="735" w:type="dxa"/>
            <w:vMerge/>
            <w:tcBorders>
              <w:left w:val="single" w:sz="4" w:space="0" w:color="000000"/>
              <w:right w:val="single" w:sz="4" w:space="0" w:color="000000"/>
            </w:tcBorders>
            <w:shd w:val="clear" w:color="auto" w:fill="D9D9D9"/>
          </w:tcPr>
          <w:p>
            <w:pPr/>
          </w:p>
        </w:tc>
        <w:tc>
          <w:tcPr>
            <w:tcW w:w="716" w:type="dxa"/>
            <w:vMerge/>
            <w:tcBorders>
              <w:left w:val="single" w:sz="4" w:space="0" w:color="000000"/>
              <w:right w:val="single" w:sz="4" w:space="0" w:color="000000"/>
            </w:tcBorders>
            <w:shd w:val="clear" w:color="auto" w:fill="D9D9D9"/>
          </w:tcPr>
          <w:p>
            <w:pPr/>
          </w:p>
        </w:tc>
        <w:tc>
          <w:tcPr>
            <w:tcW w:w="719" w:type="dxa"/>
            <w:vMerge/>
            <w:tcBorders>
              <w:left w:val="single" w:sz="4" w:space="0" w:color="000000"/>
              <w:right w:val="single" w:sz="4" w:space="0" w:color="000000"/>
            </w:tcBorders>
            <w:shd w:val="clear" w:color="auto" w:fill="D9D9D9"/>
          </w:tcPr>
          <w:p>
            <w:pPr/>
          </w:p>
        </w:tc>
        <w:tc>
          <w:tcPr>
            <w:tcW w:w="718" w:type="dxa"/>
            <w:vMerge/>
            <w:tcBorders>
              <w:left w:val="single" w:sz="4" w:space="0" w:color="000000"/>
              <w:right w:val="single" w:sz="9" w:space="0" w:color="D2D2D2"/>
            </w:tcBorders>
            <w:shd w:val="clear" w:color="auto" w:fill="D9D9D9"/>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shd w:val="clear" w:color="auto" w:fill="D9D9D9"/>
          </w:tcPr>
          <w:p>
            <w:pPr/>
          </w:p>
        </w:tc>
        <w:tc>
          <w:tcPr>
            <w:tcW w:w="717" w:type="dxa"/>
            <w:vMerge/>
            <w:tcBorders>
              <w:left w:val="single" w:sz="4" w:space="0" w:color="000000"/>
              <w:bottom w:val="single" w:sz="4" w:space="0" w:color="000000"/>
              <w:right w:val="single" w:sz="4" w:space="0" w:color="000000"/>
            </w:tcBorders>
            <w:shd w:val="clear" w:color="auto" w:fill="D9D9D9"/>
          </w:tcPr>
          <w:p>
            <w:pPr/>
          </w:p>
        </w:tc>
        <w:tc>
          <w:tcPr>
            <w:tcW w:w="716" w:type="dxa"/>
            <w:vMerge/>
            <w:tcBorders>
              <w:left w:val="single" w:sz="4" w:space="0" w:color="000000"/>
              <w:bottom w:val="single" w:sz="4" w:space="0" w:color="000000"/>
              <w:right w:val="single" w:sz="4" w:space="0" w:color="000000"/>
            </w:tcBorders>
            <w:shd w:val="clear" w:color="auto" w:fill="D9D9D9"/>
          </w:tcPr>
          <w:p>
            <w:pPr/>
          </w:p>
        </w:tc>
        <w:tc>
          <w:tcPr>
            <w:tcW w:w="703" w:type="dxa"/>
            <w:vMerge/>
            <w:tcBorders>
              <w:left w:val="single" w:sz="4" w:space="0" w:color="000000"/>
              <w:bottom w:val="single" w:sz="4" w:space="0" w:color="000000"/>
              <w:right w:val="single" w:sz="4" w:space="0" w:color="000000"/>
            </w:tcBorders>
            <w:shd w:val="clear" w:color="auto" w:fill="D9D9D9"/>
          </w:tcPr>
          <w:p>
            <w:pPr/>
          </w:p>
        </w:tc>
        <w:tc>
          <w:tcPr>
            <w:tcW w:w="735" w:type="dxa"/>
            <w:vMerge/>
            <w:tcBorders>
              <w:left w:val="single" w:sz="4" w:space="0" w:color="000000"/>
              <w:bottom w:val="single" w:sz="4" w:space="0" w:color="000000"/>
              <w:right w:val="single" w:sz="4" w:space="0" w:color="000000"/>
            </w:tcBorders>
            <w:shd w:val="clear" w:color="auto" w:fill="D9D9D9"/>
          </w:tcPr>
          <w:p>
            <w:pPr/>
          </w:p>
        </w:tc>
        <w:tc>
          <w:tcPr>
            <w:tcW w:w="716" w:type="dxa"/>
            <w:vMerge/>
            <w:tcBorders>
              <w:left w:val="single" w:sz="4" w:space="0" w:color="000000"/>
              <w:bottom w:val="single" w:sz="4" w:space="0" w:color="000000"/>
              <w:right w:val="single" w:sz="4" w:space="0" w:color="000000"/>
            </w:tcBorders>
            <w:shd w:val="clear" w:color="auto" w:fill="D9D9D9"/>
          </w:tcPr>
          <w:p>
            <w:pPr/>
          </w:p>
        </w:tc>
        <w:tc>
          <w:tcPr>
            <w:tcW w:w="719" w:type="dxa"/>
            <w:vMerge/>
            <w:tcBorders>
              <w:left w:val="single" w:sz="4" w:space="0" w:color="000000"/>
              <w:bottom w:val="single" w:sz="4" w:space="0" w:color="000000"/>
              <w:right w:val="single" w:sz="4" w:space="0" w:color="000000"/>
            </w:tcBorders>
            <w:shd w:val="clear" w:color="auto" w:fill="D9D9D9"/>
          </w:tcPr>
          <w:p>
            <w:pPr/>
          </w:p>
        </w:tc>
        <w:tc>
          <w:tcPr>
            <w:tcW w:w="718" w:type="dxa"/>
            <w:vMerge/>
            <w:tcBorders>
              <w:left w:val="single" w:sz="4" w:space="0" w:color="000000"/>
              <w:bottom w:val="single" w:sz="4" w:space="0" w:color="000000"/>
              <w:right w:val="single" w:sz="9" w:space="0" w:color="D2D2D2"/>
            </w:tcBorders>
            <w:shd w:val="clear" w:color="auto" w:fill="D9D9D9"/>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15,364.</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98</w:t>
            </w:r>
          </w:p>
        </w:tc>
        <w:tc>
          <w:tcPr>
            <w:tcW w:w="7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3,154.07</w:t>
            </w:r>
          </w:p>
        </w:tc>
        <w:tc>
          <w:tcPr>
            <w:tcW w:w="7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9,754.16</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16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shd w:val="clear" w:color="auto" w:fill="D9D9D9"/>
          </w:tcPr>
          <w:p>
            <w:pPr/>
          </w:p>
        </w:tc>
        <w:tc>
          <w:tcPr>
            <w:tcW w:w="717" w:type="dxa"/>
            <w:vMerge/>
            <w:tcBorders>
              <w:left w:val="single" w:sz="4" w:space="0" w:color="000000"/>
              <w:right w:val="single" w:sz="4" w:space="0" w:color="000000"/>
            </w:tcBorders>
            <w:shd w:val="clear" w:color="auto" w:fill="D9D9D9"/>
          </w:tcPr>
          <w:p>
            <w:pPr/>
          </w:p>
        </w:tc>
        <w:tc>
          <w:tcPr>
            <w:tcW w:w="716" w:type="dxa"/>
            <w:vMerge/>
            <w:tcBorders>
              <w:left w:val="single" w:sz="4" w:space="0" w:color="000000"/>
              <w:right w:val="single" w:sz="4" w:space="0" w:color="000000"/>
            </w:tcBorders>
            <w:shd w:val="clear" w:color="auto" w:fill="D9D9D9"/>
          </w:tcPr>
          <w:p>
            <w:pPr/>
          </w:p>
        </w:tc>
        <w:tc>
          <w:tcPr>
            <w:tcW w:w="703" w:type="dxa"/>
            <w:vMerge/>
            <w:tcBorders>
              <w:left w:val="single" w:sz="4" w:space="0" w:color="000000"/>
              <w:right w:val="single" w:sz="4" w:space="0" w:color="000000"/>
            </w:tcBorders>
            <w:shd w:val="clear" w:color="auto" w:fill="D9D9D9"/>
          </w:tcPr>
          <w:p>
            <w:pPr/>
          </w:p>
        </w:tc>
        <w:tc>
          <w:tcPr>
            <w:tcW w:w="735" w:type="dxa"/>
            <w:vMerge/>
            <w:tcBorders>
              <w:left w:val="single" w:sz="4" w:space="0" w:color="000000"/>
              <w:right w:val="single" w:sz="4" w:space="0" w:color="000000"/>
            </w:tcBorders>
            <w:shd w:val="clear" w:color="auto" w:fill="D9D9D9"/>
          </w:tcPr>
          <w:p>
            <w:pPr/>
          </w:p>
        </w:tc>
        <w:tc>
          <w:tcPr>
            <w:tcW w:w="716" w:type="dxa"/>
            <w:vMerge/>
            <w:tcBorders>
              <w:left w:val="single" w:sz="4" w:space="0" w:color="000000"/>
              <w:right w:val="single" w:sz="4" w:space="0" w:color="000000"/>
            </w:tcBorders>
            <w:shd w:val="clear" w:color="auto" w:fill="D9D9D9"/>
          </w:tcPr>
          <w:p>
            <w:pPr/>
          </w:p>
        </w:tc>
        <w:tc>
          <w:tcPr>
            <w:tcW w:w="719" w:type="dxa"/>
            <w:vMerge/>
            <w:tcBorders>
              <w:left w:val="single" w:sz="4" w:space="0" w:color="000000"/>
              <w:right w:val="single" w:sz="4" w:space="0" w:color="000000"/>
            </w:tcBorders>
            <w:shd w:val="clear" w:color="auto" w:fill="D9D9D9"/>
          </w:tcPr>
          <w:p>
            <w:pPr/>
          </w:p>
        </w:tc>
        <w:tc>
          <w:tcPr>
            <w:tcW w:w="718" w:type="dxa"/>
            <w:vMerge/>
            <w:tcBorders>
              <w:left w:val="single" w:sz="4" w:space="0" w:color="000000"/>
              <w:right w:val="single" w:sz="4" w:space="0" w:color="000000"/>
            </w:tcBorders>
            <w:shd w:val="clear" w:color="auto" w:fill="D9D9D9"/>
          </w:tcPr>
          <w:p>
            <w:pPr/>
          </w:p>
        </w:tc>
        <w:tc>
          <w:tcPr>
            <w:tcW w:w="71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61" w:hRule="exact"/>
        </w:trPr>
        <w:tc>
          <w:tcPr>
            <w:tcW w:w="16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shd w:val="clear" w:color="auto" w:fill="D9D9D9"/>
          </w:tcPr>
          <w:p>
            <w:pPr/>
          </w:p>
        </w:tc>
        <w:tc>
          <w:tcPr>
            <w:tcW w:w="717" w:type="dxa"/>
            <w:vMerge/>
            <w:tcBorders>
              <w:left w:val="single" w:sz="4" w:space="0" w:color="000000"/>
              <w:bottom w:val="single" w:sz="4" w:space="0" w:color="000000"/>
              <w:right w:val="single" w:sz="4" w:space="0" w:color="000000"/>
            </w:tcBorders>
            <w:shd w:val="clear" w:color="auto" w:fill="D9D9D9"/>
          </w:tcPr>
          <w:p>
            <w:pPr/>
          </w:p>
        </w:tc>
        <w:tc>
          <w:tcPr>
            <w:tcW w:w="716" w:type="dxa"/>
            <w:vMerge/>
            <w:tcBorders>
              <w:left w:val="single" w:sz="4" w:space="0" w:color="000000"/>
              <w:bottom w:val="single" w:sz="4" w:space="0" w:color="000000"/>
              <w:right w:val="single" w:sz="4" w:space="0" w:color="000000"/>
            </w:tcBorders>
            <w:shd w:val="clear" w:color="auto" w:fill="D9D9D9"/>
          </w:tcPr>
          <w:p>
            <w:pPr/>
          </w:p>
        </w:tc>
        <w:tc>
          <w:tcPr>
            <w:tcW w:w="703" w:type="dxa"/>
            <w:vMerge/>
            <w:tcBorders>
              <w:left w:val="single" w:sz="4" w:space="0" w:color="000000"/>
              <w:bottom w:val="single" w:sz="4" w:space="0" w:color="000000"/>
              <w:right w:val="single" w:sz="4" w:space="0" w:color="000000"/>
            </w:tcBorders>
            <w:shd w:val="clear" w:color="auto" w:fill="D9D9D9"/>
          </w:tcPr>
          <w:p>
            <w:pPr/>
          </w:p>
        </w:tc>
        <w:tc>
          <w:tcPr>
            <w:tcW w:w="735" w:type="dxa"/>
            <w:vMerge/>
            <w:tcBorders>
              <w:left w:val="single" w:sz="4" w:space="0" w:color="000000"/>
              <w:bottom w:val="single" w:sz="4" w:space="0" w:color="000000"/>
              <w:right w:val="single" w:sz="4" w:space="0" w:color="000000"/>
            </w:tcBorders>
            <w:shd w:val="clear" w:color="auto" w:fill="D9D9D9"/>
          </w:tcPr>
          <w:p>
            <w:pPr/>
          </w:p>
        </w:tc>
        <w:tc>
          <w:tcPr>
            <w:tcW w:w="716" w:type="dxa"/>
            <w:vMerge/>
            <w:tcBorders>
              <w:left w:val="single" w:sz="4" w:space="0" w:color="000000"/>
              <w:bottom w:val="single" w:sz="4" w:space="0" w:color="000000"/>
              <w:right w:val="single" w:sz="4" w:space="0" w:color="000000"/>
            </w:tcBorders>
            <w:shd w:val="clear" w:color="auto" w:fill="D9D9D9"/>
          </w:tcPr>
          <w:p>
            <w:pPr/>
          </w:p>
        </w:tc>
        <w:tc>
          <w:tcPr>
            <w:tcW w:w="719" w:type="dxa"/>
            <w:vMerge/>
            <w:tcBorders>
              <w:left w:val="single" w:sz="4" w:space="0" w:color="000000"/>
              <w:bottom w:val="single" w:sz="4" w:space="0" w:color="000000"/>
              <w:right w:val="single" w:sz="4" w:space="0" w:color="000000"/>
            </w:tcBorders>
            <w:shd w:val="clear" w:color="auto" w:fill="D9D9D9"/>
          </w:tcPr>
          <w:p>
            <w:pPr/>
          </w:p>
        </w:tc>
        <w:tc>
          <w:tcPr>
            <w:tcW w:w="718" w:type="dxa"/>
            <w:vMerge/>
            <w:tcBorders>
              <w:left w:val="single" w:sz="4" w:space="0" w:color="000000"/>
              <w:bottom w:val="single" w:sz="4" w:space="0" w:color="000000"/>
              <w:right w:val="single" w:sz="4" w:space="0" w:color="000000"/>
            </w:tcBorders>
            <w:shd w:val="clear" w:color="auto" w:fill="D9D9D9"/>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截止本报告期末</w:t>
            </w:r>
            <w:r>
              <w:rPr>
                <w:rFonts w:ascii="宋体" w:hAnsi="宋体" w:cs="宋体" w:eastAsia="宋体" w:hint="default"/>
                <w:spacing w:val="-6"/>
                <w:sz w:val="18"/>
                <w:szCs w:val="18"/>
              </w:rPr>
              <w:t>，</w:t>
            </w:r>
            <w:r>
              <w:rPr>
                <w:rFonts w:ascii="宋体" w:hAnsi="宋体" w:cs="宋体" w:eastAsia="宋体" w:hint="default"/>
                <w:sz w:val="18"/>
                <w:szCs w:val="18"/>
              </w:rPr>
              <w:t>公司募集资金账户余额为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14,527,902.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 </w:t>
            </w:r>
            <w:r>
              <w:rPr>
                <w:rFonts w:ascii="宋体" w:hAnsi="宋体" w:cs="宋体" w:eastAsia="宋体" w:hint="default"/>
                <w:spacing w:val="-6"/>
                <w:sz w:val="18"/>
                <w:szCs w:val="18"/>
              </w:rPr>
              <w:t>元</w:t>
            </w:r>
            <w:r>
              <w:rPr>
                <w:rFonts w:ascii="宋体" w:hAnsi="宋体" w:cs="宋体" w:eastAsia="宋体" w:hint="default"/>
                <w:sz w:val="18"/>
                <w:szCs w:val="18"/>
              </w:rPr>
              <w:t>（含利息收入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709,447.48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公司以自</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有资金投入募投项目待置换的金额为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1,4,708,621.64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元，截止本报告期末募集资金实际已使用完毕。</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72"/>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月经信永中和会计师事务所（特殊普通合伙）审验并出具了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XYZH/2013A1058-13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募集资金</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置换专项鉴证报告，公司于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月进行置换，金额为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99,814,670.63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截止本报告期末</w:t>
            </w:r>
            <w:r>
              <w:rPr>
                <w:rFonts w:ascii="宋体" w:hAnsi="宋体" w:cs="宋体" w:eastAsia="宋体" w:hint="default"/>
                <w:spacing w:val="-6"/>
                <w:sz w:val="18"/>
                <w:szCs w:val="18"/>
              </w:rPr>
              <w:t>，</w:t>
            </w:r>
            <w:r>
              <w:rPr>
                <w:rFonts w:ascii="宋体" w:hAnsi="宋体" w:cs="宋体" w:eastAsia="宋体" w:hint="default"/>
                <w:sz w:val="18"/>
                <w:szCs w:val="18"/>
              </w:rPr>
              <w:t>公司募集资金账户余额为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14,527,902.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 </w:t>
            </w:r>
            <w:r>
              <w:rPr>
                <w:rFonts w:ascii="宋体" w:hAnsi="宋体" w:cs="宋体" w:eastAsia="宋体" w:hint="default"/>
                <w:spacing w:val="-6"/>
                <w:sz w:val="18"/>
                <w:szCs w:val="18"/>
              </w:rPr>
              <w:t>元</w:t>
            </w:r>
            <w:r>
              <w:rPr>
                <w:rFonts w:ascii="宋体" w:hAnsi="宋体" w:cs="宋体" w:eastAsia="宋体" w:hint="default"/>
                <w:sz w:val="18"/>
                <w:szCs w:val="18"/>
              </w:rPr>
              <w:t>（含利息收入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709,447.48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公司以自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有资金投入募投项目待置换的金额为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1,4,708,621.64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元，截止本报告期末募集资金实际已使用完毕。</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募集资金变更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公司报告期不存在募集资金变更项目情况。</w:t>
      </w:r>
    </w:p>
    <w:p>
      <w:pPr>
        <w:pStyle w:val="Heading2"/>
        <w:spacing w:line="240" w:lineRule="auto" w:before="166"/>
        <w:ind w:right="1073"/>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出售重大资产情况" w:id="53"/>
      <w:bookmarkEnd w:id="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公司报告期未出售重大资产。</w:t>
      </w:r>
    </w:p>
    <w:p>
      <w:pPr>
        <w:spacing w:before="189"/>
        <w:ind w:left="1134" w:right="1073" w:firstLine="0"/>
        <w:jc w:val="left"/>
        <w:rPr>
          <w:rFonts w:ascii="宋体" w:hAnsi="宋体" w:cs="宋体" w:eastAsia="宋体" w:hint="default"/>
          <w:sz w:val="21"/>
          <w:szCs w:val="21"/>
        </w:rPr>
      </w:pPr>
      <w:bookmarkStart w:name="2、出售重大股权情况" w:id="54"/>
      <w:bookmarkEnd w:id="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3"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4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11"/>
              <w:jc w:val="both"/>
              <w:rPr>
                <w:rFonts w:ascii="宋体" w:hAnsi="宋体" w:cs="宋体" w:eastAsia="宋体" w:hint="default"/>
                <w:sz w:val="18"/>
                <w:szCs w:val="18"/>
              </w:rPr>
            </w:pPr>
            <w:r>
              <w:rPr>
                <w:rFonts w:ascii="宋体" w:hAnsi="宋体" w:cs="宋体" w:eastAsia="宋体" w:hint="default"/>
                <w:sz w:val="18"/>
                <w:szCs w:val="18"/>
              </w:rPr>
              <w:t>北京学 友园文 化发展 有限公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08"/>
              <w:jc w:val="both"/>
              <w:rPr>
                <w:rFonts w:ascii="宋体" w:hAnsi="宋体" w:cs="宋体" w:eastAsia="宋体" w:hint="default"/>
                <w:sz w:val="18"/>
                <w:szCs w:val="18"/>
              </w:rPr>
            </w:pPr>
            <w:r>
              <w:rPr>
                <w:rFonts w:ascii="宋体" w:hAnsi="宋体" w:cs="宋体" w:eastAsia="宋体" w:hint="default"/>
                <w:sz w:val="18"/>
                <w:szCs w:val="18"/>
              </w:rPr>
              <w:t>北京学 友园中 少报刊 发行有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3860.00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246.84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无重大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7.90%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08"/>
              <w:jc w:val="both"/>
              <w:rPr>
                <w:rFonts w:ascii="宋体" w:hAnsi="宋体" w:cs="宋体" w:eastAsia="宋体" w:hint="default"/>
                <w:sz w:val="18"/>
                <w:szCs w:val="18"/>
              </w:rPr>
            </w:pPr>
            <w:r>
              <w:rPr>
                <w:rFonts w:ascii="宋体" w:hAnsi="宋体" w:cs="宋体" w:eastAsia="宋体" w:hint="default"/>
                <w:sz w:val="18"/>
                <w:szCs w:val="18"/>
              </w:rPr>
              <w:t>投资成 本加公 司经确 认的投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2015-08</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6" w:type="dxa"/>
        <w:tblLayout w:type="fixed"/>
        <w:tblCellMar>
          <w:top w:w="0" w:type="dxa"/>
          <w:left w:w="0" w:type="dxa"/>
          <w:bottom w:w="0" w:type="dxa"/>
          <w:right w:w="0" w:type="dxa"/>
        </w:tblCellMar>
        <w:tblLook w:val="01E0"/>
      </w:tblPr>
      <w:tblGrid>
        <w:gridCol w:w="688"/>
        <w:gridCol w:w="683"/>
        <w:gridCol w:w="683"/>
        <w:gridCol w:w="683"/>
        <w:gridCol w:w="684"/>
        <w:gridCol w:w="683"/>
        <w:gridCol w:w="683"/>
        <w:gridCol w:w="683"/>
        <w:gridCol w:w="683"/>
        <w:gridCol w:w="683"/>
        <w:gridCol w:w="684"/>
        <w:gridCol w:w="683"/>
        <w:gridCol w:w="683"/>
        <w:gridCol w:w="683"/>
      </w:tblGrid>
      <w:tr>
        <w:trPr>
          <w:trHeight w:val="674"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限责任 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88"/>
              <w:jc w:val="left"/>
              <w:rPr>
                <w:rFonts w:ascii="宋体" w:hAnsi="宋体" w:cs="宋体" w:eastAsia="宋体" w:hint="default"/>
                <w:sz w:val="18"/>
                <w:szCs w:val="18"/>
              </w:rPr>
            </w:pPr>
            <w:r>
              <w:rPr>
                <w:rFonts w:ascii="宋体" w:hAnsi="宋体" w:cs="宋体" w:eastAsia="宋体" w:hint="default"/>
                <w:sz w:val="18"/>
                <w:szCs w:val="18"/>
              </w:rPr>
              <w:t>资收 益。</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1114" w:right="7861"/>
        <w:jc w:val="center"/>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240" w:lineRule="auto"/>
        <w:ind w:right="1073"/>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554"/>
        <w:gridCol w:w="310"/>
        <w:gridCol w:w="2201"/>
        <w:gridCol w:w="1091"/>
        <w:gridCol w:w="1091"/>
        <w:gridCol w:w="1092"/>
        <w:gridCol w:w="1175"/>
        <w:gridCol w:w="1091"/>
        <w:gridCol w:w="1091"/>
      </w:tblGrid>
      <w:tr>
        <w:trPr>
          <w:trHeight w:val="1337" w:hRule="exact"/>
        </w:trPr>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1" w:right="90"/>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北京 中文 在线 文化 传媒 有限 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为手机、手持终端、互联网 等媒体提供数字阅读产品， 并向出版社、游戏公司、影 视制作公司等机构提供纸 质出版权和改编权等数字 内容增值服务。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49,807,130.10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30,521,969.53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146,029,112.99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34,767,627.19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30,259,083.96</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9"/>
              <w:jc w:val="both"/>
              <w:rPr>
                <w:rFonts w:ascii="宋体" w:hAnsi="宋体" w:cs="宋体" w:eastAsia="宋体" w:hint="default"/>
                <w:sz w:val="18"/>
                <w:szCs w:val="18"/>
              </w:rPr>
            </w:pPr>
            <w:r>
              <w:rPr>
                <w:rFonts w:ascii="宋体" w:hAnsi="宋体" w:cs="宋体" w:eastAsia="宋体" w:hint="default"/>
                <w:sz w:val="18"/>
                <w:szCs w:val="18"/>
              </w:rPr>
              <w:t>上海 中文 在线 文化 发展 有限 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经营上海本地及周边地区 范围内的中小学及公共数 </w:t>
            </w:r>
            <w:r>
              <w:rPr>
                <w:rFonts w:ascii="宋体" w:hAnsi="宋体" w:cs="宋体" w:eastAsia="宋体" w:hint="default"/>
                <w:spacing w:val="-2"/>
                <w:sz w:val="18"/>
                <w:szCs w:val="18"/>
              </w:rPr>
              <w:t>字图书馆业务，以及参与中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小学数字教材发行平台。</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21,944,293.76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16,240,403.11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19,777,762.30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5,648,075.34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5,232,055.30</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北京 中文 万维 科技 有限 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left"/>
              <w:rPr>
                <w:rFonts w:ascii="宋体" w:hAnsi="宋体" w:cs="宋体" w:eastAsia="宋体" w:hint="default"/>
                <w:sz w:val="18"/>
                <w:szCs w:val="18"/>
              </w:rPr>
            </w:pPr>
            <w:r>
              <w:rPr>
                <w:rFonts w:ascii="宋体" w:hAnsi="宋体" w:cs="宋体" w:eastAsia="宋体" w:hint="default"/>
                <w:sz w:val="18"/>
                <w:szCs w:val="18"/>
              </w:rPr>
              <w:t>为手机、手持终端、互联网 等媒体提供数字阅读产品， 并向出版社、游戏公司、影 视制作公司等机构提供纸 质出版权和改编权等数字 内容增值服务；互联网广告 代理业务。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9,056,229.39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4,577,319.90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5,007,170.70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-5,686,375.40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-5,422,680.10</w:t>
            </w:r>
          </w:p>
        </w:tc>
      </w:tr>
      <w:tr>
        <w:trPr>
          <w:trHeight w:val="227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北京 鸿达 以太 文化 发展 有限 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20"/>
              <w:jc w:val="left"/>
              <w:rPr>
                <w:rFonts w:ascii="宋体" w:hAnsi="宋体" w:cs="宋体" w:eastAsia="宋体" w:hint="default"/>
                <w:sz w:val="18"/>
                <w:szCs w:val="18"/>
              </w:rPr>
            </w:pPr>
            <w:r>
              <w:rPr>
                <w:rFonts w:ascii="宋体" w:hAnsi="宋体" w:cs="宋体" w:eastAsia="宋体" w:hint="default"/>
                <w:spacing w:val="-2"/>
                <w:sz w:val="18"/>
                <w:szCs w:val="18"/>
              </w:rPr>
              <w:t>有声读物的批发零售，有声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版权的制作与发行。</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38,419,629.13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35,236,585.15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19,169,779.21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6,589,598.25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7,268,383.37</w:t>
            </w:r>
          </w:p>
        </w:tc>
      </w:tr>
    </w:tbl>
    <w:p>
      <w:pPr>
        <w:spacing w:after="0" w:line="240" w:lineRule="auto"/>
        <w:jc w:val="center"/>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报告期内取得和处置子公司的情况</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北京中文万维科技有限公司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center"/>
              <w:rPr>
                <w:rFonts w:ascii="宋体" w:hAnsi="宋体" w:cs="宋体" w:eastAsia="宋体" w:hint="default"/>
                <w:sz w:val="18"/>
                <w:szCs w:val="18"/>
              </w:rPr>
            </w:pPr>
            <w:r>
              <w:rPr>
                <w:rFonts w:ascii="宋体" w:hAnsi="宋体" w:cs="宋体" w:eastAsia="宋体" w:hint="default"/>
                <w:sz w:val="18"/>
                <w:szCs w:val="18"/>
              </w:rPr>
              <w:t>本报告期新成立，亏损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5,422,680.10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本报告期末完成增资，本期确认投资收 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3295252.96 </w:t>
            </w:r>
            <w:r>
              <w:rPr>
                <w:rFonts w:ascii="宋体" w:hAnsi="宋体" w:cs="宋体" w:eastAsia="宋体" w:hint="default"/>
                <w:sz w:val="18"/>
                <w:szCs w:val="18"/>
              </w:rPr>
              <w:t>元</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主要控股参股公司情况说明</w:t>
      </w:r>
    </w:p>
    <w:p>
      <w:pPr>
        <w:spacing w:line="240" w:lineRule="auto" w:before="9"/>
        <w:rPr>
          <w:rFonts w:ascii="宋体" w:hAnsi="宋体" w:cs="宋体" w:eastAsia="宋体" w:hint="default"/>
          <w:sz w:val="23"/>
          <w:szCs w:val="23"/>
        </w:rPr>
      </w:pPr>
    </w:p>
    <w:p>
      <w:pPr>
        <w:pStyle w:val="BodyText"/>
        <w:spacing w:line="348" w:lineRule="auto"/>
        <w:ind w:left="1133" w:right="1169" w:firstLine="480"/>
        <w:jc w:val="both"/>
      </w:pPr>
      <w:r>
        <w:rPr/>
        <w:t>北京中文在线文化传媒有限公司增加市场营销规模，实现收入快速增长，报告期扭亏为 盈，实现净利润</w:t>
      </w:r>
      <w:r>
        <w:rPr>
          <w:spacing w:val="-60"/>
        </w:rPr>
        <w:t> </w:t>
      </w:r>
      <w:r>
        <w:rPr>
          <w:rFonts w:ascii="Times New Roman" w:hAnsi="Times New Roman" w:cs="Times New Roman" w:eastAsia="Times New Roman" w:hint="default"/>
        </w:rPr>
        <w:t>3025.91 </w:t>
      </w:r>
      <w:r>
        <w:rPr/>
        <w:t>万元，剔除已抵消的关联交易后净利润为</w:t>
      </w:r>
      <w:r>
        <w:rPr>
          <w:spacing w:val="-60"/>
        </w:rPr>
        <w:t> </w:t>
      </w:r>
      <w:r>
        <w:rPr>
          <w:rFonts w:ascii="Times New Roman" w:hAnsi="Times New Roman" w:cs="Times New Roman" w:eastAsia="Times New Roman" w:hint="default"/>
        </w:rPr>
        <w:t>927.64 </w:t>
      </w:r>
      <w:r>
        <w:rPr/>
        <w:t>万元，较去年同期 增长</w:t>
      </w:r>
      <w:r>
        <w:rPr>
          <w:spacing w:val="-60"/>
        </w:rPr>
        <w:t> </w:t>
      </w:r>
      <w:r>
        <w:rPr>
          <w:rFonts w:ascii="Times New Roman" w:hAnsi="Times New Roman" w:cs="Times New Roman" w:eastAsia="Times New Roman" w:hint="default"/>
        </w:rPr>
        <w:t>467.44%</w:t>
      </w:r>
      <w:r>
        <w:rPr/>
        <w:t>。</w:t>
      </w:r>
    </w:p>
    <w:p>
      <w:pPr>
        <w:spacing w:line="240" w:lineRule="auto" w:before="4"/>
        <w:rPr>
          <w:rFonts w:ascii="宋体" w:hAnsi="宋体" w:cs="宋体" w:eastAsia="宋体" w:hint="default"/>
          <w:sz w:val="18"/>
          <w:szCs w:val="18"/>
        </w:rPr>
      </w:pPr>
    </w:p>
    <w:p>
      <w:pPr>
        <w:pStyle w:val="Heading2"/>
        <w:spacing w:line="240" w:lineRule="auto" w:before="0"/>
        <w:ind w:right="1073"/>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10"/>
        <w:rPr>
          <w:rFonts w:ascii="宋体" w:hAnsi="宋体" w:cs="宋体" w:eastAsia="宋体" w:hint="default"/>
          <w:b/>
          <w:bCs/>
          <w:sz w:val="28"/>
          <w:szCs w:val="28"/>
        </w:rPr>
      </w:pPr>
    </w:p>
    <w:p>
      <w:pPr>
        <w:spacing w:line="499" w:lineRule="auto" w:before="0"/>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公司未来发展的展望" w:id="57"/>
      <w:bookmarkEnd w:id="57"/>
      <w:r>
        <w:rPr>
          <w:rFonts w:ascii="宋体" w:hAnsi="宋体" w:cs="宋体" w:eastAsia="宋体" w:hint="default"/>
          <w:sz w:val="24"/>
          <w:szCs w:val="24"/>
        </w:rPr>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pStyle w:val="BodyText"/>
        <w:spacing w:line="240" w:lineRule="auto" w:before="117"/>
        <w:ind w:right="1073"/>
        <w:jc w:val="left"/>
      </w:pPr>
      <w:r>
        <w:rPr/>
        <w:t>行业发展格局与趋势</w:t>
      </w:r>
    </w:p>
    <w:p>
      <w:pPr>
        <w:spacing w:line="240" w:lineRule="auto" w:before="9"/>
        <w:rPr>
          <w:rFonts w:ascii="宋体" w:hAnsi="宋体" w:cs="宋体" w:eastAsia="宋体" w:hint="default"/>
          <w:sz w:val="23"/>
          <w:szCs w:val="23"/>
        </w:rPr>
      </w:pPr>
    </w:p>
    <w:p>
      <w:pPr>
        <w:pStyle w:val="BodyText"/>
        <w:spacing w:line="451" w:lineRule="auto"/>
        <w:ind w:right="1152"/>
        <w:jc w:val="left"/>
      </w:pPr>
      <w:r>
        <w:rPr/>
        <w:t>（</w:t>
      </w:r>
      <w:r>
        <w:rPr>
          <w:rFonts w:ascii="Times New Roman" w:hAnsi="Times New Roman" w:cs="Times New Roman" w:eastAsia="Times New Roman" w:hint="default"/>
        </w:rPr>
        <w:t>1</w:t>
      </w:r>
      <w:r>
        <w:rPr/>
        <w:t>）数字出版是出版业的未来发展趋势 数字出版是指利用数字技术进行内容编辑加工，并通过网络传播数字内容产品的一种新</w:t>
      </w:r>
    </w:p>
    <w:p>
      <w:pPr>
        <w:pStyle w:val="BodyText"/>
        <w:spacing w:line="257" w:lineRule="exact"/>
        <w:ind w:left="1134" w:right="1073"/>
        <w:jc w:val="left"/>
      </w:pPr>
      <w:r>
        <w:rPr/>
        <w:t>型出版方式，其主要特征为内容生产数字化、管理过程数字化、产品形态数字化和传播渠道</w:t>
      </w:r>
    </w:p>
    <w:p>
      <w:pPr>
        <w:pStyle w:val="BodyText"/>
        <w:spacing w:line="350" w:lineRule="auto" w:before="154"/>
        <w:ind w:left="1133" w:right="1001"/>
        <w:jc w:val="left"/>
      </w:pPr>
      <w:r>
        <w:rPr/>
        <w:t>网络化。目前数字出版产品形态主要包括电子图书、网络原创文学、手机出版物、网络教育 出版物、数字报纸、数字期刊、网络动漫等。数字出版已成为文化产业新的经济增长点，是 新闻出版业的战略性新兴产业和主要发展方向。发展数字出版产业，对于提升我国文化软实 力，推动文化产业乃至国民经济的可持续发展，促使出版业发展模式转型具有重要意义。因 此，国家积极出台相关政策，鼓励支持我国数字出版产业的发展。国家新闻出版总署《关于 </w:t>
      </w:r>
      <w:r>
        <w:rPr>
          <w:spacing w:val="-4"/>
        </w:rPr>
        <w:t>加快我国数字出版产业发展的若干意见》（新出政发【</w:t>
      </w:r>
      <w:r>
        <w:rPr>
          <w:rFonts w:ascii="Times New Roman" w:hAnsi="Times New Roman" w:cs="Times New Roman" w:eastAsia="Times New Roman" w:hint="default"/>
          <w:spacing w:val="-4"/>
        </w:rPr>
        <w:t>2010</w:t>
      </w:r>
      <w:r>
        <w:rPr>
          <w:spacing w:val="-4"/>
        </w:rPr>
        <w:t>】</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
        </w:rPr>
        <w:t> </w:t>
      </w:r>
      <w:r>
        <w:rPr>
          <w:w w:val="100"/>
        </w:rPr>
        <w:t>号）提出：到</w:t>
      </w:r>
      <w:r>
        <w:rPr>
          <w:rFonts w:ascii="Times New Roman" w:hAnsi="Times New Roman" w:cs="Times New Roman" w:eastAsia="Times New Roman" w:hint="default"/>
          <w:w w:val="100"/>
        </w:rPr>
        <w:t>“</w:t>
      </w:r>
      <w:r>
        <w:rPr>
          <w:w w:val="100"/>
        </w:rPr>
        <w:t>十二五</w:t>
      </w:r>
      <w:r>
        <w:rPr>
          <w:rFonts w:ascii="Times New Roman" w:hAnsi="Times New Roman" w:cs="Times New Roman" w:eastAsia="Times New Roman" w:hint="default"/>
          <w:w w:val="100"/>
        </w:rPr>
        <w:t>”</w:t>
      </w:r>
      <w:r>
        <w:rPr>
          <w:w w:val="100"/>
        </w:rPr>
        <w:t>末，我</w:t>
      </w:r>
      <w:r>
        <w:rPr/>
        <w:t> 国数字出版总产值力争达到新闻出版产业总产值</w:t>
      </w:r>
      <w:r>
        <w:rPr>
          <w:spacing w:val="-60"/>
        </w:rPr>
        <w:t> </w:t>
      </w:r>
      <w:r>
        <w:rPr>
          <w:rFonts w:ascii="Times New Roman" w:hAnsi="Times New Roman" w:cs="Times New Roman" w:eastAsia="Times New Roman" w:hint="default"/>
        </w:rPr>
        <w:t>25%</w:t>
      </w:r>
      <w:r>
        <w:rPr/>
        <w:t>，整体规模居于世界领先水平，在全国 形成约</w:t>
      </w:r>
      <w:r>
        <w:rPr>
          <w:spacing w:val="-73"/>
        </w:rPr>
        <w:t> </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t>家年主营业务收入超过</w:t>
      </w:r>
      <w:r>
        <w:rPr>
          <w:spacing w:val="-7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spacing w:val="-6"/>
        </w:rPr>
        <w:t>亿元的具有国际竞争力的数字出版骨干企业。到</w:t>
      </w:r>
      <w:r>
        <w:rPr>
          <w:spacing w:val="-7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 传统出版单位基本完成数字化转型，其数字化产品和服务的运营份额在总份额中占有明显优</w:t>
      </w:r>
    </w:p>
    <w:p>
      <w:pPr>
        <w:spacing w:after="0" w:line="35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势。</w:t>
      </w:r>
    </w:p>
    <w:p>
      <w:pPr>
        <w:spacing w:line="240" w:lineRule="auto" w:before="9"/>
        <w:rPr>
          <w:rFonts w:ascii="宋体" w:hAnsi="宋体" w:cs="宋体" w:eastAsia="宋体" w:hint="default"/>
          <w:sz w:val="23"/>
          <w:szCs w:val="23"/>
        </w:rPr>
      </w:pPr>
    </w:p>
    <w:p>
      <w:pPr>
        <w:pStyle w:val="BodyText"/>
        <w:spacing w:line="345" w:lineRule="auto"/>
        <w:ind w:left="1133" w:right="1129" w:firstLine="480"/>
        <w:jc w:val="both"/>
      </w:pPr>
      <w:r>
        <w:rPr/>
        <w:t>随着数字出版产业的发展以及</w:t>
      </w:r>
      <w:r>
        <w:rPr>
          <w:rFonts w:ascii="Times New Roman" w:hAnsi="Times New Roman" w:cs="Times New Roman" w:eastAsia="Times New Roman" w:hint="default"/>
        </w:rPr>
        <w:t>“</w:t>
      </w:r>
      <w:r>
        <w:rPr/>
        <w:t>全民阅读</w:t>
      </w:r>
      <w:r>
        <w:rPr>
          <w:rFonts w:ascii="Times New Roman" w:hAnsi="Times New Roman" w:cs="Times New Roman" w:eastAsia="Times New Roman" w:hint="default"/>
        </w:rPr>
        <w:t>”</w:t>
      </w:r>
      <w:r>
        <w:rPr/>
        <w:t>的普及进程进一步加快。在结合移动互联网时 代的大背景下，移动设备已逐渐取代了传统的实体书，成为了人们主要的阅读工具。网络文 </w:t>
      </w:r>
      <w:r>
        <w:rPr>
          <w:spacing w:val="-7"/>
        </w:rPr>
        <w:t>学发展迎来了空前的发展机遇。</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2"/>
        </w:rPr>
        <w:t> </w:t>
      </w:r>
      <w:r>
        <w:rPr/>
        <w:t>年我国网络文学市场</w:t>
      </w:r>
      <w:r>
        <w:rPr>
          <w:spacing w:val="-73"/>
        </w:rPr>
        <w:t> </w:t>
      </w:r>
      <w:r>
        <w:rPr>
          <w:rFonts w:ascii="Times New Roman" w:hAnsi="Times New Roman" w:cs="Times New Roman" w:eastAsia="Times New Roman" w:hint="default"/>
        </w:rPr>
        <w:t>6.80</w:t>
      </w:r>
      <w:r>
        <w:rPr>
          <w:rFonts w:ascii="Times New Roman" w:hAnsi="Times New Roman" w:cs="Times New Roman" w:eastAsia="Times New Roman" w:hint="default"/>
          <w:spacing w:val="-13"/>
        </w:rPr>
        <w:t> </w:t>
      </w:r>
      <w:r>
        <w:rPr>
          <w:spacing w:val="-21"/>
        </w:rPr>
        <w:t>亿元，而截至</w:t>
      </w:r>
      <w:r>
        <w:rPr>
          <w:spacing w:val="-7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年达到</w:t>
      </w:r>
      <w:r>
        <w:rPr>
          <w:spacing w:val="-73"/>
        </w:rPr>
        <w:t> </w:t>
      </w:r>
      <w:r>
        <w:rPr>
          <w:rFonts w:ascii="Times New Roman" w:hAnsi="Times New Roman" w:cs="Times New Roman" w:eastAsia="Times New Roman" w:hint="default"/>
        </w:rPr>
        <w:t>56.00 </w:t>
      </w:r>
      <w:r>
        <w:rPr/>
        <w:t>亿元，</w:t>
      </w:r>
      <w:r>
        <w:rPr>
          <w:rFonts w:ascii="Times New Roman" w:hAnsi="Times New Roman" w:cs="Times New Roman" w:eastAsia="Times New Roman" w:hint="default"/>
        </w:rPr>
        <w:t>2015 </w:t>
      </w:r>
      <w:r>
        <w:rPr/>
        <w:t>年已突破百亿大关。</w:t>
      </w:r>
    </w:p>
    <w:p>
      <w:pPr>
        <w:pStyle w:val="BodyText"/>
        <w:spacing w:line="240" w:lineRule="auto" w:before="175"/>
        <w:ind w:left="1613" w:right="1073"/>
        <w:jc w:val="left"/>
      </w:pPr>
      <w:r>
        <w:rPr/>
        <w:t>（</w:t>
      </w:r>
      <w:r>
        <w:rPr>
          <w:rFonts w:ascii="Times New Roman" w:hAnsi="Times New Roman" w:cs="Times New Roman" w:eastAsia="Times New Roman" w:hint="default"/>
        </w:rPr>
        <w:t>2</w:t>
      </w:r>
      <w:r>
        <w:rPr/>
        <w:t>）泛娱乐行业的发展促进</w:t>
      </w:r>
      <w:r>
        <w:rPr>
          <w:spacing w:val="-60"/>
        </w:rPr>
        <w:t> </w:t>
      </w:r>
      <w:r>
        <w:rPr>
          <w:rFonts w:ascii="Times New Roman" w:hAnsi="Times New Roman" w:cs="Times New Roman" w:eastAsia="Times New Roman" w:hint="default"/>
        </w:rPr>
        <w:t>IP </w:t>
      </w:r>
      <w:r>
        <w:rPr/>
        <w:t>市场需求的快速增长</w:t>
      </w:r>
    </w:p>
    <w:p>
      <w:pPr>
        <w:spacing w:line="240" w:lineRule="auto" w:before="4"/>
        <w:rPr>
          <w:rFonts w:ascii="宋体" w:hAnsi="宋体" w:cs="宋体" w:eastAsia="宋体" w:hint="default"/>
          <w:sz w:val="22"/>
          <w:szCs w:val="22"/>
        </w:rPr>
      </w:pPr>
    </w:p>
    <w:p>
      <w:pPr>
        <w:pStyle w:val="BodyText"/>
        <w:spacing w:line="348" w:lineRule="auto"/>
        <w:ind w:left="1133" w:right="1116" w:firstLine="480"/>
        <w:jc w:val="left"/>
      </w:pPr>
      <w:r>
        <w:rPr>
          <w:rFonts w:ascii="Times New Roman" w:hAnsi="Times New Roman" w:cs="Times New Roman" w:eastAsia="Times New Roman" w:hint="default"/>
        </w:rPr>
        <w:t>“</w:t>
      </w:r>
      <w:r>
        <w:rPr/>
        <w:t>泛娱乐</w:t>
      </w:r>
      <w:r>
        <w:rPr>
          <w:rFonts w:ascii="Times New Roman" w:hAnsi="Times New Roman" w:cs="Times New Roman" w:eastAsia="Times New Roman" w:hint="default"/>
        </w:rPr>
        <w:t>”</w:t>
      </w:r>
      <w:r>
        <w:rPr/>
        <w:t>指的是基于互联网与移动互联网的多领域共生，打造明星</w:t>
      </w:r>
      <w:r>
        <w:rPr>
          <w:spacing w:val="-61"/>
        </w:rPr>
        <w:t> </w:t>
      </w:r>
      <w:r>
        <w:rPr>
          <w:rFonts w:ascii="Times New Roman" w:hAnsi="Times New Roman" w:cs="Times New Roman" w:eastAsia="Times New Roman" w:hint="default"/>
        </w:rPr>
        <w:t>IP</w:t>
      </w:r>
      <w:r>
        <w:rPr/>
        <w:t>（</w:t>
      </w:r>
      <w:r>
        <w:rPr>
          <w:rFonts w:ascii="Times New Roman" w:hAnsi="Times New Roman" w:cs="Times New Roman" w:eastAsia="Times New Roman" w:hint="default"/>
        </w:rPr>
        <w:t>intellectual </w:t>
      </w:r>
      <w:r>
        <w:rPr>
          <w:rFonts w:ascii="Times New Roman" w:hAnsi="Times New Roman" w:cs="Times New Roman" w:eastAsia="Times New Roman" w:hint="default"/>
          <w:spacing w:val="-3"/>
        </w:rPr>
        <w:t>property</w:t>
      </w:r>
      <w:r>
        <w:rPr>
          <w:spacing w:val="-3"/>
        </w:rPr>
        <w:t>，知识产权）的粉丝经济，其核心是</w:t>
      </w:r>
      <w:r>
        <w:rPr>
          <w:spacing w:val="-78"/>
        </w:rPr>
        <w:t> </w:t>
      </w:r>
      <w:r>
        <w:rPr>
          <w:rFonts w:ascii="Times New Roman" w:hAnsi="Times New Roman" w:cs="Times New Roman" w:eastAsia="Times New Roman" w:hint="default"/>
        </w:rPr>
        <w:t>IP</w:t>
      </w:r>
      <w:r>
        <w:rPr/>
        <w:t>。主要有两种类型的延伸形态：一是成功推出 一种优秀的娱乐产品形态后，通过跨媒介的符号组合，向其它多种形态的产品、领域延伸。 二是数字娱乐形象品牌通过品牌授权机制从无形价值形态向其它有型产业形态延伸，从而把 形象品牌的象征价值和商业价值最大化。</w:t>
      </w:r>
    </w:p>
    <w:p>
      <w:pPr>
        <w:pStyle w:val="BodyText"/>
        <w:spacing w:line="338" w:lineRule="auto" w:before="202"/>
        <w:ind w:left="1133" w:right="1130" w:firstLine="480"/>
        <w:jc w:val="both"/>
      </w:pPr>
      <w:r>
        <w:rPr>
          <w:spacing w:val="-3"/>
        </w:rPr>
        <w:t>近几年来，围绕</w:t>
      </w:r>
      <w:r>
        <w:rPr>
          <w:spacing w:val="-78"/>
        </w:rPr>
        <w:t> </w:t>
      </w:r>
      <w:r>
        <w:rPr>
          <w:rFonts w:ascii="Times New Roman" w:hAnsi="Times New Roman" w:cs="Times New Roman" w:eastAsia="Times New Roman" w:hint="default"/>
        </w:rPr>
        <w:t>IP</w:t>
      </w:r>
      <w:r>
        <w:rPr>
          <w:rFonts w:ascii="Times New Roman" w:hAnsi="Times New Roman" w:cs="Times New Roman" w:eastAsia="Times New Roman" w:hint="default"/>
          <w:spacing w:val="-19"/>
        </w:rPr>
        <w:t> </w:t>
      </w:r>
      <w:r>
        <w:rPr/>
        <w:t>为核心的横跨影视、游戏、文学、动漫等领域的互动娱乐内容逐渐增 </w:t>
      </w:r>
      <w:r>
        <w:rPr>
          <w:spacing w:val="-7"/>
        </w:rPr>
        <w:t>多，</w:t>
      </w:r>
      <w:r>
        <w:rPr>
          <w:rFonts w:ascii="Times New Roman" w:hAnsi="Times New Roman" w:cs="Times New Roman" w:eastAsia="Times New Roman" w:hint="default"/>
          <w:spacing w:val="-7"/>
        </w:rPr>
        <w:t>“</w:t>
      </w:r>
      <w:r>
        <w:rPr>
          <w:spacing w:val="-7"/>
        </w:rPr>
        <w:t>明星</w:t>
      </w:r>
      <w:r>
        <w:rPr>
          <w:spacing w:val="-70"/>
        </w:rPr>
        <w:t> </w:t>
      </w:r>
      <w:r>
        <w:rPr>
          <w:rFonts w:ascii="Times New Roman" w:hAnsi="Times New Roman" w:cs="Times New Roman" w:eastAsia="Times New Roman" w:hint="default"/>
        </w:rPr>
        <w:t>IP”</w:t>
      </w:r>
      <w:r>
        <w:rPr/>
        <w:t>成为泛娱乐产业中连接和聚合粉丝情感的核心，以</w:t>
      </w:r>
      <w:r>
        <w:rPr>
          <w:spacing w:val="-70"/>
        </w:rPr>
        <w:t> </w:t>
      </w:r>
      <w:r>
        <w:rPr>
          <w:rFonts w:ascii="Times New Roman" w:hAnsi="Times New Roman" w:cs="Times New Roman" w:eastAsia="Times New Roman" w:hint="default"/>
        </w:rPr>
        <w:t>IP</w:t>
      </w:r>
      <w:r>
        <w:rPr>
          <w:rFonts w:ascii="Times New Roman" w:hAnsi="Times New Roman" w:cs="Times New Roman" w:eastAsia="Times New Roman" w:hint="default"/>
          <w:spacing w:val="-10"/>
        </w:rPr>
        <w:t> </w:t>
      </w:r>
      <w:r>
        <w:rPr/>
        <w:t>为核心的泛娱乐布局成为 中国文化产业趋势。</w:t>
      </w:r>
    </w:p>
    <w:p>
      <w:pPr>
        <w:pStyle w:val="BodyText"/>
        <w:spacing w:line="451" w:lineRule="auto" w:before="211"/>
        <w:ind w:right="1152"/>
        <w:jc w:val="left"/>
      </w:pPr>
      <w:r>
        <w:rPr/>
        <w:t>（</w:t>
      </w:r>
      <w:r>
        <w:rPr>
          <w:rFonts w:ascii="Times New Roman" w:hAnsi="Times New Roman" w:cs="Times New Roman" w:eastAsia="Times New Roman" w:hint="default"/>
        </w:rPr>
        <w:t>3</w:t>
      </w:r>
      <w:r>
        <w:rPr/>
        <w:t>）电影产业的发展对</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的需求日益增加 近年来，得益于国民经济的持续快速增长以及国家对于文化产业的支持，整个电影文化</w:t>
      </w:r>
    </w:p>
    <w:p>
      <w:pPr>
        <w:pStyle w:val="BodyText"/>
        <w:spacing w:line="257" w:lineRule="exact"/>
        <w:ind w:right="0" w:hanging="480"/>
        <w:jc w:val="left"/>
      </w:pPr>
      <w:r>
        <w:rPr/>
        <w:t>与产业环境持续改善。作为文化娱乐市场重要组成部分的电影市场已连续多年实现快速增长。</w:t>
      </w:r>
    </w:p>
    <w:p>
      <w:pPr>
        <w:spacing w:line="240" w:lineRule="auto" w:before="9"/>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rPr>
        <w:t>2014 </w:t>
      </w:r>
      <w:r>
        <w:rPr/>
        <w:t>年以来，众多由</w:t>
      </w:r>
      <w:r>
        <w:rPr>
          <w:spacing w:val="-60"/>
        </w:rPr>
        <w:t> </w:t>
      </w:r>
      <w:r>
        <w:rPr>
          <w:rFonts w:ascii="Times New Roman" w:hAnsi="Times New Roman" w:cs="Times New Roman" w:eastAsia="Times New Roman" w:hint="default"/>
          <w:w w:val="99"/>
        </w:rPr>
        <w:t>IP</w:t>
      </w:r>
      <w:r>
        <w:rPr>
          <w:rFonts w:ascii="Times New Roman" w:hAnsi="Times New Roman" w:cs="Times New Roman" w:eastAsia="Times New Roman" w:hint="default"/>
          <w:spacing w:val="-1"/>
        </w:rPr>
        <w:t> </w:t>
      </w:r>
      <w:r>
        <w:rPr/>
        <w:t>改编而来的电影如《何以笙箫默</w:t>
      </w:r>
      <w:r>
        <w:rPr>
          <w:spacing w:val="-120"/>
        </w:rPr>
        <w:t>》、</w:t>
      </w:r>
      <w:r>
        <w:rPr/>
        <w:t>《小时代》系列</w:t>
      </w:r>
      <w:r>
        <w:rPr>
          <w:spacing w:val="-120"/>
        </w:rPr>
        <w:t>、</w:t>
      </w:r>
      <w:r>
        <w:rPr/>
        <w:t>《致青春</w:t>
      </w:r>
      <w:r>
        <w:rPr>
          <w:spacing w:val="-120"/>
        </w:rPr>
        <w:t>》</w:t>
      </w:r>
      <w:r>
        <w:rPr/>
        <w:t>、</w:t>
      </w:r>
    </w:p>
    <w:p>
      <w:pPr>
        <w:pStyle w:val="BodyText"/>
        <w:spacing w:line="338" w:lineRule="auto" w:before="135"/>
        <w:ind w:left="1133" w:right="997"/>
        <w:jc w:val="left"/>
      </w:pPr>
      <w:r>
        <w:rPr/>
        <w:t>《同桌的你》等都具有较高的票房收入，分别为</w:t>
      </w:r>
      <w:r>
        <w:rPr>
          <w:spacing w:val="-64"/>
        </w:rPr>
        <w:t> </w:t>
      </w:r>
      <w:r>
        <w:rPr>
          <w:rFonts w:ascii="Times New Roman" w:hAnsi="Times New Roman" w:cs="Times New Roman" w:eastAsia="Times New Roman" w:hint="default"/>
        </w:rPr>
        <w:t>3.53</w:t>
      </w:r>
      <w:r>
        <w:rPr>
          <w:rFonts w:ascii="Times New Roman" w:hAnsi="Times New Roman" w:cs="Times New Roman" w:eastAsia="Times New Roman" w:hint="default"/>
          <w:spacing w:val="-4"/>
        </w:rPr>
        <w:t> </w:t>
      </w:r>
      <w:r>
        <w:rPr/>
        <w:t>亿元、</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亿元、</w:t>
      </w:r>
      <w:r>
        <w:rPr>
          <w:rFonts w:ascii="Times New Roman" w:hAnsi="Times New Roman" w:cs="Times New Roman" w:eastAsia="Times New Roman" w:hint="default"/>
        </w:rPr>
        <w:t>7.26</w:t>
      </w:r>
      <w:r>
        <w:rPr>
          <w:rFonts w:ascii="Times New Roman" w:hAnsi="Times New Roman" w:cs="Times New Roman" w:eastAsia="Times New Roman" w:hint="default"/>
          <w:spacing w:val="-4"/>
        </w:rPr>
        <w:t> </w:t>
      </w:r>
      <w:r>
        <w:rPr/>
        <w:t>亿元和</w:t>
      </w:r>
      <w:r>
        <w:rPr>
          <w:spacing w:val="-64"/>
        </w:rPr>
        <w:t> </w:t>
      </w:r>
      <w:r>
        <w:rPr>
          <w:rFonts w:ascii="Times New Roman" w:hAnsi="Times New Roman" w:cs="Times New Roman" w:eastAsia="Times New Roman" w:hint="default"/>
        </w:rPr>
        <w:t>4.56</w:t>
      </w:r>
      <w:r>
        <w:rPr>
          <w:rFonts w:ascii="Times New Roman" w:hAnsi="Times New Roman" w:cs="Times New Roman" w:eastAsia="Times New Roman" w:hint="default"/>
          <w:spacing w:val="-4"/>
        </w:rPr>
        <w:t> </w:t>
      </w:r>
      <w:r>
        <w:rPr/>
        <w:t>亿元。 </w:t>
      </w:r>
      <w:r>
        <w:rPr>
          <w:rFonts w:ascii="Times New Roman" w:hAnsi="Times New Roman" w:cs="Times New Roman" w:eastAsia="Times New Roman" w:hint="default"/>
          <w:w w:val="99"/>
        </w:rPr>
        <w:t>IP</w:t>
      </w:r>
      <w:r>
        <w:rPr>
          <w:rFonts w:ascii="Times New Roman" w:hAnsi="Times New Roman" w:cs="Times New Roman" w:eastAsia="Times New Roman" w:hint="default"/>
          <w:spacing w:val="1"/>
          <w:w w:val="99"/>
        </w:rPr>
        <w:t> </w:t>
      </w:r>
      <w:r>
        <w:rPr>
          <w:spacing w:val="-1"/>
        </w:rPr>
        <w:t>对电影行业收入的重要作用日益凸显。</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2"/>
        </w:rPr>
        <w:t> </w:t>
      </w:r>
      <w:r>
        <w:rPr>
          <w:spacing w:val="-8"/>
        </w:rPr>
        <w:t>年下半年，《花千骨》和《琅琊榜》两部</w:t>
      </w:r>
      <w:r>
        <w:rPr>
          <w:spacing w:val="-58"/>
        </w:rPr>
        <w:t> </w:t>
      </w:r>
      <w:r>
        <w:rPr>
          <w:rFonts w:ascii="Times New Roman" w:hAnsi="Times New Roman" w:cs="Times New Roman" w:eastAsia="Times New Roman" w:hint="default"/>
          <w:w w:val="99"/>
        </w:rPr>
        <w:t>IP</w:t>
      </w:r>
      <w:r>
        <w:rPr>
          <w:rFonts w:ascii="Times New Roman" w:hAnsi="Times New Roman" w:cs="Times New Roman" w:eastAsia="Times New Roman" w:hint="default"/>
          <w:spacing w:val="1"/>
          <w:w w:val="99"/>
        </w:rPr>
        <w:t> </w:t>
      </w:r>
      <w:r>
        <w:rPr/>
        <w:t>改</w:t>
      </w:r>
      <w:r>
        <w:rPr>
          <w:spacing w:val="-115"/>
        </w:rPr>
        <w:t> </w:t>
      </w:r>
      <w:r>
        <w:rPr/>
        <w:t>编的大剧则引爆了整个影视行业。</w:t>
      </w:r>
    </w:p>
    <w:p>
      <w:pPr>
        <w:pStyle w:val="BodyText"/>
        <w:spacing w:line="240" w:lineRule="auto" w:before="211"/>
        <w:ind w:left="1613" w:right="1073"/>
        <w:jc w:val="left"/>
      </w:pPr>
      <w:r>
        <w:rPr/>
        <w:t>①电视剧行业迎来新的发展机遇，原创</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成热门</w:t>
      </w:r>
    </w:p>
    <w:p>
      <w:pPr>
        <w:spacing w:line="240" w:lineRule="auto" w:before="4"/>
        <w:rPr>
          <w:rFonts w:ascii="宋体" w:hAnsi="宋体" w:cs="宋体" w:eastAsia="宋体" w:hint="default"/>
          <w:sz w:val="22"/>
          <w:szCs w:val="22"/>
        </w:rPr>
      </w:pPr>
    </w:p>
    <w:p>
      <w:pPr>
        <w:pStyle w:val="BodyText"/>
        <w:spacing w:line="348" w:lineRule="auto"/>
        <w:ind w:left="1134" w:right="1169" w:firstLine="480"/>
        <w:jc w:val="both"/>
      </w:pPr>
      <w:r>
        <w:rPr/>
        <w:t>随着国家广电总局</w:t>
      </w:r>
      <w:r>
        <w:rPr>
          <w:rFonts w:ascii="Times New Roman" w:hAnsi="Times New Roman" w:cs="Times New Roman" w:eastAsia="Times New Roman" w:hint="default"/>
        </w:rPr>
        <w:t>“</w:t>
      </w:r>
      <w:r>
        <w:rPr/>
        <w:t>一剧两星</w:t>
      </w:r>
      <w:r>
        <w:rPr>
          <w:rFonts w:ascii="Times New Roman" w:hAnsi="Times New Roman" w:cs="Times New Roman" w:eastAsia="Times New Roman" w:hint="default"/>
        </w:rPr>
        <w:t>”</w:t>
      </w:r>
      <w:r>
        <w:rPr/>
        <w:t>政策的出台，电视剧市场的产业结构调整开始初现端倪。 随之而来的则是电视剧市场竞争的不断加剧，传统电视剧制作开始向着精品剧方向发展，而 以电视剧为辅营业务的影视公司也开始加大电视剧业务的发展力度。</w:t>
      </w:r>
    </w:p>
    <w:p>
      <w:pPr>
        <w:pStyle w:val="BodyText"/>
        <w:spacing w:line="240" w:lineRule="auto" w:before="202"/>
        <w:ind w:left="1613" w:right="1073"/>
        <w:jc w:val="left"/>
      </w:pPr>
      <w:r>
        <w:rPr/>
        <w:t>根据调查显示，在网络小说读者中，</w:t>
      </w:r>
      <w:r>
        <w:rPr>
          <w:rFonts w:ascii="Times New Roman" w:hAnsi="Times New Roman" w:cs="Times New Roman" w:eastAsia="Times New Roman" w:hint="default"/>
        </w:rPr>
        <w:t>80%</w:t>
      </w:r>
      <w:r>
        <w:rPr/>
        <w:t>以上的读者支持小说改编而成的电视剧。而网</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jc w:val="both"/>
      </w:pPr>
      <w:r>
        <w:rPr/>
        <w:t>络小说的题材涵盖玄幻、武侠、言情、励志、职场、家庭等多题材，这使得影视剧创作的选 择空间更加广阔。根据“中国网”数据显示，影视公司剧本库里</w:t>
      </w:r>
      <w:r>
        <w:rPr>
          <w:spacing w:val="-61"/>
        </w:rPr>
        <w:t> </w:t>
      </w:r>
      <w:r>
        <w:rPr>
          <w:rFonts w:ascii="Times New Roman" w:hAnsi="Times New Roman" w:cs="Times New Roman" w:eastAsia="Times New Roman" w:hint="default"/>
        </w:rPr>
        <w:t>30%</w:t>
      </w:r>
      <w:r>
        <w:rPr/>
        <w:t>以上是网络小说。</w:t>
      </w:r>
    </w:p>
    <w:p>
      <w:pPr>
        <w:pStyle w:val="BodyText"/>
        <w:spacing w:line="240" w:lineRule="auto" w:before="162"/>
        <w:ind w:left="1613" w:right="1073"/>
        <w:jc w:val="left"/>
      </w:pPr>
      <w:r>
        <w:rPr/>
        <w:t>②</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成为游戏公司的核心竞争力</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年，中国游戏市场（包括网络游戏市场、移动游戏市场、单机游戏市场等）实际销</w:t>
      </w:r>
    </w:p>
    <w:p>
      <w:pPr>
        <w:pStyle w:val="BodyText"/>
        <w:spacing w:line="240" w:lineRule="auto" w:before="135"/>
        <w:ind w:left="1133" w:right="0"/>
        <w:jc w:val="both"/>
      </w:pPr>
      <w:r>
        <w:rPr/>
        <w:t>售收入超</w:t>
      </w:r>
      <w:r>
        <w:rPr>
          <w:spacing w:val="-60"/>
        </w:rPr>
        <w:t> </w:t>
      </w:r>
      <w:r>
        <w:rPr>
          <w:rFonts w:ascii="Times New Roman" w:hAnsi="Times New Roman" w:cs="Times New Roman" w:eastAsia="Times New Roman" w:hint="default"/>
        </w:rPr>
        <w:t>2000 </w:t>
      </w:r>
      <w:r>
        <w:rPr/>
        <w:t>亿元人民币，比</w:t>
      </w:r>
      <w:r>
        <w:rPr>
          <w:spacing w:val="-60"/>
        </w:rPr>
        <w:t> </w:t>
      </w:r>
      <w:r>
        <w:rPr>
          <w:rFonts w:ascii="Times New Roman" w:hAnsi="Times New Roman" w:cs="Times New Roman" w:eastAsia="Times New Roman" w:hint="default"/>
        </w:rPr>
        <w:t>2014 </w:t>
      </w:r>
      <w:r>
        <w:rPr/>
        <w:t>年增长了</w:t>
      </w:r>
      <w:r>
        <w:rPr>
          <w:spacing w:val="-60"/>
        </w:rPr>
        <w:t> </w:t>
      </w:r>
      <w:r>
        <w:rPr>
          <w:rFonts w:ascii="Times New Roman" w:hAnsi="Times New Roman" w:cs="Times New Roman" w:eastAsia="Times New Roman" w:hint="default"/>
        </w:rPr>
        <w:t>70%</w:t>
      </w:r>
      <w:r>
        <w:rPr/>
        <w:t>。</w:t>
      </w:r>
    </w:p>
    <w:p>
      <w:pPr>
        <w:spacing w:line="240" w:lineRule="auto" w:before="4"/>
        <w:rPr>
          <w:rFonts w:ascii="宋体" w:hAnsi="宋体" w:cs="宋体" w:eastAsia="宋体" w:hint="default"/>
          <w:sz w:val="22"/>
          <w:szCs w:val="22"/>
        </w:rPr>
      </w:pPr>
    </w:p>
    <w:p>
      <w:pPr>
        <w:pStyle w:val="BodyText"/>
        <w:spacing w:line="338" w:lineRule="auto"/>
        <w:ind w:left="1133" w:right="1113" w:firstLine="480"/>
        <w:jc w:val="left"/>
      </w:pPr>
      <w:r>
        <w:rPr/>
        <w:t>游戏产业规模快速增长的同时，游戏产业链中的</w:t>
      </w:r>
      <w:r>
        <w:rPr>
          <w:spacing w:val="-86"/>
        </w:rPr>
        <w:t> </w:t>
      </w:r>
      <w:r>
        <w:rPr>
          <w:rFonts w:ascii="Times New Roman" w:hAnsi="Times New Roman" w:cs="Times New Roman" w:eastAsia="Times New Roman" w:hint="default"/>
        </w:rPr>
        <w:t>IP</w:t>
      </w:r>
      <w:r>
        <w:rPr>
          <w:rFonts w:ascii="Times New Roman" w:hAnsi="Times New Roman" w:cs="Times New Roman" w:eastAsia="Times New Roman" w:hint="default"/>
          <w:spacing w:val="-27"/>
        </w:rPr>
        <w:t> </w:t>
      </w:r>
      <w:r>
        <w:rPr/>
        <w:t>交易行为也日益常态化，游戏制作企 业可通过</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本身的品牌效应，将</w:t>
      </w:r>
      <w:r>
        <w:rPr>
          <w:spacing w:val="-60"/>
        </w:rPr>
        <w:t> </w:t>
      </w:r>
      <w:r>
        <w:rPr>
          <w:rFonts w:ascii="Times New Roman" w:hAnsi="Times New Roman" w:cs="Times New Roman" w:eastAsia="Times New Roman" w:hint="default"/>
        </w:rPr>
        <w:t>IP </w:t>
      </w:r>
      <w:r>
        <w:rPr/>
        <w:t>已有的大量粉丝转化为游戏的忠实用户，获得显著的市 </w:t>
      </w:r>
      <w:r>
        <w:rPr>
          <w:spacing w:val="-4"/>
        </w:rPr>
        <w:t>场竞争优势，优质</w:t>
      </w:r>
      <w:r>
        <w:rPr>
          <w:spacing w:val="-79"/>
        </w:rPr>
        <w:t> </w:t>
      </w:r>
      <w:r>
        <w:rPr>
          <w:rFonts w:ascii="Times New Roman" w:hAnsi="Times New Roman" w:cs="Times New Roman" w:eastAsia="Times New Roman" w:hint="default"/>
        </w:rPr>
        <w:t>IP</w:t>
      </w:r>
      <w:r>
        <w:rPr>
          <w:rFonts w:ascii="Times New Roman" w:hAnsi="Times New Roman" w:cs="Times New Roman" w:eastAsia="Times New Roman" w:hint="default"/>
          <w:spacing w:val="-19"/>
        </w:rPr>
        <w:t> </w:t>
      </w:r>
      <w:r>
        <w:rPr/>
        <w:t>资源的储备也成为了游戏制作企业的核心竞争力之一。基于此，</w:t>
      </w:r>
      <w:r>
        <w:rPr>
          <w:rFonts w:ascii="Times New Roman" w:hAnsi="Times New Roman" w:cs="Times New Roman" w:eastAsia="Times New Roman" w:hint="default"/>
        </w:rPr>
        <w:t>IP</w:t>
      </w:r>
      <w:r>
        <w:rPr>
          <w:rFonts w:ascii="Times New Roman" w:hAnsi="Times New Roman" w:cs="Times New Roman" w:eastAsia="Times New Roman" w:hint="default"/>
          <w:spacing w:val="-19"/>
        </w:rPr>
        <w:t> </w:t>
      </w:r>
      <w:r>
        <w:rPr/>
        <w:t>已成 为各个游戏制作企业争夺的焦点，</w:t>
      </w:r>
      <w:r>
        <w:rPr>
          <w:spacing w:val="-3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spacing w:val="-4"/>
        </w:rPr>
        <w:t>交易额高达上亿元，有</w:t>
      </w:r>
      <w:r>
        <w:rPr>
          <w:spacing w:val="-59"/>
        </w:rPr>
        <w:t> </w:t>
      </w:r>
      <w:r>
        <w:rPr>
          <w:rFonts w:ascii="Times New Roman" w:hAnsi="Times New Roman" w:cs="Times New Roman" w:eastAsia="Times New Roman" w:hint="default"/>
        </w:rPr>
        <w:t>IP </w:t>
      </w:r>
      <w:r>
        <w:rPr/>
        <w:t>游戏的下载转换率是无</w:t>
      </w:r>
      <w:r>
        <w:rPr>
          <w:spacing w:val="-59"/>
        </w:rPr>
        <w:t> </w:t>
      </w:r>
      <w:r>
        <w:rPr>
          <w:rFonts w:ascii="Times New Roman" w:hAnsi="Times New Roman" w:cs="Times New Roman" w:eastAsia="Times New Roman" w:hint="default"/>
        </w:rPr>
        <w:t>IP </w:t>
      </w:r>
      <w:r>
        <w:rPr/>
        <w:t>游 戏的</w:t>
      </w:r>
      <w:r>
        <w:rPr>
          <w:spacing w:val="-60"/>
        </w:rPr>
        <w:t> </w:t>
      </w:r>
      <w:r>
        <w:rPr>
          <w:rFonts w:ascii="Times New Roman" w:hAnsi="Times New Roman" w:cs="Times New Roman" w:eastAsia="Times New Roman" w:hint="default"/>
        </w:rPr>
        <w:t>2.4 </w:t>
      </w:r>
      <w:r>
        <w:rPr/>
        <w:t>倍，有</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游戏的整体收入是无</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游戏收入的</w:t>
      </w:r>
      <w:r>
        <w:rPr>
          <w:spacing w:val="-60"/>
        </w:rPr>
        <w:t> </w:t>
      </w:r>
      <w:r>
        <w:rPr>
          <w:rFonts w:ascii="Times New Roman" w:hAnsi="Times New Roman" w:cs="Times New Roman" w:eastAsia="Times New Roman" w:hint="default"/>
        </w:rPr>
        <w:t>2 </w:t>
      </w:r>
      <w:r>
        <w:rPr/>
        <w:t>倍。</w:t>
      </w:r>
    </w:p>
    <w:p>
      <w:pPr>
        <w:pStyle w:val="BodyText"/>
        <w:spacing w:line="451" w:lineRule="auto" w:before="183"/>
        <w:ind w:right="1152"/>
        <w:jc w:val="left"/>
      </w:pPr>
      <w:r>
        <w:rPr/>
        <w:t>③优质</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是动漫产业转型升级的关键 近年来，中国动漫内容生产实力进一步提升，类型和题材日趋多元化，动漫生产集群带</w:t>
      </w:r>
    </w:p>
    <w:p>
      <w:pPr>
        <w:pStyle w:val="BodyText"/>
        <w:spacing w:line="257" w:lineRule="exact"/>
        <w:ind w:left="1134" w:right="0"/>
        <w:jc w:val="both"/>
      </w:pPr>
      <w:r>
        <w:rPr/>
        <w:t>和产业区培育初现端倪，动漫展会和交易气氛活跃，在媒介融合背景下，动漫生产与移动终</w:t>
      </w:r>
    </w:p>
    <w:p>
      <w:pPr>
        <w:pStyle w:val="BodyText"/>
        <w:spacing w:line="240" w:lineRule="auto" w:before="154"/>
        <w:ind w:left="1134" w:right="0"/>
        <w:jc w:val="both"/>
      </w:pPr>
      <w:r>
        <w:rPr/>
        <w:t>端和互联网的结合日益紧密。</w:t>
      </w:r>
    </w:p>
    <w:p>
      <w:pPr>
        <w:spacing w:line="240" w:lineRule="auto" w:before="9"/>
        <w:rPr>
          <w:rFonts w:ascii="宋体" w:hAnsi="宋体" w:cs="宋体" w:eastAsia="宋体" w:hint="default"/>
          <w:sz w:val="23"/>
          <w:szCs w:val="23"/>
        </w:rPr>
      </w:pPr>
    </w:p>
    <w:p>
      <w:pPr>
        <w:pStyle w:val="BodyText"/>
        <w:spacing w:line="348" w:lineRule="auto"/>
        <w:ind w:left="1134" w:right="1170" w:firstLine="480"/>
        <w:jc w:val="both"/>
      </w:pPr>
      <w:r>
        <w:rPr/>
        <w:t>我国动漫产业受益于转型升级所带来的质量和效益提升，依旧保持强劲的发展态势，总 值超过</w:t>
      </w:r>
      <w:r>
        <w:rPr>
          <w:spacing w:val="-60"/>
        </w:rPr>
        <w:t> </w:t>
      </w:r>
      <w:r>
        <w:rPr>
          <w:rFonts w:ascii="Times New Roman" w:hAnsi="Times New Roman" w:cs="Times New Roman" w:eastAsia="Times New Roman" w:hint="default"/>
        </w:rPr>
        <w:t>1,000 </w:t>
      </w:r>
      <w:r>
        <w:rPr/>
        <w:t>亿元。随着动漫产业转型升级的不断推进和动漫产业市场竞争的加剧，动漫产 业领域的</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争夺日益激烈。</w:t>
      </w:r>
    </w:p>
    <w:p>
      <w:pPr>
        <w:pStyle w:val="BodyText"/>
        <w:spacing w:line="451" w:lineRule="auto" w:before="172"/>
        <w:ind w:right="1152"/>
        <w:jc w:val="left"/>
      </w:pPr>
      <w:r>
        <w:rPr/>
        <w:t>（</w:t>
      </w:r>
      <w:r>
        <w:rPr>
          <w:rFonts w:ascii="Times New Roman" w:hAnsi="Times New Roman" w:cs="Times New Roman" w:eastAsia="Times New Roman" w:hint="default"/>
        </w:rPr>
        <w:t>3</w:t>
      </w:r>
      <w:r>
        <w:rPr/>
        <w:t>）在线教育行业快速发展，市场需求旺盛 随着信息技术广泛渗透经济和社会的各个方面，基于互联网的在线教育成为这一时期教</w:t>
      </w:r>
    </w:p>
    <w:p>
      <w:pPr>
        <w:pStyle w:val="BodyText"/>
        <w:spacing w:line="275" w:lineRule="exact"/>
        <w:ind w:left="1134" w:right="0"/>
        <w:jc w:val="both"/>
        <w:rPr>
          <w:rFonts w:ascii="Times New Roman" w:hAnsi="Times New Roman" w:cs="Times New Roman" w:eastAsia="Times New Roman" w:hint="default"/>
        </w:rPr>
      </w:pPr>
      <w:r>
        <w:rPr/>
        <w:t>育领域发展的主要特征。在线教育已成为学校和老师的主要教育方式之一。教育部</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p>
    <w:p>
      <w:pPr>
        <w:pStyle w:val="BodyText"/>
        <w:spacing w:line="345" w:lineRule="auto" w:before="135"/>
        <w:ind w:left="1133" w:right="1132"/>
        <w:jc w:val="both"/>
      </w:pPr>
      <w:r>
        <w:rPr>
          <w:spacing w:val="-1"/>
        </w:rPr>
        <w:t>月出台《教育信息化十年发展规划（</w:t>
      </w:r>
      <w:r>
        <w:rPr>
          <w:rFonts w:ascii="Times New Roman" w:hAnsi="Times New Roman" w:cs="Times New Roman" w:eastAsia="Times New Roman" w:hint="default"/>
          <w:spacing w:val="-1"/>
        </w:rPr>
        <w:t>2011-2020</w:t>
      </w:r>
      <w:r>
        <w:rPr>
          <w:rFonts w:ascii="Times New Roman" w:hAnsi="Times New Roman" w:cs="Times New Roman" w:eastAsia="Times New Roman" w:hint="default"/>
        </w:rPr>
        <w:t> </w:t>
      </w:r>
      <w:r>
        <w:rPr>
          <w:spacing w:val="-12"/>
          <w:w w:val="100"/>
        </w:rPr>
        <w:t>年）》，其中明确指出：</w:t>
      </w:r>
      <w:r>
        <w:rPr>
          <w:rFonts w:ascii="Times New Roman" w:hAnsi="Times New Roman" w:cs="Times New Roman" w:eastAsia="Times New Roman" w:hint="default"/>
          <w:spacing w:val="-12"/>
          <w:w w:val="100"/>
        </w:rPr>
        <w:t>“</w:t>
      </w:r>
      <w:r>
        <w:rPr>
          <w:spacing w:val="-12"/>
          <w:w w:val="100"/>
        </w:rPr>
        <w:t>信息技术对教育发展</w:t>
      </w:r>
      <w:r>
        <w:rPr>
          <w:spacing w:val="-95"/>
          <w:w w:val="100"/>
        </w:rPr>
        <w:t> </w:t>
      </w:r>
      <w:r>
        <w:rPr/>
        <w:t>具有革命性影响，必须予以高度重视</w:t>
      </w:r>
      <w:r>
        <w:rPr>
          <w:rFonts w:ascii="Times New Roman" w:hAnsi="Times New Roman" w:cs="Times New Roman" w:eastAsia="Times New Roman" w:hint="default"/>
        </w:rPr>
        <w:t>”</w:t>
      </w:r>
      <w:r>
        <w:rPr/>
        <w:t>。教育信息化作为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战略的组成部分，将给教 学模式带来深刻革命，在线教育有利于解决教育资源分配不均问题，并提升教育水平和经营 </w:t>
      </w:r>
      <w:r>
        <w:rPr>
          <w:spacing w:val="-3"/>
        </w:rPr>
        <w:t>效率，也给从事在线教育的相关企业带来市场机遇。预计到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spacing w:val="-3"/>
        </w:rPr>
        <w:t>年，我国在线教育市场规模</w:t>
      </w:r>
    </w:p>
    <w:p>
      <w:pPr>
        <w:pStyle w:val="BodyText"/>
        <w:spacing w:line="240" w:lineRule="auto" w:before="19"/>
        <w:ind w:left="1134" w:right="0"/>
        <w:jc w:val="both"/>
      </w:pPr>
      <w:r>
        <w:rPr/>
        <w:t>将达到</w:t>
      </w:r>
      <w:r>
        <w:rPr>
          <w:spacing w:val="-60"/>
        </w:rPr>
        <w:t> </w:t>
      </w:r>
      <w:r>
        <w:rPr>
          <w:rFonts w:ascii="Times New Roman" w:hAnsi="Times New Roman" w:cs="Times New Roman" w:eastAsia="Times New Roman" w:hint="default"/>
        </w:rPr>
        <w:t>1,733.90 </w:t>
      </w:r>
      <w:r>
        <w:rPr/>
        <w:t>亿元。</w:t>
      </w:r>
    </w:p>
    <w:p>
      <w:pPr>
        <w:spacing w:line="240" w:lineRule="auto" w:before="4"/>
        <w:rPr>
          <w:rFonts w:ascii="宋体" w:hAnsi="宋体" w:cs="宋体" w:eastAsia="宋体" w:hint="default"/>
          <w:sz w:val="22"/>
          <w:szCs w:val="22"/>
        </w:rPr>
      </w:pPr>
    </w:p>
    <w:p>
      <w:pPr>
        <w:pStyle w:val="BodyText"/>
        <w:spacing w:line="240" w:lineRule="auto"/>
        <w:ind w:right="1073"/>
        <w:jc w:val="left"/>
      </w:pPr>
      <w:r>
        <w:rPr>
          <w:spacing w:val="-1"/>
        </w:rPr>
        <w:t>我国在线教育在近十年保持较快的速度增长，复合增长率高达</w:t>
      </w:r>
      <w:r>
        <w:rPr>
          <w:spacing w:val="-49"/>
        </w:rPr>
        <w:t> </w:t>
      </w:r>
      <w:r>
        <w:rPr>
          <w:rFonts w:ascii="Times New Roman" w:hAnsi="Times New Roman" w:cs="Times New Roman" w:eastAsia="Times New Roman" w:hint="default"/>
          <w:spacing w:val="-2"/>
        </w:rPr>
        <w:t>19.40%</w:t>
      </w:r>
      <w:r>
        <w:rPr>
          <w:spacing w:val="-2"/>
        </w:rPr>
        <w:t>，从各细分领域市</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38" w:lineRule="auto" w:before="26"/>
        <w:ind w:left="1133" w:right="1089"/>
        <w:jc w:val="both"/>
      </w:pPr>
      <w:r>
        <w:rPr/>
        <w:t>场规模来看，高等学历在线教育占比较高，约为</w:t>
      </w:r>
      <w:r>
        <w:rPr>
          <w:spacing w:val="-60"/>
        </w:rPr>
        <w:t> </w:t>
      </w:r>
      <w:r>
        <w:rPr>
          <w:rFonts w:ascii="Times New Roman" w:hAnsi="Times New Roman" w:cs="Times New Roman" w:eastAsia="Times New Roman" w:hint="default"/>
        </w:rPr>
        <w:t>60%</w:t>
      </w:r>
      <w:r>
        <w:rPr/>
        <w:t>，增长速度最快的是中小学在线教育， 复合增长率达到</w:t>
      </w:r>
      <w:r>
        <w:rPr>
          <w:spacing w:val="-61"/>
        </w:rPr>
        <w:t> </w:t>
      </w:r>
      <w:r>
        <w:rPr>
          <w:rFonts w:ascii="Times New Roman" w:hAnsi="Times New Roman" w:cs="Times New Roman" w:eastAsia="Times New Roman" w:hint="default"/>
        </w:rPr>
        <w:t>36.50%</w:t>
      </w:r>
      <w:r>
        <w:rPr/>
        <w:t>。随着互联网普及、用户使用习惯的形成、企业的市场推广等原因， 未来几年，在线教育用户规模将保持</w:t>
      </w:r>
      <w:r>
        <w:rPr>
          <w:spacing w:val="-60"/>
        </w:rPr>
        <w:t> </w:t>
      </w:r>
      <w:r>
        <w:rPr>
          <w:rFonts w:ascii="Times New Roman" w:hAnsi="Times New Roman" w:cs="Times New Roman" w:eastAsia="Times New Roman" w:hint="default"/>
        </w:rPr>
        <w:t>15%</w:t>
      </w:r>
      <w:r>
        <w:rPr/>
        <w:t>以上的增长速度，到</w:t>
      </w:r>
      <w:r>
        <w:rPr>
          <w:spacing w:val="-60"/>
        </w:rPr>
        <w:t> </w:t>
      </w:r>
      <w:r>
        <w:rPr>
          <w:rFonts w:ascii="Times New Roman" w:hAnsi="Times New Roman" w:cs="Times New Roman" w:eastAsia="Times New Roman" w:hint="default"/>
        </w:rPr>
        <w:t>2017 </w:t>
      </w:r>
      <w:r>
        <w:rPr/>
        <w:t>年预计达到</w:t>
      </w:r>
      <w:r>
        <w:rPr>
          <w:spacing w:val="-60"/>
        </w:rPr>
        <w:t> </w:t>
      </w:r>
      <w:r>
        <w:rPr>
          <w:rFonts w:ascii="Times New Roman" w:hAnsi="Times New Roman" w:cs="Times New Roman" w:eastAsia="Times New Roman" w:hint="default"/>
        </w:rPr>
        <w:t>12,032.60 </w:t>
      </w:r>
      <w:r>
        <w:rPr/>
        <w:t>万 人。</w:t>
      </w:r>
    </w:p>
    <w:p>
      <w:pPr>
        <w:pStyle w:val="BodyText"/>
        <w:spacing w:line="348" w:lineRule="auto" w:before="211"/>
        <w:ind w:left="1133" w:right="1132" w:firstLine="480"/>
        <w:jc w:val="both"/>
      </w:pPr>
      <w:r>
        <w:rPr>
          <w:spacing w:val="-3"/>
        </w:rPr>
        <w:t>教育信息化十年发展规划（</w:t>
      </w:r>
      <w:r>
        <w:rPr>
          <w:rFonts w:ascii="Times New Roman" w:hAnsi="Times New Roman" w:cs="Times New Roman" w:eastAsia="Times New Roman" w:hint="default"/>
          <w:spacing w:val="-3"/>
        </w:rPr>
        <w:t>2011-2020</w:t>
      </w:r>
      <w:r>
        <w:rPr>
          <w:rFonts w:ascii="Times New Roman" w:hAnsi="Times New Roman" w:cs="Times New Roman" w:eastAsia="Times New Roman" w:hint="default"/>
          <w:spacing w:val="19"/>
        </w:rPr>
        <w:t> </w:t>
      </w:r>
      <w:r>
        <w:rPr>
          <w:spacing w:val="-3"/>
        </w:rPr>
        <w:t>年）中明确了政府在教育信息化经费投入中的主体</w:t>
      </w:r>
      <w:r>
        <w:rPr/>
        <w:t> 作用，同时鼓励企业和社会力量投资、参与教育信息化建设与服务，形成多渠道筹集教育信 息化经费的投入保障机制。</w:t>
      </w:r>
    </w:p>
    <w:p>
      <w:pPr>
        <w:pStyle w:val="BodyText"/>
        <w:spacing w:line="240" w:lineRule="auto" w:before="202"/>
        <w:ind w:right="1073"/>
        <w:jc w:val="left"/>
      </w:pPr>
      <w:r>
        <w:rPr>
          <w:rFonts w:ascii="Times New Roman" w:hAnsi="Times New Roman" w:cs="Times New Roman" w:eastAsia="Times New Roman" w:hint="default"/>
        </w:rPr>
        <w:t>2</w:t>
      </w:r>
      <w:r>
        <w:rPr/>
        <w:t>、公司总体发展战略</w:t>
      </w:r>
    </w:p>
    <w:p>
      <w:pPr>
        <w:spacing w:line="240" w:lineRule="auto" w:before="4"/>
        <w:rPr>
          <w:rFonts w:ascii="宋体" w:hAnsi="宋体" w:cs="宋体" w:eastAsia="宋体" w:hint="default"/>
          <w:sz w:val="22"/>
          <w:szCs w:val="22"/>
        </w:rPr>
      </w:pPr>
    </w:p>
    <w:p>
      <w:pPr>
        <w:pStyle w:val="BodyText"/>
        <w:spacing w:line="355" w:lineRule="auto"/>
        <w:ind w:left="1134" w:right="994" w:firstLine="480"/>
        <w:jc w:val="left"/>
      </w:pPr>
      <w:r>
        <w:rPr/>
        <w:t>如果说</w:t>
      </w:r>
      <w:r>
        <w:rPr>
          <w:spacing w:val="-60"/>
        </w:rPr>
        <w:t> </w:t>
      </w:r>
      <w:r>
        <w:rPr>
          <w:rFonts w:ascii="Times New Roman" w:hAnsi="Times New Roman" w:cs="Times New Roman" w:eastAsia="Times New Roman" w:hint="default"/>
        </w:rPr>
        <w:t>2015 </w:t>
      </w:r>
      <w:r>
        <w:rPr/>
        <w:t>年是大</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元年，</w:t>
      </w:r>
      <w:r>
        <w:rPr>
          <w:rFonts w:ascii="Times New Roman" w:hAnsi="Times New Roman" w:cs="Times New Roman" w:eastAsia="Times New Roman" w:hint="default"/>
        </w:rPr>
        <w:t>2016 </w:t>
      </w:r>
      <w:r>
        <w:rPr/>
        <w:t>年将会成为</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爆发年，</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已经成为了阅读、游戏、 影视、动漫、舞台剧等泛娱乐产业集群的引爆点；同时，互联网及移动互联网将对教育行业 的产生深刻的变革乃至颠覆，正是一系列的消费升级、跨界融合、产业转型将产生真正的几 </w:t>
      </w:r>
      <w:r>
        <w:rPr>
          <w:spacing w:val="-2"/>
        </w:rPr>
        <w:t>万亿空间的新市场。公司将在国家相关政策的指引下，把握文化及教育行业发展的空前机遇，</w:t>
      </w:r>
      <w:r>
        <w:rPr/>
        <w:t> 在泛娱乐及在线教育领域加大投资和布局，充分整合和发挥公司内外部资源，强化公司的内 容优势运营出品优势，向上游及下游持续衍生进行产业链布局持续加大投入用以扩大用户规 模、收入规模、市场份额及地位，持续贴近用户需求，提升用户体验，增强用户粘性，打造 泛娱乐生态与在线教育生态，力争成为全球领先的文化教育集团。</w:t>
      </w:r>
    </w:p>
    <w:p>
      <w:pPr>
        <w:spacing w:line="240" w:lineRule="auto" w:before="0"/>
        <w:rPr>
          <w:rFonts w:ascii="宋体" w:hAnsi="宋体" w:cs="宋体" w:eastAsia="宋体" w:hint="default"/>
          <w:sz w:val="20"/>
          <w:szCs w:val="20"/>
        </w:rPr>
      </w:pPr>
    </w:p>
    <w:p>
      <w:pPr>
        <w:pStyle w:val="Heading2"/>
        <w:spacing w:line="240" w:lineRule="auto" w:before="0"/>
        <w:ind w:right="0"/>
        <w:jc w:val="both"/>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报告期内接待调研、沟通、采访等活动登记表" w:id="59"/>
      <w:bookmarkEnd w:id="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01" w:type="dxa"/>
        <w:tblLayout w:type="fixed"/>
        <w:tblCellMar>
          <w:top w:w="0" w:type="dxa"/>
          <w:left w:w="0" w:type="dxa"/>
          <w:bottom w:w="0" w:type="dxa"/>
          <w:right w:w="0" w:type="dxa"/>
        </w:tblCellMar>
        <w:tblLook w:val="01E0"/>
      </w:tblPr>
      <w:tblGrid>
        <w:gridCol w:w="2168"/>
        <w:gridCol w:w="1090"/>
        <w:gridCol w:w="1596"/>
        <w:gridCol w:w="4841"/>
      </w:tblGrid>
      <w:tr>
        <w:trPr>
          <w:trHeight w:val="402" w:hRule="exact"/>
        </w:trPr>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8"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2015-001</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2015-002</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机构、个人</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2015-003</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2015-004</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2015-005</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2015-006</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2015-007</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2015-008</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01" w:type="dxa"/>
        <w:tblLayout w:type="fixed"/>
        <w:tblCellMar>
          <w:top w:w="0" w:type="dxa"/>
          <w:left w:w="0" w:type="dxa"/>
          <w:bottom w:w="0" w:type="dxa"/>
          <w:right w:w="0" w:type="dxa"/>
        </w:tblCellMar>
        <w:tblLook w:val="01E0"/>
      </w:tblPr>
      <w:tblGrid>
        <w:gridCol w:w="2168"/>
        <w:gridCol w:w="1090"/>
        <w:gridCol w:w="1596"/>
        <w:gridCol w:w="4841"/>
      </w:tblGrid>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2015-009</w:t>
            </w:r>
            <w:r>
              <w:rPr>
                <w:rFonts w:ascii="宋体" w:hAnsi="宋体" w:cs="宋体" w:eastAsia="宋体" w:hint="default"/>
                <w:sz w:val="18"/>
                <w:szCs w:val="18"/>
              </w:rPr>
              <w:t>）</w:t>
            </w:r>
          </w:p>
        </w:tc>
      </w:tr>
      <w:tr>
        <w:trPr>
          <w:trHeight w:val="402"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投资者关系活动记录表（编号：</w:t>
            </w:r>
            <w:r>
              <w:rPr>
                <w:rFonts w:ascii="Times New Roman" w:hAnsi="Times New Roman" w:cs="Times New Roman" w:eastAsia="Times New Roman" w:hint="default"/>
                <w:sz w:val="18"/>
                <w:szCs w:val="18"/>
              </w:rPr>
              <w:t>2015-010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0"/>
        <w:ind w:right="1114"/>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spacing w:line="528" w:lineRule="auto" w:before="0"/>
        <w:ind w:left="1613" w:right="2113" w:hanging="480"/>
        <w:jc w:val="left"/>
        <w:rPr>
          <w:rFonts w:ascii="宋体" w:hAnsi="宋体" w:cs="宋体" w:eastAsia="宋体" w:hint="default"/>
          <w:sz w:val="24"/>
          <w:szCs w:val="24"/>
        </w:rPr>
      </w:pPr>
      <w:bookmarkStart w:name="一、公司普通股利润分配及资本公积金转增股本情况" w:id="62"/>
      <w:bookmarkEnd w:id="62"/>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40" w:lineRule="auto" w:before="22"/>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345" w:lineRule="auto"/>
        <w:ind w:left="1133" w:right="1132" w:firstLine="480"/>
        <w:jc w:val="both"/>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25 </w:t>
      </w:r>
      <w:r>
        <w:rPr/>
        <w:t>日，公司召开</w:t>
      </w:r>
      <w:r>
        <w:rPr>
          <w:spacing w:val="-60"/>
        </w:rPr>
        <w:t> </w:t>
      </w:r>
      <w:r>
        <w:rPr>
          <w:rFonts w:ascii="Times New Roman" w:hAnsi="Times New Roman" w:cs="Times New Roman" w:eastAsia="Times New Roman" w:hint="default"/>
        </w:rPr>
        <w:t>2014 </w:t>
      </w:r>
      <w:r>
        <w:rPr/>
        <w:t>年第四次临时股东大会，审议通过了《关于修改</w:t>
      </w:r>
      <w:r>
        <w:rPr>
          <w:rFonts w:ascii="Times New Roman" w:hAnsi="Times New Roman" w:cs="Times New Roman" w:eastAsia="Times New Roman" w:hint="default"/>
        </w:rPr>
        <w:t>&lt;</w:t>
      </w:r>
      <w:r>
        <w:rPr/>
        <w:t>北 </w:t>
      </w:r>
      <w:r>
        <w:rPr>
          <w:spacing w:val="-3"/>
        </w:rPr>
        <w:t>京中文在线数字出版股份有限公司章程（草案）</w:t>
      </w:r>
      <w:r>
        <w:rPr>
          <w:rFonts w:ascii="Times New Roman" w:hAnsi="Times New Roman" w:cs="Times New Roman" w:eastAsia="Times New Roman" w:hint="default"/>
          <w:spacing w:val="-3"/>
        </w:rPr>
        <w:t>&gt;</w:t>
      </w:r>
      <w:r>
        <w:rPr>
          <w:spacing w:val="-3"/>
        </w:rPr>
        <w:t>的议案》，对公司首次公开发行并在创业板</w:t>
      </w:r>
      <w:r>
        <w:rPr>
          <w:spacing w:val="-97"/>
        </w:rPr>
        <w:t> </w:t>
      </w:r>
      <w:r>
        <w:rPr>
          <w:spacing w:val="-97"/>
        </w:rPr>
      </w:r>
      <w:r>
        <w:rPr/>
        <w:t>上市后实施的《公司章程（草案）》中的利润分配政策进行了修订，修订后的利润分配政策 如下：</w:t>
      </w:r>
    </w:p>
    <w:p>
      <w:pPr>
        <w:pStyle w:val="BodyText"/>
        <w:spacing w:line="451" w:lineRule="auto" w:before="204"/>
        <w:ind w:left="1613" w:right="1153"/>
        <w:jc w:val="left"/>
      </w:pPr>
      <w:r>
        <w:rPr>
          <w:rFonts w:ascii="Times New Roman" w:hAnsi="Times New Roman" w:cs="Times New Roman" w:eastAsia="Times New Roman" w:hint="default"/>
        </w:rPr>
        <w:t>1</w:t>
      </w:r>
      <w:r>
        <w:rPr/>
        <w:t>、利润分配政策的研究论证程序 公司在制定现金分红具体方案时，董事会应当认真研究和论证公司现金分红的时机、条</w:t>
      </w:r>
    </w:p>
    <w:p>
      <w:pPr>
        <w:pStyle w:val="BodyText"/>
        <w:spacing w:line="257" w:lineRule="exact"/>
        <w:ind w:left="1133" w:right="1073"/>
        <w:jc w:val="left"/>
      </w:pPr>
      <w:r>
        <w:rPr/>
        <w:t>件和最低比例、调整的条件极其决策程序要求等事宜，独立董事应当发表明确意见。独立董</w:t>
      </w:r>
    </w:p>
    <w:p>
      <w:pPr>
        <w:pStyle w:val="BodyText"/>
        <w:spacing w:line="240" w:lineRule="auto" w:before="154"/>
        <w:ind w:left="1133" w:right="1073"/>
        <w:jc w:val="left"/>
      </w:pPr>
      <w:r>
        <w:rPr/>
        <w:t>事可以征集中小股东的意见，提出分红提案，并直接提交董事会审议。</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公司董事会在有关利润分配方案的决策和论证过程中，可以通过电话、传真、信函、电 子邮件、公司网站上的投资者关系互动平台等方式，与中小股东进行沟通和交流，充分听取 其意见和诉求，及时答复其关心的问题。</w:t>
      </w:r>
    </w:p>
    <w:p>
      <w:pPr>
        <w:pStyle w:val="BodyText"/>
        <w:spacing w:line="451" w:lineRule="auto" w:before="192"/>
        <w:ind w:left="1613" w:right="1153"/>
        <w:jc w:val="left"/>
      </w:pPr>
      <w:r>
        <w:rPr>
          <w:rFonts w:ascii="Times New Roman" w:hAnsi="Times New Roman" w:cs="Times New Roman" w:eastAsia="Times New Roman" w:hint="default"/>
        </w:rPr>
        <w:t>2</w:t>
      </w:r>
      <w:r>
        <w:rPr/>
        <w:t>、利润分配政策决策机制 公司制定利润分配方案时，具体利润分配方案由董事会提出，提交股东大会审议。董事</w:t>
      </w:r>
    </w:p>
    <w:p>
      <w:pPr>
        <w:pStyle w:val="BodyText"/>
        <w:spacing w:line="275" w:lineRule="exact"/>
        <w:ind w:left="1133" w:right="1073"/>
        <w:jc w:val="left"/>
      </w:pPr>
      <w:r>
        <w:rPr/>
        <w:t>会提出的利润分配方案需经</w:t>
      </w:r>
      <w:r>
        <w:rPr>
          <w:spacing w:val="-60"/>
        </w:rPr>
        <w:t> </w:t>
      </w:r>
      <w:r>
        <w:rPr>
          <w:rFonts w:ascii="Times New Roman" w:hAnsi="Times New Roman" w:cs="Times New Roman" w:eastAsia="Times New Roman" w:hint="default"/>
        </w:rPr>
        <w:t>2/3 </w:t>
      </w:r>
      <w:r>
        <w:rPr/>
        <w:t>以上独立董事表决通过，并经半数以上监事表决通过。</w:t>
      </w:r>
    </w:p>
    <w:p>
      <w:pPr>
        <w:spacing w:line="240" w:lineRule="auto" w:before="4"/>
        <w:rPr>
          <w:rFonts w:ascii="宋体" w:hAnsi="宋体" w:cs="宋体" w:eastAsia="宋体" w:hint="default"/>
          <w:sz w:val="22"/>
          <w:szCs w:val="22"/>
        </w:rPr>
      </w:pPr>
    </w:p>
    <w:p>
      <w:pPr>
        <w:pStyle w:val="BodyText"/>
        <w:spacing w:line="352" w:lineRule="auto"/>
        <w:ind w:left="1133" w:right="996" w:firstLine="480"/>
        <w:jc w:val="left"/>
      </w:pPr>
      <w:r>
        <w:rPr/>
        <w:t>公司调整利润分配方案时，有关调整利润分配政策的议案应提交公司董事会、监事会审 议；提交公司董事会审议的相关议案需经半数以上董事、并经</w:t>
      </w:r>
      <w:r>
        <w:rPr>
          <w:spacing w:val="-60"/>
        </w:rPr>
        <w:t> </w:t>
      </w:r>
      <w:r>
        <w:rPr>
          <w:rFonts w:ascii="Times New Roman" w:hAnsi="Times New Roman" w:cs="Times New Roman" w:eastAsia="Times New Roman" w:hint="default"/>
        </w:rPr>
        <w:t>2/3 </w:t>
      </w:r>
      <w:r>
        <w:rPr/>
        <w:t>以上独立董事表决通过； 提交公司监事会的相关议案需经半数以上监事表决通过；董事会、监事会在有关决策和论证 过程中应当充分考虑公众投资者、独立董事、外部监事的意见；相关议案经公司董事会、监 事会审议通过后，需提交公司股东大会审议。股东大会审议调整利润分配政策相关议案的， 应经出席股东大会的股东所持表决权的</w:t>
      </w:r>
      <w:r>
        <w:rPr>
          <w:spacing w:val="-75"/>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以上通过，并为中小股东参加股东大会提供便利。</w:t>
      </w:r>
    </w:p>
    <w:p>
      <w:pPr>
        <w:spacing w:after="0" w:line="352"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firstLine="480"/>
        <w:jc w:val="both"/>
      </w:pPr>
      <w:r>
        <w:rPr/>
        <w:t>公司应严格按照有关规定在定期报告中披露利润分配预案和现金分红政策的制定及执行 情况。公司年度盈利但未提出现金利润分配预案的，董事会应在定期报告中详细说明未分红 的原因、未用于分红的资金留存公司的用途，独立董事应对此发表明确意见。在召开股东大 会时除现场会议外，还应为中小股东参加股东大会提供便利。</w:t>
      </w:r>
    </w:p>
    <w:p>
      <w:pPr>
        <w:pStyle w:val="BodyText"/>
        <w:spacing w:line="352" w:lineRule="auto" w:before="192"/>
        <w:ind w:left="1133" w:right="1132" w:firstLine="480"/>
        <w:jc w:val="both"/>
      </w:pPr>
      <w:r>
        <w:rPr>
          <w:rFonts w:ascii="Times New Roman" w:hAnsi="Times New Roman" w:cs="Times New Roman" w:eastAsia="Times New Roman" w:hint="default"/>
          <w:spacing w:val="-3"/>
        </w:rPr>
        <w:t>3</w:t>
      </w:r>
      <w:r>
        <w:rPr>
          <w:spacing w:val="-3"/>
        </w:rPr>
        <w:t>、公司的利润分配原则：公司的利润分配应重视对投资者的合理投资回报，利润分配政</w:t>
      </w:r>
      <w:r>
        <w:rPr/>
        <w:t> 策应保持连续性和稳定性并兼顾公司的可持续发展，且不得违反中国证券监督管理委员会和 交易所的有关规定。公司利润分配不得超过累计可分配利润的范围，不得损害公司的可持续 发展能力。具备现金分红条件的，应当采用现金分红进行利润分配；采用股票股利进行利润 分配的，应当具有公司成长性、每股净资产的摊薄等真实合理因素。</w:t>
      </w:r>
    </w:p>
    <w:p>
      <w:pPr>
        <w:pStyle w:val="BodyText"/>
        <w:spacing w:line="357" w:lineRule="auto" w:before="197"/>
        <w:ind w:left="1133" w:right="1170" w:firstLine="480"/>
        <w:jc w:val="both"/>
      </w:pPr>
      <w:r>
        <w:rPr/>
        <w:t>公司的利润分配形式：公司可以采取现金或股票等方式分配利润，其中优先以现金分红 方式分配股利。</w:t>
      </w:r>
    </w:p>
    <w:p>
      <w:pPr>
        <w:pStyle w:val="BodyText"/>
        <w:spacing w:line="357" w:lineRule="auto" w:before="192"/>
        <w:ind w:left="1133" w:right="1169" w:firstLine="480"/>
        <w:jc w:val="both"/>
      </w:pPr>
      <w:r>
        <w:rPr/>
        <w:t>公司现金分红的具体条件和比例：在公司当年盈利且累计未分配利润为正数，并且在满 足正常生产经营的资金需求情况下，如无重大投资计划或重大现金支出等事项发生，公司应 当优先采取现金方式分配股利，且每年以现金方式分配的利润应当不少于当年实现的可供分 配利润的</w:t>
      </w:r>
      <w:r>
        <w:rPr>
          <w:spacing w:val="-60"/>
        </w:rPr>
        <w:t> </w:t>
      </w:r>
      <w:r>
        <w:rPr>
          <w:rFonts w:ascii="Times New Roman" w:hAnsi="Times New Roman" w:cs="Times New Roman" w:eastAsia="Times New Roman" w:hint="default"/>
        </w:rPr>
        <w:t>20%</w:t>
      </w:r>
      <w:r>
        <w:rPr/>
        <w:t>。</w:t>
      </w:r>
    </w:p>
    <w:p>
      <w:pPr>
        <w:pStyle w:val="BodyText"/>
        <w:spacing w:line="357" w:lineRule="auto" w:before="161"/>
        <w:ind w:left="1134" w:right="1170" w:firstLine="480"/>
        <w:jc w:val="both"/>
      </w:pPr>
      <w:r>
        <w:rPr/>
        <w:t>公司董事会应当综合考虑所处行业特点、发展阶段、自身经营模式、盈利水平以及是否 有重大资金支出安排等因素，区分下列情形，并按照本章程规定的程序，提出差异化的现金 分红政策：</w:t>
      </w:r>
    </w:p>
    <w:p>
      <w:pPr>
        <w:pStyle w:val="BodyText"/>
        <w:spacing w:line="357" w:lineRule="auto" w:before="192"/>
        <w:ind w:left="1134" w:right="1170" w:firstLine="480"/>
        <w:jc w:val="both"/>
      </w:pPr>
      <w:r>
        <w:rPr/>
        <w:t>公司发展阶段属成熟期且无重大资金支出安排的，进行利润分配时，现金分红在本次利 润分配中所占比例最低应达到</w:t>
      </w:r>
      <w:r>
        <w:rPr>
          <w:spacing w:val="-60"/>
        </w:rPr>
        <w:t> </w:t>
      </w:r>
      <w:r>
        <w:rPr>
          <w:rFonts w:ascii="Times New Roman" w:hAnsi="Times New Roman" w:cs="Times New Roman" w:eastAsia="Times New Roman" w:hint="default"/>
        </w:rPr>
        <w:t>80%</w:t>
      </w:r>
      <w:r>
        <w:rPr/>
        <w:t>；</w:t>
      </w:r>
    </w:p>
    <w:p>
      <w:pPr>
        <w:pStyle w:val="BodyText"/>
        <w:spacing w:line="357" w:lineRule="auto" w:before="161"/>
        <w:ind w:left="1134" w:right="1170" w:firstLine="480"/>
        <w:jc w:val="both"/>
      </w:pPr>
      <w:r>
        <w:rPr/>
        <w:t>公司发展阶段属成熟期且有重大资金支出安排的，进行利润分配时，现金分红在本次利 润分配中所占比例最低应达到</w:t>
      </w:r>
      <w:r>
        <w:rPr>
          <w:spacing w:val="-61"/>
        </w:rPr>
        <w:t> </w:t>
      </w:r>
      <w:r>
        <w:rPr>
          <w:rFonts w:ascii="Times New Roman" w:hAnsi="Times New Roman" w:cs="Times New Roman" w:eastAsia="Times New Roman" w:hint="default"/>
        </w:rPr>
        <w:t>40%</w:t>
      </w:r>
      <w:r>
        <w:rPr/>
        <w:t>；</w:t>
      </w:r>
    </w:p>
    <w:p>
      <w:pPr>
        <w:pStyle w:val="BodyText"/>
        <w:spacing w:line="357" w:lineRule="auto" w:before="161"/>
        <w:ind w:left="1134" w:right="1170" w:firstLine="480"/>
        <w:jc w:val="both"/>
      </w:pPr>
      <w:r>
        <w:rPr/>
        <w:t>公司发展阶段属成长期且有重大资金支出安排的，进行利润分配时，现金分红在本次利 润分配中所占比例最低应达到</w:t>
      </w:r>
      <w:r>
        <w:rPr>
          <w:spacing w:val="-60"/>
        </w:rPr>
        <w:t> </w:t>
      </w:r>
      <w:r>
        <w:rPr>
          <w:rFonts w:ascii="Times New Roman" w:hAnsi="Times New Roman" w:cs="Times New Roman" w:eastAsia="Times New Roman" w:hint="default"/>
        </w:rPr>
        <w:t>20%</w:t>
      </w:r>
      <w:r>
        <w:rPr/>
        <w:t>。</w:t>
      </w:r>
    </w:p>
    <w:p>
      <w:pPr>
        <w:pStyle w:val="BodyText"/>
        <w:spacing w:line="477" w:lineRule="auto" w:before="162"/>
        <w:ind w:right="2352"/>
        <w:jc w:val="left"/>
      </w:pPr>
      <w:r>
        <w:rPr/>
        <w:t>公司发展阶段不易区分但有重大资金支出安排的，可以按照前项规定处理。 上述重大投资计划或重大现金支出是指以下情形之一：</w:t>
      </w:r>
    </w:p>
    <w:p>
      <w:pPr>
        <w:spacing w:after="0" w:line="477"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38" w:lineRule="auto" w:before="26"/>
        <w:ind w:left="1134" w:right="1131" w:firstLine="480"/>
        <w:jc w:val="both"/>
      </w:pPr>
      <w:r>
        <w:rPr/>
        <w:t>公司未来</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3"/>
        </w:rPr>
        <w:t>个月内拟对外投资、收购资产等交易累计支出达到或超过公司最近一期经审</w:t>
      </w:r>
      <w:r>
        <w:rPr/>
        <w:t> 计净资产的</w:t>
      </w:r>
      <w:r>
        <w:rPr>
          <w:spacing w:val="-60"/>
        </w:rPr>
        <w:t> </w:t>
      </w:r>
      <w:r>
        <w:rPr>
          <w:rFonts w:ascii="Times New Roman" w:hAnsi="Times New Roman" w:cs="Times New Roman" w:eastAsia="Times New Roman" w:hint="default"/>
        </w:rPr>
        <w:t>50%</w:t>
      </w:r>
      <w:r>
        <w:rPr/>
        <w:t>，且超过</w:t>
      </w:r>
      <w:r>
        <w:rPr>
          <w:spacing w:val="-60"/>
        </w:rPr>
        <w:t> </w:t>
      </w:r>
      <w:r>
        <w:rPr>
          <w:rFonts w:ascii="Times New Roman" w:hAnsi="Times New Roman" w:cs="Times New Roman" w:eastAsia="Times New Roman" w:hint="default"/>
        </w:rPr>
        <w:t>5,000 </w:t>
      </w:r>
      <w:r>
        <w:rPr/>
        <w:t>万元；</w:t>
      </w:r>
    </w:p>
    <w:p>
      <w:pPr>
        <w:pStyle w:val="BodyText"/>
        <w:spacing w:line="338" w:lineRule="auto" w:before="183"/>
        <w:ind w:left="1134" w:right="1131" w:firstLine="480"/>
        <w:jc w:val="both"/>
      </w:pPr>
      <w:r>
        <w:rPr/>
        <w:t>公司未来</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3"/>
        </w:rPr>
        <w:t>个月内拟对外投资、收购资产等交易累计支出达到或超过公司最近一期经审</w:t>
      </w:r>
      <w:r>
        <w:rPr/>
        <w:t> 计总资产的</w:t>
      </w:r>
      <w:r>
        <w:rPr>
          <w:spacing w:val="-60"/>
        </w:rPr>
        <w:t> </w:t>
      </w:r>
      <w:r>
        <w:rPr>
          <w:rFonts w:ascii="Times New Roman" w:hAnsi="Times New Roman" w:cs="Times New Roman" w:eastAsia="Times New Roman" w:hint="default"/>
        </w:rPr>
        <w:t>30%</w:t>
      </w:r>
      <w:r>
        <w:rPr/>
        <w:t>。</w:t>
      </w:r>
    </w:p>
    <w:p>
      <w:pPr>
        <w:pStyle w:val="BodyText"/>
        <w:spacing w:line="357" w:lineRule="auto" w:before="183"/>
        <w:ind w:left="1134" w:right="1169" w:firstLine="480"/>
        <w:jc w:val="both"/>
      </w:pPr>
      <w:r>
        <w:rPr/>
        <w:t>上述重大投资计划或重大现金支出，应当由董事会批准，报股东大会审议通过后方可实 施。</w:t>
      </w:r>
    </w:p>
    <w:p>
      <w:pPr>
        <w:pStyle w:val="BodyText"/>
        <w:spacing w:line="357" w:lineRule="auto" w:before="192"/>
        <w:ind w:left="1134" w:right="1170" w:firstLine="480"/>
        <w:jc w:val="both"/>
      </w:pPr>
      <w:r>
        <w:rPr/>
        <w:t>发放股票股利的具体条件：公司在经营状况良好，且董事会认为公司股票价格与公司股 本规模不匹配、发放股票股利有利于公司全体股东整体利益时，可以在确保足额现金股利分 配的前提下，另行增加股票方式分配利润。</w:t>
      </w:r>
    </w:p>
    <w:p>
      <w:pPr>
        <w:pStyle w:val="BodyText"/>
        <w:spacing w:line="357" w:lineRule="auto" w:before="192"/>
        <w:ind w:left="1134" w:right="1170" w:firstLine="480"/>
        <w:jc w:val="both"/>
      </w:pPr>
      <w:r>
        <w:rPr/>
        <w:t>利润分配的期间间隔：公司每年度进行一次利润分配，在有条件的情况下，公司可以进 行中期现金分红。</w:t>
      </w:r>
    </w:p>
    <w:p>
      <w:pPr>
        <w:pStyle w:val="BodyText"/>
        <w:spacing w:line="357" w:lineRule="auto" w:before="192"/>
        <w:ind w:left="1134" w:right="995" w:firstLine="480"/>
        <w:jc w:val="left"/>
      </w:pPr>
      <w:r>
        <w:rPr>
          <w:spacing w:val="-3"/>
        </w:rPr>
        <w:t>利润分配应履行的审议程序：公司具体利润分配方案由董事会提出，提交股东大会审议。</w:t>
      </w:r>
      <w:r>
        <w:rPr/>
        <w:t> 董事会提出的利润分配方案需经</w:t>
      </w:r>
      <w:r>
        <w:rPr>
          <w:spacing w:val="-60"/>
        </w:rPr>
        <w:t> </w:t>
      </w:r>
      <w:r>
        <w:rPr>
          <w:rFonts w:ascii="Times New Roman" w:hAnsi="Times New Roman" w:cs="Times New Roman" w:eastAsia="Times New Roman" w:hint="default"/>
        </w:rPr>
        <w:t>2/3 </w:t>
      </w:r>
      <w:r>
        <w:rPr/>
        <w:t>以上独立董事表决通过，并经半数以上监事表决通过。</w:t>
      </w:r>
    </w:p>
    <w:p>
      <w:pPr>
        <w:pStyle w:val="BodyText"/>
        <w:spacing w:line="357" w:lineRule="auto" w:before="162"/>
        <w:ind w:left="1133" w:right="1169" w:firstLine="480"/>
        <w:jc w:val="both"/>
      </w:pPr>
      <w:r>
        <w:rPr/>
        <w:t>利润分配政策的调整：公司根据生产经营情况、投资规划和长期发展的需要确需调整利 润分配政策尤其是现金分红政策的，调整后的利润分配政策不得违反中国证券监督管理委员 会和交易所的有关规定。</w:t>
      </w:r>
    </w:p>
    <w:p>
      <w:pPr>
        <w:pStyle w:val="BodyText"/>
        <w:spacing w:line="451" w:lineRule="auto" w:before="192"/>
        <w:ind w:right="1152"/>
        <w:jc w:val="left"/>
      </w:pPr>
      <w:r>
        <w:rPr>
          <w:rFonts w:ascii="Times New Roman" w:hAnsi="Times New Roman" w:cs="Times New Roman" w:eastAsia="Times New Roman" w:hint="default"/>
        </w:rPr>
        <w:t>4</w:t>
      </w:r>
      <w:r>
        <w:rPr/>
        <w:t>、利润分配的具体规划和计划安排 公司应当制定分红回报规划和最近三年的分红计划。公司可以根据股东（特别是公众投</w:t>
      </w:r>
    </w:p>
    <w:p>
      <w:pPr>
        <w:pStyle w:val="BodyText"/>
        <w:spacing w:line="257" w:lineRule="exact"/>
        <w:ind w:left="1134" w:right="1073"/>
        <w:jc w:val="left"/>
      </w:pPr>
      <w:r>
        <w:rPr/>
        <w:t>资者）、独立董事和外部监事的意见对分红规划和计划进行适当且必要的调整。调整分红规</w:t>
      </w:r>
    </w:p>
    <w:p>
      <w:pPr>
        <w:pStyle w:val="BodyText"/>
        <w:spacing w:line="240" w:lineRule="auto" w:before="154"/>
        <w:ind w:left="1134" w:right="1073"/>
        <w:jc w:val="left"/>
      </w:pPr>
      <w:r>
        <w:rPr/>
        <w:t>划和计划应以股东权益保护为出发点，不得与本章程的相关规定相抵触。</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1"/>
        <w:rPr>
          <w:rFonts w:ascii="宋体" w:hAnsi="宋体" w:cs="宋体" w:eastAsia="宋体" w:hint="default"/>
          <w:sz w:val="12"/>
          <w:szCs w:val="12"/>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773;top:14;width:2;height:353" coordorigin="4773,14" coordsize="2,353">
              <v:shape style="position:absolute;left:4773;top:14;width:2;height:353" coordorigin="4773,14" coordsize="0,353" path="m4773,14l4773,367e" filled="false" stroked="true" strokeweight="1.140pt" strokecolor="#d2d2d2">
                <v:path arrowok="t"/>
              </v:shape>
            </v:group>
            <v:group style="position:absolute;left:32;top:14;width:4729;height:353" coordorigin="32,14" coordsize="4729,353">
              <v:shape style="position:absolute;left:32;top:14;width:4729;height:353" coordorigin="32,14" coordsize="4729,353" path="m32,367l4761,367,4761,14,32,14,32,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明：</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2"/>
          <w:szCs w:val="12"/>
        </w:rPr>
      </w:pPr>
    </w:p>
    <w:p>
      <w:pPr>
        <w:pStyle w:val="BodyText"/>
        <w:spacing w:line="357" w:lineRule="auto" w:before="26"/>
        <w:ind w:left="1134" w:right="1152" w:firstLine="480"/>
        <w:jc w:val="left"/>
      </w:pPr>
      <w:r>
        <w:rPr/>
        <w:t>公司报告期利润分配预案及资本公积金转增股本预案与公司章程和分红管理办法等的相 关规定一致</w:t>
      </w:r>
    </w:p>
    <w:p>
      <w:pPr>
        <w:pStyle w:val="BodyText"/>
        <w:spacing w:line="463" w:lineRule="auto" w:before="192"/>
        <w:ind w:left="1613" w:right="1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7"/>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11,051,874.72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经信永中和会计师事务所（特殊普通合伙）审计，公司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31,254,698.39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母公司净利润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12,279,860.80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元，根据《公司章程》的规定，提取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1,227,986.08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年度当期可供 分配的利润为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11,051,874.72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元（以合并报表、母公司报表中可供分配利润孰低为原则），资本公积金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188,827,854.16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鉴于目前公司经营盈利情况稳定，处于发展阶段，但属于成长期，未来对资金需求较大的具体情况，公司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年度利润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分配预案拟定为：以总股本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基数，向现有全体股东每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，共计派发现金红</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利</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r>
              <w:rPr>
                <w:rFonts w:ascii="宋体" w:hAnsi="宋体" w:cs="宋体" w:eastAsia="宋体" w:hint="default"/>
                <w:spacing w:val="-90"/>
                <w:sz w:val="18"/>
                <w:szCs w:val="18"/>
              </w:rPr>
              <w:t>元</w:t>
            </w:r>
            <w:r>
              <w:rPr>
                <w:rFonts w:ascii="宋体" w:hAnsi="宋体" w:cs="宋体" w:eastAsia="宋体" w:hint="default"/>
                <w:sz w:val="18"/>
                <w:szCs w:val="18"/>
              </w:rPr>
              <w:t>（</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同时以资本公积向全体股东每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转</w:t>
            </w:r>
            <w:r>
              <w:rPr>
                <w:rFonts w:ascii="宋体" w:hAnsi="宋体" w:cs="宋体" w:eastAsia="宋体" w:hint="default"/>
                <w:sz w:val="18"/>
                <w:szCs w:val="18"/>
              </w:rPr>
              <w:t>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方</w:t>
            </w:r>
            <w:r>
              <w:rPr>
                <w:rFonts w:ascii="宋体" w:hAnsi="宋体" w:cs="宋体" w:eastAsia="宋体" w:hint="default"/>
                <w:spacing w:val="-2"/>
                <w:sz w:val="18"/>
                <w:szCs w:val="18"/>
              </w:rPr>
              <w:t>案</w:t>
            </w:r>
            <w:r>
              <w:rPr>
                <w:rFonts w:ascii="宋体" w:hAnsi="宋体" w:cs="宋体" w:eastAsia="宋体" w:hint="default"/>
                <w:sz w:val="18"/>
                <w:szCs w:val="18"/>
              </w:rPr>
              <w:t>实施后</w:t>
            </w:r>
            <w:r>
              <w:rPr>
                <w:rFonts w:ascii="宋体" w:hAnsi="宋体" w:cs="宋体" w:eastAsia="宋体" w:hint="default"/>
                <w:spacing w:val="-90"/>
                <w:sz w:val="18"/>
                <w:szCs w:val="18"/>
              </w:rPr>
              <w:t>，</w:t>
            </w:r>
            <w:r>
              <w:rPr>
                <w:rFonts w:ascii="宋体" w:hAnsi="宋体" w:cs="宋体" w:eastAsia="宋体" w:hint="default"/>
                <w:sz w:val="18"/>
                <w:szCs w:val="18"/>
              </w:rPr>
              <w:t>公司股本由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股增至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股。本次利润分配预案符合相关法律法规及《公司章程》的规定。</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公司近</w:t>
      </w:r>
      <w:r>
        <w:rPr>
          <w:spacing w:val="-60"/>
        </w:rPr>
        <w:t> </w:t>
      </w:r>
      <w:r>
        <w:rPr>
          <w:rFonts w:ascii="Times New Roman" w:hAnsi="Times New Roman" w:cs="Times New Roman" w:eastAsia="Times New Roman" w:hint="default"/>
        </w:rPr>
        <w:t>3 </w:t>
      </w:r>
      <w:r>
        <w:rPr>
          <w:spacing w:val="-21"/>
        </w:rPr>
        <w:t>年</w:t>
      </w:r>
      <w:r>
        <w:rPr/>
        <w:t>（包括本报告期</w:t>
      </w:r>
      <w:r>
        <w:rPr>
          <w:spacing w:val="-21"/>
        </w:rPr>
        <w:t>）</w:t>
      </w:r>
      <w:r>
        <w:rPr/>
        <w:t>的普通股股利分配方</w:t>
      </w:r>
      <w:r>
        <w:rPr>
          <w:spacing w:val="-21"/>
        </w:rPr>
        <w:t>案</w:t>
      </w:r>
      <w:r>
        <w:rPr/>
        <w:t>（预案</w:t>
      </w:r>
      <w:r>
        <w:rPr>
          <w:spacing w:val="-120"/>
        </w:rPr>
        <w:t>）</w:t>
      </w:r>
      <w:r>
        <w:rPr>
          <w:spacing w:val="-21"/>
        </w:rPr>
        <w:t>、</w:t>
      </w:r>
      <w:r>
        <w:rPr/>
        <w:t>资本公积金转增股本方案</w:t>
      </w:r>
    </w:p>
    <w:p>
      <w:pPr>
        <w:pStyle w:val="BodyText"/>
        <w:spacing w:line="240" w:lineRule="auto" w:before="135"/>
        <w:ind w:left="1134" w:right="1073"/>
        <w:jc w:val="left"/>
      </w:pPr>
      <w:r>
        <w:rPr/>
        <w:t>（预案）情况</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t>日，公司召开了</w:t>
      </w:r>
      <w:r>
        <w:rPr>
          <w:spacing w:val="-60"/>
        </w:rPr>
        <w:t> </w:t>
      </w:r>
      <w:r>
        <w:rPr>
          <w:rFonts w:ascii="Times New Roman" w:hAnsi="Times New Roman" w:cs="Times New Roman" w:eastAsia="Times New Roman" w:hint="default"/>
        </w:rPr>
        <w:t>2013 </w:t>
      </w:r>
      <w:r>
        <w:rPr/>
        <w:t>年年度股东大会，审议通过了《公司</w:t>
      </w:r>
      <w:r>
        <w:rPr>
          <w:spacing w:val="-60"/>
        </w:rPr>
        <w:t> </w:t>
      </w:r>
      <w:r>
        <w:rPr>
          <w:rFonts w:ascii="Times New Roman" w:hAnsi="Times New Roman" w:cs="Times New Roman" w:eastAsia="Times New Roman" w:hint="default"/>
        </w:rPr>
        <w:t>2013 </w:t>
      </w:r>
      <w:r>
        <w:rPr/>
        <w:t>年度利</w:t>
      </w:r>
    </w:p>
    <w:p>
      <w:pPr>
        <w:pStyle w:val="BodyText"/>
        <w:spacing w:line="240" w:lineRule="auto" w:before="135"/>
        <w:ind w:left="1133" w:right="1073"/>
        <w:jc w:val="left"/>
      </w:pPr>
      <w:r>
        <w:rPr>
          <w:spacing w:val="-3"/>
        </w:rPr>
        <w:t>润分配方案》的议案，具体利润分配方案为：向全体股东现金支付</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年当期母公司可供分</w:t>
      </w:r>
    </w:p>
    <w:p>
      <w:pPr>
        <w:pStyle w:val="BodyText"/>
        <w:spacing w:line="240" w:lineRule="auto" w:before="135"/>
        <w:ind w:left="1133" w:right="1073"/>
        <w:jc w:val="left"/>
      </w:pPr>
      <w:r>
        <w:rPr/>
        <w:t>配利润的</w:t>
      </w:r>
      <w:r>
        <w:rPr>
          <w:spacing w:val="-61"/>
        </w:rPr>
        <w:t> </w:t>
      </w:r>
      <w:r>
        <w:rPr>
          <w:rFonts w:ascii="Times New Roman" w:hAnsi="Times New Roman" w:cs="Times New Roman" w:eastAsia="Times New Roman" w:hint="default"/>
        </w:rPr>
        <w:t>20%</w:t>
      </w:r>
      <w:r>
        <w:rPr/>
        <w:t>，即以公司</w:t>
      </w:r>
      <w:r>
        <w:rPr>
          <w:spacing w:val="-60"/>
        </w:rPr>
        <w:t> </w:t>
      </w:r>
      <w:r>
        <w:rPr>
          <w:rFonts w:ascii="Times New Roman" w:hAnsi="Times New Roman" w:cs="Times New Roman" w:eastAsia="Times New Roman" w:hint="default"/>
        </w:rPr>
        <w:t>2013 </w:t>
      </w:r>
      <w:r>
        <w:rPr/>
        <w:t>年末的总股本</w:t>
      </w:r>
      <w:r>
        <w:rPr>
          <w:spacing w:val="-60"/>
        </w:rPr>
        <w:t> </w:t>
      </w:r>
      <w:r>
        <w:rPr>
          <w:rFonts w:ascii="Times New Roman" w:hAnsi="Times New Roman" w:cs="Times New Roman" w:eastAsia="Times New Roman" w:hint="default"/>
        </w:rPr>
        <w:t>90,000,000 </w:t>
      </w:r>
      <w:r>
        <w:rPr/>
        <w:t>股为基数，向全体股东每</w:t>
      </w:r>
      <w:r>
        <w:rPr>
          <w:spacing w:val="-60"/>
        </w:rPr>
        <w:t> </w:t>
      </w:r>
      <w:r>
        <w:rPr>
          <w:rFonts w:ascii="Times New Roman" w:hAnsi="Times New Roman" w:cs="Times New Roman" w:eastAsia="Times New Roman" w:hint="default"/>
        </w:rPr>
        <w:t>10 </w:t>
      </w:r>
      <w:r>
        <w:rPr/>
        <w:t>股派发</w:t>
      </w:r>
    </w:p>
    <w:p>
      <w:pPr>
        <w:pStyle w:val="BodyText"/>
        <w:spacing w:line="240" w:lineRule="auto" w:before="136"/>
        <w:ind w:left="1133" w:right="1073"/>
        <w:jc w:val="left"/>
      </w:pPr>
      <w:r>
        <w:rPr/>
        <w:t>现金红利</w:t>
      </w:r>
      <w:r>
        <w:rPr>
          <w:spacing w:val="-60"/>
        </w:rPr>
        <w:t> </w:t>
      </w:r>
      <w:r>
        <w:rPr>
          <w:rFonts w:ascii="Times New Roman" w:hAnsi="Times New Roman" w:cs="Times New Roman" w:eastAsia="Times New Roman" w:hint="default"/>
        </w:rPr>
        <w:t>0.9222 </w:t>
      </w:r>
      <w:r>
        <w:rPr/>
        <w:t>元（含税），预计共支付红利</w:t>
      </w:r>
      <w:r>
        <w:rPr>
          <w:spacing w:val="-60"/>
        </w:rPr>
        <w:t> </w:t>
      </w:r>
      <w:r>
        <w:rPr>
          <w:rFonts w:ascii="Times New Roman" w:hAnsi="Times New Roman" w:cs="Times New Roman" w:eastAsia="Times New Roman" w:hint="default"/>
        </w:rPr>
        <w:t>8,299,800.31 </w:t>
      </w:r>
      <w:r>
        <w:rPr/>
        <w:t>元人民币（含税）。上述利润分</w:t>
      </w:r>
    </w:p>
    <w:p>
      <w:pPr>
        <w:pStyle w:val="BodyText"/>
        <w:spacing w:line="240" w:lineRule="auto" w:before="135"/>
        <w:ind w:left="1133" w:right="1073"/>
        <w:jc w:val="left"/>
      </w:pPr>
      <w:r>
        <w:rPr/>
        <w:t>配方案已于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17 </w:t>
      </w:r>
      <w:r>
        <w:rPr/>
        <w:t>日实施完毕。</w:t>
      </w:r>
    </w:p>
    <w:p>
      <w:pPr>
        <w:spacing w:line="240" w:lineRule="auto" w:before="4"/>
        <w:rPr>
          <w:rFonts w:ascii="宋体" w:hAnsi="宋体" w:cs="宋体" w:eastAsia="宋体" w:hint="default"/>
          <w:sz w:val="22"/>
          <w:szCs w:val="22"/>
        </w:rPr>
      </w:pPr>
    </w:p>
    <w:p>
      <w:pPr>
        <w:pStyle w:val="BodyText"/>
        <w:spacing w:line="240" w:lineRule="auto"/>
        <w:ind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日，公司召开了</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年年度股东大会，审议通过了《关于</w:t>
      </w:r>
      <w:r>
        <w:rPr>
          <w:rFonts w:ascii="Times New Roman" w:hAnsi="Times New Roman" w:cs="Times New Roman" w:eastAsia="Times New Roman" w:hint="default"/>
        </w:rPr>
        <w:t>&lt;</w:t>
      </w:r>
      <w:r>
        <w:rPr/>
        <w:t>公司</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0"/>
        <w:jc w:val="both"/>
      </w:pPr>
      <w:r>
        <w:rPr/>
        <w:t>度利润分配预案</w:t>
      </w:r>
      <w:r>
        <w:rPr>
          <w:rFonts w:ascii="Times New Roman" w:hAnsi="Times New Roman" w:cs="Times New Roman" w:eastAsia="Times New Roman" w:hint="default"/>
        </w:rPr>
        <w:t>&gt;</w:t>
      </w:r>
      <w:r>
        <w:rPr/>
        <w:t>的议案》，具体利润分配方案为：向现有全体股东每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w:t>
      </w:r>
      <w:r>
        <w:rPr>
          <w:spacing w:val="-70"/>
        </w:rPr>
        <w:t> </w:t>
      </w:r>
      <w:r>
        <w:rPr>
          <w:rFonts w:ascii="Times New Roman" w:hAnsi="Times New Roman" w:cs="Times New Roman" w:eastAsia="Times New Roman" w:hint="default"/>
        </w:rPr>
        <w:t>0.80</w:t>
      </w:r>
      <w:r>
        <w:rPr>
          <w:rFonts w:ascii="Times New Roman" w:hAnsi="Times New Roman" w:cs="Times New Roman" w:eastAsia="Times New Roman" w:hint="default"/>
          <w:spacing w:val="-10"/>
        </w:rPr>
        <w:t> </w:t>
      </w:r>
      <w:r>
        <w:rPr/>
        <w:t>元人民</w:t>
      </w:r>
    </w:p>
    <w:p>
      <w:pPr>
        <w:pStyle w:val="BodyText"/>
        <w:spacing w:line="338" w:lineRule="auto" w:before="135"/>
        <w:ind w:left="1133" w:right="1169"/>
        <w:jc w:val="both"/>
      </w:pPr>
      <w:r>
        <w:rPr/>
        <w:t>币（含税），共计派发现金红利</w:t>
      </w:r>
      <w:r>
        <w:rPr>
          <w:spacing w:val="-60"/>
        </w:rPr>
        <w:t> </w:t>
      </w:r>
      <w:r>
        <w:rPr>
          <w:rFonts w:ascii="Times New Roman" w:hAnsi="Times New Roman" w:cs="Times New Roman" w:eastAsia="Times New Roman" w:hint="default"/>
        </w:rPr>
        <w:t>9,600,000.00 </w:t>
      </w:r>
      <w:r>
        <w:rPr/>
        <w:t>元（含税）。上述利润分配方案已于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27 </w:t>
      </w:r>
      <w:r>
        <w:rPr/>
        <w:t>日实施完毕，具体内容详见公司在巨潮咨询网上披露的《</w:t>
      </w:r>
      <w:r>
        <w:rPr>
          <w:rFonts w:ascii="Times New Roman" w:hAnsi="Times New Roman" w:cs="Times New Roman" w:eastAsia="Times New Roman" w:hint="default"/>
        </w:rPr>
        <w:t>2014 </w:t>
      </w:r>
      <w:r>
        <w:rPr/>
        <w:t>年年度权益分派实施公 告》（公告编号：</w:t>
      </w:r>
      <w:r>
        <w:rPr>
          <w:rFonts w:ascii="Times New Roman" w:hAnsi="Times New Roman" w:cs="Times New Roman" w:eastAsia="Times New Roman" w:hint="default"/>
        </w:rPr>
        <w:t>2015-037</w:t>
      </w:r>
      <w:r>
        <w:rPr/>
        <w:t>）。</w:t>
      </w:r>
    </w:p>
    <w:p>
      <w:pPr>
        <w:pStyle w:val="BodyText"/>
        <w:spacing w:line="240" w:lineRule="auto" w:before="183"/>
        <w:ind w:left="0" w:right="1129"/>
        <w:jc w:val="righ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日，公司召开了第二届董事会第二十八次会议，审议通过了《关于</w:t>
      </w:r>
      <w:r>
        <w:rPr>
          <w:rFonts w:ascii="Times New Roman" w:hAnsi="Times New Roman" w:cs="Times New Roman" w:eastAsia="Times New Roman" w:hint="default"/>
        </w:rPr>
        <w:t>&lt;</w:t>
      </w:r>
      <w:r>
        <w:rPr/>
        <w:t>公司</w:t>
      </w:r>
    </w:p>
    <w:p>
      <w:pPr>
        <w:pStyle w:val="BodyText"/>
        <w:spacing w:line="240" w:lineRule="auto" w:before="135"/>
        <w:ind w:left="1133"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8"/>
        </w:rPr>
        <w:t> </w:t>
      </w:r>
      <w:r>
        <w:rPr/>
        <w:t>年度利润分配及资本公积金转增股本预案的公告</w:t>
      </w:r>
      <w:r>
        <w:rPr>
          <w:rFonts w:ascii="Times New Roman" w:hAnsi="Times New Roman" w:cs="Times New Roman" w:eastAsia="Times New Roman" w:hint="default"/>
        </w:rPr>
        <w:t>&gt;</w:t>
      </w:r>
      <w:r>
        <w:rPr/>
        <w:t>的议案》，具体利润分配预案拟定为：</w:t>
      </w:r>
    </w:p>
    <w:p>
      <w:pPr>
        <w:pStyle w:val="BodyText"/>
        <w:spacing w:line="240" w:lineRule="auto" w:before="135"/>
        <w:ind w:left="1133" w:right="0"/>
        <w:jc w:val="both"/>
      </w:pPr>
      <w:r>
        <w:rPr/>
        <w:t>以总股本</w:t>
      </w:r>
      <w:r>
        <w:rPr>
          <w:spacing w:val="-64"/>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4"/>
        </w:rPr>
        <w:t> </w:t>
      </w:r>
      <w:r>
        <w:rPr/>
        <w:t>股为基数，向现有全体股东每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w:t>
      </w:r>
      <w:r>
        <w:rPr>
          <w:spacing w:val="-64"/>
        </w:rPr>
        <w:t> </w:t>
      </w:r>
      <w:r>
        <w:rPr>
          <w:rFonts w:ascii="Times New Roman" w:hAnsi="Times New Roman" w:cs="Times New Roman" w:eastAsia="Times New Roman" w:hint="default"/>
        </w:rPr>
        <w:t>0.20</w:t>
      </w:r>
      <w:r>
        <w:rPr>
          <w:rFonts w:ascii="Times New Roman" w:hAnsi="Times New Roman" w:cs="Times New Roman" w:eastAsia="Times New Roman" w:hint="default"/>
          <w:spacing w:val="-4"/>
        </w:rPr>
        <w:t> </w:t>
      </w:r>
      <w:r>
        <w:rPr/>
        <w:t>元人民币（含税），共计</w:t>
      </w:r>
    </w:p>
    <w:p>
      <w:pPr>
        <w:pStyle w:val="BodyText"/>
        <w:spacing w:line="240" w:lineRule="auto" w:before="135"/>
        <w:ind w:left="1133" w:right="0"/>
        <w:jc w:val="both"/>
      </w:pPr>
      <w:r>
        <w:rPr/>
        <w:t>派发现金红利</w:t>
      </w:r>
      <w:r>
        <w:rPr>
          <w:spacing w:val="-60"/>
        </w:rPr>
        <w:t> </w:t>
      </w:r>
      <w:r>
        <w:rPr>
          <w:rFonts w:ascii="Times New Roman" w:hAnsi="Times New Roman" w:cs="Times New Roman" w:eastAsia="Times New Roman" w:hint="default"/>
        </w:rPr>
        <w:t>240 </w:t>
      </w:r>
      <w:r>
        <w:rPr/>
        <w:t>万元（含税），同时以资本公积向全体股东每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股，方案实施</w:t>
      </w:r>
    </w:p>
    <w:p>
      <w:pPr>
        <w:pStyle w:val="BodyText"/>
        <w:spacing w:line="451" w:lineRule="auto" w:before="135"/>
        <w:ind w:right="4752" w:hanging="480"/>
        <w:jc w:val="left"/>
      </w:pPr>
      <w:r>
        <w:rPr/>
        <w:t>后，公司股本由</w:t>
      </w:r>
      <w:r>
        <w:rPr>
          <w:spacing w:val="-60"/>
        </w:rPr>
        <w:t> </w:t>
      </w:r>
      <w:r>
        <w:rPr>
          <w:rFonts w:ascii="Times New Roman" w:hAnsi="Times New Roman" w:cs="Times New Roman" w:eastAsia="Times New Roman" w:hint="default"/>
        </w:rPr>
        <w:t>120,000,000 </w:t>
      </w:r>
      <w:r>
        <w:rPr/>
        <w:t>股增至</w:t>
      </w:r>
      <w:r>
        <w:rPr>
          <w:spacing w:val="-60"/>
        </w:rPr>
        <w:t> </w:t>
      </w:r>
      <w:r>
        <w:rPr>
          <w:rFonts w:ascii="Times New Roman" w:hAnsi="Times New Roman" w:cs="Times New Roman" w:eastAsia="Times New Roman" w:hint="default"/>
        </w:rPr>
        <w:t>240,000,000 </w:t>
      </w:r>
      <w:r>
        <w:rPr/>
        <w:t>股。 公司近三年（包括本报告期）普通股现金分红情况表</w:t>
      </w:r>
    </w:p>
    <w:p>
      <w:pPr>
        <w:spacing w:before="7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31,254,698.39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46,169,543.67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8,299,800.31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44,873,935.32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3"/>
          <w:szCs w:val="13"/>
        </w:rPr>
      </w:pPr>
    </w:p>
    <w:p>
      <w:pPr>
        <w:pStyle w:val="BodyText"/>
        <w:spacing w:line="352" w:lineRule="auto" w:before="26"/>
        <w:ind w:left="1133" w:right="1130" w:firstLine="480"/>
        <w:jc w:val="both"/>
      </w:pPr>
      <w:r>
        <w:rPr>
          <w:spacing w:val="-5"/>
        </w:rPr>
        <w:t>注释：根据《深圳证券交易所创业板上市公司规范运作指引》（</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spacing w:val="-2"/>
        </w:rPr>
        <w:t>年修订）第</w:t>
      </w:r>
      <w:r>
        <w:rPr/>
        <w:t> </w:t>
      </w:r>
      <w:r>
        <w:rPr>
          <w:rFonts w:ascii="Times New Roman" w:hAnsi="Times New Roman" w:cs="Times New Roman" w:eastAsia="Times New Roman" w:hint="default"/>
        </w:rPr>
        <w:t>7.3.8</w:t>
      </w:r>
      <w:r>
        <w:rPr>
          <w:rFonts w:ascii="Times New Roman" w:hAnsi="Times New Roman" w:cs="Times New Roman" w:eastAsia="Times New Roman" w:hint="default"/>
          <w:spacing w:val="-34"/>
        </w:rPr>
        <w:t> </w:t>
      </w:r>
      <w:r>
        <w:rPr/>
        <w:t>条 “上市公司制定利润分配方案时，应当以母公司报表中可供分配利润为依据。同时，为避免 出现超分配的情况，公司应当以合并报表、母公司报表中可供分配利润孰低的原则来确定具 </w:t>
      </w:r>
      <w:r>
        <w:rPr>
          <w:spacing w:val="-5"/>
        </w:rPr>
        <w:t>体的利润分配比例。”的规定，以合并报表、母公司报表中可供分配利润孰低为原则，母公司</w:t>
      </w:r>
      <w:r>
        <w:rPr/>
        <w:t> </w:t>
      </w:r>
      <w:r>
        <w:rPr>
          <w:rFonts w:ascii="Times New Roman" w:hAnsi="Times New Roman" w:cs="Times New Roman" w:eastAsia="Times New Roman" w:hint="default"/>
        </w:rPr>
        <w:t>2015 </w:t>
      </w:r>
      <w:r>
        <w:rPr/>
        <w:t>年当期可供分配的利润为</w:t>
      </w:r>
      <w:r>
        <w:rPr>
          <w:spacing w:val="-60"/>
        </w:rPr>
        <w:t> </w:t>
      </w:r>
      <w:r>
        <w:rPr>
          <w:rFonts w:ascii="Times New Roman" w:hAnsi="Times New Roman" w:cs="Times New Roman" w:eastAsia="Times New Roman" w:hint="default"/>
        </w:rPr>
        <w:t>11,051,874.72 </w:t>
      </w:r>
      <w:r>
        <w:rPr>
          <w:spacing w:val="-4"/>
        </w:rPr>
        <w:t>元，本年度现金分红占当期可供分配利润比例为</w:t>
      </w:r>
    </w:p>
    <w:p>
      <w:pPr>
        <w:pStyle w:val="BodyText"/>
        <w:spacing w:line="240" w:lineRule="auto" w:before="11"/>
        <w:ind w:left="1133" w:right="1073"/>
        <w:jc w:val="left"/>
      </w:pPr>
      <w:r>
        <w:rPr>
          <w:rFonts w:ascii="Times New Roman" w:hAnsi="Times New Roman" w:cs="Times New Roman" w:eastAsia="Times New Roman" w:hint="default"/>
        </w:rPr>
        <w:t>21.72%</w:t>
      </w:r>
      <w:r>
        <w:rPr/>
        <w:t>。</w:t>
      </w:r>
    </w:p>
    <w:p>
      <w:pPr>
        <w:spacing w:line="240" w:lineRule="auto" w:before="4"/>
        <w:rPr>
          <w:rFonts w:ascii="宋体" w:hAnsi="宋体" w:cs="宋体" w:eastAsia="宋体" w:hint="default"/>
          <w:sz w:val="22"/>
          <w:szCs w:val="22"/>
        </w:rPr>
      </w:pPr>
    </w:p>
    <w:p>
      <w:pPr>
        <w:pStyle w:val="BodyText"/>
        <w:spacing w:line="357" w:lineRule="auto"/>
        <w:ind w:left="1133" w:right="1170" w:firstLine="480"/>
        <w:jc w:val="both"/>
      </w:pPr>
      <w:r>
        <w:rPr/>
        <w:t>公司报告期内盈利且母公司可供普通股股东分配利润为正但未提出普通股现金红利分配 预案</w:t>
      </w:r>
    </w:p>
    <w:p>
      <w:pPr>
        <w:pStyle w:val="BodyText"/>
        <w:spacing w:line="240" w:lineRule="auto" w:before="192"/>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1"/>
          <w:szCs w:val="11"/>
        </w:rPr>
      </w:pPr>
      <w:r>
        <w:rPr/>
        <w:pict>
          <v:group style="position:absolute;margin-left:67pt;margin-top:20.700012pt;width:704.85pt;height:42.65pt;mso-position-horizontal-relative:page;mso-position-vertical-relative:page;z-index:-865624" coordorigin="1340,414" coordsize="14097,85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shape style="position:absolute;left:1340;top:414;width:1720;height:853" type="#_x0000_t75" stroked="false">
                <v:imagedata r:id="rId9" o:title=""/>
              </v:shape>
            </v:group>
            <w10:wrap type="none"/>
          </v:group>
        </w:pict>
      </w:r>
    </w:p>
    <w:p>
      <w:pPr>
        <w:pStyle w:val="Heading2"/>
        <w:spacing w:line="240" w:lineRule="auto"/>
        <w:ind w:left="200"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spacing w:before="0"/>
        <w:ind w:left="200" w:right="0" w:firstLine="0"/>
        <w:jc w:val="left"/>
        <w:rPr>
          <w:rFonts w:ascii="宋体" w:hAnsi="宋体" w:cs="宋体" w:eastAsia="宋体" w:hint="default"/>
          <w:sz w:val="21"/>
          <w:szCs w:val="21"/>
        </w:rPr>
      </w:pPr>
      <w:bookmarkStart w:name="1、公司、股东、实际控制人、收购人、董事、监事、高级管理人员或其他关联方在报告期" w:id="64"/>
      <w:bookmarkEnd w:id="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、公司、股东、实际控制人、收购人、董事、监事、高级管理人员或其他关联方在报告期内履行完毕及截至报告期末尚未履行完毕的承诺事项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78" w:type="dxa"/>
        <w:tblLayout w:type="fixed"/>
        <w:tblCellMar>
          <w:top w:w="0" w:type="dxa"/>
          <w:left w:w="0" w:type="dxa"/>
          <w:bottom w:w="0" w:type="dxa"/>
          <w:right w:w="0" w:type="dxa"/>
        </w:tblCellMar>
        <w:tblLook w:val="01E0"/>
      </w:tblPr>
      <w:tblGrid>
        <w:gridCol w:w="1656"/>
        <w:gridCol w:w="2345"/>
        <w:gridCol w:w="952"/>
        <w:gridCol w:w="7126"/>
        <w:gridCol w:w="639"/>
        <w:gridCol w:w="943"/>
        <w:gridCol w:w="343"/>
      </w:tblGrid>
      <w:tr>
        <w:trPr>
          <w:trHeight w:val="317" w:hRule="exact"/>
        </w:trPr>
        <w:tc>
          <w:tcPr>
            <w:tcW w:w="1656" w:type="dxa"/>
            <w:vMerge w:val="restart"/>
            <w:tcBorders>
              <w:top w:val="single" w:sz="4" w:space="0" w:color="000000"/>
              <w:left w:val="single" w:sz="4" w:space="0" w:color="000000"/>
              <w:right w:val="single" w:sz="4" w:space="0" w:color="000000"/>
            </w:tcBorders>
            <w:shd w:val="clear" w:color="auto" w:fill="D2D2D2"/>
          </w:tcPr>
          <w:p>
            <w:pPr/>
          </w:p>
        </w:tc>
        <w:tc>
          <w:tcPr>
            <w:tcW w:w="2345" w:type="dxa"/>
            <w:vMerge w:val="restart"/>
            <w:tcBorders>
              <w:top w:val="single" w:sz="4" w:space="0" w:color="000000"/>
              <w:left w:val="single" w:sz="4" w:space="0" w:color="000000"/>
              <w:right w:val="single" w:sz="4" w:space="0" w:color="000000"/>
            </w:tcBorders>
            <w:shd w:val="clear" w:color="auto" w:fill="D2D2D2"/>
          </w:tcPr>
          <w:p>
            <w:pPr/>
          </w:p>
        </w:tc>
        <w:tc>
          <w:tcPr>
            <w:tcW w:w="952" w:type="dxa"/>
            <w:vMerge w:val="restart"/>
            <w:tcBorders>
              <w:top w:val="single" w:sz="4" w:space="0" w:color="000000"/>
              <w:left w:val="single" w:sz="4" w:space="0" w:color="000000"/>
              <w:right w:val="single" w:sz="4" w:space="0" w:color="000000"/>
            </w:tcBorders>
            <w:shd w:val="clear" w:color="auto" w:fill="D2D2D2"/>
          </w:tcPr>
          <w:p>
            <w:pPr/>
          </w:p>
        </w:tc>
        <w:tc>
          <w:tcPr>
            <w:tcW w:w="7126" w:type="dxa"/>
            <w:vMerge w:val="restart"/>
            <w:tcBorders>
              <w:top w:val="single" w:sz="4" w:space="0" w:color="000000"/>
              <w:left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3" w:type="dxa"/>
            <w:vMerge w:val="restart"/>
            <w:tcBorders>
              <w:top w:val="single" w:sz="4" w:space="0" w:color="000000"/>
              <w:left w:val="single" w:sz="4" w:space="0" w:color="000000"/>
              <w:right w:val="single" w:sz="4" w:space="0" w:color="000000"/>
            </w:tcBorders>
            <w:shd w:val="clear" w:color="auto" w:fill="D2D2D2"/>
          </w:tcPr>
          <w:p>
            <w:pPr/>
          </w:p>
        </w:tc>
        <w:tc>
          <w:tcPr>
            <w:tcW w:w="3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5" w:right="77"/>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156" w:hRule="exact"/>
        </w:trPr>
        <w:tc>
          <w:tcPr>
            <w:tcW w:w="1656" w:type="dxa"/>
            <w:vMerge/>
            <w:tcBorders>
              <w:left w:val="single" w:sz="4" w:space="0" w:color="000000"/>
              <w:bottom w:val="nil" w:sz="6" w:space="0" w:color="auto"/>
              <w:right w:val="single" w:sz="4" w:space="0" w:color="000000"/>
            </w:tcBorders>
            <w:shd w:val="clear" w:color="auto" w:fill="D2D2D2"/>
          </w:tcPr>
          <w:p>
            <w:pPr/>
          </w:p>
        </w:tc>
        <w:tc>
          <w:tcPr>
            <w:tcW w:w="2345" w:type="dxa"/>
            <w:vMerge/>
            <w:tcBorders>
              <w:left w:val="single" w:sz="4" w:space="0" w:color="000000"/>
              <w:bottom w:val="nil" w:sz="6" w:space="0" w:color="auto"/>
              <w:right w:val="single" w:sz="4" w:space="0" w:color="000000"/>
            </w:tcBorders>
            <w:shd w:val="clear" w:color="auto" w:fill="D2D2D2"/>
          </w:tcPr>
          <w:p>
            <w:pPr/>
          </w:p>
        </w:tc>
        <w:tc>
          <w:tcPr>
            <w:tcW w:w="952" w:type="dxa"/>
            <w:vMerge/>
            <w:tcBorders>
              <w:left w:val="single" w:sz="4" w:space="0" w:color="000000"/>
              <w:bottom w:val="nil" w:sz="6" w:space="0" w:color="auto"/>
              <w:right w:val="single" w:sz="4" w:space="0" w:color="000000"/>
            </w:tcBorders>
            <w:shd w:val="clear" w:color="auto" w:fill="D2D2D2"/>
          </w:tcPr>
          <w:p>
            <w:pPr/>
          </w:p>
        </w:tc>
        <w:tc>
          <w:tcPr>
            <w:tcW w:w="7126" w:type="dxa"/>
            <w:vMerge/>
            <w:tcBorders>
              <w:left w:val="single" w:sz="4" w:space="0" w:color="000000"/>
              <w:bottom w:val="nil" w:sz="6" w:space="0" w:color="auto"/>
              <w:right w:val="single" w:sz="4" w:space="0" w:color="000000"/>
            </w:tcBorders>
            <w:shd w:val="clear" w:color="auto" w:fill="D2D2D2"/>
          </w:tcPr>
          <w:p>
            <w:pPr/>
          </w:p>
        </w:tc>
        <w:tc>
          <w:tcPr>
            <w:tcW w:w="63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4" w:right="42"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943" w:type="dxa"/>
            <w:vMerge/>
            <w:tcBorders>
              <w:left w:val="single" w:sz="4" w:space="0" w:color="000000"/>
              <w:bottom w:val="nil" w:sz="6" w:space="0" w:color="auto"/>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r>
      <w:tr>
        <w:trPr>
          <w:trHeight w:val="392" w:hRule="exact"/>
        </w:trPr>
        <w:tc>
          <w:tcPr>
            <w:tcW w:w="16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39" w:type="dxa"/>
            <w:vMerge/>
            <w:tcBorders>
              <w:left w:val="single" w:sz="4" w:space="0" w:color="000000"/>
              <w:right w:val="single" w:sz="4" w:space="0" w:color="000000"/>
            </w:tcBorders>
            <w:shd w:val="clear" w:color="auto" w:fill="D2D2D2"/>
          </w:tcPr>
          <w:p>
            <w:pPr/>
          </w:p>
        </w:tc>
        <w:tc>
          <w:tcPr>
            <w:tcW w:w="9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43" w:type="dxa"/>
            <w:vMerge/>
            <w:tcBorders>
              <w:left w:val="single" w:sz="4" w:space="0" w:color="000000"/>
              <w:right w:val="single" w:sz="4" w:space="0" w:color="000000"/>
            </w:tcBorders>
            <w:shd w:val="clear" w:color="auto" w:fill="D2D2D2"/>
          </w:tcPr>
          <w:p>
            <w:pPr/>
          </w:p>
        </w:tc>
      </w:tr>
      <w:tr>
        <w:trPr>
          <w:trHeight w:val="156" w:hRule="exact"/>
        </w:trPr>
        <w:tc>
          <w:tcPr>
            <w:tcW w:w="1656" w:type="dxa"/>
            <w:vMerge w:val="restart"/>
            <w:tcBorders>
              <w:top w:val="nil" w:sz="6" w:space="0" w:color="auto"/>
              <w:left w:val="single" w:sz="4" w:space="0" w:color="000000"/>
              <w:right w:val="single" w:sz="4" w:space="0" w:color="000000"/>
            </w:tcBorders>
            <w:shd w:val="clear" w:color="auto" w:fill="D2D2D2"/>
          </w:tcPr>
          <w:p>
            <w:pPr/>
          </w:p>
        </w:tc>
        <w:tc>
          <w:tcPr>
            <w:tcW w:w="2345" w:type="dxa"/>
            <w:vMerge w:val="restart"/>
            <w:tcBorders>
              <w:top w:val="nil" w:sz="6" w:space="0" w:color="auto"/>
              <w:left w:val="single" w:sz="4" w:space="0" w:color="000000"/>
              <w:right w:val="single" w:sz="4" w:space="0" w:color="000000"/>
            </w:tcBorders>
            <w:shd w:val="clear" w:color="auto" w:fill="D2D2D2"/>
          </w:tcPr>
          <w:p>
            <w:pPr/>
          </w:p>
        </w:tc>
        <w:tc>
          <w:tcPr>
            <w:tcW w:w="952" w:type="dxa"/>
            <w:vMerge w:val="restart"/>
            <w:tcBorders>
              <w:top w:val="nil" w:sz="6" w:space="0" w:color="auto"/>
              <w:left w:val="single" w:sz="4" w:space="0" w:color="000000"/>
              <w:right w:val="single" w:sz="4" w:space="0" w:color="000000"/>
            </w:tcBorders>
            <w:shd w:val="clear" w:color="auto" w:fill="D2D2D2"/>
          </w:tcPr>
          <w:p>
            <w:pPr/>
          </w:p>
        </w:tc>
        <w:tc>
          <w:tcPr>
            <w:tcW w:w="7126" w:type="dxa"/>
            <w:vMerge w:val="restart"/>
            <w:tcBorders>
              <w:top w:val="nil" w:sz="6" w:space="0" w:color="auto"/>
              <w:left w:val="single" w:sz="4" w:space="0" w:color="000000"/>
              <w:right w:val="single" w:sz="4" w:space="0" w:color="000000"/>
            </w:tcBorders>
            <w:shd w:val="clear" w:color="auto" w:fill="D2D2D2"/>
          </w:tcPr>
          <w:p>
            <w:pPr/>
          </w:p>
        </w:tc>
        <w:tc>
          <w:tcPr>
            <w:tcW w:w="639" w:type="dxa"/>
            <w:vMerge/>
            <w:tcBorders>
              <w:left w:val="single" w:sz="4" w:space="0" w:color="000000"/>
              <w:bottom w:val="nil" w:sz="6" w:space="0" w:color="auto"/>
              <w:right w:val="single" w:sz="4" w:space="0" w:color="000000"/>
            </w:tcBorders>
            <w:shd w:val="clear" w:color="auto" w:fill="D2D2D2"/>
          </w:tcPr>
          <w:p>
            <w:pPr/>
          </w:p>
        </w:tc>
        <w:tc>
          <w:tcPr>
            <w:tcW w:w="943" w:type="dxa"/>
            <w:vMerge w:val="restart"/>
            <w:tcBorders>
              <w:top w:val="nil" w:sz="6" w:space="0" w:color="auto"/>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r>
      <w:tr>
        <w:trPr>
          <w:trHeight w:val="317" w:hRule="exact"/>
        </w:trPr>
        <w:tc>
          <w:tcPr>
            <w:tcW w:w="1656" w:type="dxa"/>
            <w:vMerge/>
            <w:tcBorders>
              <w:left w:val="single" w:sz="4" w:space="0" w:color="000000"/>
              <w:bottom w:val="single" w:sz="4" w:space="0" w:color="000000"/>
              <w:right w:val="single" w:sz="4" w:space="0" w:color="000000"/>
            </w:tcBorders>
            <w:shd w:val="clear" w:color="auto" w:fill="D2D2D2"/>
          </w:tcPr>
          <w:p>
            <w:pPr/>
          </w:p>
        </w:tc>
        <w:tc>
          <w:tcPr>
            <w:tcW w:w="2345" w:type="dxa"/>
            <w:vMerge/>
            <w:tcBorders>
              <w:left w:val="single" w:sz="4" w:space="0" w:color="000000"/>
              <w:bottom w:val="single" w:sz="4" w:space="0" w:color="000000"/>
              <w:right w:val="single" w:sz="4" w:space="0" w:color="000000"/>
            </w:tcBorders>
            <w:shd w:val="clear" w:color="auto" w:fill="D2D2D2"/>
          </w:tcPr>
          <w:p>
            <w:pPr/>
          </w:p>
        </w:tc>
        <w:tc>
          <w:tcPr>
            <w:tcW w:w="952" w:type="dxa"/>
            <w:vMerge/>
            <w:tcBorders>
              <w:left w:val="single" w:sz="4" w:space="0" w:color="000000"/>
              <w:bottom w:val="single" w:sz="4" w:space="0" w:color="000000"/>
              <w:right w:val="single" w:sz="4" w:space="0" w:color="000000"/>
            </w:tcBorders>
            <w:shd w:val="clear" w:color="auto" w:fill="D2D2D2"/>
          </w:tcPr>
          <w:p>
            <w:pPr/>
          </w:p>
        </w:tc>
        <w:tc>
          <w:tcPr>
            <w:tcW w:w="7126" w:type="dxa"/>
            <w:vMerge/>
            <w:tcBorders>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c>
          <w:tcPr>
            <w:tcW w:w="34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2"/>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2345" w:type="dxa"/>
            <w:tcBorders>
              <w:top w:val="single" w:sz="4" w:space="0" w:color="000000"/>
              <w:left w:val="single" w:sz="13" w:space="0" w:color="D2D2D2"/>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712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2"/>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2345" w:type="dxa"/>
            <w:tcBorders>
              <w:top w:val="single" w:sz="4" w:space="0" w:color="000000"/>
              <w:left w:val="single" w:sz="13" w:space="0" w:color="D2D2D2"/>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712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1766" w:hRule="exact"/>
        </w:trPr>
        <w:tc>
          <w:tcPr>
            <w:tcW w:w="1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712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7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）本人及本人所控制的除股份公司以外的公司（以下简称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 接或间接地从事任何与股份公司及其控股子公司实际从事的业务存在竞争的任何业务活 </w:t>
            </w:r>
            <w:r>
              <w:rPr>
                <w:rFonts w:ascii="宋体" w:hAnsi="宋体" w:cs="宋体" w:eastAsia="宋体" w:hint="default"/>
                <w:spacing w:val="-3"/>
                <w:sz w:val="18"/>
                <w:szCs w:val="18"/>
              </w:rPr>
              <w:t>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）本人及附属公司在今后的任何时间不会直接或间接地以任何方式（包括但不限于</w:t>
            </w:r>
            <w:r>
              <w:rPr>
                <w:rFonts w:ascii="宋体" w:hAnsi="宋体" w:cs="宋体" w:eastAsia="宋体" w:hint="default"/>
                <w:spacing w:val="-60"/>
                <w:sz w:val="18"/>
                <w:szCs w:val="18"/>
              </w:rPr>
              <w:t> </w:t>
            </w:r>
            <w:r>
              <w:rPr>
                <w:rFonts w:ascii="宋体" w:hAnsi="宋体" w:cs="宋体" w:eastAsia="宋体" w:hint="default"/>
                <w:sz w:val="18"/>
                <w:szCs w:val="18"/>
              </w:rPr>
              <w:t>自营、合资或联营）参与或进行与股份公司及其控股子公司实际从事的业务存在直接或间 接竞争的任何业务活动。凡本人及附属公司有任何商业机会可从事、参与或入股任何可能 会与股份公司及其控股子公司生产经营构成竞争的业务，本人及附属公司会将上述商业机 </w:t>
            </w:r>
            <w:r>
              <w:rPr>
                <w:rFonts w:ascii="宋体" w:hAnsi="宋体" w:cs="宋体" w:eastAsia="宋体" w:hint="default"/>
                <w:spacing w:val="-3"/>
                <w:sz w:val="18"/>
                <w:szCs w:val="18"/>
              </w:rPr>
              <w:t>会让予股份公司及其控股子公司。（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）如果本人违反上述声明、保证与承诺，本人同意给</w:t>
            </w:r>
            <w:r>
              <w:rPr>
                <w:rFonts w:ascii="宋体" w:hAnsi="宋体" w:cs="宋体" w:eastAsia="宋体" w:hint="default"/>
                <w:spacing w:val="-60"/>
                <w:sz w:val="18"/>
                <w:szCs w:val="18"/>
              </w:rPr>
              <w:t> </w:t>
            </w:r>
            <w:r>
              <w:rPr>
                <w:rFonts w:ascii="宋体" w:hAnsi="宋体" w:cs="宋体" w:eastAsia="宋体" w:hint="default"/>
                <w:spacing w:val="-3"/>
                <w:sz w:val="18"/>
                <w:szCs w:val="18"/>
              </w:rPr>
              <w:t>予股份公司赔偿。（</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）本声明、承诺与保证将持续有效，直至本人不再处于股份公司的控</w:t>
            </w:r>
            <w:r>
              <w:rPr>
                <w:rFonts w:ascii="宋体" w:hAnsi="宋体" w:cs="宋体" w:eastAsia="宋体" w:hint="default"/>
                <w:spacing w:val="-60"/>
                <w:sz w:val="18"/>
                <w:szCs w:val="18"/>
              </w:rPr>
              <w:t> </w:t>
            </w:r>
            <w:r>
              <w:rPr>
                <w:rFonts w:ascii="宋体" w:hAnsi="宋体" w:cs="宋体" w:eastAsia="宋体" w:hint="default"/>
                <w:spacing w:val="-3"/>
                <w:sz w:val="18"/>
                <w:szCs w:val="18"/>
              </w:rPr>
              <w:t>股股东或者实际控制人地位为止。（</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）本声明、承诺与保证可被视为对股份公司及其他股</w:t>
            </w:r>
            <w:r>
              <w:rPr>
                <w:rFonts w:ascii="宋体" w:hAnsi="宋体" w:cs="宋体" w:eastAsia="宋体" w:hint="default"/>
                <w:spacing w:val="-60"/>
                <w:sz w:val="18"/>
                <w:szCs w:val="18"/>
              </w:rPr>
              <w:t> </w:t>
            </w:r>
            <w:r>
              <w:rPr>
                <w:rFonts w:ascii="宋体" w:hAnsi="宋体" w:cs="宋体" w:eastAsia="宋体" w:hint="default"/>
                <w:sz w:val="18"/>
                <w:szCs w:val="18"/>
              </w:rPr>
              <w:t>东共同和分别作出的声明、承诺和保证。</w:t>
            </w:r>
            <w:r>
              <w:rPr>
                <w:rFonts w:ascii="Times New Roman" w:hAnsi="Times New Roman" w:cs="Times New Roman" w:eastAsia="Times New Roman" w:hint="default"/>
                <w:sz w:val="18"/>
                <w:szCs w:val="18"/>
              </w:rPr>
              <w:t>"</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705" w:hRule="exact"/>
        </w:trPr>
        <w:tc>
          <w:tcPr>
            <w:tcW w:w="16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92"/>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2345" w:type="dxa"/>
            <w:vMerge/>
            <w:tcBorders>
              <w:left w:val="single" w:sz="9" w:space="0" w:color="D2D2D2"/>
              <w:right w:val="single" w:sz="4" w:space="0" w:color="000000"/>
            </w:tcBorders>
          </w:tcPr>
          <w:p>
            <w:pPr/>
          </w:p>
        </w:tc>
        <w:tc>
          <w:tcPr>
            <w:tcW w:w="952" w:type="dxa"/>
            <w:vMerge/>
            <w:tcBorders>
              <w:left w:val="single" w:sz="4" w:space="0" w:color="000000"/>
              <w:right w:val="single" w:sz="4" w:space="0" w:color="000000"/>
            </w:tcBorders>
          </w:tcPr>
          <w:p>
            <w:pPr/>
          </w:p>
        </w:tc>
        <w:tc>
          <w:tcPr>
            <w:tcW w:w="712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739" w:hRule="exact"/>
        </w:trPr>
        <w:tc>
          <w:tcPr>
            <w:tcW w:w="1656" w:type="dxa"/>
            <w:vMerge w:val="restart"/>
            <w:tcBorders>
              <w:top w:val="nil" w:sz="6" w:space="0" w:color="auto"/>
              <w:left w:val="single" w:sz="4" w:space="0" w:color="000000"/>
              <w:right w:val="single" w:sz="4" w:space="0" w:color="000000"/>
            </w:tcBorders>
            <w:shd w:val="clear" w:color="auto" w:fill="D2D2D2"/>
          </w:tcPr>
          <w:p>
            <w:pPr/>
          </w:p>
        </w:tc>
        <w:tc>
          <w:tcPr>
            <w:tcW w:w="2345" w:type="dxa"/>
            <w:vMerge/>
            <w:tcBorders>
              <w:left w:val="single" w:sz="9" w:space="0" w:color="D2D2D2"/>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7126"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r>
      <w:tr>
        <w:trPr>
          <w:trHeight w:val="1026" w:hRule="exact"/>
        </w:trPr>
        <w:tc>
          <w:tcPr>
            <w:tcW w:w="1656"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北京启迪华创投资咨询有限 公司、上海文睿投资有限公 </w:t>
            </w:r>
            <w:r>
              <w:rPr>
                <w:rFonts w:ascii="宋体" w:hAnsi="宋体" w:cs="宋体" w:eastAsia="宋体" w:hint="default"/>
                <w:spacing w:val="-5"/>
                <w:sz w:val="18"/>
                <w:szCs w:val="18"/>
              </w:rPr>
              <w:t>司、王秋虎、浙江华睿海越现</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本人目前在中国境内外未直接或间接从事或参与任何在商业上对股份公司及 </w:t>
            </w:r>
            <w:r>
              <w:rPr>
                <w:rFonts w:ascii="宋体" w:hAnsi="宋体" w:cs="宋体" w:eastAsia="宋体" w:hint="default"/>
                <w:spacing w:val="-3"/>
                <w:sz w:val="18"/>
                <w:szCs w:val="18"/>
              </w:rPr>
              <w:t>其控股子公司构成竞争的业务及活动。（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本人将来也不在中国境内外直接或间接</w:t>
            </w:r>
            <w:r>
              <w:rPr>
                <w:rFonts w:ascii="宋体" w:hAnsi="宋体" w:cs="宋体" w:eastAsia="宋体" w:hint="default"/>
                <w:spacing w:val="-57"/>
                <w:sz w:val="18"/>
                <w:szCs w:val="18"/>
              </w:rPr>
              <w:t> </w:t>
            </w:r>
            <w:r>
              <w:rPr>
                <w:rFonts w:ascii="宋体" w:hAnsi="宋体" w:cs="宋体" w:eastAsia="宋体" w:hint="default"/>
                <w:sz w:val="18"/>
                <w:szCs w:val="18"/>
              </w:rPr>
              <w:t>从事或参与任何在商业上对股份公司及其控股子公司构成竞争的业务及活动，或拥有与股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8"/>
              <w:jc w:val="both"/>
              <w:rPr>
                <w:rFonts w:ascii="宋体" w:hAnsi="宋体" w:cs="宋体" w:eastAsia="宋体" w:hint="default"/>
                <w:sz w:val="18"/>
                <w:szCs w:val="18"/>
              </w:rPr>
            </w:pPr>
            <w:r>
              <w:rPr>
                <w:rFonts w:ascii="宋体" w:hAnsi="宋体" w:cs="宋体" w:eastAsia="宋体" w:hint="default"/>
                <w:sz w:val="18"/>
                <w:szCs w:val="18"/>
              </w:rPr>
              <w:t>正 在 履</w:t>
            </w:r>
          </w:p>
        </w:tc>
      </w:tr>
    </w:tbl>
    <w:p>
      <w:pPr>
        <w:spacing w:after="0" w:line="316" w:lineRule="auto"/>
        <w:jc w:val="both"/>
        <w:rPr>
          <w:rFonts w:ascii="宋体" w:hAnsi="宋体" w:cs="宋体" w:eastAsia="宋体" w:hint="default"/>
          <w:sz w:val="18"/>
          <w:szCs w:val="18"/>
        </w:rPr>
        <w:sectPr>
          <w:headerReference w:type="default" r:id="rId14"/>
          <w:footerReference w:type="default" r:id="rId15"/>
          <w:pgSz w:w="16840" w:h="11910" w:orient="landscape"/>
          <w:pgMar w:header="867" w:footer="979" w:top="1060" w:bottom="1160" w:left="1240" w:right="0"/>
          <w:pgNumType w:start="40"/>
        </w:sectPr>
      </w:pPr>
    </w:p>
    <w:p>
      <w:pPr>
        <w:spacing w:line="240" w:lineRule="auto" w:before="4"/>
        <w:rPr>
          <w:rFonts w:ascii="Times New Roman" w:hAnsi="Times New Roman" w:cs="Times New Roman" w:eastAsia="Times New Roman" w:hint="default"/>
          <w:sz w:val="2"/>
          <w:szCs w:val="2"/>
        </w:rPr>
      </w:pPr>
      <w:r>
        <w:rPr/>
        <w:pict>
          <v:shape style="position:absolute;margin-left:669.213989pt;margin-top:57.180008pt;width:37.6pt;height:95.7pt;mso-position-horizontal-relative:page;mso-position-vertical-relative:page;z-index:-865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2.208984pt;margin-top:418.26001pt;width:154.6pt;height:116pt;mso-position-horizontal-relative:page;mso-position-vertical-relative:page;z-index:-865552"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提出稳定公司股价的具体方案，</w:t>
                  </w:r>
                </w:p>
              </w:txbxContent>
            </v:textbox>
            <w10:wrap type="none"/>
          </v:shape>
        </w:pict>
      </w:r>
      <w:r>
        <w:rPr/>
        <w:pict>
          <v:shape style="position:absolute;margin-left:67pt;margin-top:20.700012pt;width:86pt;height:42.649994pt;mso-position-horizontal-relative:page;mso-position-vertical-relative:page;z-index:-865528" type="#_x0000_t75" stroked="false">
            <v:imagedata r:id="rId9" o:title=""/>
          </v:shape>
        </w:pict>
      </w:r>
      <w:r>
        <w:rPr/>
        <w:pict>
          <v:group style="position:absolute;margin-left:675.340027pt;margin-top:418.26001pt;width:31.5pt;height:116pt;mso-position-horizontal-relative:page;mso-position-vertical-relative:page;z-index:-865504" coordorigin="13507,8365" coordsize="630,2320">
            <v:shape style="position:absolute;left:13507;top:8365;width:630;height:2320" coordorigin="13507,8365" coordsize="630,2320" path="m13507,10685l14136,10685,14136,8365,13507,8365,13507,10685xe" filled="true" fillcolor="#ffffff" stroked="false">
              <v:path arrowok="t"/>
              <v:fill type="solid"/>
            </v:shape>
            <w10:wrap type="none"/>
          </v:group>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1937"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代服务业创业投资有限公司</w:t>
            </w: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21"/>
              <w:ind w:left="22" w:right="20"/>
              <w:jc w:val="both"/>
              <w:rPr>
                <w:rFonts w:ascii="宋体" w:hAnsi="宋体" w:cs="宋体" w:eastAsia="宋体" w:hint="default"/>
                <w:sz w:val="18"/>
                <w:szCs w:val="18"/>
              </w:rPr>
            </w:pPr>
            <w:r>
              <w:rPr>
                <w:rFonts w:ascii="宋体" w:hAnsi="宋体" w:cs="宋体" w:eastAsia="宋体" w:hint="default"/>
                <w:sz w:val="18"/>
                <w:szCs w:val="18"/>
              </w:rPr>
              <w:t>份公司及其控股子公司存在竞争关系的任何实体、机构、组织的权益，或以其他任何形式 </w:t>
            </w:r>
            <w:r>
              <w:rPr>
                <w:rFonts w:ascii="宋体" w:hAnsi="宋体" w:cs="宋体" w:eastAsia="宋体" w:hint="default"/>
                <w:spacing w:val="-3"/>
                <w:sz w:val="18"/>
                <w:szCs w:val="18"/>
              </w:rPr>
              <w:t>取得该等实体、机构、组织的控制权，或在该等实体、机构、组织中担任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委派董事、监事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高级管理人员或核心技术人员。（</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本人违反上述声明、保证与承诺，本公司</w:t>
            </w:r>
          </w:p>
          <w:p>
            <w:pPr>
              <w:pStyle w:val="TableParagraph"/>
              <w:spacing w:line="300" w:lineRule="auto" w:before="5"/>
              <w:ind w:left="22"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本人同意给予股份公司赔偿。（</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）本声明、承诺与保证将持续有效，直至本公司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本人不再</w:t>
            </w:r>
            <w:r>
              <w:rPr>
                <w:rFonts w:ascii="宋体" w:hAnsi="宋体" w:cs="宋体" w:eastAsia="宋体" w:hint="default"/>
                <w:spacing w:val="-65"/>
                <w:sz w:val="18"/>
                <w:szCs w:val="18"/>
              </w:rPr>
              <w:t> </w:t>
            </w:r>
            <w:r>
              <w:rPr>
                <w:rFonts w:ascii="宋体" w:hAnsi="宋体" w:cs="宋体" w:eastAsia="宋体" w:hint="default"/>
                <w:sz w:val="18"/>
                <w:szCs w:val="18"/>
              </w:rPr>
              <w:t>持有股份公司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）的股份为止。（</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）本声明、承诺与保证可被视为对股份公</w:t>
            </w:r>
            <w:r>
              <w:rPr>
                <w:rFonts w:ascii="宋体" w:hAnsi="宋体" w:cs="宋体" w:eastAsia="宋体" w:hint="default"/>
                <w:spacing w:val="-83"/>
                <w:sz w:val="18"/>
                <w:szCs w:val="18"/>
              </w:rPr>
              <w:t> </w:t>
            </w:r>
            <w:r>
              <w:rPr>
                <w:rFonts w:ascii="宋体" w:hAnsi="宋体" w:cs="宋体" w:eastAsia="宋体" w:hint="default"/>
                <w:sz w:val="18"/>
                <w:szCs w:val="18"/>
              </w:rPr>
              <w:t>司及其他股东共同和分别作出的声明、承诺和保证。</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Style w:val="TableParagraph"/>
              <w:spacing w:line="19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31.5pt;height:95.7pt;mso-position-horizontal-relative:char;mso-position-vertical-relative:line" coordorigin="0,0" coordsize="630,1914">
                  <v:group style="position:absolute;left:0;top:0;width:630;height:1914" coordorigin="0,0" coordsize="630,1914">
                    <v:shape style="position:absolute;left:0;top:0;width:630;height:1914" coordorigin="0,0" coordsize="630,1914" path="m0,1913l629,1913,629,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43" w:type="dxa"/>
            <w:tcBorders>
              <w:top w:val="single" w:sz="15" w:space="0" w:color="000000"/>
              <w:left w:val="single" w:sz="4" w:space="0" w:color="000000"/>
              <w:bottom w:val="single" w:sz="4" w:space="0" w:color="000000"/>
              <w:right w:val="single" w:sz="4" w:space="0" w:color="000000"/>
            </w:tcBorders>
          </w:tcPr>
          <w:p>
            <w:pPr/>
          </w:p>
        </w:tc>
        <w:tc>
          <w:tcPr>
            <w:tcW w:w="3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1962"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童之磊、北京启迪华创投资咨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询有限公司、上海文睿投资有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限公司、王秋虎、浙江华睿海</w:t>
            </w:r>
            <w:r>
              <w:rPr>
                <w:rFonts w:ascii="宋体" w:hAnsi="宋体" w:cs="宋体" w:eastAsia="宋体" w:hint="default"/>
                <w:sz w:val="18"/>
                <w:szCs w:val="18"/>
              </w:rPr>
              <w:t> 越现代服务业创业投资有限 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22" w:right="197"/>
              <w:jc w:val="both"/>
              <w:rPr>
                <w:rFonts w:ascii="宋体" w:hAnsi="宋体" w:cs="宋体" w:eastAsia="宋体" w:hint="default"/>
                <w:sz w:val="18"/>
                <w:szCs w:val="18"/>
              </w:rPr>
            </w:pPr>
            <w:r>
              <w:rPr>
                <w:rFonts w:ascii="宋体" w:hAnsi="宋体" w:cs="宋体" w:eastAsia="宋体" w:hint="default"/>
                <w:sz w:val="18"/>
                <w:szCs w:val="18"/>
              </w:rPr>
              <w:t>承担社保 及住房公 积金补缴 和被追偿 损失的承 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2" w:right="20"/>
              <w:jc w:val="both"/>
              <w:rPr>
                <w:rFonts w:ascii="宋体" w:hAnsi="宋体" w:cs="宋体" w:eastAsia="宋体" w:hint="default"/>
                <w:sz w:val="18"/>
                <w:szCs w:val="18"/>
              </w:rPr>
            </w:pPr>
            <w:r>
              <w:rPr>
                <w:rFonts w:ascii="宋体" w:hAnsi="宋体" w:cs="宋体" w:eastAsia="宋体" w:hint="default"/>
                <w:sz w:val="18"/>
                <w:szCs w:val="18"/>
              </w:rPr>
              <w:t>主要股东童之磊先生、王秋虎先生、文睿投资、华睿海越创投以及启迪华创均出具承诺： 如中文在线数字出版集团股份有限公司被主管部门要求为其员工补缴或者被追偿社会保险 费用和住房公积金，本人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本公司与上述其他股东将以现金方式及时、无条件全额承担该部 分补缴和被追偿的损失，保证中文在线数字出版集团股份有限公司不因此遭受任何损失。</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5667"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中文在线数字出版集团股份 </w:t>
            </w:r>
            <w:r>
              <w:rPr>
                <w:rFonts w:ascii="宋体" w:hAnsi="宋体" w:cs="宋体" w:eastAsia="宋体" w:hint="default"/>
                <w:spacing w:val="-4"/>
                <w:sz w:val="18"/>
                <w:szCs w:val="18"/>
              </w:rPr>
              <w:t>有限公司、童之磊、雷霖、周</w:t>
            </w:r>
            <w:r>
              <w:rPr>
                <w:rFonts w:ascii="宋体" w:hAnsi="宋体" w:cs="宋体" w:eastAsia="宋体" w:hint="default"/>
                <w:sz w:val="18"/>
                <w:szCs w:val="18"/>
              </w:rPr>
              <w:t> 树华、张帆、何庆源、陈晓、 姜瑞明、谢广才、原森民</w:t>
            </w:r>
          </w:p>
        </w:tc>
        <w:tc>
          <w:tcPr>
            <w:tcW w:w="95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6" w:right="197"/>
              <w:jc w:val="both"/>
              <w:rPr>
                <w:rFonts w:ascii="宋体" w:hAnsi="宋体" w:cs="宋体" w:eastAsia="宋体" w:hint="default"/>
                <w:sz w:val="18"/>
                <w:szCs w:val="18"/>
              </w:rPr>
            </w:pPr>
            <w:r>
              <w:rPr>
                <w:rFonts w:ascii="宋体" w:hAnsi="宋体" w:cs="宋体" w:eastAsia="宋体" w:hint="default"/>
                <w:sz w:val="18"/>
                <w:szCs w:val="18"/>
              </w:rPr>
              <w:t>公司上市 后稳定股 价的承诺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2"/>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、启动股价稳定措施的条件（</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）预警条件自公司股票上市交易之日起三年内，若公司股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个交易日的收盘价均低于公司最近一期经审计的每股净资产（每股净资产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 </w:t>
            </w:r>
            <w:r>
              <w:rPr>
                <w:rFonts w:ascii="宋体" w:hAnsi="宋体" w:cs="宋体" w:eastAsia="宋体" w:hint="default"/>
                <w:spacing w:val="-2"/>
                <w:sz w:val="18"/>
                <w:szCs w:val="18"/>
              </w:rPr>
              <w:t>财务报表中的归属于母公司普通股股东权益合计数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年末公司股份总数；如最近一期审计基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准日后，因派发现金红利、送股、公积金转增股本、配股等原因导致公司净资产或股份总 数发生变化的，每股净资产相应进行调整，下同）的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个工作日内召开 </w:t>
            </w:r>
            <w:r>
              <w:rPr>
                <w:rFonts w:ascii="宋体" w:hAnsi="宋体" w:cs="宋体" w:eastAsia="宋体" w:hint="default"/>
                <w:spacing w:val="-3"/>
                <w:sz w:val="18"/>
                <w:szCs w:val="18"/>
              </w:rPr>
              <w:t>投资者见面会，与投资者就上市公司经营状况、财务指标、发展战略进行深入沟通。（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启动条件自公司股票上市交易之日起三年内，若公司股票连续</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个交易日的收盘价均低于 公司最近一期经审计的每股净资产时，公司、控股股东、董事、高级管理人员应按照下述 </w:t>
            </w:r>
            <w:r>
              <w:rPr>
                <w:rFonts w:ascii="宋体" w:hAnsi="宋体" w:cs="宋体" w:eastAsia="宋体" w:hint="default"/>
                <w:spacing w:val="-1"/>
                <w:sz w:val="18"/>
                <w:szCs w:val="18"/>
              </w:rPr>
              <w:t>规则启动并实施相关稳定股价的方案。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、稳定股价的具体措施及实施程序公司自股票上市</w:t>
            </w:r>
            <w:r>
              <w:rPr>
                <w:rFonts w:ascii="宋体" w:hAnsi="宋体" w:cs="宋体" w:eastAsia="宋体" w:hint="default"/>
                <w:sz w:val="18"/>
                <w:szCs w:val="18"/>
              </w:rPr>
              <w:t> 交易后三年内首次触发上述启动条件，和</w:t>
            </w:r>
            <w:r>
              <w:rPr>
                <w:rFonts w:ascii="Times New Roman" w:hAnsi="Times New Roman" w:cs="Times New Roman" w:eastAsia="Times New Roman" w:hint="default"/>
                <w:sz w:val="18"/>
                <w:szCs w:val="18"/>
              </w:rPr>
              <w:t>/</w:t>
            </w:r>
            <w:r>
              <w:rPr>
                <w:rFonts w:ascii="宋体" w:hAnsi="宋体" w:cs="宋体" w:eastAsia="宋体" w:hint="default"/>
                <w:sz w:val="18"/>
                <w:szCs w:val="18"/>
              </w:rPr>
              <w:t>或自股票上市交易后三年内首次触发上述启动各 条件之日起每隔三个月任一时点触发启动条件时，公司应根据当时有效的法律、法规和本 预案的有关规定，与控股股东、董事、高级管理人员协商， 履行相应的审批程序和信息披露义务。股价稳定措施实施后，公司的股权分布应当符合上 市条件。当公司需要采取稳定股价的措施时，可以视公司实际情况、股票市场情况，按以 </w:t>
            </w:r>
            <w:r>
              <w:rPr>
                <w:rFonts w:ascii="宋体" w:hAnsi="宋体" w:cs="宋体" w:eastAsia="宋体" w:hint="default"/>
                <w:spacing w:val="-3"/>
                <w:sz w:val="18"/>
                <w:szCs w:val="18"/>
              </w:rPr>
              <w:t>下顺序实施下述稳定股价的各措施：（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）公司以法律、法规允许的交易方式向社会公众股</w:t>
            </w:r>
            <w:r>
              <w:rPr>
                <w:rFonts w:ascii="宋体" w:hAnsi="宋体" w:cs="宋体" w:eastAsia="宋体" w:hint="default"/>
                <w:spacing w:val="-60"/>
                <w:sz w:val="18"/>
                <w:szCs w:val="18"/>
              </w:rPr>
              <w:t> </w:t>
            </w:r>
            <w:r>
              <w:rPr>
                <w:rFonts w:ascii="宋体" w:hAnsi="宋体" w:cs="宋体" w:eastAsia="宋体" w:hint="default"/>
                <w:sz w:val="18"/>
                <w:szCs w:val="18"/>
              </w:rPr>
              <w:t>东回购股份（以下简称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公司回购股份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）公司启动股价稳定措施后，公司应在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 董事会，讨论公司向社会公众股东回购公司股份的方案，并提交股东大会审议。在股东大 会审议通过股份回购方案后，公司依法通知债权人，向证券监督管理部门、深圳证券交易</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22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669.127991pt;margin-top:57.180008pt;width:37.7pt;height:468.1pt;mso-position-horizontal-relative:page;mso-position-vertical-relative:page;z-index:-865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7pt;margin-top:20.700012pt;width:86pt;height:42.649994pt;mso-position-horizontal-relative:page;mso-position-vertical-relative:page;z-index:-865432" type="#_x0000_t75" stroked="false">
            <v:imagedata r:id="rId9" o:title=""/>
          </v:shape>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332"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vMerge w:val="restart"/>
            <w:tcBorders>
              <w:top w:val="single" w:sz="15" w:space="0" w:color="000000"/>
              <w:left w:val="single" w:sz="4" w:space="0" w:color="000000"/>
              <w:right w:val="single" w:sz="4" w:space="0" w:color="000000"/>
            </w:tcBorders>
          </w:tcPr>
          <w:p>
            <w:pPr/>
          </w:p>
        </w:tc>
        <w:tc>
          <w:tcPr>
            <w:tcW w:w="952" w:type="dxa"/>
            <w:vMerge w:val="restart"/>
            <w:tcBorders>
              <w:top w:val="single" w:sz="15" w:space="0" w:color="000000"/>
              <w:left w:val="single" w:sz="4" w:space="0" w:color="000000"/>
              <w:right w:val="single" w:sz="4" w:space="0" w:color="000000"/>
            </w:tcBorders>
          </w:tcPr>
          <w:p>
            <w:pPr/>
          </w:p>
        </w:tc>
        <w:tc>
          <w:tcPr>
            <w:tcW w:w="7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所等主管部门报送相关材料，办理审批或备案手续。在完成必需的审批、备案、信息披露</w:t>
            </w:r>
          </w:p>
        </w:tc>
        <w:tc>
          <w:tcPr>
            <w:tcW w:w="639" w:type="dxa"/>
            <w:vMerge w:val="restart"/>
            <w:tcBorders>
              <w:top w:val="single" w:sz="15" w:space="0" w:color="000000"/>
              <w:left w:val="single" w:sz="4" w:space="0" w:color="000000"/>
              <w:right w:val="single" w:sz="4" w:space="0" w:color="000000"/>
            </w:tcBorders>
          </w:tcPr>
          <w:p>
            <w:pPr>
              <w:pStyle w:val="TableParagraph"/>
              <w:spacing w:line="93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31.5pt;height:468.1pt;mso-position-horizontal-relative:char;mso-position-vertical-relative:line" coordorigin="0,0" coordsize="630,9362">
                  <v:group style="position:absolute;left:0;top:0;width:630;height:9362" coordorigin="0,0" coordsize="630,9362">
                    <v:shape style="position:absolute;left:0;top:0;width:630;height:9362" coordorigin="0,0" coordsize="630,9362" path="m0,9361l629,9361,629,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943" w:type="dxa"/>
            <w:vMerge w:val="restart"/>
            <w:tcBorders>
              <w:top w:val="single" w:sz="15" w:space="0" w:color="000000"/>
              <w:left w:val="single" w:sz="4" w:space="0" w:color="000000"/>
              <w:right w:val="single" w:sz="4" w:space="0" w:color="000000"/>
            </w:tcBorders>
          </w:tcPr>
          <w:p>
            <w:pPr/>
          </w:p>
        </w:tc>
        <w:tc>
          <w:tcPr>
            <w:tcW w:w="343" w:type="dxa"/>
            <w:vMerge w:val="restart"/>
            <w:tcBorders>
              <w:top w:val="single" w:sz="15" w:space="0" w:color="000000"/>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等程序后，公司方可实施相应的股份回购方案。公司回购股份的资金为自有资金，回购股</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份的价格不高于最近一期经审计的每股净资产的金额，回购股份的方式为以法律法规允许</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的交易方式向社会公众股东回购股份。公司用于回购股份的资金金额不少于回购股份事项</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发生时上一个会计年度经审计的归属于母公司股东净利润的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。如果公司股价已经不满</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足启动稳定公司股价措施的条件的，公司可不再实施向社会公众股东回购股份。回购股份</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后，公司的股权分布应当符合上市条件。公司以法律法规允许的交易方式向社会公众股东</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回购公司股份应符</w:t>
            </w:r>
            <w:r>
              <w:rPr>
                <w:rFonts w:ascii="宋体" w:hAnsi="宋体" w:cs="宋体" w:eastAsia="宋体" w:hint="default"/>
                <w:spacing w:val="-56"/>
                <w:sz w:val="18"/>
                <w:szCs w:val="18"/>
              </w:rPr>
              <w:t>合</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146"/>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pacing w:val="-146"/>
                <w:sz w:val="18"/>
                <w:szCs w:val="18"/>
              </w:rPr>
              <w:t>、</w:t>
            </w:r>
            <w:r>
              <w:rPr>
                <w:rFonts w:ascii="宋体" w:hAnsi="宋体" w:cs="宋体" w:eastAsia="宋体" w:hint="default"/>
                <w:sz w:val="18"/>
                <w:szCs w:val="18"/>
              </w:rPr>
              <w:t>《上市公司回购社会公众股份管理办</w:t>
            </w:r>
            <w:r>
              <w:rPr>
                <w:rFonts w:ascii="宋体" w:hAnsi="宋体" w:cs="宋体" w:eastAsia="宋体" w:hint="default"/>
                <w:spacing w:val="-56"/>
                <w:sz w:val="18"/>
                <w:szCs w:val="18"/>
              </w:rPr>
              <w:t>法</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《关于上市公司以集中竞价交易方式回购股份的补充规定》等法律、法规、规范性文件的</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10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0"/>
                <w:sz w:val="18"/>
                <w:szCs w:val="18"/>
              </w:rPr>
              <w:t>）</w:t>
            </w:r>
            <w:r>
              <w:rPr>
                <w:rFonts w:ascii="宋体" w:hAnsi="宋体" w:cs="宋体" w:eastAsia="宋体" w:hint="default"/>
                <w:spacing w:val="-2"/>
                <w:sz w:val="18"/>
                <w:szCs w:val="18"/>
              </w:rPr>
              <w:t>控</w:t>
            </w:r>
            <w:r>
              <w:rPr>
                <w:rFonts w:ascii="宋体" w:hAnsi="宋体" w:cs="宋体" w:eastAsia="宋体" w:hint="default"/>
                <w:sz w:val="18"/>
                <w:szCs w:val="18"/>
              </w:rPr>
              <w:t>股股东通过二级市场以竞价交易方式增持公司股</w:t>
            </w:r>
            <w:r>
              <w:rPr>
                <w:rFonts w:ascii="宋体" w:hAnsi="宋体" w:cs="宋体" w:eastAsia="宋体" w:hint="default"/>
                <w:spacing w:val="-10"/>
                <w:sz w:val="18"/>
                <w:szCs w:val="18"/>
              </w:rPr>
              <w:t>份</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控股</w:t>
            </w:r>
            <w:r>
              <w:rPr>
                <w:rFonts w:ascii="宋体" w:hAnsi="宋体" w:cs="宋体" w:eastAsia="宋体" w:hint="default"/>
                <w:spacing w:val="1"/>
                <w:sz w:val="18"/>
                <w:szCs w:val="18"/>
              </w:rPr>
              <w:t>股</w:t>
            </w:r>
            <w:r>
              <w:rPr>
                <w:rFonts w:ascii="宋体" w:hAnsi="宋体" w:cs="宋体" w:eastAsia="宋体" w:hint="default"/>
                <w:sz w:val="18"/>
                <w:szCs w:val="18"/>
              </w:rPr>
              <w:t>东增持</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w:t>
            </w:r>
            <w:r>
              <w:rPr>
                <w:rFonts w:ascii="宋体" w:hAnsi="宋体" w:cs="宋体" w:eastAsia="宋体" w:hint="default"/>
                <w:sz w:val="18"/>
                <w:szCs w:val="18"/>
              </w:rPr>
              <w:t>）当公司回购股份后，公司股票连续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个交易日的收盘价仍低于公司最近一期</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经审计的每股净资产时，或公司无法实施回购股份时，公司控股股东应在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个交易日内提</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出增持公司股份的方</w:t>
            </w:r>
            <w:r>
              <w:rPr>
                <w:rFonts w:ascii="宋体" w:hAnsi="宋体" w:cs="宋体" w:eastAsia="宋体" w:hint="default"/>
                <w:spacing w:val="-10"/>
                <w:sz w:val="18"/>
                <w:szCs w:val="18"/>
              </w:rPr>
              <w:t>案</w:t>
            </w:r>
            <w:r>
              <w:rPr>
                <w:rFonts w:ascii="宋体" w:hAnsi="宋体" w:cs="宋体" w:eastAsia="宋体" w:hint="default"/>
                <w:sz w:val="18"/>
                <w:szCs w:val="18"/>
              </w:rPr>
              <w:t>（包括拟增持公司股份的数量</w:t>
            </w:r>
            <w:r>
              <w:rPr>
                <w:rFonts w:ascii="宋体" w:hAnsi="宋体" w:cs="宋体" w:eastAsia="宋体" w:hint="default"/>
                <w:spacing w:val="-10"/>
                <w:sz w:val="18"/>
                <w:szCs w:val="18"/>
              </w:rPr>
              <w:t>、</w:t>
            </w:r>
            <w:r>
              <w:rPr>
                <w:rFonts w:ascii="宋体" w:hAnsi="宋体" w:cs="宋体" w:eastAsia="宋体" w:hint="default"/>
                <w:sz w:val="18"/>
                <w:szCs w:val="18"/>
              </w:rPr>
              <w:t>价格区间</w:t>
            </w:r>
            <w:r>
              <w:rPr>
                <w:rFonts w:ascii="宋体" w:hAnsi="宋体" w:cs="宋体" w:eastAsia="宋体" w:hint="default"/>
                <w:spacing w:val="-10"/>
                <w:sz w:val="18"/>
                <w:szCs w:val="18"/>
              </w:rPr>
              <w:t>、</w:t>
            </w:r>
            <w:r>
              <w:rPr>
                <w:rFonts w:ascii="宋体" w:hAnsi="宋体" w:cs="宋体" w:eastAsia="宋体" w:hint="default"/>
                <w:sz w:val="18"/>
                <w:szCs w:val="18"/>
              </w:rPr>
              <w:t>时间等</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并依法履行证</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券监督管理部门、深圳证券交易所等主管部门的审批手续，在获得批准后的三个交易日内</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通知公司，公司应按照相关规定披露控股股东增持公司股份的计划。在公司披露控股股东</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增持公司股份计划的三个交易日后，控股股东开始实施增持公司股份的计划。控股股东增</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持公司股份的价格不高于公司最近一期经审计的每股净资产，用于增持股份的资金金额不</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少于控股股东自公司上市后累计从公司所获得现金分红金额的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。如果公司股价已经不</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满足启动稳定公司股价措施的条件的，控股股东可不再实施增持公司股份。控股股东增持</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公司股份后，公司的股权分布应当符合上市条件。公司控股股东增持公司股份应符合相关</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法律法规的规定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）董事、高级管理人员买入公司股份当控股股东增持公司股份后，公</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个交易日的收盘价仍低于公司最近一期经审计的每股净资产时，或控股股东</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无法增持公司股份时，公司时任董事、高级管理人员（包括本预案承诺签署时尚未就任或</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未来新选聘的公司董事、高级管理人员）应通过法律法规允许的交易方式买入公司股票以</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稳定公司股价。公司董事、高级管理人员买入公司股份后，公司的股权分布应当符合上市</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条件。公司董事、高级管理人员通过法律法规允许的交易方式买入公司股份，买入价格不</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高于公司最近一期经审计的每股净资产，各董事、高级管理人员用于购买股份的金额不少</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于公司董事、高级管理人员上一会计年度从公司领取税后薪酬额的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。如果公司股价已</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经不满足启动稳定公司股价措施的条件的，董事、高级管理人员可不再买入公司股份。公</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8"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vMerge/>
            <w:tcBorders>
              <w:left w:val="single" w:sz="4" w:space="0" w:color="000000"/>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7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司董事、高级管理人员买入公司股份应符合相关法律、法规的规定，需要履行证券监督管</w:t>
            </w:r>
          </w:p>
        </w:tc>
        <w:tc>
          <w:tcPr>
            <w:tcW w:w="639"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240" w:right="0"/>
        </w:sectPr>
      </w:pPr>
    </w:p>
    <w:p>
      <w:pPr>
        <w:spacing w:line="240" w:lineRule="auto" w:before="11"/>
        <w:rPr>
          <w:rFonts w:ascii="Times New Roman" w:hAnsi="Times New Roman" w:cs="Times New Roman" w:eastAsia="Times New Roman" w:hint="default"/>
          <w:sz w:val="4"/>
          <w:szCs w:val="4"/>
        </w:rPr>
      </w:pPr>
      <w:r>
        <w:rPr/>
        <w:pict>
          <v:shape style="position:absolute;margin-left:606.208984pt;margin-top:57.180008pt;width:100.6pt;height:376.5pt;mso-position-horizontal-relative:page;mso-position-vertical-relative:page;z-index:-865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公司回购股份的，</w:t>
                  </w:r>
                </w:p>
              </w:txbxContent>
            </v:textbox>
            <w10:wrap type="none"/>
          </v:shape>
        </w:pict>
      </w:r>
      <w:r>
        <w:rPr/>
        <w:pict>
          <v:shape style="position:absolute;margin-left:67pt;margin-top:20.700012pt;width:86pt;height:42.649994pt;mso-position-horizontal-relative:page;mso-position-vertical-relative:page;z-index:1456" type="#_x0000_t75" stroked="false">
            <v:imagedata r:id="rId9" o:title=""/>
          </v:shape>
        </w:pict>
      </w:r>
    </w:p>
    <w:tbl>
      <w:tblPr>
        <w:tblW w:w="0" w:type="auto"/>
        <w:jc w:val="left"/>
        <w:tblInd w:w="1834" w:type="dxa"/>
        <w:tblLayout w:type="fixed"/>
        <w:tblCellMar>
          <w:top w:w="0" w:type="dxa"/>
          <w:left w:w="0" w:type="dxa"/>
          <w:bottom w:w="0" w:type="dxa"/>
          <w:right w:w="0" w:type="dxa"/>
        </w:tblCellMar>
        <w:tblLook w:val="01E0"/>
      </w:tblPr>
      <w:tblGrid>
        <w:gridCol w:w="2345"/>
        <w:gridCol w:w="952"/>
        <w:gridCol w:w="7126"/>
        <w:gridCol w:w="639"/>
        <w:gridCol w:w="943"/>
        <w:gridCol w:w="346"/>
      </w:tblGrid>
      <w:tr>
        <w:trPr>
          <w:trHeight w:val="7554" w:hRule="exact"/>
        </w:trPr>
        <w:tc>
          <w:tcPr>
            <w:tcW w:w="2345"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理部门、深圳证券交易所等主管部门审批的，应履行相应的审批手续。因未获得批准而未 买入公司股份的，视同已履行本预案及承诺。上述各主体在启动稳定股价措施时，应按照 </w:t>
            </w:r>
            <w:r>
              <w:rPr>
                <w:rFonts w:ascii="宋体" w:hAnsi="宋体" w:cs="宋体" w:eastAsia="宋体" w:hint="default"/>
                <w:spacing w:val="-3"/>
                <w:sz w:val="18"/>
                <w:szCs w:val="18"/>
              </w:rPr>
              <w:t>相关法律、法规的规定，提前公告具体实施方案。（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）若某一会计年度内公司股价多次触</w:t>
            </w:r>
            <w:r>
              <w:rPr>
                <w:rFonts w:ascii="宋体" w:hAnsi="宋体" w:cs="宋体" w:eastAsia="宋体" w:hint="default"/>
                <w:spacing w:val="-60"/>
                <w:sz w:val="18"/>
                <w:szCs w:val="18"/>
              </w:rPr>
              <w:t> </w:t>
            </w:r>
            <w:r>
              <w:rPr>
                <w:rFonts w:ascii="宋体" w:hAnsi="宋体" w:cs="宋体" w:eastAsia="宋体" w:hint="default"/>
                <w:sz w:val="18"/>
                <w:szCs w:val="18"/>
              </w:rPr>
              <w:t>发启动条件的，公司将继续执行上述稳定股价措施，但应遵循以下原则：</w:t>
            </w:r>
            <w:r>
              <w:rPr>
                <w:rFonts w:ascii="宋体" w:hAnsi="宋体" w:cs="宋体" w:eastAsia="宋体" w:hint="default"/>
                <w:sz w:val="18"/>
                <w:szCs w:val="18"/>
              </w:rPr>
              <w:t> 单一会计年度用于稳定股价的回购资金合计不超过上一会计年度经审计的归属于母公司股 东净利润的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。控股股东增持公司股份的，单一会计年度用于稳定股价的增持资金合计 不超过其自公司上市后累计从公司所获得现金分红金额的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。下一年度触发股价稳定措 施时，以前年度已经用于稳定股价的增持资金金额不再计入累计现金分红金额。董事、高 级管理人员买入公司股份的，单一会计年度用于稳定股价的资金合计不超过其在上一会计 年度从公司领取的税后薪酬额的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。超过上述标准的，相关主体稳定股价的措施在当年 度不再继续实施；但如下一年度出现需启动股价稳定措施的情形时，公司将重新启动上述 </w:t>
            </w:r>
            <w:r>
              <w:rPr>
                <w:rFonts w:ascii="宋体" w:hAnsi="宋体" w:cs="宋体" w:eastAsia="宋体" w:hint="default"/>
                <w:spacing w:val="-2"/>
                <w:sz w:val="18"/>
                <w:szCs w:val="18"/>
              </w:rPr>
              <w:t>稳定股价措施。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、应启动而未启动股价稳定措施的约束措施当启动股价稳定措施的条件满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足时，如公司、控股股东、董事、高级管理人员未采取上述稳定股价的措施，公司、控股 </w:t>
            </w:r>
            <w:r>
              <w:rPr>
                <w:rFonts w:ascii="宋体" w:hAnsi="宋体" w:cs="宋体" w:eastAsia="宋体" w:hint="default"/>
                <w:spacing w:val="-3"/>
                <w:sz w:val="18"/>
                <w:szCs w:val="18"/>
              </w:rPr>
              <w:t>股东、董事、高级管理人员承诺接受以下约束措施：（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）公司、控股股东、董事、高级管</w:t>
            </w:r>
            <w:r>
              <w:rPr>
                <w:rFonts w:ascii="宋体" w:hAnsi="宋体" w:cs="宋体" w:eastAsia="宋体" w:hint="default"/>
                <w:spacing w:val="-60"/>
                <w:sz w:val="18"/>
                <w:szCs w:val="18"/>
              </w:rPr>
              <w:t> </w:t>
            </w:r>
            <w:r>
              <w:rPr>
                <w:rFonts w:ascii="宋体" w:hAnsi="宋体" w:cs="宋体" w:eastAsia="宋体" w:hint="default"/>
                <w:sz w:val="18"/>
                <w:szCs w:val="18"/>
              </w:rPr>
              <w:t>理人员将在公司股东大会和中国证监会指定的报刊上公开说明未采取上述稳定股价措施的 </w:t>
            </w:r>
            <w:r>
              <w:rPr>
                <w:rFonts w:ascii="宋体" w:hAnsi="宋体" w:cs="宋体" w:eastAsia="宋体" w:hint="default"/>
                <w:spacing w:val="-3"/>
                <w:sz w:val="18"/>
                <w:szCs w:val="18"/>
              </w:rPr>
              <w:t>具体原因，并向公司股东和社会公众投资者道歉；（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）控股股东未采取上述稳定股价措施</w:t>
            </w:r>
            <w:r>
              <w:rPr>
                <w:rFonts w:ascii="宋体" w:hAnsi="宋体" w:cs="宋体" w:eastAsia="宋体" w:hint="default"/>
                <w:spacing w:val="-60"/>
                <w:sz w:val="18"/>
                <w:szCs w:val="18"/>
              </w:rPr>
              <w:t> </w:t>
            </w:r>
            <w:r>
              <w:rPr>
                <w:rFonts w:ascii="宋体" w:hAnsi="宋体" w:cs="宋体" w:eastAsia="宋体" w:hint="default"/>
                <w:sz w:val="18"/>
                <w:szCs w:val="18"/>
              </w:rPr>
              <w:t>的，不得参与公司现金分红，且其持有的公司股份不得转让，直至其按本预案的规定采取 </w:t>
            </w:r>
            <w:r>
              <w:rPr>
                <w:rFonts w:ascii="宋体" w:hAnsi="宋体" w:cs="宋体" w:eastAsia="宋体" w:hint="default"/>
                <w:spacing w:val="-3"/>
                <w:sz w:val="18"/>
                <w:szCs w:val="18"/>
              </w:rPr>
              <w:t>相应的稳定股价措施并实施完毕；（</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）董事、高级管理人员未采取上述稳定股价措施的，</w:t>
            </w:r>
            <w:r>
              <w:rPr>
                <w:rFonts w:ascii="宋体" w:hAnsi="宋体" w:cs="宋体" w:eastAsia="宋体" w:hint="default"/>
                <w:spacing w:val="-60"/>
                <w:sz w:val="18"/>
                <w:szCs w:val="18"/>
              </w:rPr>
              <w:t> </w:t>
            </w:r>
            <w:r>
              <w:rPr>
                <w:rFonts w:ascii="宋体" w:hAnsi="宋体" w:cs="宋体" w:eastAsia="宋体" w:hint="default"/>
                <w:sz w:val="18"/>
                <w:szCs w:val="18"/>
              </w:rPr>
              <w:t>公司将在前述事项发生之日起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个交易日内，停止发放该等董事、高级管理人员的薪酬， 同时该等董事、高级管理人员持有的公司股份（如有）不得转让，直至该等董事、高级管 理人员按本预案的规定采取相应的股价稳定措施并实施完毕。上述预案内容为公司及控股 股东、董事、高级管理人员做出的承诺，系相关责任主体的真实意思表示，相关责任主体 自愿接受监管机构、自律组织及社会公众的监督，若违反上述承诺，相关责任主体将依法 承担相应责任。</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Style w:val="TableParagraph"/>
              <w:spacing w:line="75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31.5pt;height:376.5pt;mso-position-horizontal-relative:char;mso-position-vertical-relative:line" coordorigin="0,0" coordsize="630,7530">
                  <v:group style="position:absolute;left:0;top:0;width:630;height:7530" coordorigin="0,0" coordsize="630,7530">
                    <v:shape style="position:absolute;left:0;top:0;width:630;height:7530" coordorigin="0,0" coordsize="630,7530" path="m0,7530l629,7530,629,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943" w:type="dxa"/>
            <w:tcBorders>
              <w:top w:val="single" w:sz="15" w:space="0" w:color="000000"/>
              <w:left w:val="single" w:sz="4" w:space="0" w:color="000000"/>
              <w:bottom w:val="single" w:sz="4" w:space="0" w:color="000000"/>
              <w:right w:val="single" w:sz="4" w:space="0" w:color="000000"/>
            </w:tcBorders>
          </w:tcPr>
          <w:p>
            <w:pPr/>
          </w:p>
        </w:tc>
        <w:tc>
          <w:tcPr>
            <w:tcW w:w="346" w:type="dxa"/>
            <w:tcBorders>
              <w:top w:val="single" w:sz="15" w:space="0" w:color="000000"/>
              <w:left w:val="single" w:sz="4" w:space="0" w:color="000000"/>
              <w:bottom w:val="single" w:sz="4" w:space="0" w:color="000000"/>
              <w:right w:val="single" w:sz="4" w:space="0" w:color="000000"/>
            </w:tcBorders>
          </w:tcPr>
          <w:p>
            <w:pPr/>
          </w:p>
        </w:tc>
      </w:tr>
      <w:tr>
        <w:trPr>
          <w:trHeight w:val="1922"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中文在线数字出版集团股份 有限公司、童之磊</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股份回购 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发行人及公司控股股东童之磊承诺：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、公司首次公开发行股票招股说明书不存在虚假记 </w:t>
            </w:r>
            <w:r>
              <w:rPr>
                <w:rFonts w:ascii="宋体" w:hAnsi="宋体" w:cs="宋体" w:eastAsia="宋体" w:hint="default"/>
                <w:spacing w:val="-2"/>
                <w:sz w:val="18"/>
                <w:szCs w:val="18"/>
              </w:rPr>
              <w:t>载、误导性陈述或者重大遗漏。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、公司首次公开发行股票招股说明书如有虚假记载、误导</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性陈述或者重大遗漏，对判断公司是否符合法律规定的发行条件构成重大、实质影响的， 公司将依法回购首次公开发行的全部新股，控股股东将购回其在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 </w:t>
            </w:r>
            <w:r>
              <w:rPr>
                <w:rFonts w:ascii="宋体" w:hAnsi="宋体" w:cs="宋体" w:eastAsia="宋体" w:hint="default"/>
                <w:sz w:val="18"/>
                <w:szCs w:val="18"/>
              </w:rPr>
              <w:t>时转让的全部限售股 </w:t>
            </w:r>
            <w:r>
              <w:rPr>
                <w:rFonts w:ascii="宋体" w:hAnsi="宋体" w:cs="宋体" w:eastAsia="宋体" w:hint="default"/>
                <w:spacing w:val="-3"/>
                <w:sz w:val="18"/>
                <w:szCs w:val="18"/>
              </w:rPr>
              <w:t>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）公司启动回购措施的时点及回购价格在中国证监会或其他有权部门作出认定后二</w:t>
            </w:r>
            <w:r>
              <w:rPr>
                <w:rFonts w:ascii="宋体" w:hAnsi="宋体" w:cs="宋体" w:eastAsia="宋体" w:hint="default"/>
                <w:spacing w:val="-60"/>
                <w:sz w:val="18"/>
                <w:szCs w:val="18"/>
              </w:rPr>
              <w:t> </w:t>
            </w:r>
            <w:r>
              <w:rPr>
                <w:rFonts w:ascii="宋体" w:hAnsi="宋体" w:cs="宋体" w:eastAsia="宋体" w:hint="default"/>
                <w:sz w:val="18"/>
                <w:szCs w:val="18"/>
              </w:rPr>
              <w:t>十个交易日内，将根据相关法律、法规及公司章程的规定召开董事会，并提议召开股东大</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正 在 履 行</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16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67pt;margin-top:20.700012pt;width:86pt;height:42.649994pt;mso-position-horizontal-relative:page;mso-position-vertical-relative:page;z-index:-865336" type="#_x0000_t75" stroked="false">
            <v:imagedata r:id="rId9" o:title=""/>
          </v:shape>
        </w:pict>
      </w:r>
      <w:r>
        <w:rPr/>
        <w:pict>
          <v:group style="position:absolute;margin-left:675.340027pt;margin-top:220.220001pt;width:31.5pt;height:25.4pt;mso-position-horizontal-relative:page;mso-position-vertical-relative:page;z-index:-865312" coordorigin="13507,4404" coordsize="630,508">
            <v:group style="position:absolute;left:13507;top:4404;width:630;height:156" coordorigin="13507,4404" coordsize="630,156">
              <v:shape style="position:absolute;left:13507;top:4404;width:630;height:156" coordorigin="13507,4404" coordsize="630,156" path="m13507,4560l14136,4560,14136,4404,13507,4404,13507,4560xe" filled="true" fillcolor="#ffffff" stroked="false">
                <v:path arrowok="t"/>
                <v:fill type="solid"/>
              </v:shape>
            </v:group>
            <v:group style="position:absolute;left:13530;top:4560;width:584;height:352" coordorigin="13530,4560" coordsize="584,352">
              <v:shape style="position:absolute;left:13530;top:4560;width:584;height:352" coordorigin="13530,4560" coordsize="584,352" path="m13530,4912l14113,4912,14113,4560,13530,4560,13530,4912xe" filled="true" fillcolor="#ffffff" stroked="false">
                <v:path arrowok="t"/>
                <v:fill type="solid"/>
              </v:shape>
            </v:group>
            <w10:wrap type="none"/>
          </v:group>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1937"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5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会，启动股份回购措施，回购价格为二级市场价格。（</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）控股股东启动购回措施的时点及</w:t>
            </w:r>
            <w:r>
              <w:rPr>
                <w:rFonts w:ascii="宋体" w:hAnsi="宋体" w:cs="宋体" w:eastAsia="宋体" w:hint="default"/>
                <w:spacing w:val="-60"/>
                <w:sz w:val="18"/>
                <w:szCs w:val="18"/>
              </w:rPr>
              <w:t> </w:t>
            </w:r>
            <w:r>
              <w:rPr>
                <w:rFonts w:ascii="宋体" w:hAnsi="宋体" w:cs="宋体" w:eastAsia="宋体" w:hint="default"/>
                <w:sz w:val="18"/>
                <w:szCs w:val="18"/>
              </w:rPr>
              <w:t>购回价格控股股东在中国证监会或其他有权部门作出认定后二十个交易日内，将根据相关 法律、法规及规范性文件的规定，启动股份购回措施，购回其在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时转让的全部限售股 份，购回价格为二级市场价格。上述承诺内容系公司及控股股东的真实意思表示，公司及 控股股东自愿接受监管机构、自律组织及社会公众的监督，若违反上述承诺，公司及控股 股东将依法承担相应责任。</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
        </w:tc>
        <w:tc>
          <w:tcPr>
            <w:tcW w:w="943" w:type="dxa"/>
            <w:tcBorders>
              <w:top w:val="single" w:sz="15" w:space="0" w:color="000000"/>
              <w:left w:val="single" w:sz="4" w:space="0" w:color="000000"/>
              <w:bottom w:val="single" w:sz="4" w:space="0" w:color="000000"/>
              <w:right w:val="single" w:sz="4" w:space="0" w:color="000000"/>
            </w:tcBorders>
          </w:tcPr>
          <w:p>
            <w:pPr/>
          </w:p>
        </w:tc>
        <w:tc>
          <w:tcPr>
            <w:tcW w:w="343"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0"/>
              <w:jc w:val="left"/>
              <w:rPr>
                <w:rFonts w:ascii="宋体" w:hAnsi="宋体" w:cs="宋体" w:eastAsia="宋体" w:hint="default"/>
                <w:sz w:val="18"/>
                <w:szCs w:val="18"/>
              </w:rPr>
            </w:pPr>
            <w:r>
              <w:rPr>
                <w:rFonts w:ascii="宋体" w:hAnsi="宋体" w:cs="宋体" w:eastAsia="宋体" w:hint="default"/>
                <w:sz w:val="18"/>
                <w:szCs w:val="18"/>
              </w:rPr>
              <w:t>北京启迪华创投资咨询有限 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7"/>
              <w:jc w:val="left"/>
              <w:rPr>
                <w:rFonts w:ascii="宋体" w:hAnsi="宋体" w:cs="宋体" w:eastAsia="宋体" w:hint="default"/>
                <w:sz w:val="18"/>
                <w:szCs w:val="18"/>
              </w:rPr>
            </w:pPr>
            <w:r>
              <w:rPr>
                <w:rFonts w:ascii="宋体" w:hAnsi="宋体" w:cs="宋体" w:eastAsia="宋体" w:hint="default"/>
                <w:sz w:val="18"/>
                <w:szCs w:val="18"/>
              </w:rPr>
              <w:t>股份锁定 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6"/>
              <w:jc w:val="both"/>
              <w:rPr>
                <w:rFonts w:ascii="宋体" w:hAnsi="宋体" w:cs="宋体" w:eastAsia="宋体" w:hint="default"/>
                <w:sz w:val="18"/>
                <w:szCs w:val="18"/>
              </w:rPr>
            </w:pPr>
            <w:r>
              <w:rPr>
                <w:rFonts w:ascii="宋体" w:hAnsi="宋体" w:cs="宋体" w:eastAsia="宋体" w:hint="default"/>
                <w:sz w:val="18"/>
                <w:szCs w:val="18"/>
              </w:rPr>
              <w:t>本公司股东启迪华创承诺：自公司股票上市交易之日起三十六个月内，不转让或者委托他 人管理本公司持有的公司公开发行股票前已持有的股份（</w:t>
            </w:r>
            <w:r>
              <w:rPr>
                <w:rFonts w:ascii="Times New Roman" w:hAnsi="Times New Roman" w:cs="Times New Roman" w:eastAsia="Times New Roman" w:hint="default"/>
                <w:sz w:val="18"/>
                <w:szCs w:val="18"/>
              </w:rPr>
              <w:t>15,024,247 </w:t>
            </w:r>
            <w:r>
              <w:rPr>
                <w:rFonts w:ascii="宋体" w:hAnsi="宋体" w:cs="宋体" w:eastAsia="宋体" w:hint="default"/>
                <w:spacing w:val="-10"/>
                <w:sz w:val="18"/>
                <w:szCs w:val="18"/>
              </w:rPr>
              <w:t>股股份），也不由公司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回购本公司持有的该等股份。</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338"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上海文睿投资有限公司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7"/>
              <w:jc w:val="left"/>
              <w:rPr>
                <w:rFonts w:ascii="宋体" w:hAnsi="宋体" w:cs="宋体" w:eastAsia="宋体" w:hint="default"/>
                <w:sz w:val="18"/>
                <w:szCs w:val="18"/>
              </w:rPr>
            </w:pPr>
            <w:r>
              <w:rPr>
                <w:rFonts w:ascii="宋体" w:hAnsi="宋体" w:cs="宋体" w:eastAsia="宋体" w:hint="default"/>
                <w:sz w:val="18"/>
                <w:szCs w:val="18"/>
              </w:rPr>
              <w:t>股份锁定 的承诺</w:t>
            </w:r>
          </w:p>
        </w:tc>
        <w:tc>
          <w:tcPr>
            <w:tcW w:w="712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本公司股东文睿投资承诺：除公开发售股份外，自公司股票上市交易之日起三十六个月内 不转让或委托他人管理本次发行前已持有的公司股份，也不由公司回购该部分股份。中文 在线上市后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个月内如其股票连续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期末收盘价低于发行价，所持中文在线上述股份的锁定期限自动延长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39"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2898"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97"/>
              <w:jc w:val="left"/>
              <w:rPr>
                <w:rFonts w:ascii="宋体" w:hAnsi="宋体" w:cs="宋体" w:eastAsia="宋体" w:hint="default"/>
                <w:sz w:val="18"/>
                <w:szCs w:val="18"/>
              </w:rPr>
            </w:pPr>
            <w:r>
              <w:rPr>
                <w:rFonts w:ascii="宋体" w:hAnsi="宋体" w:cs="宋体" w:eastAsia="宋体" w:hint="default"/>
                <w:sz w:val="18"/>
                <w:szCs w:val="18"/>
              </w:rPr>
              <w:t>股份锁定 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本公司控股股东及实际控制人童之磊承诺：除公开发售股份外，自公司股票上市交易之日 起三十六个月内，不转让或委托他人管理直接或间接持有的本次公开发行前其已持有的股 份，也不由公司回购该部分股份。上述禁售期满后，在本人担任中文在线董事、监事或高 级管理人员期间，每年转让的股份不超过所持股份总数的百分之二十五，离职后半年内， 不转让所持有的公司股份；每年转让文睿投资的出资不超过总数的百分之二十五，离职后 半年内，不转让所持有的文睿投资的出资。中文在线上市后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个月内如其股票连续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个交</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易日的收盘价均低于发行价，或者上市后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个月期末收盘价低于发行价，所持中文在线股</w:t>
            </w:r>
          </w:p>
          <w:p>
            <w:pPr>
              <w:pStyle w:val="TableParagraph"/>
              <w:spacing w:line="302"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份和文睿投资股权的锁定期限自动延长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个月。上述承诺不因本人职务变更或离职等原因 终止。</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922"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谢广才、原森民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股份锁定 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担任公司高级管理人员的谢广才、原森民（同时为文睿投资的股东）承诺：自公司股票上 市之日起十二个月内，不转让或者委托他人管理本次发行前已持有的文睿投资的股权，也 不由文睿投资或中文在线回购该部分股份。中文在线上市后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个月内如其股票连续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个交</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易日的收盘价均低于发行价，或者上市后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个月期末收盘价低于发行价，谢广才、原森民</w:t>
            </w:r>
          </w:p>
          <w:p>
            <w:pPr>
              <w:pStyle w:val="TableParagraph"/>
              <w:spacing w:line="300" w:lineRule="auto" w:before="63"/>
              <w:ind w:left="22" w:right="56"/>
              <w:jc w:val="both"/>
              <w:rPr>
                <w:rFonts w:ascii="宋体" w:hAnsi="宋体" w:cs="宋体" w:eastAsia="宋体" w:hint="default"/>
                <w:sz w:val="18"/>
                <w:szCs w:val="18"/>
              </w:rPr>
            </w:pPr>
            <w:r>
              <w:rPr>
                <w:rFonts w:ascii="宋体" w:hAnsi="宋体" w:cs="宋体" w:eastAsia="宋体" w:hint="default"/>
                <w:sz w:val="18"/>
                <w:szCs w:val="18"/>
              </w:rPr>
              <w:t>持有的文睿投资股权的锁定期限自动延长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个月。在限售期满后第一年减持所持有的文睿 投资股权不得超过所持有文睿投资股权的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，在限售期满后第二年减持所持有的文睿投</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160" w:left="1240" w:right="0"/>
        </w:sectPr>
      </w:pPr>
    </w:p>
    <w:p>
      <w:pPr>
        <w:spacing w:line="316" w:lineRule="auto" w:before="87"/>
        <w:ind w:left="5163" w:right="3399" w:firstLine="0"/>
        <w:jc w:val="both"/>
        <w:rPr>
          <w:rFonts w:ascii="宋体" w:hAnsi="宋体" w:cs="宋体" w:eastAsia="宋体" w:hint="default"/>
          <w:sz w:val="18"/>
          <w:szCs w:val="18"/>
        </w:rPr>
      </w:pPr>
      <w:r>
        <w:rPr/>
        <w:pict>
          <v:shape style="position:absolute;margin-left:615.125pt;margin-top:162.361694pt;width:91.7pt;height:46.85pt;mso-position-horizontal-relative:page;mso-position-vertical-relative:paragraph;z-index:-8652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高级管理人员，</w:t>
                  </w:r>
                </w:p>
              </w:txbxContent>
            </v:textbox>
            <w10:wrap type="none"/>
          </v:shape>
        </w:pict>
      </w:r>
      <w:r>
        <w:rPr>
          <w:rFonts w:ascii="宋体" w:hAnsi="宋体" w:cs="宋体" w:eastAsia="宋体" w:hint="default"/>
          <w:sz w:val="18"/>
          <w:szCs w:val="18"/>
        </w:rPr>
        <w:t>资股权不得超过所持有文睿投资股权余额的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，减持所持有的文睿投资股权应符合相关 法律、法规、规章的规定。谢广才、原森民减持所持有的文睿投资股权的价格根据股权转 让相关方协商确定，并应符合相关法律、法规的规定，减持时点的中文在线股票的二级市 场价格（如因派发现金红利、送股、公积金转增股本、配股等原因进行除权、除息的，须 按照中国证券监督管理委员会、深圳证券交易所的有关规定进行相应调整，下同）不得低 于发行价。在上述禁售期满后，在其任中文在线董事、监事或高级管理人员期间每年转让 文睿投资的出资不超过总数的百分之二十五；在其离职后半年内，不转让持有文睿投资的 出资；在公司股票上市之日起六个月内申报离职的，自申报离职之日起十八个月内不得转 让持有的文睿投资出资；在公司股票上市之日起第七个月至第十二个月之间申报离职的， 自申报离职之日起十二个月内不得转让持有的文睿投资出资。</w:t>
      </w:r>
    </w:p>
    <w:p>
      <w:pPr>
        <w:spacing w:after="0" w:line="316" w:lineRule="auto"/>
        <w:jc w:val="both"/>
        <w:rPr>
          <w:rFonts w:ascii="宋体" w:hAnsi="宋体" w:cs="宋体" w:eastAsia="宋体" w:hint="default"/>
          <w:sz w:val="18"/>
          <w:szCs w:val="18"/>
        </w:rPr>
        <w:sectPr>
          <w:pgSz w:w="16840" w:h="11910" w:orient="landscape"/>
          <w:pgMar w:header="867" w:footer="979" w:top="1060" w:bottom="1160" w:left="124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line="158" w:lineRule="auto" w:before="0"/>
        <w:ind w:left="1867" w:right="-19" w:firstLine="2344"/>
        <w:jc w:val="left"/>
        <w:rPr>
          <w:rFonts w:ascii="宋体" w:hAnsi="宋体" w:cs="宋体" w:eastAsia="宋体" w:hint="default"/>
          <w:sz w:val="18"/>
          <w:szCs w:val="18"/>
        </w:rPr>
      </w:pPr>
      <w:r>
        <w:rPr>
          <w:rFonts w:ascii="宋体" w:hAnsi="宋体" w:cs="宋体" w:eastAsia="宋体" w:hint="default"/>
          <w:sz w:val="18"/>
          <w:szCs w:val="18"/>
        </w:rPr>
        <w:t>关于未履 </w:t>
      </w:r>
      <w:r>
        <w:rPr>
          <w:rFonts w:ascii="宋体" w:hAnsi="宋体" w:cs="宋体" w:eastAsia="宋体" w:hint="default"/>
          <w:spacing w:val="-11"/>
          <w:sz w:val="18"/>
          <w:szCs w:val="18"/>
        </w:rPr>
        <w:t>童之磊、雷霖、周树华、张帆、</w:t>
      </w:r>
    </w:p>
    <w:p>
      <w:pPr>
        <w:spacing w:line="13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行承诺时</w:t>
      </w:r>
    </w:p>
    <w:p>
      <w:pPr>
        <w:spacing w:line="307" w:lineRule="auto" w:before="109"/>
        <w:ind w:left="191" w:right="-19" w:firstLine="0"/>
        <w:jc w:val="left"/>
        <w:rPr>
          <w:rFonts w:ascii="宋体" w:hAnsi="宋体" w:cs="宋体" w:eastAsia="宋体" w:hint="default"/>
          <w:sz w:val="18"/>
          <w:szCs w:val="18"/>
        </w:rPr>
      </w:pPr>
      <w:r>
        <w:rPr>
          <w:spacing w:val="-3"/>
        </w:rPr>
        <w:br w:type="column"/>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本公司董事、监事、高级管理人员承诺：本人作为中文在线的董事、监事、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保证将严格履行招股说明书披露的本人作出的承诺事项，同时提出未能履行承诺时的约束 </w:t>
      </w:r>
      <w:r>
        <w:rPr>
          <w:rFonts w:ascii="宋体" w:hAnsi="宋体" w:cs="宋体" w:eastAsia="宋体" w:hint="default"/>
          <w:spacing w:val="-3"/>
          <w:sz w:val="18"/>
          <w:szCs w:val="18"/>
        </w:rPr>
        <w:t>措施如下：若未履行上述承诺事项：（</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）本人将在公司股东大会及中国证监会指定报刊上</w:t>
      </w:r>
      <w:r>
        <w:rPr>
          <w:rFonts w:ascii="宋体" w:hAnsi="宋体" w:cs="宋体" w:eastAsia="宋体" w:hint="default"/>
          <w:spacing w:val="-60"/>
          <w:sz w:val="18"/>
          <w:szCs w:val="18"/>
        </w:rPr>
        <w:t> </w:t>
      </w:r>
      <w:r>
        <w:rPr>
          <w:rFonts w:ascii="宋体" w:hAnsi="宋体" w:cs="宋体" w:eastAsia="宋体" w:hint="default"/>
          <w:spacing w:val="-3"/>
          <w:sz w:val="18"/>
          <w:szCs w:val="18"/>
        </w:rPr>
        <w:t>公开说明未履行承诺的具体原因，并向公司股东和社会公众投资者道歉；（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）本人将在前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line="196" w:lineRule="exact" w:before="0"/>
        <w:ind w:left="1627" w:right="1527" w:firstLine="0"/>
        <w:jc w:val="center"/>
        <w:rPr>
          <w:rFonts w:ascii="宋体" w:hAnsi="宋体" w:cs="宋体" w:eastAsia="宋体" w:hint="default"/>
          <w:sz w:val="18"/>
          <w:szCs w:val="18"/>
        </w:rPr>
      </w:pPr>
      <w:r>
        <w:rPr>
          <w:rFonts w:ascii="宋体" w:hAnsi="宋体" w:cs="宋体" w:eastAsia="宋体" w:hint="default"/>
          <w:sz w:val="18"/>
          <w:szCs w:val="18"/>
        </w:rPr>
        <w:t>正</w:t>
      </w:r>
    </w:p>
    <w:p>
      <w:pPr>
        <w:spacing w:line="162" w:lineRule="exact" w:before="0"/>
        <w:ind w:left="6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164" w:lineRule="exact" w:before="0"/>
        <w:ind w:left="1627" w:right="1527" w:firstLine="0"/>
        <w:jc w:val="center"/>
        <w:rPr>
          <w:rFonts w:ascii="宋体" w:hAnsi="宋体" w:cs="宋体" w:eastAsia="宋体" w:hint="default"/>
          <w:sz w:val="18"/>
          <w:szCs w:val="18"/>
        </w:rPr>
      </w:pPr>
      <w:r>
        <w:rPr>
          <w:rFonts w:ascii="宋体" w:hAnsi="宋体" w:cs="宋体" w:eastAsia="宋体" w:hint="default"/>
          <w:sz w:val="18"/>
          <w:szCs w:val="18"/>
        </w:rPr>
        <w:t>在</w:t>
      </w:r>
    </w:p>
    <w:p>
      <w:pPr>
        <w:spacing w:after="0" w:line="164" w:lineRule="exact"/>
        <w:jc w:val="center"/>
        <w:rPr>
          <w:rFonts w:ascii="宋体" w:hAnsi="宋体" w:cs="宋体" w:eastAsia="宋体" w:hint="default"/>
          <w:sz w:val="18"/>
          <w:szCs w:val="18"/>
        </w:rPr>
        <w:sectPr>
          <w:type w:val="continuous"/>
          <w:pgSz w:w="16840" w:h="11910" w:orient="landscape"/>
          <w:pgMar w:top="1060" w:bottom="1160" w:left="1240" w:right="0"/>
          <w:cols w:num="3" w:equalWidth="0">
            <w:col w:w="4933" w:space="40"/>
            <w:col w:w="7213" w:space="40"/>
            <w:col w:w="3374"/>
          </w:cols>
        </w:sectPr>
      </w:pPr>
    </w:p>
    <w:p>
      <w:pPr>
        <w:spacing w:line="140" w:lineRule="exact" w:before="0"/>
        <w:ind w:left="1867" w:right="-19" w:firstLine="0"/>
        <w:jc w:val="left"/>
        <w:rPr>
          <w:rFonts w:ascii="宋体" w:hAnsi="宋体" w:cs="宋体" w:eastAsia="宋体" w:hint="default"/>
          <w:sz w:val="18"/>
          <w:szCs w:val="18"/>
        </w:rPr>
      </w:pPr>
      <w:r>
        <w:rPr>
          <w:rFonts w:ascii="宋体" w:hAnsi="宋体" w:cs="宋体" w:eastAsia="宋体" w:hint="default"/>
          <w:spacing w:val="-11"/>
          <w:sz w:val="18"/>
          <w:szCs w:val="18"/>
        </w:rPr>
        <w:t>何庆源、陈晓、姜瑞明、曹达、</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的约束措</w:t>
      </w:r>
    </w:p>
    <w:p>
      <w:pPr>
        <w:spacing w:line="194" w:lineRule="exact" w:before="0"/>
        <w:ind w:left="191"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述事项发生之日起十个交易日内</w:t>
      </w:r>
      <w:r>
        <w:rPr>
          <w:rFonts w:ascii="宋体" w:hAnsi="宋体" w:cs="宋体" w:eastAsia="宋体" w:hint="default"/>
          <w:spacing w:val="-9"/>
          <w:sz w:val="18"/>
          <w:szCs w:val="18"/>
        </w:rPr>
        <w:t>，</w:t>
      </w:r>
      <w:r>
        <w:rPr>
          <w:rFonts w:ascii="宋体" w:hAnsi="宋体" w:cs="宋体" w:eastAsia="宋体" w:hint="default"/>
          <w:sz w:val="18"/>
          <w:szCs w:val="18"/>
        </w:rPr>
        <w:t>停止领取薪</w:t>
      </w:r>
      <w:r>
        <w:rPr>
          <w:rFonts w:ascii="宋体" w:hAnsi="宋体" w:cs="宋体" w:eastAsia="宋体" w:hint="default"/>
          <w:spacing w:val="-9"/>
          <w:sz w:val="18"/>
          <w:szCs w:val="18"/>
        </w:rPr>
        <w:t>酬</w:t>
      </w:r>
      <w:r>
        <w:rPr>
          <w:rFonts w:ascii="宋体" w:hAnsi="宋体" w:cs="宋体" w:eastAsia="宋体" w:hint="default"/>
          <w:sz w:val="18"/>
          <w:szCs w:val="18"/>
        </w:rPr>
        <w:t>（若有</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同时</w:t>
      </w:r>
      <w:r>
        <w:rPr>
          <w:rFonts w:ascii="宋体" w:hAnsi="宋体" w:cs="宋体" w:eastAsia="宋体" w:hint="default"/>
          <w:spacing w:val="-9"/>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人</w:t>
      </w:r>
      <w:r>
        <w:rPr>
          <w:rFonts w:ascii="宋体" w:hAnsi="宋体" w:cs="宋体" w:eastAsia="宋体" w:hint="default"/>
          <w:sz w:val="18"/>
          <w:szCs w:val="18"/>
        </w:rPr>
        <w:t>持有的公司股</w:t>
      </w:r>
      <w:r>
        <w:rPr>
          <w:rFonts w:ascii="宋体" w:hAnsi="宋体" w:cs="宋体" w:eastAsia="宋体" w:hint="default"/>
          <w:spacing w:val="-9"/>
          <w:sz w:val="18"/>
          <w:szCs w:val="18"/>
        </w:rPr>
        <w:t>份</w:t>
      </w:r>
      <w:r>
        <w:rPr>
          <w:rFonts w:ascii="宋体" w:hAnsi="宋体" w:cs="宋体" w:eastAsia="宋体" w:hint="default"/>
          <w:sz w:val="18"/>
          <w:szCs w:val="18"/>
        </w:rPr>
        <w:t>（若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141" w:lineRule="exact" w:before="0"/>
        <w:ind w:left="19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长期有效</w:t>
      </w:r>
    </w:p>
    <w:p>
      <w:pPr>
        <w:spacing w:line="171" w:lineRule="exact" w:before="0"/>
        <w:ind w:left="1118" w:right="1525" w:firstLine="0"/>
        <w:jc w:val="center"/>
        <w:rPr>
          <w:rFonts w:ascii="宋体" w:hAnsi="宋体" w:cs="宋体" w:eastAsia="宋体" w:hint="default"/>
          <w:sz w:val="18"/>
          <w:szCs w:val="18"/>
        </w:rPr>
      </w:pPr>
      <w:r>
        <w:rPr>
          <w:rFonts w:ascii="宋体" w:hAnsi="宋体" w:cs="宋体" w:eastAsia="宋体" w:hint="default"/>
          <w:sz w:val="18"/>
          <w:szCs w:val="18"/>
        </w:rPr>
        <w:t>履</w:t>
      </w:r>
    </w:p>
    <w:p>
      <w:pPr>
        <w:spacing w:after="0" w:line="171" w:lineRule="exact"/>
        <w:jc w:val="center"/>
        <w:rPr>
          <w:rFonts w:ascii="宋体" w:hAnsi="宋体" w:cs="宋体" w:eastAsia="宋体" w:hint="default"/>
          <w:sz w:val="18"/>
          <w:szCs w:val="18"/>
        </w:rPr>
        <w:sectPr>
          <w:type w:val="continuous"/>
          <w:pgSz w:w="16840" w:h="11910" w:orient="landscape"/>
          <w:pgMar w:top="1060" w:bottom="1160" w:left="1240" w:right="0"/>
          <w:cols w:num="3" w:equalWidth="0">
            <w:col w:w="4933" w:space="40"/>
            <w:col w:w="7722" w:space="40"/>
            <w:col w:w="2865"/>
          </w:cols>
        </w:sectPr>
      </w:pPr>
    </w:p>
    <w:p>
      <w:pPr>
        <w:spacing w:line="181" w:lineRule="exact" w:before="0"/>
        <w:ind w:left="1867" w:right="-20" w:firstLine="0"/>
        <w:jc w:val="left"/>
        <w:rPr>
          <w:rFonts w:ascii="宋体" w:hAnsi="宋体" w:cs="宋体" w:eastAsia="宋体" w:hint="default"/>
          <w:sz w:val="18"/>
          <w:szCs w:val="18"/>
        </w:rPr>
      </w:pPr>
      <w:r>
        <w:rPr>
          <w:rFonts w:ascii="宋体" w:hAnsi="宋体" w:cs="宋体" w:eastAsia="宋体" w:hint="default"/>
          <w:sz w:val="18"/>
          <w:szCs w:val="18"/>
        </w:rPr>
        <w:t>任佳伟、谢广才、原森民</w:t>
      </w:r>
    </w:p>
    <w:p>
      <w:pPr>
        <w:spacing w:before="101"/>
        <w:ind w:left="32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施的承诺</w:t>
      </w:r>
    </w:p>
    <w:p>
      <w:pPr>
        <w:spacing w:line="180" w:lineRule="exact" w:before="0"/>
        <w:ind w:left="19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有）不得转让，直至本人履行完成相关承诺事项。如因本人未履行相关承诺事项，致使公</w:t>
      </w:r>
    </w:p>
    <w:p>
      <w:pPr>
        <w:spacing w:line="319" w:lineRule="auto" w:before="76"/>
        <w:ind w:left="191"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司遭受损失，或者给投资者在证券交易中造成损失的，本人将向公司或者投资者依法承担 赔偿责任。上述承诺内容系本人真实意思表示，本人自愿接受监管机构、自律组织及社会 公众的监督，若违反上述承诺，本人将依法承担相应责任。</w:t>
      </w:r>
      <w:r>
        <w:rPr>
          <w:rFonts w:ascii="Times New Roman" w:hAnsi="Times New Roman" w:cs="Times New Roman" w:eastAsia="Times New Roman" w:hint="default"/>
          <w:sz w:val="18"/>
          <w:szCs w:val="18"/>
        </w:rPr>
        <w:t>"</w:t>
      </w:r>
    </w:p>
    <w:p>
      <w:pPr>
        <w:spacing w:line="148" w:lineRule="exact" w:before="0"/>
        <w:ind w:left="65"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89" w:lineRule="exact" w:before="0"/>
        <w:ind w:left="1627" w:right="1526" w:firstLine="0"/>
        <w:jc w:val="center"/>
        <w:rPr>
          <w:rFonts w:ascii="宋体" w:hAnsi="宋体" w:cs="宋体" w:eastAsia="宋体" w:hint="default"/>
          <w:sz w:val="18"/>
          <w:szCs w:val="18"/>
        </w:rPr>
      </w:pPr>
      <w:r>
        <w:rPr>
          <w:rFonts w:ascii="宋体" w:hAnsi="宋体" w:cs="宋体" w:eastAsia="宋体" w:hint="default"/>
          <w:sz w:val="18"/>
          <w:szCs w:val="18"/>
        </w:rPr>
        <w:t>行</w:t>
      </w:r>
    </w:p>
    <w:p>
      <w:pPr>
        <w:spacing w:after="0" w:line="189" w:lineRule="exact"/>
        <w:jc w:val="center"/>
        <w:rPr>
          <w:rFonts w:ascii="宋体" w:hAnsi="宋体" w:cs="宋体" w:eastAsia="宋体" w:hint="default"/>
          <w:sz w:val="18"/>
          <w:szCs w:val="18"/>
        </w:rPr>
        <w:sectPr>
          <w:type w:val="continuous"/>
          <w:pgSz w:w="16840" w:h="11910" w:orient="landscape"/>
          <w:pgMar w:top="1060" w:bottom="1160" w:left="1240" w:right="0"/>
          <w:cols w:num="4" w:equalWidth="0">
            <w:col w:w="3848" w:space="40"/>
            <w:col w:w="1045" w:space="40"/>
            <w:col w:w="7212" w:space="40"/>
            <w:col w:w="337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line="316" w:lineRule="auto" w:before="0"/>
        <w:ind w:left="1867" w:right="-19" w:firstLine="2344"/>
        <w:jc w:val="left"/>
        <w:rPr>
          <w:rFonts w:ascii="宋体" w:hAnsi="宋体" w:cs="宋体" w:eastAsia="宋体" w:hint="default"/>
          <w:sz w:val="18"/>
          <w:szCs w:val="18"/>
        </w:rPr>
      </w:pPr>
      <w:r>
        <w:rPr>
          <w:rFonts w:ascii="宋体" w:hAnsi="宋体" w:cs="宋体" w:eastAsia="宋体" w:hint="default"/>
          <w:sz w:val="18"/>
          <w:szCs w:val="18"/>
        </w:rPr>
        <w:t>关于未履 </w:t>
      </w:r>
      <w:r>
        <w:rPr>
          <w:rFonts w:ascii="宋体" w:hAnsi="宋体" w:cs="宋体" w:eastAsia="宋体" w:hint="default"/>
          <w:spacing w:val="-5"/>
          <w:sz w:val="18"/>
          <w:szCs w:val="18"/>
        </w:rPr>
        <w:t>童之磊、上海文睿投资有限公</w:t>
      </w:r>
      <w:r>
        <w:rPr>
          <w:rFonts w:ascii="宋体" w:hAnsi="宋体" w:cs="宋体" w:eastAsia="宋体" w:hint="default"/>
          <w:spacing w:val="-22"/>
          <w:sz w:val="18"/>
          <w:szCs w:val="18"/>
        </w:rPr>
        <w:t> </w:t>
      </w:r>
      <w:r>
        <w:rPr>
          <w:rFonts w:ascii="宋体" w:hAnsi="宋体" w:cs="宋体" w:eastAsia="宋体" w:hint="default"/>
          <w:sz w:val="18"/>
          <w:szCs w:val="18"/>
        </w:rPr>
        <w:t>行承诺时</w:t>
      </w:r>
    </w:p>
    <w:p>
      <w:pPr>
        <w:spacing w:line="309" w:lineRule="auto" w:before="87"/>
        <w:ind w:left="191" w:right="0" w:firstLine="0"/>
        <w:jc w:val="both"/>
        <w:rPr>
          <w:rFonts w:ascii="宋体" w:hAnsi="宋体" w:cs="宋体" w:eastAsia="宋体" w:hint="default"/>
          <w:sz w:val="18"/>
          <w:szCs w:val="18"/>
        </w:rPr>
      </w:pPr>
      <w:r>
        <w:rPr>
          <w:spacing w:val="-3"/>
          <w:w w:val="99"/>
        </w:rPr>
        <w:br w:type="column"/>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控股股东、实际控制人童之磊以及上海文睿投资有限公司承诺：（</w:t>
      </w:r>
      <w:r>
        <w:rPr>
          <w:rFonts w:ascii="Times New Roman" w:hAnsi="Times New Roman" w:cs="Times New Roman" w:eastAsia="Times New Roman" w:hint="default"/>
          <w:spacing w:val="-3"/>
          <w:w w:val="99"/>
          <w:sz w:val="18"/>
          <w:szCs w:val="18"/>
        </w:rPr>
        <w:t>1</w:t>
      </w:r>
      <w:r>
        <w:rPr>
          <w:rFonts w:ascii="宋体" w:hAnsi="宋体" w:cs="宋体" w:eastAsia="宋体" w:hint="default"/>
          <w:spacing w:val="-3"/>
          <w:w w:val="99"/>
          <w:sz w:val="18"/>
          <w:szCs w:val="18"/>
        </w:rPr>
        <w:t>）童之磊及文睿投资将</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依法履行中文在线首次公开发行股票并上市招股说明书披露的童之磊、文睿投资作出的承 </w:t>
      </w:r>
      <w:r>
        <w:rPr>
          <w:rFonts w:ascii="宋体" w:hAnsi="宋体" w:cs="宋体" w:eastAsia="宋体" w:hint="default"/>
          <w:spacing w:val="-3"/>
          <w:sz w:val="18"/>
          <w:szCs w:val="18"/>
        </w:rPr>
        <w:t>诺事项；（</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）如未履行上述承诺事项，童之磊及文睿投资将在中文在线的股东大会和中国</w:t>
      </w:r>
      <w:r>
        <w:rPr>
          <w:rFonts w:ascii="宋体" w:hAnsi="宋体" w:cs="宋体" w:eastAsia="宋体" w:hint="default"/>
          <w:spacing w:val="-60"/>
          <w:sz w:val="18"/>
          <w:szCs w:val="18"/>
        </w:rPr>
        <w:t> </w:t>
      </w:r>
      <w:r>
        <w:rPr>
          <w:rFonts w:ascii="宋体" w:hAnsi="宋体" w:cs="宋体" w:eastAsia="宋体" w:hint="default"/>
          <w:sz w:val="18"/>
          <w:szCs w:val="18"/>
        </w:rPr>
        <w:t>证券监督管理委员会指定的报刊上公开说明未履行承诺的具体原因，并向中文在线的股东 </w:t>
      </w:r>
      <w:r>
        <w:rPr>
          <w:rFonts w:ascii="宋体" w:hAnsi="宋体" w:cs="宋体" w:eastAsia="宋体" w:hint="default"/>
          <w:spacing w:val="-3"/>
          <w:sz w:val="18"/>
          <w:szCs w:val="18"/>
        </w:rPr>
        <w:t>和社会公众投资者道歉；（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）如因未履行上述承诺事项给中文在线或者其他投资者造成损</w:t>
      </w:r>
    </w:p>
    <w:p>
      <w:pPr>
        <w:spacing w:line="192" w:lineRule="exact" w:before="5"/>
        <w:ind w:left="191" w:right="0" w:firstLine="0"/>
        <w:jc w:val="both"/>
        <w:rPr>
          <w:rFonts w:ascii="宋体" w:hAnsi="宋体" w:cs="宋体" w:eastAsia="宋体" w:hint="default"/>
          <w:sz w:val="18"/>
          <w:szCs w:val="18"/>
        </w:rPr>
      </w:pPr>
      <w:r>
        <w:rPr>
          <w:rFonts w:ascii="宋体" w:hAnsi="宋体" w:cs="宋体" w:eastAsia="宋体" w:hint="default"/>
          <w:sz w:val="18"/>
          <w:szCs w:val="18"/>
        </w:rPr>
        <w:t>失的，童之磊及文睿投资将向中文在线或者其他投资者依法承担赔偿责任。如童之磊及文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1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212" w:lineRule="exact" w:before="63"/>
        <w:ind w:left="1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0" w:lineRule="atLeast" w:before="142"/>
        <w:ind w:left="958" w:right="1544" w:firstLine="0"/>
        <w:jc w:val="center"/>
        <w:rPr>
          <w:rFonts w:ascii="宋体" w:hAnsi="宋体" w:cs="宋体" w:eastAsia="宋体" w:hint="default"/>
          <w:sz w:val="18"/>
          <w:szCs w:val="18"/>
        </w:rPr>
      </w:pPr>
      <w:r>
        <w:rPr>
          <w:rFonts w:ascii="宋体" w:hAnsi="宋体" w:cs="宋体" w:eastAsia="宋体" w:hint="default"/>
          <w:sz w:val="18"/>
          <w:szCs w:val="18"/>
        </w:rPr>
        <w:t>正 在</w:t>
      </w:r>
    </w:p>
    <w:p>
      <w:pPr>
        <w:spacing w:line="132" w:lineRule="exact" w:before="0"/>
        <w:ind w:left="16" w:right="0" w:firstLine="0"/>
        <w:jc w:val="left"/>
        <w:rPr>
          <w:rFonts w:ascii="宋体" w:hAnsi="宋体" w:cs="宋体" w:eastAsia="宋体" w:hint="default"/>
          <w:sz w:val="18"/>
          <w:szCs w:val="18"/>
        </w:rPr>
      </w:pPr>
      <w:r>
        <w:rPr>
          <w:rFonts w:ascii="宋体" w:hAnsi="宋体" w:cs="宋体" w:eastAsia="宋体" w:hint="default"/>
          <w:sz w:val="18"/>
          <w:szCs w:val="18"/>
        </w:rPr>
        <w:t>长期有效</w:t>
      </w:r>
    </w:p>
    <w:p>
      <w:pPr>
        <w:spacing w:after="0" w:line="132" w:lineRule="exact"/>
        <w:jc w:val="left"/>
        <w:rPr>
          <w:rFonts w:ascii="宋体" w:hAnsi="宋体" w:cs="宋体" w:eastAsia="宋体" w:hint="default"/>
          <w:sz w:val="18"/>
          <w:szCs w:val="18"/>
        </w:rPr>
        <w:sectPr>
          <w:type w:val="continuous"/>
          <w:pgSz w:w="16840" w:h="11910" w:orient="landscape"/>
          <w:pgMar w:top="1060" w:bottom="1160" w:left="1240" w:right="0"/>
          <w:cols w:num="4" w:equalWidth="0">
            <w:col w:w="4933" w:space="40"/>
            <w:col w:w="7263" w:space="40"/>
            <w:col w:w="599" w:space="40"/>
            <w:col w:w="2685"/>
          </w:cols>
        </w:sectPr>
      </w:pPr>
    </w:p>
    <w:p>
      <w:pPr>
        <w:tabs>
          <w:tab w:pos="2344" w:val="left" w:leader="none"/>
        </w:tabs>
        <w:spacing w:line="181" w:lineRule="exact" w:before="0"/>
        <w:ind w:left="0" w:right="0" w:firstLine="0"/>
        <w:jc w:val="right"/>
        <w:rPr>
          <w:rFonts w:ascii="宋体" w:hAnsi="宋体" w:cs="宋体" w:eastAsia="宋体" w:hint="default"/>
          <w:sz w:val="18"/>
          <w:szCs w:val="18"/>
        </w:rPr>
      </w:pPr>
      <w:r>
        <w:rPr/>
        <w:pict>
          <v:group style="position:absolute;margin-left:67pt;margin-top:20.700012pt;width:704.85pt;height:514.35pt;mso-position-horizontal-relative:page;mso-position-vertical-relative:page;z-index:-865264" coordorigin="1340,414" coordsize="14097,10287">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shape style="position:absolute;left:1340;top:414;width:1720;height:853" type="#_x0000_t75" stroked="false">
                <v:imagedata r:id="rId9" o:title=""/>
              </v:shape>
            </v:group>
            <v:group style="position:absolute;left:1417;top:1144;width:1658;height:3162" coordorigin="1417,1144" coordsize="1658,3162">
              <v:shape style="position:absolute;left:1417;top:1144;width:1658;height:3162" coordorigin="1417,1144" coordsize="1658,3162" path="m1417,4305l3075,4305,3075,1144,1417,1144,1417,4305xe" filled="true" fillcolor="#d2d2d2" stroked="false">
                <v:path arrowok="t"/>
                <v:fill type="solid"/>
              </v:shape>
            </v:group>
            <v:group style="position:absolute;left:1417;top:1139;width:1658;height:2" coordorigin="1417,1139" coordsize="1658,2">
              <v:shape style="position:absolute;left:1417;top:1139;width:1658;height:2" coordorigin="1417,1139" coordsize="1658,0" path="m1417,1139l3075,1139e" filled="false" stroked="true" strokeweight=".48pt" strokecolor="#000000">
                <v:path arrowok="t"/>
              </v:shape>
            </v:group>
            <v:group style="position:absolute;left:3084;top:1139;width:2336;height:2" coordorigin="3084,1139" coordsize="2336,2">
              <v:shape style="position:absolute;left:3084;top:1139;width:2336;height:2" coordorigin="3084,1139" coordsize="2336,0" path="m3084,1139l5420,1139e" filled="false" stroked="true" strokeweight=".48pt" strokecolor="#000000">
                <v:path arrowok="t"/>
              </v:shape>
            </v:group>
            <v:group style="position:absolute;left:5429;top:1139;width:942;height:2" coordorigin="5429,1139" coordsize="942,2">
              <v:shape style="position:absolute;left:5429;top:1139;width:942;height:2" coordorigin="5429,1139" coordsize="942,0" path="m5429,1139l6371,1139e" filled="false" stroked="true" strokeweight=".48pt" strokecolor="#000000">
                <v:path arrowok="t"/>
              </v:shape>
            </v:group>
            <v:group style="position:absolute;left:6381;top:1139;width:7117;height:2" coordorigin="6381,1139" coordsize="7117,2">
              <v:shape style="position:absolute;left:6381;top:1139;width:7117;height:2" coordorigin="6381,1139" coordsize="7117,0" path="m6381,1139l13497,1139e" filled="false" stroked="true" strokeweight=".48pt" strokecolor="#000000">
                <v:path arrowok="t"/>
              </v:shape>
            </v:group>
            <v:group style="position:absolute;left:13507;top:1139;width:630;height:2" coordorigin="13507,1139" coordsize="630,2">
              <v:shape style="position:absolute;left:13507;top:1139;width:630;height:2" coordorigin="13507,1139" coordsize="630,0" path="m13507,1139l14136,1139e" filled="false" stroked="true" strokeweight=".48pt" strokecolor="#000000">
                <v:path arrowok="t"/>
              </v:shape>
            </v:group>
            <v:group style="position:absolute;left:14146;top:1139;width:934;height:2" coordorigin="14146,1139" coordsize="934,2">
              <v:shape style="position:absolute;left:14146;top:1139;width:934;height:2" coordorigin="14146,1139" coordsize="934,0" path="m14146,1139l15079,1139e" filled="false" stroked="true" strokeweight=".48pt" strokecolor="#000000">
                <v:path arrowok="t"/>
              </v:shape>
            </v:group>
            <v:group style="position:absolute;left:15089;top:1139;width:334;height:2" coordorigin="15089,1139" coordsize="334,2">
              <v:shape style="position:absolute;left:15089;top:1139;width:334;height:2" coordorigin="15089,1139" coordsize="334,0" path="m15089,1139l15422,1139e" filled="false" stroked="true" strokeweight=".48pt" strokecolor="#000000">
                <v:path arrowok="t"/>
              </v:shape>
            </v:group>
            <v:group style="position:absolute;left:1417;top:4305;width:1658;height:2899" coordorigin="1417,4305" coordsize="1658,2899">
              <v:shape style="position:absolute;left:1417;top:4305;width:1658;height:2899" coordorigin="1417,4305" coordsize="1658,2899" path="m1417,7203l3075,7203,3075,4305,1417,4305,1417,7203xe" filled="true" fillcolor="#d2d2d2" stroked="false">
                <v:path arrowok="t"/>
                <v:fill type="solid"/>
              </v:shape>
            </v:group>
            <v:group style="position:absolute;left:5441;top:5095;width:2;height:1329" coordorigin="5441,5095" coordsize="2,1329">
              <v:shape style="position:absolute;left:5441;top:5095;width:2;height:1329" coordorigin="5441,5095" coordsize="0,1329" path="m5441,5095l5441,6423e" filled="false" stroked="true" strokeweight="1.140pt" strokecolor="#ffffff">
                <v:path arrowok="t"/>
              </v:shape>
            </v:group>
            <v:group style="position:absolute;left:5452;top:5095;width:896;height:352" coordorigin="5452,5095" coordsize="896,352">
              <v:shape style="position:absolute;left:5452;top:5095;width:896;height:352" coordorigin="5452,5095" coordsize="896,352" path="m5452,5446l6347,5446,6347,5095,5452,5095,5452,5446xe" filled="true" fillcolor="#ffffff" stroked="false">
                <v:path arrowok="t"/>
                <v:fill type="solid"/>
              </v:shape>
            </v:group>
            <v:group style="position:absolute;left:5452;top:5446;width:896;height:312" coordorigin="5452,5446" coordsize="896,312">
              <v:shape style="position:absolute;left:5452;top:5446;width:896;height:312" coordorigin="5452,5446" coordsize="896,312" path="m5452,5758l6347,5758,6347,5446,5452,5446,5452,5758xe" filled="true" fillcolor="#ffffff" stroked="false">
                <v:path arrowok="t"/>
                <v:fill type="solid"/>
              </v:shape>
            </v:group>
            <v:group style="position:absolute;left:5452;top:5758;width:896;height:312" coordorigin="5452,5758" coordsize="896,312">
              <v:shape style="position:absolute;left:5452;top:5758;width:896;height:312" coordorigin="5452,5758" coordsize="896,312" path="m5452,6070l6347,6070,6347,5758,5452,5758,5452,6070xe" filled="true" fillcolor="#ffffff" stroked="false">
                <v:path arrowok="t"/>
                <v:fill type="solid"/>
              </v:shape>
            </v:group>
            <v:group style="position:absolute;left:13507;top:4314;width:630;height:937" coordorigin="13507,4314" coordsize="630,937">
              <v:shape style="position:absolute;left:13507;top:4314;width:630;height:937" coordorigin="13507,4314" coordsize="630,937" path="m13507,5251l14136,5251,14136,4314,13507,4314,13507,5251xe" filled="true" fillcolor="#ffffff" stroked="false">
                <v:path arrowok="t"/>
                <v:fill type="solid"/>
              </v:shape>
            </v:group>
            <v:group style="position:absolute;left:3084;top:4310;width:2336;height:2" coordorigin="3084,4310" coordsize="2336,2">
              <v:shape style="position:absolute;left:3084;top:4310;width:2336;height:2" coordorigin="3084,4310" coordsize="2336,0" path="m3084,4310l5420,4310e" filled="false" stroked="true" strokeweight=".48pt" strokecolor="#000000">
                <v:path arrowok="t"/>
              </v:shape>
            </v:group>
            <v:group style="position:absolute;left:5429;top:4310;width:942;height:2" coordorigin="5429,4310" coordsize="942,2">
              <v:shape style="position:absolute;left:5429;top:4310;width:942;height:2" coordorigin="5429,4310" coordsize="942,0" path="m5429,4310l6371,4310e" filled="false" stroked="true" strokeweight=".48pt" strokecolor="#000000">
                <v:path arrowok="t"/>
              </v:shape>
            </v:group>
            <v:group style="position:absolute;left:6381;top:4310;width:7117;height:2" coordorigin="6381,4310" coordsize="7117,2">
              <v:shape style="position:absolute;left:6381;top:4310;width:7117;height:2" coordorigin="6381,4310" coordsize="7117,0" path="m6381,4310l13497,4310e" filled="false" stroked="true" strokeweight=".48pt" strokecolor="#000000">
                <v:path arrowok="t"/>
              </v:shape>
            </v:group>
            <v:group style="position:absolute;left:13507;top:4310;width:630;height:2" coordorigin="13507,4310" coordsize="630,2">
              <v:shape style="position:absolute;left:13507;top:4310;width:630;height:2" coordorigin="13507,4310" coordsize="630,0" path="m13507,4310l14136,4310e" filled="false" stroked="true" strokeweight=".48pt" strokecolor="#000000">
                <v:path arrowok="t"/>
              </v:shape>
            </v:group>
            <v:group style="position:absolute;left:14146;top:4310;width:934;height:2" coordorigin="14146,4310" coordsize="934,2">
              <v:shape style="position:absolute;left:14146;top:4310;width:934;height:2" coordorigin="14146,4310" coordsize="934,0" path="m14146,4310l15079,4310e" filled="false" stroked="true" strokeweight=".48pt" strokecolor="#000000">
                <v:path arrowok="t"/>
              </v:shape>
            </v:group>
            <v:group style="position:absolute;left:15089;top:4310;width:334;height:2" coordorigin="15089,4310" coordsize="334,2">
              <v:shape style="position:absolute;left:15089;top:4310;width:334;height:2" coordorigin="15089,4310" coordsize="334,0" path="m15089,4310l15422,4310e" filled="false" stroked="true" strokeweight=".48pt" strokecolor="#000000">
                <v:path arrowok="t"/>
              </v:shape>
            </v:group>
            <v:group style="position:absolute;left:1417;top:7203;width:1658;height:3482" coordorigin="1417,7203" coordsize="1658,3482">
              <v:shape style="position:absolute;left:1417;top:7203;width:1658;height:3482" coordorigin="1417,7203" coordsize="1658,3482" path="m1417,10685l3075,10685,3075,7203,1417,7203,1417,10685xe" filled="true" fillcolor="#d2d2d2" stroked="false">
                <v:path arrowok="t"/>
                <v:fill type="solid"/>
              </v:shape>
            </v:group>
            <v:group style="position:absolute;left:3084;top:7208;width:2336;height:2" coordorigin="3084,7208" coordsize="2336,2">
              <v:shape style="position:absolute;left:3084;top:7208;width:2336;height:2" coordorigin="3084,7208" coordsize="2336,0" path="m3084,7208l5420,7208e" filled="false" stroked="true" strokeweight=".48pt" strokecolor="#000000">
                <v:path arrowok="t"/>
              </v:shape>
            </v:group>
            <v:group style="position:absolute;left:5429;top:7208;width:942;height:2" coordorigin="5429,7208" coordsize="942,2">
              <v:shape style="position:absolute;left:5429;top:7208;width:942;height:2" coordorigin="5429,7208" coordsize="942,0" path="m5429,7208l6371,7208e" filled="false" stroked="true" strokeweight=".48pt" strokecolor="#000000">
                <v:path arrowok="t"/>
              </v:shape>
            </v:group>
            <v:group style="position:absolute;left:6381;top:7208;width:7117;height:2" coordorigin="6381,7208" coordsize="7117,2">
              <v:shape style="position:absolute;left:6381;top:7208;width:7117;height:2" coordorigin="6381,7208" coordsize="7117,0" path="m6381,7208l13497,7208e" filled="false" stroked="true" strokeweight=".48pt" strokecolor="#000000">
                <v:path arrowok="t"/>
              </v:shape>
            </v:group>
            <v:group style="position:absolute;left:13507;top:7208;width:630;height:2" coordorigin="13507,7208" coordsize="630,2">
              <v:shape style="position:absolute;left:13507;top:7208;width:630;height:2" coordorigin="13507,7208" coordsize="630,0" path="m13507,7208l14136,7208e" filled="false" stroked="true" strokeweight=".48pt" strokecolor="#000000">
                <v:path arrowok="t"/>
              </v:shape>
            </v:group>
            <v:group style="position:absolute;left:14146;top:7208;width:934;height:2" coordorigin="14146,7208" coordsize="934,2">
              <v:shape style="position:absolute;left:14146;top:7208;width:934;height:2" coordorigin="14146,7208" coordsize="934,0" path="m14146,7208l15079,7208e" filled="false" stroked="true" strokeweight=".48pt" strokecolor="#000000">
                <v:path arrowok="t"/>
              </v:shape>
            </v:group>
            <v:group style="position:absolute;left:15089;top:7208;width:334;height:2" coordorigin="15089,7208" coordsize="334,2">
              <v:shape style="position:absolute;left:15089;top:7208;width:334;height:2" coordorigin="15089,7208" coordsize="334,0" path="m15089,7208l15422,7208e" filled="false" stroked="true" strokeweight=".48pt" strokecolor="#000000">
                <v:path arrowok="t"/>
              </v:shape>
            </v:group>
            <v:group style="position:absolute;left:1412;top:1134;width:2;height:9562" coordorigin="1412,1134" coordsize="2,9562">
              <v:shape style="position:absolute;left:1412;top:1134;width:2;height:9562" coordorigin="1412,1134" coordsize="0,9562" path="m1412,1134l1412,10696e" filled="false" stroked="true" strokeweight=".48pt" strokecolor="#000000">
                <v:path arrowok="t"/>
              </v:shape>
            </v:group>
            <v:group style="position:absolute;left:1417;top:10691;width:1658;height:2" coordorigin="1417,10691" coordsize="1658,2">
              <v:shape style="position:absolute;left:1417;top:10691;width:1658;height:2" coordorigin="1417,10691" coordsize="1658,0" path="m1417,10691l3075,10691e" filled="false" stroked="true" strokeweight=".48pt" strokecolor="#000000">
                <v:path arrowok="t"/>
              </v:shape>
            </v:group>
            <v:group style="position:absolute;left:3080;top:1134;width:2;height:9562" coordorigin="3080,1134" coordsize="2,9562">
              <v:shape style="position:absolute;left:3080;top:1134;width:2;height:9562" coordorigin="3080,1134" coordsize="0,9562" path="m3080,1134l3080,10696e" filled="false" stroked="true" strokeweight=".48pt" strokecolor="#000000">
                <v:path arrowok="t"/>
              </v:shape>
            </v:group>
            <v:group style="position:absolute;left:3084;top:10691;width:2336;height:2" coordorigin="3084,10691" coordsize="2336,2">
              <v:shape style="position:absolute;left:3084;top:10691;width:2336;height:2" coordorigin="3084,10691" coordsize="2336,0" path="m3084,10691l5420,10691e" filled="false" stroked="true" strokeweight=".48pt" strokecolor="#000000">
                <v:path arrowok="t"/>
              </v:shape>
            </v:group>
            <v:group style="position:absolute;left:5424;top:1134;width:2;height:9562" coordorigin="5424,1134" coordsize="2,9562">
              <v:shape style="position:absolute;left:5424;top:1134;width:2;height:9562" coordorigin="5424,1134" coordsize="0,9562" path="m5424,1134l5424,10696e" filled="false" stroked="true" strokeweight=".48pt" strokecolor="#000000">
                <v:path arrowok="t"/>
              </v:shape>
            </v:group>
            <v:group style="position:absolute;left:5429;top:10691;width:942;height:2" coordorigin="5429,10691" coordsize="942,2">
              <v:shape style="position:absolute;left:5429;top:10691;width:942;height:2" coordorigin="5429,10691" coordsize="942,0" path="m5429,10691l6371,10691e" filled="false" stroked="true" strokeweight=".48pt" strokecolor="#000000">
                <v:path arrowok="t"/>
              </v:shape>
            </v:group>
            <v:group style="position:absolute;left:6376;top:1134;width:2;height:9562" coordorigin="6376,1134" coordsize="2,9562">
              <v:shape style="position:absolute;left:6376;top:1134;width:2;height:9562" coordorigin="6376,1134" coordsize="0,9562" path="m6376,1134l6376,10696e" filled="false" stroked="true" strokeweight=".48pt" strokecolor="#000000">
                <v:path arrowok="t"/>
              </v:shape>
            </v:group>
            <v:group style="position:absolute;left:6381;top:10691;width:7117;height:2" coordorigin="6381,10691" coordsize="7117,2">
              <v:shape style="position:absolute;left:6381;top:10691;width:7117;height:2" coordorigin="6381,10691" coordsize="7117,0" path="m6381,10691l13497,10691e" filled="false" stroked="true" strokeweight=".48pt" strokecolor="#000000">
                <v:path arrowok="t"/>
              </v:shape>
            </v:group>
            <v:group style="position:absolute;left:13502;top:1134;width:2;height:9562" coordorigin="13502,1134" coordsize="2,9562">
              <v:shape style="position:absolute;left:13502;top:1134;width:2;height:9562" coordorigin="13502,1134" coordsize="0,9562" path="m13502,1134l13502,10696e" filled="false" stroked="true" strokeweight=".48pt" strokecolor="#000000">
                <v:path arrowok="t"/>
              </v:shape>
            </v:group>
            <v:group style="position:absolute;left:13507;top:10691;width:630;height:2" coordorigin="13507,10691" coordsize="630,2">
              <v:shape style="position:absolute;left:13507;top:10691;width:630;height:2" coordorigin="13507,10691" coordsize="630,0" path="m13507,10691l14136,10691e" filled="false" stroked="true" strokeweight=".48pt" strokecolor="#000000">
                <v:path arrowok="t"/>
              </v:shape>
            </v:group>
            <v:group style="position:absolute;left:14141;top:1134;width:2;height:9562" coordorigin="14141,1134" coordsize="2,9562">
              <v:shape style="position:absolute;left:14141;top:1134;width:2;height:9562" coordorigin="14141,1134" coordsize="0,9562" path="m14141,1134l14141,10696e" filled="false" stroked="true" strokeweight=".48pt" strokecolor="#000000">
                <v:path arrowok="t"/>
              </v:shape>
            </v:group>
            <v:group style="position:absolute;left:14146;top:10691;width:934;height:2" coordorigin="14146,10691" coordsize="934,2">
              <v:shape style="position:absolute;left:14146;top:10691;width:934;height:2" coordorigin="14146,10691" coordsize="934,0" path="m14146,10691l15079,10691e" filled="false" stroked="true" strokeweight=".48pt" strokecolor="#000000">
                <v:path arrowok="t"/>
              </v:shape>
            </v:group>
            <v:group style="position:absolute;left:15084;top:1134;width:2;height:9562" coordorigin="15084,1134" coordsize="2,9562">
              <v:shape style="position:absolute;left:15084;top:1134;width:2;height:9562" coordorigin="15084,1134" coordsize="0,9562" path="m15084,1134l15084,10696e" filled="false" stroked="true" strokeweight=".48pt" strokecolor="#000000">
                <v:path arrowok="t"/>
              </v:shape>
            </v:group>
            <v:group style="position:absolute;left:15089;top:10691;width:334;height:2" coordorigin="15089,10691" coordsize="334,2">
              <v:shape style="position:absolute;left:15089;top:10691;width:334;height:2" coordorigin="15089,10691" coordsize="334,0" path="m15089,10691l15422,10691e" filled="false" stroked="true" strokeweight=".48pt" strokecolor="#000000">
                <v:path arrowok="t"/>
              </v:shape>
            </v:group>
            <v:group style="position:absolute;left:15427;top:1134;width:2;height:9562" coordorigin="15427,1134" coordsize="2,9562">
              <v:shape style="position:absolute;left:15427;top:1134;width:2;height:9562" coordorigin="15427,1134" coordsize="0,9562" path="m15427,1134l15427,10696e" filled="false" stroked="true" strokeweight=".48pt" strokecolor="#000000">
                <v:path arrowok="t"/>
              </v:shape>
            </v:group>
            <w10:wrap type="none"/>
          </v:group>
        </w:pict>
      </w:r>
      <w:r>
        <w:rPr>
          <w:rFonts w:ascii="宋体" w:hAnsi="宋体" w:cs="宋体" w:eastAsia="宋体" w:hint="default"/>
          <w:sz w:val="18"/>
          <w:szCs w:val="18"/>
        </w:rPr>
        <w:t>司</w:t>
        <w:tab/>
        <w:t>的约束措</w:t>
      </w: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施的承诺</w:t>
      </w:r>
    </w:p>
    <w:p>
      <w:pPr>
        <w:spacing w:line="312" w:lineRule="exact" w:before="80"/>
        <w:ind w:left="19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睿投资未承担前述赔偿责任，则童之磊及文睿投资持有的中文在线首次公开发行前股份在 童之磊、文睿投资履行完毕前述赔偿责任之前不得转让，同时中文在线有权扣减童之磊、 </w:t>
      </w:r>
      <w:r>
        <w:rPr>
          <w:rFonts w:ascii="宋体" w:hAnsi="宋体" w:cs="宋体" w:eastAsia="宋体" w:hint="default"/>
          <w:spacing w:val="-3"/>
          <w:sz w:val="18"/>
          <w:szCs w:val="18"/>
        </w:rPr>
        <w:t>文睿投资所获分配的现金红利用于承担前述赔偿责任；（</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）在童之磊作为中文在线控股股</w:t>
      </w:r>
      <w:r>
        <w:rPr>
          <w:rFonts w:ascii="宋体" w:hAnsi="宋体" w:cs="宋体" w:eastAsia="宋体" w:hint="default"/>
          <w:spacing w:val="-60"/>
          <w:sz w:val="18"/>
          <w:szCs w:val="18"/>
        </w:rPr>
        <w:t> </w:t>
      </w:r>
      <w:r>
        <w:rPr>
          <w:rFonts w:ascii="宋体" w:hAnsi="宋体" w:cs="宋体" w:eastAsia="宋体" w:hint="default"/>
          <w:sz w:val="18"/>
          <w:szCs w:val="18"/>
        </w:rPr>
        <w:t>东、实际控制人期间，童之磊、文睿投资若未履行招股说明书披露的承诺事项，给投资者 造成损失的，童之磊、文睿投资承诺依法承担赔偿责任。上述承诺内容系童之磊及文睿投</w:t>
      </w:r>
    </w:p>
    <w:p>
      <w:pPr>
        <w:spacing w:line="141" w:lineRule="exact" w:before="0"/>
        <w:ind w:left="1627" w:right="152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履</w:t>
      </w:r>
    </w:p>
    <w:p>
      <w:pPr>
        <w:spacing w:line="163" w:lineRule="exact" w:before="0"/>
        <w:ind w:left="6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89" w:lineRule="exact" w:before="0"/>
        <w:ind w:left="1627" w:right="1527" w:firstLine="0"/>
        <w:jc w:val="center"/>
        <w:rPr>
          <w:rFonts w:ascii="宋体" w:hAnsi="宋体" w:cs="宋体" w:eastAsia="宋体" w:hint="default"/>
          <w:sz w:val="18"/>
          <w:szCs w:val="18"/>
        </w:rPr>
      </w:pPr>
      <w:r>
        <w:rPr>
          <w:rFonts w:ascii="宋体" w:hAnsi="宋体" w:cs="宋体" w:eastAsia="宋体" w:hint="default"/>
          <w:sz w:val="18"/>
          <w:szCs w:val="18"/>
        </w:rPr>
        <w:t>行</w:t>
      </w:r>
    </w:p>
    <w:p>
      <w:pPr>
        <w:spacing w:after="0" w:line="189" w:lineRule="exact"/>
        <w:jc w:val="center"/>
        <w:rPr>
          <w:rFonts w:ascii="宋体" w:hAnsi="宋体" w:cs="宋体" w:eastAsia="宋体" w:hint="default"/>
          <w:sz w:val="18"/>
          <w:szCs w:val="18"/>
        </w:rPr>
        <w:sectPr>
          <w:type w:val="continuous"/>
          <w:pgSz w:w="16840" w:h="11910" w:orient="landscape"/>
          <w:pgMar w:top="1060" w:bottom="1160" w:left="1240" w:right="0"/>
          <w:cols w:num="3" w:equalWidth="0">
            <w:col w:w="4933" w:space="40"/>
            <w:col w:w="7213" w:space="40"/>
            <w:col w:w="3374"/>
          </w:cols>
        </w:sectPr>
      </w:pPr>
    </w:p>
    <w:p>
      <w:pPr>
        <w:spacing w:line="240" w:lineRule="auto" w:before="4"/>
        <w:rPr>
          <w:rFonts w:ascii="Times New Roman" w:hAnsi="Times New Roman" w:cs="Times New Roman" w:eastAsia="Times New Roman" w:hint="default"/>
          <w:sz w:val="3"/>
          <w:szCs w:val="3"/>
        </w:rPr>
      </w:pPr>
      <w:r>
        <w:rPr/>
        <w:pict>
          <v:shape style="position:absolute;margin-left:67pt;margin-top:20.700012pt;width:86pt;height:42.649994pt;mso-position-horizontal-relative:page;mso-position-vertical-relative:page;z-index:-865240" type="#_x0000_t75" stroked="false">
            <v:imagedata r:id="rId9" o:title=""/>
          </v:shape>
        </w:pict>
      </w:r>
      <w:r>
        <w:rPr/>
        <w:pict>
          <v:group style="position:absolute;margin-left:675.340027pt;margin-top:90.920006pt;width:31.5pt;height:103.4pt;mso-position-horizontal-relative:page;mso-position-vertical-relative:page;z-index:-865216" coordorigin="13507,1818" coordsize="630,2068">
            <v:group style="position:absolute;left:13507;top:1818;width:630;height:1716" coordorigin="13507,1818" coordsize="630,1716">
              <v:shape style="position:absolute;left:13507;top:1818;width:630;height:1716" coordorigin="13507,1818" coordsize="630,1716" path="m13507,3534l14136,3534,14136,1818,13507,1818,13507,3534xe" filled="true" fillcolor="#ffffff" stroked="false">
                <v:path arrowok="t"/>
                <v:fill type="solid"/>
              </v:shape>
            </v:group>
            <v:group style="position:absolute;left:13530;top:3534;width:584;height:352" coordorigin="13530,3534" coordsize="584,352">
              <v:shape style="position:absolute;left:13530;top:3534;width:584;height:352" coordorigin="13530,3534" coordsize="584,352" path="m13530,3886l14113,3886,14113,3534,13530,3534,13530,3886xe" filled="true" fillcolor="#ffffff" stroked="false">
                <v:path arrowok="t"/>
                <v:fill type="solid"/>
              </v:shape>
            </v:group>
            <w10:wrap type="none"/>
          </v:group>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689"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资的真实意思表示，童之磊及文睿投资自愿接受监管机构、自律组织及社会公众的监督， 若违反上述承诺，童之磊及文睿投资将依法承担相应责任。</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
        </w:tc>
        <w:tc>
          <w:tcPr>
            <w:tcW w:w="943" w:type="dxa"/>
            <w:tcBorders>
              <w:top w:val="single" w:sz="15" w:space="0" w:color="000000"/>
              <w:left w:val="single" w:sz="4" w:space="0" w:color="000000"/>
              <w:bottom w:val="single" w:sz="4" w:space="0" w:color="000000"/>
              <w:right w:val="single" w:sz="4" w:space="0" w:color="000000"/>
            </w:tcBorders>
          </w:tcPr>
          <w:p>
            <w:pPr/>
          </w:p>
        </w:tc>
        <w:tc>
          <w:tcPr>
            <w:tcW w:w="343"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nil" w:sz="6" w:space="0" w:color="auto"/>
              <w:right w:val="single" w:sz="4" w:space="0" w:color="000000"/>
            </w:tcBorders>
          </w:tcPr>
          <w:p>
            <w:pPr/>
          </w:p>
        </w:tc>
        <w:tc>
          <w:tcPr>
            <w:tcW w:w="952" w:type="dxa"/>
            <w:tcBorders>
              <w:top w:val="single" w:sz="4" w:space="0" w:color="000000"/>
              <w:left w:val="single" w:sz="4" w:space="0" w:color="000000"/>
              <w:bottom w:val="nil" w:sz="6" w:space="0" w:color="auto"/>
              <w:right w:val="single" w:sz="4" w:space="0" w:color="000000"/>
            </w:tcBorders>
          </w:tcPr>
          <w:p>
            <w:pPr/>
          </w:p>
        </w:tc>
        <w:tc>
          <w:tcPr>
            <w:tcW w:w="7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启迪华创、王秋虎、华睿海越创投承诺：在限售期满后第一年减持所持有的中文在线股份</w:t>
            </w:r>
          </w:p>
        </w:tc>
        <w:tc>
          <w:tcPr>
            <w:tcW w:w="639"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311"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数量总计不超过本公司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本人所持中文在线股份总数的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，在限售期满后第二年减持所持</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有的中文在线股份数量总计不超过本公司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本人所持中文在线股份余额的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；减持所持有</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的中文在线股份的价格根据当时的二级市场价格确定，并应符合相关法律、法规的规定，</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减持时点的中文在线股票的二级市场价格不得低于发行价的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；减持所持有的中文在线</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1249"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北京启迪华创投资咨询有限 </w:t>
            </w:r>
            <w:r>
              <w:rPr>
                <w:rFonts w:ascii="宋体" w:hAnsi="宋体" w:cs="宋体" w:eastAsia="宋体" w:hint="default"/>
                <w:spacing w:val="-5"/>
                <w:sz w:val="18"/>
                <w:szCs w:val="18"/>
              </w:rPr>
              <w:t>公司、王秋虎、浙江华睿海越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现代服务业创业投资有限公 司</w:t>
            </w:r>
            <w:r>
              <w:rPr>
                <w:rFonts w:ascii="Times New Roman" w:hAnsi="Times New Roman" w:cs="Times New Roman" w:eastAsia="Times New Roman" w:hint="default"/>
                <w:sz w:val="18"/>
                <w:szCs w:val="18"/>
              </w:rPr>
              <w:t>"</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97"/>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7126" w:type="dxa"/>
            <w:tcBorders>
              <w:top w:val="nil" w:sz="6" w:space="0" w:color="auto"/>
              <w:left w:val="single" w:sz="4" w:space="0" w:color="000000"/>
              <w:bottom w:val="nil" w:sz="6" w:space="0" w:color="auto"/>
              <w:right w:val="single" w:sz="13" w:space="0" w:color="FFFFFF"/>
            </w:tcBorders>
          </w:tcPr>
          <w:p>
            <w:pPr>
              <w:pStyle w:val="TableParagraph"/>
              <w:spacing w:line="312" w:lineRule="auto" w:before="5"/>
              <w:ind w:left="22" w:right="59"/>
              <w:jc w:val="both"/>
              <w:rPr>
                <w:rFonts w:ascii="宋体" w:hAnsi="宋体" w:cs="宋体" w:eastAsia="宋体" w:hint="default"/>
                <w:sz w:val="18"/>
                <w:szCs w:val="18"/>
              </w:rPr>
            </w:pPr>
            <w:r>
              <w:rPr>
                <w:rFonts w:ascii="宋体" w:hAnsi="宋体" w:cs="宋体" w:eastAsia="宋体" w:hint="default"/>
                <w:sz w:val="18"/>
                <w:szCs w:val="18"/>
              </w:rPr>
              <w:t>股份应符合相关法律、法规、规章的规定，减持方式包括但不限于二级市场竞价交易方式 大宗交易方式、协议转让方式等；在减持所持有的中文在线股份前，应提前三个交易日予 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个月内完成，并按照深圳证券交易所的规则及时、准确地履行信 </w:t>
            </w:r>
            <w:r>
              <w:rPr>
                <w:rFonts w:ascii="宋体" w:hAnsi="宋体" w:cs="宋体" w:eastAsia="宋体" w:hint="default"/>
                <w:spacing w:val="-3"/>
                <w:sz w:val="18"/>
                <w:szCs w:val="18"/>
              </w:rPr>
              <w:t>息披露义务。未履行上述承诺时的约束措施如下：（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）如未履行上述承诺事项，上述股东</w:t>
            </w:r>
          </w:p>
        </w:tc>
        <w:tc>
          <w:tcPr>
            <w:tcW w:w="639" w:type="dxa"/>
            <w:tcBorders>
              <w:top w:val="nil" w:sz="6" w:space="0" w:color="auto"/>
              <w:left w:val="single" w:sz="13" w:space="0" w:color="FFFFFF"/>
              <w:bottom w:val="nil" w:sz="6" w:space="0" w:color="auto"/>
              <w:right w:val="single" w:sz="4" w:space="0" w:color="000000"/>
            </w:tcBorders>
          </w:tcPr>
          <w:p>
            <w:pPr>
              <w:pStyle w:val="TableParagraph"/>
              <w:spacing w:line="196" w:lineRule="exact" w:before="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将在中文在线的股东大会及中国证监会指定报刊上公开说明未履行承诺的具体原因，并向</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中文在线的股东和社会公众投资者道歉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）如因未履行前述相关承诺事项，上述股东持</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有的中文在线股份在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内不得减持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）因上述股东未履行前述相关承诺事项而获得</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3"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的收益则应依据法律、法规、规章的规定处理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）如果因未履行前述相关承诺事项，致</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52"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7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使投资者在证券交易中遭受损失的，上述股东将依法赔偿投资者该等损失。</w:t>
            </w:r>
            <w:r>
              <w:rPr>
                <w:rFonts w:ascii="Times New Roman" w:hAnsi="Times New Roman" w:cs="Times New Roman" w:eastAsia="Times New Roman" w:hint="default"/>
                <w:sz w:val="18"/>
                <w:szCs w:val="18"/>
              </w:rPr>
              <w:t>"</w:t>
            </w:r>
          </w:p>
        </w:tc>
        <w:tc>
          <w:tcPr>
            <w:tcW w:w="639"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r>
      <w:tr>
        <w:trPr>
          <w:trHeight w:val="362"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nil" w:sz="6" w:space="0" w:color="auto"/>
              <w:right w:val="single" w:sz="4" w:space="0" w:color="000000"/>
            </w:tcBorders>
          </w:tcPr>
          <w:p>
            <w:pPr/>
          </w:p>
        </w:tc>
        <w:tc>
          <w:tcPr>
            <w:tcW w:w="952" w:type="dxa"/>
            <w:tcBorders>
              <w:top w:val="single" w:sz="4" w:space="0" w:color="000000"/>
              <w:left w:val="single" w:sz="4" w:space="0" w:color="000000"/>
              <w:bottom w:val="nil" w:sz="6" w:space="0" w:color="auto"/>
              <w:right w:val="single" w:sz="4" w:space="0" w:color="000000"/>
            </w:tcBorders>
          </w:tcPr>
          <w:p>
            <w:pPr/>
          </w:p>
        </w:tc>
        <w:tc>
          <w:tcPr>
            <w:tcW w:w="7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文睿投资承诺：在限售期满后第一年减持所持有的中文在线股份数量总计不超过本公司所</w:t>
            </w:r>
          </w:p>
        </w:tc>
        <w:tc>
          <w:tcPr>
            <w:tcW w:w="639"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311"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持中文在线股份总数的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，在限售期满后第二年减持所持有的中文在线股份数量总计不</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超过本公司所持中文在线股份总数余额的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；减持所持有的中文在线股份的价格根据当</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1249"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上海文睿投资有限公司</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97"/>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71"/>
              <w:jc w:val="both"/>
              <w:rPr>
                <w:rFonts w:ascii="宋体" w:hAnsi="宋体" w:cs="宋体" w:eastAsia="宋体" w:hint="default"/>
                <w:sz w:val="18"/>
                <w:szCs w:val="18"/>
              </w:rPr>
            </w:pPr>
            <w:r>
              <w:rPr>
                <w:rFonts w:ascii="宋体" w:hAnsi="宋体" w:cs="宋体" w:eastAsia="宋体" w:hint="default"/>
                <w:sz w:val="18"/>
                <w:szCs w:val="18"/>
              </w:rPr>
              <w:t>时的二级市场价格确定，并应符合相关法律、法规的规定，减持时点的中文在线股票的二 级市场价格不得低于发行价；减持所持有的中文在线股份应符合相关法律、法规、规章的 规定，减持方式包括但不限于二级市场竞价交易方式、大宗交易方式、协议转让方式等； 在减持所持有的中文在线股份前，应提前三个交易日予以公告，自公告之日起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vMerge/>
            <w:tcBorders>
              <w:left w:val="single" w:sz="4" w:space="0" w:color="000000"/>
              <w:right w:val="single" w:sz="4" w:space="0" w:color="000000"/>
            </w:tcBorders>
          </w:tcPr>
          <w:p>
            <w:pPr/>
          </w:p>
        </w:tc>
      </w:tr>
      <w:tr>
        <w:trPr>
          <w:trHeight w:val="306"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成，并按照深圳证券交易所的规则及时、准确地履行信息披露义务。在文睿投资限售期满</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13"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之日起两年内，童之磊若通过文睿投资间接减持中文在线股份、文睿投资减持中文在线股</w:t>
            </w:r>
          </w:p>
        </w:tc>
        <w:tc>
          <w:tcPr>
            <w:tcW w:w="639"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343" w:type="dxa"/>
            <w:vMerge/>
            <w:tcBorders>
              <w:left w:val="single" w:sz="4" w:space="0" w:color="000000"/>
              <w:right w:val="single" w:sz="4" w:space="0" w:color="000000"/>
            </w:tcBorders>
          </w:tcPr>
          <w:p>
            <w:pPr/>
          </w:p>
        </w:tc>
      </w:tr>
      <w:tr>
        <w:trPr>
          <w:trHeight w:val="357" w:hRule="exact"/>
        </w:trPr>
        <w:tc>
          <w:tcPr>
            <w:tcW w:w="1667" w:type="dxa"/>
            <w:vMerge/>
            <w:tcBorders>
              <w:left w:val="single" w:sz="4" w:space="0" w:color="000000"/>
              <w:right w:val="single" w:sz="4" w:space="0" w:color="000000"/>
            </w:tcBorders>
            <w:shd w:val="clear" w:color="auto" w:fill="D2D2D2"/>
          </w:tcPr>
          <w:p>
            <w:pPr/>
          </w:p>
        </w:tc>
        <w:tc>
          <w:tcPr>
            <w:tcW w:w="2345"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7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份，减持后所持有的中文在线股份应仍能保持童之磊的控股地位。</w:t>
            </w:r>
            <w:r>
              <w:rPr>
                <w:rFonts w:ascii="Times New Roman" w:hAnsi="Times New Roman" w:cs="Times New Roman" w:eastAsia="Times New Roman" w:hint="default"/>
                <w:sz w:val="18"/>
                <w:szCs w:val="18"/>
              </w:rPr>
              <w:t>"</w:t>
            </w:r>
          </w:p>
        </w:tc>
        <w:tc>
          <w:tcPr>
            <w:tcW w:w="639"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r>
      <w:tr>
        <w:trPr>
          <w:trHeight w:val="1026"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）童之磊关于直接持有中文在线股份的减持承诺公司控股股东、实际控制人童之磊承 诺：有意长期持有中文在线股份；在限售期届满之日起两年内减持直接持有的中文在线股 份数量合计不超过其持有的中文在线股份的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；减持价格不低于中文在线首次公开股票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8"/>
              <w:jc w:val="both"/>
              <w:rPr>
                <w:rFonts w:ascii="宋体" w:hAnsi="宋体" w:cs="宋体" w:eastAsia="宋体" w:hint="default"/>
                <w:sz w:val="18"/>
                <w:szCs w:val="18"/>
              </w:rPr>
            </w:pPr>
            <w:r>
              <w:rPr>
                <w:rFonts w:ascii="宋体" w:hAnsi="宋体" w:cs="宋体" w:eastAsia="宋体" w:hint="default"/>
                <w:sz w:val="18"/>
                <w:szCs w:val="18"/>
              </w:rPr>
              <w:t>正 在 履</w:t>
            </w:r>
          </w:p>
        </w:tc>
      </w:tr>
    </w:tbl>
    <w:p>
      <w:pPr>
        <w:spacing w:after="0" w:line="316" w:lineRule="auto"/>
        <w:jc w:val="both"/>
        <w:rPr>
          <w:rFonts w:ascii="宋体" w:hAnsi="宋体" w:cs="宋体" w:eastAsia="宋体" w:hint="default"/>
          <w:sz w:val="18"/>
          <w:szCs w:val="18"/>
        </w:rPr>
        <w:sectPr>
          <w:pgSz w:w="16840" w:h="11910" w:orient="landscape"/>
          <w:pgMar w:header="867" w:footer="979" w:top="1060" w:bottom="116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67pt;margin-top:20.700012pt;width:86pt;height:42.649994pt;mso-position-horizontal-relative:page;mso-position-vertical-relative:page;z-index:-865168" type="#_x0000_t75" stroked="false">
            <v:imagedata r:id="rId9" o:title=""/>
          </v:shape>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5370"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0"/>
              <w:ind w:left="22"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时的发行价；减持所持有的中文在线股份应符合相关法律、法规、规章的规定，减持方式 包括但不限于二级市场竞价交易方式、大宗交易方式、协议转让方式等；在减持所持有的 中文在线股份前，应提前三个交易日予以公告，自公告之日起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个月内完成，并按照深圳 </w:t>
            </w:r>
            <w:r>
              <w:rPr>
                <w:rFonts w:ascii="宋体" w:hAnsi="宋体" w:cs="宋体" w:eastAsia="宋体" w:hint="default"/>
                <w:spacing w:val="-3"/>
                <w:sz w:val="18"/>
                <w:szCs w:val="18"/>
              </w:rPr>
              <w:t>证券交易所的规则及时、准确地履行信息披露义务。（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）童之磊关于持有文睿投资股权的</w:t>
            </w:r>
            <w:r>
              <w:rPr>
                <w:rFonts w:ascii="宋体" w:hAnsi="宋体" w:cs="宋体" w:eastAsia="宋体" w:hint="default"/>
                <w:spacing w:val="-60"/>
                <w:sz w:val="18"/>
                <w:szCs w:val="18"/>
              </w:rPr>
              <w:t> </w:t>
            </w:r>
            <w:r>
              <w:rPr>
                <w:rFonts w:ascii="宋体" w:hAnsi="宋体" w:cs="宋体" w:eastAsia="宋体" w:hint="default"/>
                <w:sz w:val="18"/>
                <w:szCs w:val="18"/>
              </w:rPr>
              <w:t>减持承诺公司控股股东、实际控制人童之磊承诺：在限售期满后第一年减持所持有的文睿 投资股权不得超过所持有文睿投资股权的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，在限售期满后第二年减持所持有的文睿投 资股权不得超过所持有文睿投资股权余额的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，童之磊减持所持有的文睿投资股权应符 合相关法律、法规、规章的规定；童之磊减持所持有的文睿投资股权的价格根据股权转让 相关方协商确定，并应符合相关法律、法规的规定，减持时点中文在线股票的二级市场价 格不得低于发行价；在减持所持有的文睿投资股权前，应提前三个交易日予以公告，自公 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个月内完成，并按照深圳证券交易所的规则及时、准确地履行信息披露义务。 </w:t>
            </w:r>
            <w:r>
              <w:rPr>
                <w:rFonts w:ascii="宋体" w:hAnsi="宋体" w:cs="宋体" w:eastAsia="宋体" w:hint="default"/>
                <w:spacing w:val="-3"/>
                <w:sz w:val="18"/>
                <w:szCs w:val="18"/>
              </w:rPr>
              <w:t>未履行上述承诺时的约束措施如下：（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）如未履行上述承诺事项，上述股东将在中文在线</w:t>
            </w:r>
            <w:r>
              <w:rPr>
                <w:rFonts w:ascii="宋体" w:hAnsi="宋体" w:cs="宋体" w:eastAsia="宋体" w:hint="default"/>
                <w:spacing w:val="-60"/>
                <w:sz w:val="18"/>
                <w:szCs w:val="18"/>
              </w:rPr>
              <w:t> </w:t>
            </w:r>
            <w:r>
              <w:rPr>
                <w:rFonts w:ascii="宋体" w:hAnsi="宋体" w:cs="宋体" w:eastAsia="宋体" w:hint="default"/>
                <w:sz w:val="18"/>
                <w:szCs w:val="18"/>
              </w:rPr>
              <w:t>的股东大会及中国证监会指定报刊上公开说明未履行承诺的具体原因，并向中文在线的股 </w:t>
            </w:r>
            <w:r>
              <w:rPr>
                <w:rFonts w:ascii="宋体" w:hAnsi="宋体" w:cs="宋体" w:eastAsia="宋体" w:hint="default"/>
                <w:spacing w:val="-3"/>
                <w:sz w:val="18"/>
                <w:szCs w:val="18"/>
              </w:rPr>
              <w:t>东和社会公众投资者道歉；（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）如因未履行前述相关承诺事项，上述股东持有的中文在线</w:t>
            </w:r>
            <w:r>
              <w:rPr>
                <w:rFonts w:ascii="宋体" w:hAnsi="宋体" w:cs="宋体" w:eastAsia="宋体" w:hint="default"/>
                <w:spacing w:val="-60"/>
                <w:sz w:val="18"/>
                <w:szCs w:val="18"/>
              </w:rPr>
              <w:t> </w:t>
            </w:r>
            <w:r>
              <w:rPr>
                <w:rFonts w:ascii="宋体" w:hAnsi="宋体" w:cs="宋体" w:eastAsia="宋体" w:hint="default"/>
                <w:sz w:val="18"/>
                <w:szCs w:val="18"/>
              </w:rPr>
              <w:t>股份在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个月内不得减持；（</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）因上述股东未履行前述相关承诺事项而获得的收益则应依</w:t>
            </w:r>
            <w:r>
              <w:rPr>
                <w:rFonts w:ascii="宋体" w:hAnsi="宋体" w:cs="宋体" w:eastAsia="宋体" w:hint="default"/>
                <w:spacing w:val="-86"/>
                <w:sz w:val="18"/>
                <w:szCs w:val="18"/>
              </w:rPr>
              <w:t> </w:t>
            </w:r>
            <w:r>
              <w:rPr>
                <w:rFonts w:ascii="宋体" w:hAnsi="宋体" w:cs="宋体" w:eastAsia="宋体" w:hint="default"/>
                <w:spacing w:val="-3"/>
                <w:sz w:val="18"/>
                <w:szCs w:val="18"/>
              </w:rPr>
              <w:t>据法律、法规、规章的规定处理；（</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）如果因未履行前述相关承诺事项，致使投资者在证</w:t>
            </w:r>
            <w:r>
              <w:rPr>
                <w:rFonts w:ascii="宋体" w:hAnsi="宋体" w:cs="宋体" w:eastAsia="宋体" w:hint="default"/>
                <w:spacing w:val="-60"/>
                <w:sz w:val="18"/>
                <w:szCs w:val="18"/>
              </w:rPr>
              <w:t> </w:t>
            </w:r>
            <w:r>
              <w:rPr>
                <w:rFonts w:ascii="宋体" w:hAnsi="宋体" w:cs="宋体" w:eastAsia="宋体" w:hint="default"/>
                <w:sz w:val="18"/>
                <w:szCs w:val="18"/>
              </w:rPr>
              <w:t>券交易中遭受损失的，上述股东将依法赔偿投资者该等损失。</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
        </w:tc>
        <w:tc>
          <w:tcPr>
            <w:tcW w:w="9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107"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中文在线数字出版集团股份 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7"/>
              <w:jc w:val="both"/>
              <w:rPr>
                <w:rFonts w:ascii="宋体" w:hAnsi="宋体" w:cs="宋体" w:eastAsia="宋体" w:hint="default"/>
                <w:sz w:val="18"/>
                <w:szCs w:val="18"/>
              </w:rPr>
            </w:pPr>
            <w:r>
              <w:rPr>
                <w:rFonts w:ascii="宋体" w:hAnsi="宋体" w:cs="宋体" w:eastAsia="宋体" w:hint="default"/>
                <w:sz w:val="18"/>
                <w:szCs w:val="18"/>
              </w:rPr>
              <w:t>利润分配 政策的承 诺</w:t>
            </w:r>
          </w:p>
        </w:tc>
        <w:tc>
          <w:tcPr>
            <w:tcW w:w="7126"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为了建立健全公司科学、持续、稳定的分红决策和监督机制，积极回报投资者，引导投资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者树立长期投资和理性投资理念，根据中国证监会《上市公司监管指引第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w:t>
            </w:r>
          </w:p>
          <w:p>
            <w:pPr>
              <w:pStyle w:val="TableParagraph"/>
              <w:spacing w:line="309" w:lineRule="auto" w:before="13"/>
              <w:ind w:left="22" w:right="-40"/>
              <w:jc w:val="left"/>
              <w:rPr>
                <w:rFonts w:ascii="宋体" w:hAnsi="宋体" w:cs="宋体" w:eastAsia="宋体" w:hint="default"/>
                <w:sz w:val="18"/>
                <w:szCs w:val="18"/>
              </w:rPr>
            </w:pPr>
            <w:r>
              <w:rPr>
                <w:rFonts w:ascii="宋体" w:hAnsi="宋体" w:cs="宋体" w:eastAsia="宋体" w:hint="default"/>
                <w:spacing w:val="-6"/>
                <w:sz w:val="18"/>
                <w:szCs w:val="18"/>
              </w:rPr>
              <w:t>司现金分红》的要求以及《公司章程（草案）》的规定，</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年第</w:t>
            </w:r>
            <w:r>
              <w:rPr>
                <w:rFonts w:ascii="宋体" w:hAnsi="宋体" w:cs="宋体" w:eastAsia="宋体" w:hint="default"/>
                <w:spacing w:val="-88"/>
                <w:sz w:val="18"/>
                <w:szCs w:val="18"/>
              </w:rPr>
              <w:t> </w:t>
            </w:r>
            <w:r>
              <w:rPr>
                <w:rFonts w:ascii="宋体" w:hAnsi="宋体" w:cs="宋体" w:eastAsia="宋体" w:hint="default"/>
                <w:spacing w:val="-2"/>
                <w:sz w:val="18"/>
                <w:szCs w:val="18"/>
              </w:rPr>
              <w:t>二次临时股东大会审议通过了《关于制定</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北京中文在线数字出版股份有限公司股东分红回</w:t>
            </w:r>
            <w:r>
              <w:rPr>
                <w:rFonts w:ascii="宋体" w:hAnsi="宋体" w:cs="宋体" w:eastAsia="宋体" w:hint="default"/>
                <w:spacing w:val="-62"/>
                <w:sz w:val="18"/>
                <w:szCs w:val="18"/>
              </w:rPr>
              <w:t> </w:t>
            </w:r>
            <w:r>
              <w:rPr>
                <w:rFonts w:ascii="宋体" w:hAnsi="宋体" w:cs="宋体" w:eastAsia="宋体" w:hint="default"/>
                <w:spacing w:val="-3"/>
                <w:sz w:val="18"/>
                <w:szCs w:val="18"/>
              </w:rPr>
              <w:t>报规划（上市后未来三年）</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的议案》，公司《北京中文在线数字出版股份有限公司股东分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红回报规划（上市后未来三年）》具体内容如下：</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）制定股东回报规划的考虑因素 公</w:t>
            </w:r>
            <w:r>
              <w:rPr>
                <w:rFonts w:ascii="宋体" w:hAnsi="宋体" w:cs="宋体" w:eastAsia="宋体" w:hint="default"/>
                <w:spacing w:val="-70"/>
                <w:sz w:val="18"/>
                <w:szCs w:val="18"/>
              </w:rPr>
              <w:t> </w:t>
            </w:r>
            <w:r>
              <w:rPr>
                <w:rFonts w:ascii="宋体" w:hAnsi="宋体" w:cs="宋体" w:eastAsia="宋体" w:hint="default"/>
                <w:sz w:val="18"/>
                <w:szCs w:val="18"/>
              </w:rPr>
              <w:t>司着眼于长远和可持续发展，在综合分析企业经营发展实际、股东要求和意愿、社会资金 </w:t>
            </w:r>
            <w:r>
              <w:rPr>
                <w:rFonts w:ascii="宋体" w:hAnsi="宋体" w:cs="宋体" w:eastAsia="宋体" w:hint="default"/>
                <w:spacing w:val="-2"/>
                <w:sz w:val="18"/>
                <w:szCs w:val="18"/>
              </w:rPr>
              <w:t>成本、外部融资环境等因素的基础上，充分考虑公司目前及未来盈利规模、现金流量状况、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发展所处阶段、项目投资资金需求、本次发行融资、银行信贷及债权融资环境等情况，建</w:t>
            </w:r>
            <w:r>
              <w:rPr>
                <w:rFonts w:ascii="宋体" w:hAnsi="宋体" w:cs="宋体" w:eastAsia="宋体" w:hint="default"/>
                <w:sz w:val="18"/>
                <w:szCs w:val="18"/>
              </w:rPr>
              <w:t> </w:t>
            </w:r>
            <w:r>
              <w:rPr>
                <w:rFonts w:ascii="宋体" w:hAnsi="宋体" w:cs="宋体" w:eastAsia="宋体" w:hint="default"/>
                <w:spacing w:val="-3"/>
                <w:sz w:val="18"/>
                <w:szCs w:val="18"/>
              </w:rPr>
              <w:t>立对投资者持续、稳定、科学的回报机制，保持利润分配政策的连续性和稳定性。（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）制</w:t>
            </w:r>
            <w:r>
              <w:rPr>
                <w:rFonts w:ascii="宋体" w:hAnsi="宋体" w:cs="宋体" w:eastAsia="宋体" w:hint="default"/>
                <w:spacing w:val="-60"/>
                <w:sz w:val="18"/>
                <w:szCs w:val="18"/>
              </w:rPr>
              <w:t> </w:t>
            </w:r>
            <w:r>
              <w:rPr>
                <w:rFonts w:ascii="宋体" w:hAnsi="宋体" w:cs="宋体" w:eastAsia="宋体" w:hint="default"/>
                <w:sz w:val="18"/>
                <w:szCs w:val="18"/>
              </w:rPr>
              <w:t>定股东回报规划的原则 </w:t>
            </w:r>
            <w:r>
              <w:rPr>
                <w:rFonts w:ascii="宋体" w:hAnsi="宋体" w:cs="宋体" w:eastAsia="宋体" w:hint="default"/>
                <w:spacing w:val="-4"/>
                <w:sz w:val="18"/>
                <w:szCs w:val="18"/>
              </w:rPr>
              <w:t>公司上市后未来三年将坚持在符合相关法律法规、《公司章程（草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案）》的前提下，综合考虑投资者的合理投资回报和公司的长远发展，积极实施持续、稳定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6"/>
                <w:sz w:val="18"/>
                <w:szCs w:val="18"/>
              </w:rPr>
              <w:t>的利润分配政策，并充分考虑股东（特别是中小股东）、独立董事和监事的意见。（</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）股东</w:t>
            </w:r>
          </w:p>
        </w:tc>
        <w:tc>
          <w:tcPr>
            <w:tcW w:w="63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351"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9.2pt;height:17.6pt;mso-position-horizontal-relative:char;mso-position-vertical-relative:line" coordorigin="0,0" coordsize="584,352">
                  <v:group style="position:absolute;left:0;top:0;width:584;height:352" coordorigin="0,0" coordsize="584,352">
                    <v:shape style="position:absolute;left:0;top:0;width:584;height:352" coordorigin="0,0" coordsize="584,352" path="m0,352l584,352,584,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16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453.200012pt;margin-top:57.180008pt;width:253.6pt;height:468.1pt;mso-position-horizontal-relative:page;mso-position-vertical-relative:page;z-index:-865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股东大会应依法依规对董事会提出的分红议案进行表决，</w:t>
                  </w:r>
                </w:p>
              </w:txbxContent>
            </v:textbox>
            <w10:wrap type="none"/>
          </v:shape>
        </w:pict>
      </w:r>
      <w:r>
        <w:rPr/>
        <w:pict>
          <v:shape style="position:absolute;margin-left:67pt;margin-top:20.700012pt;width:86pt;height:42.649994pt;mso-position-horizontal-relative:page;mso-position-vertical-relative:page;z-index:-865096" type="#_x0000_t75" stroked="false">
            <v:imagedata r:id="rId9" o:title=""/>
          </v:shape>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332"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vMerge w:val="restart"/>
            <w:tcBorders>
              <w:top w:val="single" w:sz="15" w:space="0" w:color="000000"/>
              <w:left w:val="single" w:sz="4" w:space="0" w:color="000000"/>
              <w:right w:val="single" w:sz="4" w:space="0" w:color="000000"/>
            </w:tcBorders>
          </w:tcPr>
          <w:p>
            <w:pPr/>
          </w:p>
        </w:tc>
        <w:tc>
          <w:tcPr>
            <w:tcW w:w="952" w:type="dxa"/>
            <w:vMerge w:val="restart"/>
            <w:tcBorders>
              <w:top w:val="single" w:sz="15" w:space="0" w:color="000000"/>
              <w:left w:val="single" w:sz="4" w:space="0" w:color="000000"/>
              <w:right w:val="single" w:sz="4" w:space="0" w:color="000000"/>
            </w:tcBorders>
          </w:tcPr>
          <w:p>
            <w:pPr/>
          </w:p>
        </w:tc>
        <w:tc>
          <w:tcPr>
            <w:tcW w:w="7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回报规划的决策机制</w:t>
            </w:r>
            <w:r>
              <w:rPr>
                <w:rFonts w:ascii="宋体" w:hAnsi="宋体" w:cs="宋体" w:eastAsia="宋体" w:hint="default"/>
                <w:spacing w:val="-42"/>
                <w:sz w:val="18"/>
                <w:szCs w:val="18"/>
              </w:rPr>
              <w:t> </w:t>
            </w:r>
            <w:r>
              <w:rPr>
                <w:rFonts w:ascii="宋体" w:hAnsi="宋体" w:cs="宋体" w:eastAsia="宋体" w:hint="default"/>
                <w:sz w:val="18"/>
                <w:szCs w:val="18"/>
              </w:rPr>
              <w:t>公司管理层、董事会应当认真研究和论证公司现金分红的时机、条件</w:t>
            </w:r>
          </w:p>
        </w:tc>
        <w:tc>
          <w:tcPr>
            <w:tcW w:w="639" w:type="dxa"/>
            <w:vMerge w:val="restart"/>
            <w:tcBorders>
              <w:top w:val="single" w:sz="15" w:space="0" w:color="000000"/>
              <w:left w:val="single" w:sz="4" w:space="0" w:color="000000"/>
              <w:right w:val="single" w:sz="4" w:space="0" w:color="000000"/>
            </w:tcBorders>
          </w:tcPr>
          <w:p>
            <w:pPr>
              <w:pStyle w:val="TableParagraph"/>
              <w:spacing w:line="93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31.5pt;height:468.1pt;mso-position-horizontal-relative:char;mso-position-vertical-relative:line" coordorigin="0,0" coordsize="630,9362">
                  <v:group style="position:absolute;left:0;top:0;width:630;height:9362" coordorigin="0,0" coordsize="630,9362">
                    <v:shape style="position:absolute;left:0;top:0;width:630;height:9362" coordorigin="0,0" coordsize="630,9362" path="m0,9361l629,9361,629,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943" w:type="dxa"/>
            <w:vMerge w:val="restart"/>
            <w:tcBorders>
              <w:top w:val="single" w:sz="15" w:space="0" w:color="000000"/>
              <w:left w:val="single" w:sz="4" w:space="0" w:color="000000"/>
              <w:right w:val="single" w:sz="4" w:space="0" w:color="000000"/>
            </w:tcBorders>
          </w:tcPr>
          <w:p>
            <w:pPr/>
          </w:p>
        </w:tc>
        <w:tc>
          <w:tcPr>
            <w:tcW w:w="343" w:type="dxa"/>
            <w:vMerge w:val="restart"/>
            <w:tcBorders>
              <w:top w:val="single" w:sz="15" w:space="0" w:color="000000"/>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和最低比例、调整的条件及其决策程序要求等事宜，结合公司盈利情况、资金需求和股东</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回报规划提出合理的分红建议和预案，经董事会审议通过后提交股东大会批准。独立董事</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应对分红预案独立发表明确意见。</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公司董事会在有关利润分配方案的决策和论证过程中，可以通过电话、传真、信函、电子</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邮件、公司网站上的投资者关系互动平台等方式，与中小股东进行沟通和交流，充分听取</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其意见和诉求，及时答复其关心的问题。为了切实保障社会公众股股东参与股东大会的权</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利，董事会、独立董事可以向公司股东征集其在股东大会上的投票权。公司应当严格执行</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w:t>
            </w:r>
            <w:r>
              <w:rPr>
                <w:rFonts w:ascii="宋体" w:hAnsi="宋体" w:cs="宋体" w:eastAsia="宋体" w:hint="default"/>
                <w:spacing w:val="-14"/>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确定的现金分红政策以及股东大会审议批准的现金分红具体方案</w:t>
            </w:r>
            <w:r>
              <w:rPr>
                <w:rFonts w:ascii="宋体" w:hAnsi="宋体" w:cs="宋体" w:eastAsia="宋体" w:hint="default"/>
                <w:spacing w:val="-14"/>
                <w:sz w:val="18"/>
                <w:szCs w:val="18"/>
              </w:rPr>
              <w:t>。</w:t>
            </w:r>
            <w:r>
              <w:rPr>
                <w:rFonts w:ascii="宋体" w:hAnsi="宋体" w:cs="宋体" w:eastAsia="宋体" w:hint="default"/>
                <w:sz w:val="18"/>
                <w:szCs w:val="18"/>
              </w:rPr>
              <w:t>确</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有必要</w:t>
            </w:r>
            <w:r>
              <w:rPr>
                <w:rFonts w:ascii="宋体" w:hAnsi="宋体" w:cs="宋体" w:eastAsia="宋体" w:hint="default"/>
                <w:spacing w:val="-9"/>
                <w:sz w:val="18"/>
                <w:szCs w:val="18"/>
              </w:rPr>
              <w:t>对</w:t>
            </w:r>
            <w:r>
              <w:rPr>
                <w:rFonts w:ascii="宋体" w:hAnsi="宋体" w:cs="宋体" w:eastAsia="宋体" w:hint="default"/>
                <w:sz w:val="18"/>
                <w:szCs w:val="18"/>
              </w:rPr>
              <w:t>《公司章</w:t>
            </w:r>
            <w:r>
              <w:rPr>
                <w:rFonts w:ascii="宋体" w:hAnsi="宋体" w:cs="宋体" w:eastAsia="宋体" w:hint="default"/>
                <w:spacing w:val="-9"/>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确定的现金分红政策进行调整或者变更的</w:t>
            </w:r>
            <w:r>
              <w:rPr>
                <w:rFonts w:ascii="宋体" w:hAnsi="宋体" w:cs="宋体" w:eastAsia="宋体" w:hint="default"/>
                <w:spacing w:val="-9"/>
                <w:sz w:val="18"/>
                <w:szCs w:val="18"/>
              </w:rPr>
              <w:t>，</w:t>
            </w:r>
            <w:r>
              <w:rPr>
                <w:rFonts w:ascii="宋体" w:hAnsi="宋体" w:cs="宋体" w:eastAsia="宋体" w:hint="default"/>
                <w:sz w:val="18"/>
                <w:szCs w:val="18"/>
              </w:rPr>
              <w:t>应当满</w:t>
            </w:r>
            <w:r>
              <w:rPr>
                <w:rFonts w:ascii="宋体" w:hAnsi="宋体" w:cs="宋体" w:eastAsia="宋体" w:hint="default"/>
                <w:spacing w:val="-9"/>
                <w:sz w:val="18"/>
                <w:szCs w:val="18"/>
              </w:rPr>
              <w:t>足</w:t>
            </w:r>
            <w:r>
              <w:rPr>
                <w:rFonts w:ascii="宋体" w:hAnsi="宋体" w:cs="宋体" w:eastAsia="宋体" w:hint="default"/>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w:t>
            </w:r>
            <w:r>
              <w:rPr>
                <w:rFonts w:ascii="宋体" w:hAnsi="宋体" w:cs="宋体" w:eastAsia="宋体" w:hint="default"/>
                <w:spacing w:val="-9"/>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规定的条件</w:t>
            </w:r>
            <w:r>
              <w:rPr>
                <w:rFonts w:ascii="宋体" w:hAnsi="宋体" w:cs="宋体" w:eastAsia="宋体" w:hint="default"/>
                <w:spacing w:val="-9"/>
                <w:sz w:val="18"/>
                <w:szCs w:val="18"/>
              </w:rPr>
              <w:t>，</w:t>
            </w:r>
            <w:r>
              <w:rPr>
                <w:rFonts w:ascii="宋体" w:hAnsi="宋体" w:cs="宋体" w:eastAsia="宋体" w:hint="default"/>
                <w:sz w:val="18"/>
                <w:szCs w:val="18"/>
              </w:rPr>
              <w:t>经过详细论证后</w:t>
            </w:r>
            <w:r>
              <w:rPr>
                <w:rFonts w:ascii="宋体" w:hAnsi="宋体" w:cs="宋体" w:eastAsia="宋体" w:hint="default"/>
                <w:spacing w:val="-9"/>
                <w:sz w:val="18"/>
                <w:szCs w:val="18"/>
              </w:rPr>
              <w:t>，</w:t>
            </w:r>
            <w:r>
              <w:rPr>
                <w:rFonts w:ascii="宋体" w:hAnsi="宋体" w:cs="宋体" w:eastAsia="宋体" w:hint="default"/>
                <w:sz w:val="18"/>
                <w:szCs w:val="18"/>
              </w:rPr>
              <w:t>履行相应的决策程序</w:t>
            </w:r>
            <w:r>
              <w:rPr>
                <w:rFonts w:ascii="宋体" w:hAnsi="宋体" w:cs="宋体" w:eastAsia="宋体" w:hint="default"/>
                <w:spacing w:val="-9"/>
                <w:sz w:val="18"/>
                <w:szCs w:val="18"/>
              </w:rPr>
              <w:t>，</w:t>
            </w:r>
            <w:r>
              <w:rPr>
                <w:rFonts w:ascii="宋体" w:hAnsi="宋体" w:cs="宋体" w:eastAsia="宋体" w:hint="default"/>
                <w:sz w:val="18"/>
                <w:szCs w:val="18"/>
              </w:rPr>
              <w:t>并经出席股东大会的</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股东所持表决权的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以上通过。在召开股东大会时除现场会议外，还应向股东提供网络</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形式的投票平台。公司应严格按照有关规定在定期报告中披露利润分配预案和现金分红政</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策的制定及执行情况。公司年度盈利但未提出现金分红预案的，应当在年报中详细说明未</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分红的原因、未用于分红的资金留存公司的用途和使用计划，独立董事应当对此发表独立</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意见并公开披露，董事会审议通过后提交股东大会审议表决。在召开股东大会时除现场会</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议外，还应向股东提供网络形式的投票平台。</w:t>
            </w:r>
            <w:r>
              <w:rPr>
                <w:rFonts w:ascii="宋体" w:hAnsi="宋体" w:cs="宋体" w:eastAsia="宋体" w:hint="default"/>
                <w:spacing w:val="-42"/>
                <w:sz w:val="18"/>
                <w:szCs w:val="18"/>
              </w:rPr>
              <w:t> </w:t>
            </w:r>
            <w:r>
              <w:rPr>
                <w:rFonts w:ascii="宋体" w:hAnsi="宋体" w:cs="宋体" w:eastAsia="宋体" w:hint="default"/>
                <w:sz w:val="18"/>
                <w:szCs w:val="18"/>
              </w:rPr>
              <w:t>监事会应对董事会和管理层执行公司分红政</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策和股东回报规划的情况及决策程序进行监督。公司如因外部经营环境或自身经营状况发</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生重大变化而需调整分红政策和股东回报规划的，应以股东权益保护为出发点，详细论证</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和说明原因，由董事会作出决议，独立董事发表独立意见并公开披露，然后提交股东大会</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）公司未来三年股东回报具体规划</w:t>
            </w:r>
            <w:r>
              <w:rPr>
                <w:rFonts w:ascii="宋体" w:hAnsi="宋体" w:cs="宋体" w:eastAsia="宋体" w:hint="default"/>
                <w:spacing w:val="-42"/>
                <w:sz w:val="18"/>
                <w:szCs w:val="18"/>
              </w:rPr>
              <w:t> </w:t>
            </w:r>
            <w:r>
              <w:rPr>
                <w:rFonts w:ascii="宋体" w:hAnsi="宋体" w:cs="宋体" w:eastAsia="宋体" w:hint="default"/>
                <w:sz w:val="18"/>
                <w:szCs w:val="18"/>
              </w:rPr>
              <w:t>公司可以采取现金、股票或者现金与股</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票相结合的方式分配利润，且应优先采取现金分红方式分配利润。公司每年度进行一次利</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润分配，在有条件的情况下，公司可以进行中期现金分红。未来三年内，公司应在符合利</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润分配原则、保证公司正常经营和长远发展的前提下，积极采取现金分红的方式进行利润</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分配。在满足现金分红条件下，公司未来三年以现金方式累计分配的利润不少于未来三年</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实现的年均可分配利润的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，公司在足额预留法定公积金、盈余公积金以后，每年向股</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东以现金形式分配的利润不低于当年实现的可供分配利润的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，具体分配比例由公司董</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07"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事会根据当年实现利润情况和公司发展的需要以及中国证监会的有关规定拟定，由公司股</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2" w:hRule="exact"/>
        </w:trPr>
        <w:tc>
          <w:tcPr>
            <w:tcW w:w="1667" w:type="dxa"/>
            <w:vMerge/>
            <w:tcBorders>
              <w:left w:val="single" w:sz="4" w:space="0" w:color="000000"/>
              <w:right w:val="single" w:sz="4" w:space="0" w:color="000000"/>
            </w:tcBorders>
            <w:shd w:val="clear" w:color="auto" w:fill="D2D2D2"/>
          </w:tcPr>
          <w:p>
            <w:pPr/>
          </w:p>
        </w:tc>
        <w:tc>
          <w:tcPr>
            <w:tcW w:w="2345" w:type="dxa"/>
            <w:vMerge/>
            <w:tcBorders>
              <w:left w:val="single" w:sz="4" w:space="0" w:color="000000"/>
              <w:right w:val="single" w:sz="4" w:space="0" w:color="000000"/>
            </w:tcBorders>
          </w:tcPr>
          <w:p>
            <w:pPr/>
          </w:p>
        </w:tc>
        <w:tc>
          <w:tcPr>
            <w:tcW w:w="952" w:type="dxa"/>
            <w:vMerge/>
            <w:tcBorders>
              <w:left w:val="single" w:sz="4" w:space="0" w:color="000000"/>
              <w:right w:val="single" w:sz="4" w:space="0" w:color="000000"/>
            </w:tcBorders>
          </w:tcPr>
          <w:p>
            <w:pPr/>
          </w:p>
        </w:tc>
        <w:tc>
          <w:tcPr>
            <w:tcW w:w="7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东大会审议决定。</w:t>
            </w:r>
            <w:r>
              <w:rPr>
                <w:rFonts w:ascii="宋体" w:hAnsi="宋体" w:cs="宋体" w:eastAsia="宋体" w:hint="default"/>
                <w:spacing w:val="-42"/>
                <w:sz w:val="18"/>
                <w:szCs w:val="18"/>
              </w:rPr>
              <w:t> </w:t>
            </w:r>
            <w:r>
              <w:rPr>
                <w:rFonts w:ascii="宋体" w:hAnsi="宋体" w:cs="宋体" w:eastAsia="宋体" w:hint="default"/>
                <w:sz w:val="18"/>
                <w:szCs w:val="18"/>
              </w:rPr>
              <w:t>在确保以足额现金利润分配的前提下，公司可根据发展需要，通过资本</w:t>
            </w:r>
          </w:p>
        </w:tc>
        <w:tc>
          <w:tcPr>
            <w:tcW w:w="639"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r>
      <w:tr>
        <w:trPr>
          <w:trHeight w:val="318"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vMerge/>
            <w:tcBorders>
              <w:left w:val="single" w:sz="4" w:space="0" w:color="000000"/>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7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公积金转增股本或分配股票股利的方式回报投资者。未来三年，公司正处于业务发展的关</w:t>
            </w:r>
          </w:p>
        </w:tc>
        <w:tc>
          <w:tcPr>
            <w:tcW w:w="639"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669.159973pt;margin-top:57.180008pt;width:37.65pt;height:95.7pt;mso-position-horizontal-relative:page;mso-position-vertical-relative:page;z-index:-865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7pt;margin-top:20.700012pt;width:86pt;height:42.649994pt;mso-position-horizontal-relative:page;mso-position-vertical-relative:page;z-index:-865024" type="#_x0000_t75" stroked="false">
            <v:imagedata r:id="rId9" o:title=""/>
          </v:shape>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1937"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键时期，为了满足经营所需资金，同时为了充分保护公司全体股东的现金分红权益，公司 计划未来三年各期如进行利润分配时，现金分红在当期利润分配中所占的比例不低于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公司在每个会计年度结束后，由公司董事会提出利润分配方案，并提交公司股东大会表决 通过后实施。公司利润分配方案的制定与实施过程将积极采纳和接受所有股东（包括中小 </w:t>
            </w:r>
            <w:r>
              <w:rPr>
                <w:rFonts w:ascii="宋体" w:hAnsi="宋体" w:cs="宋体" w:eastAsia="宋体" w:hint="default"/>
                <w:spacing w:val="-4"/>
                <w:sz w:val="18"/>
                <w:szCs w:val="18"/>
              </w:rPr>
              <w:t>投资者）、独立董事的、监事的建议和监督。公司股东大会对利润分配方案作出决议后，公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司董事会须在股东大会召开后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个月内完成股利（或股份）的派发事项。</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Style w:val="TableParagraph"/>
              <w:spacing w:line="19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31.5pt;height:95.7pt;mso-position-horizontal-relative:char;mso-position-vertical-relative:line" coordorigin="0,0" coordsize="630,1914">
                  <v:group style="position:absolute;left:0;top:0;width:630;height:1914" coordorigin="0,0" coordsize="630,1914">
                    <v:shape style="position:absolute;left:0;top:0;width:630;height:1914" coordorigin="0,0" coordsize="630,1914" path="m0,1913l629,1913,629,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43" w:type="dxa"/>
            <w:tcBorders>
              <w:top w:val="single" w:sz="15" w:space="0" w:color="000000"/>
              <w:left w:val="single" w:sz="4" w:space="0" w:color="000000"/>
              <w:bottom w:val="single" w:sz="4" w:space="0" w:color="000000"/>
              <w:right w:val="single" w:sz="4" w:space="0" w:color="000000"/>
            </w:tcBorders>
          </w:tcPr>
          <w:p>
            <w:pPr/>
          </w:p>
        </w:tc>
        <w:tc>
          <w:tcPr>
            <w:tcW w:w="343" w:type="dxa"/>
            <w:tcBorders>
              <w:top w:val="single" w:sz="15" w:space="0" w:color="000000"/>
              <w:left w:val="single" w:sz="4" w:space="0" w:color="000000"/>
              <w:bottom w:val="single" w:sz="4" w:space="0" w:color="000000"/>
              <w:right w:val="single" w:sz="4" w:space="0" w:color="000000"/>
            </w:tcBorders>
          </w:tcPr>
          <w:p>
            <w:pPr/>
          </w:p>
        </w:tc>
      </w:tr>
      <w:tr>
        <w:trPr>
          <w:trHeight w:val="6955" w:hRule="exact"/>
        </w:trPr>
        <w:tc>
          <w:tcPr>
            <w:tcW w:w="1667" w:type="dxa"/>
            <w:vMerge/>
            <w:tcBorders>
              <w:left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中文在线数字出版集团股份 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填补被摊 薄即期回 报的措施 及承诺</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本次发行后，随着募集资金的到位，公司的股本和净资产都将有较大幅度的增加，但募集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资金投资项目有一定的建设周期，短期内营业收入及净利润较难以实现同步增长，公司短 期内存在净资产收益率下降以及每股收益被摊薄的风险。公司承诺就填补被摊薄即期回报 </w:t>
            </w:r>
            <w:r>
              <w:rPr>
                <w:rFonts w:ascii="宋体" w:hAnsi="宋体" w:cs="宋体" w:eastAsia="宋体" w:hint="default"/>
                <w:spacing w:val="-2"/>
                <w:sz w:val="18"/>
                <w:szCs w:val="18"/>
              </w:rPr>
              <w:t>降采取以下措施：</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、加快募集资金投资项目的实施，尽快实现效益本次募集资金投资项目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为数字内容资源平台升级改造项目，围绕公司主营业务，具有良好的盈利前景，有助于巩 固公司的内容资源和教育阅读产品优势，增加公司营业收入。公司已对募集资金投资项目 上进行了前期投入，募集资金到位后，公司将继续加快募集资金投资项目的实施，实现项 目预期收益，提高股东回报。此外，本次募集资金到位后，将存放于董事会决定的募集资 金专户进行集中管理，做到专款专用。公司将进一步完善内部控制，加强资金管理，防止 </w:t>
            </w:r>
            <w:r>
              <w:rPr>
                <w:rFonts w:ascii="宋体" w:hAnsi="宋体" w:cs="宋体" w:eastAsia="宋体" w:hint="default"/>
                <w:spacing w:val="-2"/>
                <w:sz w:val="18"/>
                <w:szCs w:val="18"/>
              </w:rPr>
              <w:t>资金被挤占挪用，提高资金使用效率。</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、加大优质版权采集力度，提高营业收入优质内容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资源是持续吸引客户、维持客户黏性的重要因素，能创造更高的营业收入。公</w:t>
            </w:r>
            <w:r>
              <w:rPr>
                <w:rFonts w:ascii="宋体" w:hAnsi="宋体" w:cs="宋体" w:eastAsia="宋体" w:hint="default"/>
                <w:spacing w:val="-36"/>
                <w:sz w:val="18"/>
                <w:szCs w:val="18"/>
              </w:rPr>
              <w:t> </w:t>
            </w:r>
            <w:r>
              <w:rPr>
                <w:rFonts w:ascii="宋体" w:hAnsi="宋体" w:cs="宋体" w:eastAsia="宋体" w:hint="default"/>
                <w:sz w:val="18"/>
                <w:szCs w:val="18"/>
              </w:rPr>
              <w:t>司是国内最</w:t>
            </w:r>
            <w:r>
              <w:rPr>
                <w:rFonts w:ascii="宋体" w:hAnsi="宋体" w:cs="宋体" w:eastAsia="宋体" w:hint="default"/>
                <w:sz w:val="18"/>
                <w:szCs w:val="18"/>
              </w:rPr>
              <w:t> 大的正版数字内容提供商之一，数字内容数量多、涵盖面广、质量高、纠纷少，具有较强 的市场竞争力。本次募集资金到位后，公司将进一步加大优质版权力度，丰富内容资源， </w:t>
            </w:r>
            <w:r>
              <w:rPr>
                <w:rFonts w:ascii="宋体" w:hAnsi="宋体" w:cs="宋体" w:eastAsia="宋体" w:hint="default"/>
                <w:spacing w:val="-2"/>
                <w:sz w:val="18"/>
                <w:szCs w:val="18"/>
              </w:rPr>
              <w:t>提高营业收入，为股东创造更好回报。</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、加强研发投入，提高市场竞争力移动互联网是互</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联网技术发展的新方向，教育的信息化和数字化逐渐成为全球教育领域的主流趋势。本次 募集资金到位后，公司将继续增加在移动互联网的研发投入，以进一步巩固公司核心技术 优势、内容采集优势和全媒体出版优势；增加在教育阅读产品的研发投入，巩固公司在教 育信息化和数字化领域中的先发优势。移动互联网和教育阅读产品研发投入的增加，有助 </w:t>
            </w:r>
            <w:r>
              <w:rPr>
                <w:rFonts w:ascii="宋体" w:hAnsi="宋体" w:cs="宋体" w:eastAsia="宋体" w:hint="default"/>
                <w:spacing w:val="-2"/>
                <w:sz w:val="18"/>
                <w:szCs w:val="18"/>
              </w:rPr>
              <w:t>于保持公司的竞争优势，促进公司可持续发展，进而提高股东回报。</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、科学实施成本、费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用管理，提升利润水平公司将加大成本控制力度，严格控制公司费用支出，提升公司利润 率。此外，公司将加强对管理层的考核，将管理层薪酬水平与公司经营效益挂钩，确保管 理层恪尽职守、勤勉尽责。</w:t>
            </w:r>
            <w:r>
              <w:rPr>
                <w:rFonts w:ascii="Times New Roman" w:hAnsi="Times New Roman" w:cs="Times New Roman" w:eastAsia="Times New Roman" w:hint="default"/>
                <w:sz w:val="18"/>
                <w:szCs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674"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中文在线数字出版集团股份 </w:t>
            </w:r>
            <w:r>
              <w:rPr>
                <w:rFonts w:ascii="宋体" w:hAnsi="宋体" w:cs="宋体" w:eastAsia="宋体" w:hint="default"/>
                <w:spacing w:val="-4"/>
                <w:sz w:val="18"/>
                <w:szCs w:val="18"/>
              </w:rPr>
              <w:t>有限公司、童之磊、雷霖、周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依法承担 赔偿或者</w:t>
            </w:r>
          </w:p>
        </w:tc>
        <w:tc>
          <w:tcPr>
            <w:tcW w:w="7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发行人及其控股股东、实际控制人、公司董事、监事、高级管理人员承诺：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 </w:t>
            </w:r>
            <w:r>
              <w:rPr>
                <w:rFonts w:ascii="宋体" w:hAnsi="宋体" w:cs="宋体" w:eastAsia="宋体" w:hint="default"/>
                <w:spacing w:val="-2"/>
                <w:sz w:val="18"/>
                <w:szCs w:val="18"/>
              </w:rPr>
              <w:t>公开发行股票招股说明书不存在虚假记载、误导性陈述或者重大遗漏。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、公司首次公开发</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正 在</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200" w:left="1240" w:right="0"/>
        </w:sectPr>
      </w:pPr>
    </w:p>
    <w:p>
      <w:pPr>
        <w:spacing w:line="240" w:lineRule="auto" w:before="4"/>
        <w:rPr>
          <w:rFonts w:ascii="Times New Roman" w:hAnsi="Times New Roman" w:cs="Times New Roman" w:eastAsia="Times New Roman" w:hint="default"/>
          <w:sz w:val="3"/>
          <w:szCs w:val="3"/>
        </w:rPr>
      </w:pPr>
      <w:r>
        <w:rPr/>
        <w:pict>
          <v:shape style="position:absolute;margin-left:669.219971pt;margin-top:74.820007pt;width:37.6pt;height:109.25pt;mso-position-horizontal-relative:page;mso-position-vertical-relative:page;z-index:-864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7pt;margin-top:20.700012pt;width:86pt;height:42.649994pt;mso-position-horizontal-relative:page;mso-position-vertical-relative:page;z-index:-864952" type="#_x0000_t75" stroked="false">
            <v:imagedata r:id="rId9" o:title=""/>
          </v:shape>
        </w:pict>
      </w:r>
    </w:p>
    <w:tbl>
      <w:tblPr>
        <w:tblW w:w="0" w:type="auto"/>
        <w:jc w:val="left"/>
        <w:tblInd w:w="167" w:type="dxa"/>
        <w:tblLayout w:type="fixed"/>
        <w:tblCellMar>
          <w:top w:w="0" w:type="dxa"/>
          <w:left w:w="0" w:type="dxa"/>
          <w:bottom w:w="0" w:type="dxa"/>
          <w:right w:w="0" w:type="dxa"/>
        </w:tblCellMar>
        <w:tblLook w:val="01E0"/>
      </w:tblPr>
      <w:tblGrid>
        <w:gridCol w:w="1667"/>
        <w:gridCol w:w="2345"/>
        <w:gridCol w:w="952"/>
        <w:gridCol w:w="7126"/>
        <w:gridCol w:w="639"/>
        <w:gridCol w:w="943"/>
        <w:gridCol w:w="343"/>
      </w:tblGrid>
      <w:tr>
        <w:trPr>
          <w:trHeight w:val="2561" w:hRule="exact"/>
        </w:trPr>
        <w:tc>
          <w:tcPr>
            <w:tcW w:w="166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2345" w:type="dxa"/>
            <w:tcBorders>
              <w:top w:val="single" w:sz="15" w:space="0" w:color="000000"/>
              <w:left w:val="single" w:sz="4" w:space="0" w:color="000000"/>
              <w:bottom w:val="single" w:sz="4" w:space="0" w:color="000000"/>
              <w:right w:val="single" w:sz="9" w:space="0" w:color="FFFFFF"/>
            </w:tcBorders>
          </w:tcPr>
          <w:p>
            <w:pPr>
              <w:pStyle w:val="TableParagraph"/>
              <w:spacing w:line="319"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树华、张帆、何庆源、陈晓、 </w:t>
            </w:r>
            <w:r>
              <w:rPr>
                <w:rFonts w:ascii="宋体" w:hAnsi="宋体" w:cs="宋体" w:eastAsia="宋体" w:hint="default"/>
                <w:spacing w:val="-4"/>
                <w:sz w:val="18"/>
                <w:szCs w:val="18"/>
              </w:rPr>
              <w:t>姜瑞明、曹达、任佳伟、谢广</w:t>
            </w:r>
            <w:r>
              <w:rPr>
                <w:rFonts w:ascii="宋体" w:hAnsi="宋体" w:cs="宋体" w:eastAsia="宋体" w:hint="default"/>
                <w:sz w:val="18"/>
                <w:szCs w:val="18"/>
              </w:rPr>
              <w:t> 才、原森民</w:t>
            </w:r>
          </w:p>
        </w:tc>
        <w:tc>
          <w:tcPr>
            <w:tcW w:w="952" w:type="dxa"/>
            <w:tcBorders>
              <w:top w:val="single" w:sz="15" w:space="0" w:color="000000"/>
              <w:left w:val="single" w:sz="9" w:space="0" w:color="FFFFFF"/>
              <w:bottom w:val="single" w:sz="4" w:space="0" w:color="000000"/>
              <w:right w:val="single" w:sz="4" w:space="0" w:color="000000"/>
            </w:tcBorders>
          </w:tcPr>
          <w:p>
            <w:pPr>
              <w:pStyle w:val="TableParagraph"/>
              <w:spacing w:line="319" w:lineRule="auto" w:before="10"/>
              <w:ind w:left="16" w:right="197"/>
              <w:jc w:val="left"/>
              <w:rPr>
                <w:rFonts w:ascii="宋体" w:hAnsi="宋体" w:cs="宋体" w:eastAsia="宋体" w:hint="default"/>
                <w:sz w:val="18"/>
                <w:szCs w:val="18"/>
              </w:rPr>
            </w:pPr>
            <w:r>
              <w:rPr>
                <w:rFonts w:ascii="宋体" w:hAnsi="宋体" w:cs="宋体" w:eastAsia="宋体" w:hint="default"/>
                <w:sz w:val="18"/>
                <w:szCs w:val="18"/>
              </w:rPr>
              <w:t>补偿责任 的承诺</w:t>
            </w:r>
          </w:p>
        </w:tc>
        <w:tc>
          <w:tcPr>
            <w:tcW w:w="7126"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行股票招股说明书有虚假记载、误导性陈述或者重大遗漏，致使投资者在证券交易中遭受 损失的，公司及控股股东、实际控制人、董事、监事、高级管理人员将依法赔偿投资者损 </w:t>
            </w:r>
            <w:r>
              <w:rPr>
                <w:rFonts w:ascii="宋体" w:hAnsi="宋体" w:cs="宋体" w:eastAsia="宋体" w:hint="default"/>
                <w:spacing w:val="-3"/>
                <w:sz w:val="18"/>
                <w:szCs w:val="18"/>
              </w:rPr>
              <w:t>失。（</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）在中国证监会或其他有权部门认定公司首次公开发行股票招股说明书存在虚假记</w:t>
            </w:r>
            <w:r>
              <w:rPr>
                <w:rFonts w:ascii="宋体" w:hAnsi="宋体" w:cs="宋体" w:eastAsia="宋体" w:hint="default"/>
                <w:spacing w:val="-60"/>
                <w:sz w:val="18"/>
                <w:szCs w:val="18"/>
              </w:rPr>
              <w:t> </w:t>
            </w:r>
            <w:r>
              <w:rPr>
                <w:rFonts w:ascii="宋体" w:hAnsi="宋体" w:cs="宋体" w:eastAsia="宋体" w:hint="default"/>
                <w:spacing w:val="-4"/>
                <w:sz w:val="18"/>
                <w:szCs w:val="18"/>
              </w:rPr>
              <w:t>载、误导性陈述或者重大遗漏后二十个工作日内，将启动赔偿投资者损失的相关工作。（</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投资者的损失根据与投资者协商确定的金额、或者依据中国证监会、司法机关认定的方式 或金额确定。上述承诺内容系公司及控股股东、实际控制人、董事、监事、高级管理人员 的真实意思表示，相关责任主体自愿接受监管机构、自律组织及社会公众的监督，若违反 上述承诺，相关责任主体将依法承担相应责任。</w:t>
            </w:r>
            <w:r>
              <w:rPr>
                <w:rFonts w:ascii="Times New Roman" w:hAnsi="Times New Roman" w:cs="Times New Roman" w:eastAsia="Times New Roman" w:hint="default"/>
                <w:sz w:val="18"/>
                <w:szCs w:val="18"/>
              </w:rPr>
              <w:t>"</w:t>
            </w:r>
          </w:p>
        </w:tc>
        <w:tc>
          <w:tcPr>
            <w:tcW w:w="6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31.5pt;height:109.25pt;mso-position-horizontal-relative:char;mso-position-vertical-relative:line" coordorigin="0,0" coordsize="630,2185">
                  <v:group style="position:absolute;left:0;top:0;width:630;height:2185" coordorigin="0,0" coordsize="630,2185">
                    <v:shape style="position:absolute;left:0;top:0;width:630;height:2185" coordorigin="0,0" coordsize="630,2185" path="m0,2184l629,2184,629,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943" w:type="dxa"/>
            <w:tcBorders>
              <w:top w:val="single" w:sz="15" w:space="0" w:color="000000"/>
              <w:left w:val="single" w:sz="4" w:space="0" w:color="000000"/>
              <w:bottom w:val="single" w:sz="4" w:space="0" w:color="000000"/>
              <w:right w:val="single" w:sz="4" w:space="0" w:color="000000"/>
            </w:tcBorders>
          </w:tcPr>
          <w:p>
            <w:pPr/>
          </w:p>
        </w:tc>
        <w:tc>
          <w:tcPr>
            <w:tcW w:w="34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履 行</w:t>
            </w: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345"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712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2345"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712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3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 </w:t>
            </w:r>
            <w:r>
              <w:rPr>
                <w:rFonts w:ascii="宋体" w:hAnsi="宋体" w:cs="宋体" w:eastAsia="宋体" w:hint="default"/>
                <w:spacing w:val="-2"/>
                <w:sz w:val="18"/>
                <w:szCs w:val="18"/>
              </w:rPr>
              <w:t>完毕的，应当详细说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明未完成履行的具 体原因及下一步的 工作计划</w:t>
            </w:r>
          </w:p>
        </w:tc>
        <w:tc>
          <w:tcPr>
            <w:tcW w:w="123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5"/>
        <w:ind w:left="200"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5"/>
      <w:bookmarkEnd w:id="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、公司资产或项目存在盈利预测，且报告期仍处在盈利预测期间，公司就资产或项目达到原盈利预测及其原因做出说明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6840" w:h="11910" w:orient="landscape"/>
          <w:pgMar w:header="867" w:footer="979" w:top="1060" w:bottom="1160" w:left="1240" w:right="0"/>
        </w:sectPr>
      </w:pPr>
    </w:p>
    <w:p>
      <w:pPr>
        <w:spacing w:line="240" w:lineRule="auto" w:before="6"/>
        <w:rPr>
          <w:rFonts w:ascii="宋体" w:hAnsi="宋体" w:cs="宋体" w:eastAsia="宋体" w:hint="default"/>
          <w:sz w:val="19"/>
          <w:szCs w:val="19"/>
        </w:rPr>
      </w:pPr>
    </w:p>
    <w:p>
      <w:pPr>
        <w:pStyle w:val="Heading2"/>
        <w:spacing w:line="240" w:lineRule="auto"/>
        <w:ind w:right="1073"/>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10"/>
        <w:rPr>
          <w:rFonts w:ascii="宋体" w:hAnsi="宋体" w:cs="宋体" w:eastAsia="宋体" w:hint="default"/>
          <w:b/>
          <w:bCs/>
          <w:sz w:val="28"/>
          <w:szCs w:val="28"/>
        </w:rPr>
      </w:pPr>
    </w:p>
    <w:p>
      <w:pPr>
        <w:pStyle w:val="BodyText"/>
        <w:spacing w:line="451" w:lineRule="auto"/>
        <w:ind w:right="2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公司报告期不存在控股股东及其关联方对上市公司的非经营性占用资金。</w:t>
      </w:r>
    </w:p>
    <w:p>
      <w:pPr>
        <w:pStyle w:val="Heading2"/>
        <w:spacing w:line="240" w:lineRule="auto" w:before="166"/>
        <w:ind w:left="1133" w:right="1073"/>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7"/>
          <w:szCs w:val="27"/>
        </w:rPr>
      </w:pPr>
    </w:p>
    <w:p>
      <w:pPr>
        <w:spacing w:line="499" w:lineRule="auto" w:before="0"/>
        <w:ind w:left="1134" w:right="107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五、董事会、监事会、独立董事（如有）对会计师事务所本报告期“非标准审计报告”的说" w:id="68"/>
      <w:bookmarkEnd w:id="68"/>
      <w:r>
        <w:rPr>
          <w:rFonts w:ascii="宋体" w:hAnsi="宋体" w:cs="宋体" w:eastAsia="宋体" w:hint="default"/>
          <w:sz w:val="24"/>
          <w:szCs w:val="24"/>
        </w:rPr>
      </w:r>
      <w:r>
        <w:rPr>
          <w:rFonts w:ascii="宋体" w:hAnsi="宋体" w:cs="宋体" w:eastAsia="宋体" w:hint="default"/>
          <w:b/>
          <w:bCs/>
          <w:w w:val="95"/>
          <w:sz w:val="24"/>
          <w:szCs w:val="24"/>
        </w:rPr>
        <w:t>五、董事会、监事会、独立董事（如有）对会计师事务所本报告期</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非标准审计报告</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的说明</w:t>
      </w:r>
      <w:r>
        <w:rPr>
          <w:rFonts w:ascii="宋体" w:hAnsi="宋体" w:cs="宋体" w:eastAsia="宋体" w:hint="default"/>
          <w:sz w:val="24"/>
          <w:szCs w:val="24"/>
        </w:rPr>
      </w:r>
    </w:p>
    <w:p>
      <w:pPr>
        <w:spacing w:line="499" w:lineRule="auto" w:before="70"/>
        <w:ind w:left="1134" w:right="107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六、董事会关于报告期会计政策、会计估计变更或重大会计差错更正的说明" w:id="69"/>
      <w:bookmarkEnd w:id="69"/>
      <w:r>
        <w:rPr>
          <w:rFonts w:ascii="宋体" w:hAnsi="宋体" w:cs="宋体" w:eastAsia="宋体" w:hint="default"/>
          <w:sz w:val="24"/>
          <w:szCs w:val="24"/>
        </w:rPr>
      </w:r>
      <w:r>
        <w:rPr>
          <w:rFonts w:ascii="宋体" w:hAnsi="宋体" w:cs="宋体" w:eastAsia="宋体" w:hint="default"/>
          <w:b/>
          <w:bCs/>
          <w:w w:val="95"/>
          <w:sz w:val="24"/>
          <w:szCs w:val="24"/>
        </w:rPr>
        <w:t>六、董事会关于报告期会计政策、会计估计变更或重大会计差错更正的说明</w:t>
      </w:r>
      <w:r>
        <w:rPr>
          <w:rFonts w:ascii="宋体" w:hAnsi="宋体" w:cs="宋体" w:eastAsia="宋体" w:hint="default"/>
          <w:sz w:val="24"/>
          <w:szCs w:val="24"/>
        </w:rPr>
      </w:r>
    </w:p>
    <w:p>
      <w:pPr>
        <w:spacing w:line="499" w:lineRule="auto" w:before="116"/>
        <w:ind w:left="1134" w:right="37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七、与上年度财务报告相比，合并报表范围发生变化的情况说明" w:id="70"/>
      <w:bookmarkEnd w:id="70"/>
      <w:r>
        <w:rPr>
          <w:rFonts w:ascii="宋体" w:hAnsi="宋体" w:cs="宋体" w:eastAsia="宋体" w:hint="default"/>
          <w:sz w:val="24"/>
          <w:szCs w:val="24"/>
        </w:rPr>
      </w:r>
      <w:r>
        <w:rPr>
          <w:rFonts w:ascii="宋体" w:hAnsi="宋体" w:cs="宋体" w:eastAsia="宋体" w:hint="default"/>
          <w:b/>
          <w:bCs/>
          <w:w w:val="95"/>
          <w:sz w:val="24"/>
          <w:szCs w:val="24"/>
        </w:rPr>
        <w:t>七、与上年度财务报告相比，合并报表范围发生变化的情况说明</w:t>
      </w:r>
      <w:r>
        <w:rPr>
          <w:rFonts w:ascii="宋体" w:hAnsi="宋体" w:cs="宋体" w:eastAsia="宋体" w:hint="default"/>
          <w:sz w:val="24"/>
          <w:szCs w:val="24"/>
        </w:rPr>
      </w:r>
    </w:p>
    <w:p>
      <w:pPr>
        <w:pStyle w:val="BodyText"/>
        <w:spacing w:line="451" w:lineRule="auto" w:before="117"/>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与上年相比，本年因投资新设增加北京中文万维科技有限公司，因收购剩余股权增加北</w:t>
      </w:r>
    </w:p>
    <w:p>
      <w:pPr>
        <w:pStyle w:val="BodyText"/>
        <w:spacing w:line="257" w:lineRule="exact"/>
        <w:ind w:left="1134" w:right="1073"/>
        <w:jc w:val="left"/>
      </w:pPr>
      <w:r>
        <w:rPr/>
        <w:t>京鸿达以太文化发展有限公司。</w:t>
      </w:r>
    </w:p>
    <w:p>
      <w:pPr>
        <w:spacing w:line="240" w:lineRule="auto" w:before="11"/>
        <w:rPr>
          <w:rFonts w:ascii="宋体" w:hAnsi="宋体" w:cs="宋体" w:eastAsia="宋体" w:hint="default"/>
          <w:sz w:val="28"/>
          <w:szCs w:val="28"/>
        </w:rPr>
      </w:pPr>
    </w:p>
    <w:p>
      <w:pPr>
        <w:spacing w:line="528" w:lineRule="auto" w:before="0"/>
        <w:ind w:left="1614" w:right="6432" w:hanging="480"/>
        <w:jc w:val="left"/>
        <w:rPr>
          <w:rFonts w:ascii="宋体" w:hAnsi="宋体" w:cs="宋体" w:eastAsia="宋体" w:hint="default"/>
          <w:sz w:val="24"/>
          <w:szCs w:val="24"/>
        </w:rPr>
      </w:pPr>
      <w:bookmarkStart w:name="八、聘任、解聘会计师事务所情况" w:id="71"/>
      <w:bookmarkEnd w:id="71"/>
      <w:r>
        <w:rPr/>
      </w:r>
      <w:r>
        <w:rPr>
          <w:rFonts w:ascii="宋体" w:hAnsi="宋体" w:cs="宋体" w:eastAsia="宋体" w:hint="default"/>
          <w:b/>
          <w:bCs/>
          <w:w w:val="95"/>
          <w:sz w:val="24"/>
          <w:szCs w:val="24"/>
        </w:rPr>
        <w:t>八、聘任、解聘会计师事务所情况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唐炫、郑小川</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宋体" w:hAnsi="宋体" w:cs="宋体" w:eastAsia="宋体" w:hint="default"/>
          <w:sz w:val="11"/>
          <w:szCs w:val="11"/>
        </w:rPr>
      </w:pPr>
    </w:p>
    <w:p>
      <w:pPr>
        <w:pStyle w:val="BodyText"/>
        <w:spacing w:line="240" w:lineRule="auto" w:before="26"/>
        <w:ind w:right="1073"/>
        <w:jc w:val="left"/>
      </w:pPr>
      <w:r>
        <w:rPr/>
        <w:t>是否改聘会计师事务所</w:t>
      </w:r>
    </w:p>
    <w:p>
      <w:pPr>
        <w:spacing w:after="0" w:line="240" w:lineRule="auto"/>
        <w:jc w:val="left"/>
        <w:sectPr>
          <w:headerReference w:type="default" r:id="rId16"/>
          <w:footerReference w:type="default" r:id="rId17"/>
          <w:pgSz w:w="11910" w:h="16840"/>
          <w:pgMar w:header="414" w:footer="979" w:top="1260" w:bottom="1160" w:left="0" w:right="0"/>
          <w:pgNumType w:start="51"/>
        </w:sectPr>
      </w:pPr>
    </w:p>
    <w:p>
      <w:pPr>
        <w:spacing w:line="240" w:lineRule="auto" w:before="4"/>
        <w:rPr>
          <w:rFonts w:ascii="宋体" w:hAnsi="宋体" w:cs="宋体" w:eastAsia="宋体" w:hint="default"/>
          <w:sz w:val="14"/>
          <w:szCs w:val="14"/>
        </w:rPr>
      </w:pPr>
    </w:p>
    <w:p>
      <w:pPr>
        <w:pStyle w:val="BodyText"/>
        <w:spacing w:line="451" w:lineRule="auto" w:before="26"/>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spacing w:line="499" w:lineRule="auto" w:before="99"/>
        <w:ind w:left="1134" w:right="37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年度报告披露后面临暂停上市和终止上市情况" w:id="72"/>
      <w:bookmarkEnd w:id="72"/>
      <w:r>
        <w:rPr>
          <w:rFonts w:ascii="宋体" w:hAnsi="宋体" w:cs="宋体" w:eastAsia="宋体" w:hint="default"/>
          <w:sz w:val="24"/>
          <w:szCs w:val="24"/>
        </w:rPr>
      </w:r>
      <w:r>
        <w:rPr>
          <w:rFonts w:ascii="宋体" w:hAnsi="宋体" w:cs="宋体" w:eastAsia="宋体" w:hint="default"/>
          <w:b/>
          <w:bCs/>
          <w:w w:val="95"/>
          <w:sz w:val="24"/>
          <w:szCs w:val="24"/>
        </w:rPr>
        <w:t>九、年度报告披露后面临暂停上市和终止上市情况</w:t>
      </w:r>
      <w:r>
        <w:rPr>
          <w:rFonts w:ascii="宋体" w:hAnsi="宋体" w:cs="宋体" w:eastAsia="宋体" w:hint="default"/>
          <w:sz w:val="24"/>
          <w:szCs w:val="24"/>
        </w:rPr>
      </w:r>
    </w:p>
    <w:p>
      <w:pPr>
        <w:spacing w:line="499" w:lineRule="auto" w:before="116"/>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破产重整相关事项" w:id="73"/>
      <w:bookmarkEnd w:id="73"/>
      <w:r>
        <w:rPr>
          <w:rFonts w:ascii="宋体" w:hAnsi="宋体" w:cs="宋体" w:eastAsia="宋体" w:hint="default"/>
          <w:sz w:val="24"/>
          <w:szCs w:val="24"/>
        </w:rPr>
      </w:r>
      <w:r>
        <w:rPr>
          <w:rFonts w:ascii="宋体" w:hAnsi="宋体" w:cs="宋体" w:eastAsia="宋体" w:hint="default"/>
          <w:b/>
          <w:bCs/>
          <w:w w:val="95"/>
          <w:sz w:val="24"/>
          <w:szCs w:val="24"/>
        </w:rPr>
        <w:t>十、破产重整相关事项</w:t>
      </w:r>
      <w:r>
        <w:rPr>
          <w:rFonts w:ascii="宋体" w:hAnsi="宋体" w:cs="宋体" w:eastAsia="宋体" w:hint="default"/>
          <w:sz w:val="24"/>
          <w:szCs w:val="24"/>
        </w:rPr>
      </w:r>
    </w:p>
    <w:p>
      <w:pPr>
        <w:pStyle w:val="BodyText"/>
        <w:spacing w:line="451" w:lineRule="auto" w:before="116"/>
        <w:ind w:right="6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pStyle w:val="Heading2"/>
        <w:spacing w:line="240" w:lineRule="auto" w:before="166"/>
        <w:ind w:right="1073"/>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10"/>
        <w:rPr>
          <w:rFonts w:ascii="宋体" w:hAnsi="宋体" w:cs="宋体" w:eastAsia="宋体" w:hint="default"/>
          <w:b/>
          <w:bCs/>
          <w:sz w:val="28"/>
          <w:szCs w:val="28"/>
        </w:rPr>
      </w:pPr>
    </w:p>
    <w:p>
      <w:pPr>
        <w:pStyle w:val="BodyText"/>
        <w:spacing w:line="451" w:lineRule="auto"/>
        <w:ind w:right="6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本报告期公司无重大诉讼、仲裁事项。</w:t>
      </w:r>
    </w:p>
    <w:p>
      <w:pPr>
        <w:pStyle w:val="Heading2"/>
        <w:spacing w:line="240" w:lineRule="auto" w:before="166"/>
        <w:ind w:right="1073"/>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10"/>
        <w:rPr>
          <w:rFonts w:ascii="宋体" w:hAnsi="宋体" w:cs="宋体" w:eastAsia="宋体" w:hint="default"/>
          <w:b/>
          <w:bCs/>
          <w:sz w:val="28"/>
          <w:szCs w:val="28"/>
        </w:rPr>
      </w:pPr>
    </w:p>
    <w:p>
      <w:pPr>
        <w:pStyle w:val="BodyText"/>
        <w:spacing w:line="451"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公司报告期不存在处罚及整改情况。</w:t>
      </w:r>
    </w:p>
    <w:p>
      <w:pPr>
        <w:pStyle w:val="Heading2"/>
        <w:spacing w:line="240" w:lineRule="auto" w:before="166"/>
        <w:ind w:right="1073"/>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10"/>
        <w:rPr>
          <w:rFonts w:ascii="宋体" w:hAnsi="宋体" w:cs="宋体" w:eastAsia="宋体" w:hint="default"/>
          <w:b/>
          <w:bCs/>
          <w:sz w:val="28"/>
          <w:szCs w:val="28"/>
        </w:rPr>
      </w:pPr>
    </w:p>
    <w:p>
      <w:pPr>
        <w:spacing w:line="499" w:lineRule="auto" w:before="0"/>
        <w:ind w:left="1134" w:right="21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十四、公司股权激励计划、员工持股计划或其他员工激励措施的实施情况" w:id="77"/>
      <w:bookmarkEnd w:id="77"/>
      <w:r>
        <w:rPr>
          <w:rFonts w:ascii="宋体" w:hAnsi="宋体" w:cs="宋体" w:eastAsia="宋体" w:hint="default"/>
          <w:sz w:val="24"/>
          <w:szCs w:val="24"/>
        </w:rPr>
      </w:r>
      <w:r>
        <w:rPr>
          <w:rFonts w:ascii="宋体" w:hAnsi="宋体" w:cs="宋体" w:eastAsia="宋体" w:hint="default"/>
          <w:b/>
          <w:bCs/>
          <w:w w:val="95"/>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451" w:lineRule="auto" w:before="116"/>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为进一步完善公司的法人治理结构，促进公司建立、健全激励约束机制，不断激励公司</w:t>
      </w:r>
    </w:p>
    <w:p>
      <w:pPr>
        <w:pStyle w:val="BodyText"/>
        <w:spacing w:line="257" w:lineRule="exact"/>
        <w:ind w:left="1134" w:right="1073"/>
        <w:jc w:val="left"/>
      </w:pPr>
      <w:r>
        <w:rPr/>
        <w:t>董事和高级管理人员，稳定和吸引核心管理人员和核心技术（业务）人员等人员，有效地将</w:t>
      </w:r>
    </w:p>
    <w:p>
      <w:pPr>
        <w:pStyle w:val="BodyText"/>
        <w:spacing w:line="357" w:lineRule="auto" w:before="154"/>
        <w:ind w:left="1134" w:right="1152"/>
        <w:jc w:val="left"/>
      </w:pPr>
      <w:r>
        <w:rPr/>
        <w:t>股东利益、公司利益和员工利益结合在一起，公司根据相关法律法规拟定了《公司股票期权 激励计划（草案）》以及《公司第二期股票期权激励计划（草案）》，向激励对象授予股票</w:t>
      </w:r>
    </w:p>
    <w:p>
      <w:pPr>
        <w:spacing w:after="0" w:line="357"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0"/>
        <w:jc w:val="both"/>
      </w:pPr>
      <w:r>
        <w:rPr/>
        <w:t>期权。</w:t>
      </w:r>
    </w:p>
    <w:p>
      <w:pPr>
        <w:spacing w:line="240" w:lineRule="auto" w:before="9"/>
        <w:rPr>
          <w:rFonts w:ascii="宋体" w:hAnsi="宋体" w:cs="宋体" w:eastAsia="宋体" w:hint="default"/>
          <w:sz w:val="23"/>
          <w:szCs w:val="23"/>
        </w:rPr>
      </w:pPr>
    </w:p>
    <w:p>
      <w:pPr>
        <w:pStyle w:val="BodyText"/>
        <w:spacing w:line="240" w:lineRule="auto"/>
        <w:ind w:right="1073"/>
        <w:jc w:val="left"/>
      </w:pPr>
      <w:r>
        <w:rPr/>
        <w:t>股票期权激励计划实施情况概述：</w:t>
      </w:r>
    </w:p>
    <w:p>
      <w:pPr>
        <w:spacing w:line="240" w:lineRule="auto" w:before="9"/>
        <w:rPr>
          <w:rFonts w:ascii="宋体" w:hAnsi="宋体" w:cs="宋体" w:eastAsia="宋体" w:hint="default"/>
          <w:sz w:val="23"/>
          <w:szCs w:val="23"/>
        </w:rPr>
      </w:pPr>
    </w:p>
    <w:p>
      <w:pPr>
        <w:pStyle w:val="BodyText"/>
        <w:spacing w:line="240" w:lineRule="auto"/>
        <w:ind w:right="1073"/>
        <w:jc w:val="left"/>
      </w:pPr>
      <w:r>
        <w:rPr/>
        <w:t>（一）首期股票期权激励计划实施情况</w:t>
      </w:r>
    </w:p>
    <w:p>
      <w:pPr>
        <w:spacing w:line="240" w:lineRule="auto" w:before="9"/>
        <w:rPr>
          <w:rFonts w:ascii="宋体" w:hAnsi="宋体" w:cs="宋体" w:eastAsia="宋体" w:hint="default"/>
          <w:sz w:val="23"/>
          <w:szCs w:val="23"/>
        </w:rPr>
      </w:pPr>
    </w:p>
    <w:p>
      <w:pPr>
        <w:pStyle w:val="BodyText"/>
        <w:spacing w:line="348" w:lineRule="auto"/>
        <w:ind w:left="1134" w:right="997" w:firstLine="480"/>
        <w:jc w:val="left"/>
      </w:pP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spacing w:val="-3"/>
        </w:rPr>
        <w:t>日，公司召开第二届董事会第十三次会议和第二届监事会第六次会议，</w:t>
      </w:r>
      <w:r>
        <w:rPr/>
        <w:t> 审议通过了关于《公司股票期权激励计划（草案）》及其摘要的议案，监事会对激励对象名 单进行了核查，独立董事就本次激励计划发表了同意的独立意见，律师出具了专项意见。</w:t>
      </w:r>
    </w:p>
    <w:p>
      <w:pPr>
        <w:pStyle w:val="BodyText"/>
        <w:spacing w:line="350" w:lineRule="auto" w:before="202"/>
        <w:ind w:left="1133" w:right="1130"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日，公司召开</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年第二次临时股东大会，审议通过了关于《公司股 票期权激励计划（草案）》及其摘要的议案；同日，公司召开第二届董事会第十六次会议及 第二届监事会第八次会议，审议通过了《关于向激励对象授予股票期权的议案》，同意确定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日为授予日，授予</w:t>
      </w:r>
      <w:r>
        <w:rPr>
          <w:spacing w:val="-62"/>
        </w:rPr>
        <w:t> </w:t>
      </w:r>
      <w:r>
        <w:rPr>
          <w:rFonts w:ascii="Times New Roman" w:hAnsi="Times New Roman" w:cs="Times New Roman" w:eastAsia="Times New Roman" w:hint="default"/>
        </w:rPr>
        <w:t>159</w:t>
      </w:r>
      <w:r>
        <w:rPr>
          <w:rFonts w:ascii="Times New Roman" w:hAnsi="Times New Roman" w:cs="Times New Roman" w:eastAsia="Times New Roman" w:hint="default"/>
          <w:spacing w:val="-2"/>
        </w:rPr>
        <w:t> </w:t>
      </w:r>
      <w:r>
        <w:rPr/>
        <w:t>名激励对象</w:t>
      </w:r>
      <w:r>
        <w:rPr>
          <w:spacing w:val="-62"/>
        </w:rPr>
        <w:t> </w:t>
      </w:r>
      <w:r>
        <w:rPr>
          <w:rFonts w:ascii="Times New Roman" w:hAnsi="Times New Roman" w:cs="Times New Roman" w:eastAsia="Times New Roman" w:hint="default"/>
        </w:rPr>
        <w:t>275.35</w:t>
      </w:r>
      <w:r>
        <w:rPr>
          <w:rFonts w:ascii="Times New Roman" w:hAnsi="Times New Roman" w:cs="Times New Roman" w:eastAsia="Times New Roman" w:hint="default"/>
          <w:spacing w:val="-2"/>
        </w:rPr>
        <w:t> </w:t>
      </w:r>
      <w:r>
        <w:rPr/>
        <w:t>万股股票期权。预留的</w:t>
      </w:r>
      <w:r>
        <w:rPr>
          <w:spacing w:val="-62"/>
        </w:rPr>
        <w:t> </w:t>
      </w:r>
      <w:r>
        <w:rPr>
          <w:rFonts w:ascii="Times New Roman" w:hAnsi="Times New Roman" w:cs="Times New Roman" w:eastAsia="Times New Roman" w:hint="default"/>
        </w:rPr>
        <w:t>24.65</w:t>
      </w:r>
      <w:r>
        <w:rPr>
          <w:rFonts w:ascii="Times New Roman" w:hAnsi="Times New Roman" w:cs="Times New Roman" w:eastAsia="Times New Roman" w:hint="default"/>
          <w:spacing w:val="-2"/>
        </w:rPr>
        <w:t> </w:t>
      </w:r>
      <w:r>
        <w:rPr/>
        <w:t>万股股</w:t>
      </w:r>
    </w:p>
    <w:p>
      <w:pPr>
        <w:pStyle w:val="BodyText"/>
        <w:spacing w:line="348" w:lineRule="auto" w:before="13"/>
        <w:ind w:left="1133" w:right="1132"/>
        <w:jc w:val="both"/>
      </w:pPr>
      <w:r>
        <w:rPr/>
        <w:t>票期权的授予日，将在首次授予后的</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3"/>
        </w:rPr>
        <w:t>个月内，由董事会另行确定。公司监事会对本次授予</w:t>
      </w:r>
      <w:r>
        <w:rPr/>
        <w:t> 的激励对象名单进行了核实，公司独立董事就此议案发表了同意的独立意见，律师出具了专 项意见。</w:t>
      </w:r>
    </w:p>
    <w:p>
      <w:pPr>
        <w:pStyle w:val="BodyText"/>
        <w:spacing w:line="240" w:lineRule="auto" w:before="202"/>
        <w:ind w:left="1613" w:right="0"/>
        <w:jc w:val="left"/>
      </w:pPr>
      <w:r>
        <w:rPr>
          <w:rFonts w:ascii="Times New Roman" w:hAnsi="Times New Roman" w:cs="Times New Roman" w:eastAsia="Times New Roman" w:hint="default"/>
          <w:spacing w:val="-12"/>
        </w:rPr>
        <w:t>3</w:t>
      </w:r>
      <w:r>
        <w:rPr>
          <w:spacing w:val="-12"/>
        </w:rPr>
        <w:t>、</w:t>
      </w:r>
      <w:r>
        <w:rPr>
          <w:rFonts w:ascii="Times New Roman" w:hAnsi="Times New Roman" w:cs="Times New Roman" w:eastAsia="Times New Roman" w:hint="default"/>
          <w:spacing w:val="-12"/>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日，公司召开第二届董事会第十七次会议及第二届监事会第九次会议，</w:t>
      </w:r>
    </w:p>
    <w:p>
      <w:pPr>
        <w:pStyle w:val="BodyText"/>
        <w:spacing w:line="240" w:lineRule="auto" w:before="135"/>
        <w:ind w:left="1134" w:right="0"/>
        <w:jc w:val="both"/>
        <w:rPr>
          <w:rFonts w:ascii="Times New Roman" w:hAnsi="Times New Roman" w:cs="Times New Roman" w:eastAsia="Times New Roman" w:hint="default"/>
        </w:rPr>
      </w:pPr>
      <w:r>
        <w:rPr/>
        <w:t>审议通过了《关于公司首期股票期权激励计划预留期权授予相关事项的议案》，决定于</w:t>
      </w:r>
      <w:r>
        <w:rPr>
          <w:spacing w:val="-83"/>
        </w:rPr>
        <w:t> </w:t>
      </w:r>
      <w:r>
        <w:rPr>
          <w:rFonts w:ascii="Times New Roman" w:hAnsi="Times New Roman" w:cs="Times New Roman" w:eastAsia="Times New Roman" w:hint="default"/>
        </w:rPr>
        <w:t>2015</w:t>
      </w:r>
    </w:p>
    <w:p>
      <w:pPr>
        <w:pStyle w:val="BodyText"/>
        <w:spacing w:line="348" w:lineRule="auto" w:before="135"/>
        <w:ind w:left="1133" w:right="1170"/>
        <w:jc w:val="both"/>
      </w:pP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10 </w:t>
      </w:r>
      <w:r>
        <w:rPr/>
        <w:t>日为授予日，向</w:t>
      </w:r>
      <w:r>
        <w:rPr>
          <w:spacing w:val="-60"/>
        </w:rPr>
        <w:t> </w:t>
      </w:r>
      <w:r>
        <w:rPr>
          <w:rFonts w:ascii="Times New Roman" w:hAnsi="Times New Roman" w:cs="Times New Roman" w:eastAsia="Times New Roman" w:hint="default"/>
        </w:rPr>
        <w:t>20 </w:t>
      </w:r>
      <w:r>
        <w:rPr/>
        <w:t>名激励对象授出</w:t>
      </w:r>
      <w:r>
        <w:rPr>
          <w:spacing w:val="-60"/>
        </w:rPr>
        <w:t> </w:t>
      </w:r>
      <w:r>
        <w:rPr>
          <w:rFonts w:ascii="Times New Roman" w:hAnsi="Times New Roman" w:cs="Times New Roman" w:eastAsia="Times New Roman" w:hint="default"/>
        </w:rPr>
        <w:t>24.65 </w:t>
      </w:r>
      <w:r>
        <w:rPr/>
        <w:t>万份预留期权。公司监事会对本次授予 的激励对象名单进行了核实，公司独立董事就此议案发表了同意的独立意见，律师出具了专 项意见。</w:t>
      </w:r>
    </w:p>
    <w:p>
      <w:pPr>
        <w:pStyle w:val="BodyText"/>
        <w:spacing w:line="338" w:lineRule="auto" w:before="202"/>
        <w:ind w:left="1134" w:right="1073" w:firstLine="480"/>
        <w:jc w:val="left"/>
      </w:pPr>
      <w:r>
        <w:rPr>
          <w:rFonts w:ascii="Times New Roman" w:hAnsi="Times New Roman" w:cs="Times New Roman" w:eastAsia="Times New Roman" w:hint="default"/>
          <w:spacing w:val="-3"/>
        </w:rPr>
        <w:t>4</w:t>
      </w:r>
      <w:r>
        <w:rPr>
          <w:spacing w:val="-3"/>
        </w:rPr>
        <w:t>、根据中国证监会《上市公司股权激励管理办法（试行）》、深圳证券交易所、中国证</w:t>
      </w:r>
      <w:r>
        <w:rPr/>
        <w:t> 券登记结算有限责任公司深圳分公司有关业务规则的规定，公司于</w:t>
      </w:r>
      <w:r>
        <w:rPr>
          <w:spacing w:val="-59"/>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23 </w:t>
      </w:r>
      <w:r>
        <w:rPr/>
        <w:t>日完成了</w:t>
      </w:r>
    </w:p>
    <w:p>
      <w:pPr>
        <w:pStyle w:val="BodyText"/>
        <w:spacing w:line="338" w:lineRule="auto" w:before="27"/>
        <w:ind w:left="1133" w:right="1131"/>
        <w:jc w:val="both"/>
      </w:pPr>
      <w:r>
        <w:rPr>
          <w:spacing w:val="-5"/>
        </w:rPr>
        <w:t>首次授予股票期权的授予登记工作；于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5 </w:t>
      </w:r>
      <w:r>
        <w:rPr/>
        <w:t>日完成了首期股票期权激励计划预留期 权的授予登记工作。</w:t>
      </w:r>
    </w:p>
    <w:p>
      <w:pPr>
        <w:pStyle w:val="BodyText"/>
        <w:spacing w:line="240" w:lineRule="auto" w:before="211"/>
        <w:ind w:left="1613" w:right="1073"/>
        <w:jc w:val="left"/>
      </w:pPr>
      <w:r>
        <w:rPr/>
        <w:t>（二）第二期股票期权激励计划实施情况</w:t>
      </w:r>
    </w:p>
    <w:p>
      <w:pPr>
        <w:spacing w:line="240" w:lineRule="auto" w:before="9"/>
        <w:rPr>
          <w:rFonts w:ascii="宋体" w:hAnsi="宋体" w:cs="宋体" w:eastAsia="宋体" w:hint="default"/>
          <w:sz w:val="23"/>
          <w:szCs w:val="23"/>
        </w:rPr>
      </w:pPr>
    </w:p>
    <w:p>
      <w:pPr>
        <w:pStyle w:val="BodyText"/>
        <w:spacing w:line="350" w:lineRule="auto"/>
        <w:ind w:left="1133" w:right="998" w:firstLine="480"/>
        <w:jc w:val="left"/>
      </w:pP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日，公司召开第二届董事会第十七次会议和第二届监事会第九次会议，</w:t>
      </w:r>
      <w:r>
        <w:rPr/>
        <w:t> 审议通过了关于《公司第二期股票期权激励计划（草案）》及其摘要的议案，监事会对激励 对象名单进行了核查，独立董事就本次激励计划发表了同意的独立意见，律师出具了专项意 见。</w:t>
      </w:r>
    </w:p>
    <w:p>
      <w:pPr>
        <w:spacing w:after="0" w:line="35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0" w:lineRule="auto" w:before="26"/>
        <w:ind w:left="1133" w:right="995"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26 </w:t>
      </w:r>
      <w:r>
        <w:rPr/>
        <w:t>日，公司召开</w:t>
      </w:r>
      <w:r>
        <w:rPr>
          <w:spacing w:val="-60"/>
        </w:rPr>
        <w:t> </w:t>
      </w:r>
      <w:r>
        <w:rPr>
          <w:rFonts w:ascii="Times New Roman" w:hAnsi="Times New Roman" w:cs="Times New Roman" w:eastAsia="Times New Roman" w:hint="default"/>
        </w:rPr>
        <w:t>2015 </w:t>
      </w:r>
      <w:r>
        <w:rPr/>
        <w:t>年第三次临时股东大会，审议通过了关于《公司 第二期股票期权激励计划（草案）》及其摘要的议案；同日，公司召开第二届董事会第十八 次会议及第二届监事会第十次会议，审议通过了《关于向激励对象授予第二期股票期权的议 案》，同意确定</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26 </w:t>
      </w:r>
      <w:r>
        <w:rPr/>
        <w:t>日为授予日，授予</w:t>
      </w:r>
      <w:r>
        <w:rPr>
          <w:spacing w:val="-60"/>
        </w:rPr>
        <w:t> </w:t>
      </w:r>
      <w:r>
        <w:rPr>
          <w:rFonts w:ascii="Times New Roman" w:hAnsi="Times New Roman" w:cs="Times New Roman" w:eastAsia="Times New Roman" w:hint="default"/>
        </w:rPr>
        <w:t>21 </w:t>
      </w:r>
      <w:r>
        <w:rPr/>
        <w:t>名激励对象</w:t>
      </w:r>
      <w:r>
        <w:rPr>
          <w:spacing w:val="-60"/>
        </w:rPr>
        <w:t> </w:t>
      </w:r>
      <w:r>
        <w:rPr>
          <w:rFonts w:ascii="Times New Roman" w:hAnsi="Times New Roman" w:cs="Times New Roman" w:eastAsia="Times New Roman" w:hint="default"/>
        </w:rPr>
        <w:t>50 </w:t>
      </w:r>
      <w:r>
        <w:rPr/>
        <w:t>万股股票期权。公司监 </w:t>
      </w:r>
      <w:r>
        <w:rPr>
          <w:spacing w:val="-2"/>
        </w:rPr>
        <w:t>事会对本次授予的激励对象名单进行了核实，公司独立董事就此议案发表了同意的独立意见，</w:t>
      </w:r>
      <w:r>
        <w:rPr/>
        <w:t> 律师出具了专项意见。</w:t>
      </w:r>
    </w:p>
    <w:p>
      <w:pPr>
        <w:pStyle w:val="BodyText"/>
        <w:spacing w:line="338" w:lineRule="auto" w:before="199"/>
        <w:ind w:left="1133" w:right="1130" w:firstLine="480"/>
        <w:jc w:val="both"/>
      </w:pPr>
      <w:r>
        <w:rPr>
          <w:rFonts w:ascii="Times New Roman" w:hAnsi="Times New Roman" w:cs="Times New Roman" w:eastAsia="Times New Roman" w:hint="default"/>
          <w:spacing w:val="-3"/>
        </w:rPr>
        <w:t>3</w:t>
      </w:r>
      <w:r>
        <w:rPr>
          <w:spacing w:val="-3"/>
        </w:rPr>
        <w:t>、根据中国证监会《上市公司股权激励管理办法（试行）》、深圳证券交易所、中国证</w:t>
      </w:r>
      <w:r>
        <w:rPr/>
        <w:t> </w:t>
      </w:r>
      <w:r>
        <w:rPr>
          <w:spacing w:val="-3"/>
        </w:rPr>
        <w:t>券登记结算有限责任公司深圳分公司有关业务规则的规定，公司于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5 </w:t>
      </w:r>
      <w:r>
        <w:rPr/>
        <w:t>日完成了向 激励对象授予第二期股票期权的授予登记工作。</w:t>
      </w:r>
    </w:p>
    <w:p>
      <w:pPr>
        <w:spacing w:line="240" w:lineRule="auto" w:before="4"/>
        <w:rPr>
          <w:rFonts w:ascii="宋体" w:hAnsi="宋体" w:cs="宋体" w:eastAsia="宋体" w:hint="default"/>
          <w:sz w:val="21"/>
          <w:szCs w:val="21"/>
        </w:rPr>
      </w:pPr>
    </w:p>
    <w:p>
      <w:pPr>
        <w:pStyle w:val="Heading2"/>
        <w:spacing w:line="240" w:lineRule="auto" w:before="0"/>
        <w:ind w:left="1133" w:right="1073"/>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与日常经营相关的关联交易" w:id="79"/>
      <w:bookmarkEnd w:id="7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01" w:type="dxa"/>
        <w:tblLayout w:type="fixed"/>
        <w:tblCellMar>
          <w:top w:w="0" w:type="dxa"/>
          <w:left w:w="0" w:type="dxa"/>
          <w:bottom w:w="0" w:type="dxa"/>
          <w:right w:w="0" w:type="dxa"/>
        </w:tblCellMar>
        <w:tblLook w:val="01E0"/>
      </w:tblPr>
      <w:tblGrid>
        <w:gridCol w:w="756"/>
        <w:gridCol w:w="390"/>
        <w:gridCol w:w="481"/>
        <w:gridCol w:w="482"/>
        <w:gridCol w:w="462"/>
        <w:gridCol w:w="896"/>
        <w:gridCol w:w="896"/>
        <w:gridCol w:w="835"/>
        <w:gridCol w:w="929"/>
        <w:gridCol w:w="462"/>
        <w:gridCol w:w="462"/>
        <w:gridCol w:w="527"/>
        <w:gridCol w:w="955"/>
        <w:gridCol w:w="1160"/>
      </w:tblGrid>
      <w:tr>
        <w:trPr>
          <w:trHeight w:val="1650" w:hRule="exact"/>
        </w:trPr>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92" w:right="102"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8"/>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5" w:right="54"/>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6" w:right="54"/>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3"/>
              <w:jc w:val="center"/>
              <w:rPr>
                <w:rFonts w:ascii="宋体" w:hAnsi="宋体" w:cs="宋体" w:eastAsia="宋体" w:hint="default"/>
                <w:sz w:val="18"/>
                <w:szCs w:val="18"/>
              </w:rPr>
            </w:pPr>
            <w:r>
              <w:rPr>
                <w:rFonts w:ascii="宋体" w:hAnsi="宋体" w:cs="宋体" w:eastAsia="宋体" w:hint="default"/>
                <w:sz w:val="18"/>
                <w:szCs w:val="18"/>
              </w:rPr>
              <w:t>关联交易 价格（万 元）</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 w:right="50"/>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1" w:hanging="2"/>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6"/>
                <w:sz w:val="18"/>
                <w:szCs w:val="18"/>
              </w:rPr>
              <w:t>易额度（万</w:t>
            </w:r>
            <w:r>
              <w:rPr>
                <w:rFonts w:ascii="宋体" w:hAnsi="宋体" w:cs="宋体" w:eastAsia="宋体" w:hint="default"/>
                <w:sz w:val="18"/>
                <w:szCs w:val="18"/>
              </w:rPr>
              <w:t> 元）</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4"/>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5"/>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7"/>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04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2" w:right="183"/>
              <w:jc w:val="both"/>
              <w:rPr>
                <w:rFonts w:ascii="宋体" w:hAnsi="宋体" w:cs="宋体" w:eastAsia="宋体" w:hint="default"/>
                <w:sz w:val="18"/>
                <w:szCs w:val="18"/>
              </w:rPr>
            </w:pPr>
            <w:r>
              <w:rPr>
                <w:rFonts w:ascii="宋体" w:hAnsi="宋体" w:cs="宋体" w:eastAsia="宋体" w:hint="default"/>
                <w:sz w:val="18"/>
                <w:szCs w:val="18"/>
              </w:rPr>
              <w:t>天翼阅 读文化 传播有 限公司</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推广 费</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参考 市场 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1,171.46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1,171.46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1,171.46</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2015-084</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2015-093</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2015-102</w:t>
            </w:r>
            <w:r>
              <w:rPr>
                <w:rFonts w:ascii="宋体" w:hAnsi="宋体" w:cs="宋体" w:eastAsia="宋体" w:hint="default"/>
                <w:sz w:val="18"/>
                <w:szCs w:val="18"/>
              </w:rPr>
              <w:t>）</w:t>
            </w:r>
          </w:p>
        </w:tc>
      </w:tr>
      <w:tr>
        <w:trPr>
          <w:trHeight w:val="20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2" w:right="183"/>
              <w:jc w:val="both"/>
              <w:rPr>
                <w:rFonts w:ascii="宋体" w:hAnsi="宋体" w:cs="宋体" w:eastAsia="宋体" w:hint="default"/>
                <w:sz w:val="18"/>
                <w:szCs w:val="18"/>
              </w:rPr>
            </w:pPr>
            <w:r>
              <w:rPr>
                <w:rFonts w:ascii="宋体" w:hAnsi="宋体" w:cs="宋体" w:eastAsia="宋体" w:hint="default"/>
                <w:sz w:val="18"/>
                <w:szCs w:val="18"/>
              </w:rPr>
              <w:t>天翼阅 读文化 传播有 限公司</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2" w:right="86"/>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3" w:right="86"/>
              <w:jc w:val="left"/>
              <w:rPr>
                <w:rFonts w:ascii="宋体" w:hAnsi="宋体" w:cs="宋体" w:eastAsia="宋体" w:hint="default"/>
                <w:sz w:val="18"/>
                <w:szCs w:val="18"/>
              </w:rPr>
            </w:pPr>
            <w:r>
              <w:rPr>
                <w:rFonts w:ascii="宋体" w:hAnsi="宋体" w:cs="宋体" w:eastAsia="宋体" w:hint="default"/>
                <w:sz w:val="18"/>
                <w:szCs w:val="18"/>
              </w:rPr>
              <w:t>授权 阅读</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22" w:right="67"/>
              <w:jc w:val="both"/>
              <w:rPr>
                <w:rFonts w:ascii="宋体" w:hAnsi="宋体" w:cs="宋体" w:eastAsia="宋体" w:hint="default"/>
                <w:sz w:val="18"/>
                <w:szCs w:val="18"/>
              </w:rPr>
            </w:pPr>
            <w:r>
              <w:rPr>
                <w:rFonts w:ascii="宋体" w:hAnsi="宋体" w:cs="宋体" w:eastAsia="宋体" w:hint="default"/>
                <w:sz w:val="18"/>
                <w:szCs w:val="18"/>
              </w:rPr>
              <w:t>参考 市场 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1,598.15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1,598.15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1,171.46</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2015-084</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2015-093</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2015-102</w:t>
            </w:r>
            <w:r>
              <w:rPr>
                <w:rFonts w:ascii="宋体" w:hAnsi="宋体" w:cs="宋体" w:eastAsia="宋体" w:hint="default"/>
                <w:sz w:val="18"/>
                <w:szCs w:val="18"/>
              </w:rPr>
              <w:t>）</w:t>
            </w:r>
          </w:p>
        </w:tc>
      </w:tr>
      <w:tr>
        <w:trPr>
          <w:trHeight w:val="402" w:hRule="exact"/>
        </w:trPr>
        <w:tc>
          <w:tcPr>
            <w:tcW w:w="21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2,769.61</w:t>
            </w:r>
          </w:p>
        </w:tc>
        <w:tc>
          <w:tcPr>
            <w:tcW w:w="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2,769.61</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58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21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按类别对本期将发生的日 常关联交易进行总金额预</w:t>
            </w:r>
          </w:p>
        </w:tc>
        <w:tc>
          <w:tcPr>
            <w:tcW w:w="758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01" w:type="dxa"/>
        <w:tblLayout w:type="fixed"/>
        <w:tblCellMar>
          <w:top w:w="0" w:type="dxa"/>
          <w:left w:w="0" w:type="dxa"/>
          <w:bottom w:w="0" w:type="dxa"/>
          <w:right w:w="0" w:type="dxa"/>
        </w:tblCellMar>
        <w:tblLook w:val="01E0"/>
      </w:tblPr>
      <w:tblGrid>
        <w:gridCol w:w="2110"/>
        <w:gridCol w:w="7585"/>
      </w:tblGrid>
      <w:tr>
        <w:trPr>
          <w:trHeight w:val="674"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计的，在报告期内的实际 履行情况（如有）</w:t>
            </w:r>
          </w:p>
        </w:tc>
        <w:tc>
          <w:tcPr>
            <w:tcW w:w="75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交易价格与市场参考价格 差异较大的原因（如适用</w:t>
            </w:r>
          </w:p>
        </w:tc>
        <w:tc>
          <w:tcPr>
            <w:tcW w:w="7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sz w:val="11"/>
                <w:szCs w:val="11"/>
              </w:rPr>
            </w:pPr>
          </w:p>
          <w:p>
            <w:pPr>
              <w:pStyle w:val="TableParagraph"/>
              <w:spacing w:line="560"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378.8pt;height:28.05pt;mso-position-horizontal-relative:char;mso-position-vertical-relative:line" coordorigin="0,0" coordsize="7576,561">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7576;height:157" coordorigin="0,404" coordsize="7576,157">
                    <v:shape style="position:absolute;left:0;top:404;width:7576;height:157" coordorigin="0,404" coordsize="7576,157" path="m0,560l7575,560,7575,404,0,404,0,560xe" filled="true" fillcolor="#ffffff" stroked="false">
                      <v:path arrowok="t"/>
                      <v:fill type="solid"/>
                    </v:shape>
                  </v:group>
                  <v:group style="position:absolute;left:23;top:11;width:7530;height:393" coordorigin="23,11" coordsize="7530,393">
                    <v:shape style="position:absolute;left:23;top:11;width:7530;height:393" coordorigin="23,11" coordsize="7530,393" path="m23,404l7552,404,7552,11,23,11,23,404xe" filled="true" fillcolor="#ffffff" stroked="false">
                      <v:path arrowok="t"/>
                      <v:fill type="solid"/>
                    </v:shape>
                  </v:group>
                </v:group>
              </w:pict>
            </w:r>
            <w:r>
              <w:rPr>
                <w:rFonts w:ascii="宋体" w:hAnsi="宋体" w:cs="宋体" w:eastAsia="宋体" w:hint="default"/>
                <w:position w:val="-10"/>
                <w:sz w:val="20"/>
                <w:szCs w:val="20"/>
              </w:rPr>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资产或股权收购、出售发生的关联交易" w:id="80"/>
      <w:bookmarkEnd w:id="8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4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公司报告期未发生资产或股权收购、出售的关联交易。</w:t>
      </w:r>
    </w:p>
    <w:p>
      <w:pPr>
        <w:spacing w:before="189"/>
        <w:ind w:left="1133" w:right="1073" w:firstLine="0"/>
        <w:jc w:val="left"/>
        <w:rPr>
          <w:rFonts w:ascii="宋体" w:hAnsi="宋体" w:cs="宋体" w:eastAsia="宋体" w:hint="default"/>
          <w:sz w:val="21"/>
          <w:szCs w:val="21"/>
        </w:rPr>
      </w:pPr>
      <w:bookmarkStart w:name="3、共同对外投资的关联交易" w:id="81"/>
      <w:bookmarkEnd w:id="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公司报告期未发生共同对外投资的关联交易。</w:t>
      </w:r>
    </w:p>
    <w:p>
      <w:pPr>
        <w:spacing w:before="189"/>
        <w:ind w:left="1133" w:right="1073" w:firstLine="0"/>
        <w:jc w:val="left"/>
        <w:rPr>
          <w:rFonts w:ascii="宋体" w:hAnsi="宋体" w:cs="宋体" w:eastAsia="宋体" w:hint="default"/>
          <w:sz w:val="21"/>
          <w:szCs w:val="21"/>
        </w:rPr>
      </w:pPr>
      <w:bookmarkStart w:name="4、关联债权债务往来" w:id="82"/>
      <w:bookmarkEnd w:id="8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6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before="189"/>
        <w:ind w:left="1134" w:right="1073" w:firstLine="0"/>
        <w:jc w:val="left"/>
        <w:rPr>
          <w:rFonts w:ascii="宋体" w:hAnsi="宋体" w:cs="宋体" w:eastAsia="宋体" w:hint="default"/>
          <w:sz w:val="21"/>
          <w:szCs w:val="21"/>
        </w:rPr>
      </w:pPr>
      <w:bookmarkStart w:name="5、其他重大关联交易" w:id="83"/>
      <w:bookmarkEnd w:id="8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6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pStyle w:val="Heading2"/>
        <w:spacing w:line="240" w:lineRule="auto" w:before="166"/>
        <w:ind w:right="1073"/>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托管、承包、租赁事项情况" w:id="85"/>
      <w:bookmarkEnd w:id="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托管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spacing w:before="188"/>
        <w:ind w:left="1134" w:right="1073" w:firstLine="0"/>
        <w:jc w:val="left"/>
        <w:rPr>
          <w:rFonts w:ascii="宋体" w:hAnsi="宋体" w:cs="宋体" w:eastAsia="宋体" w:hint="default"/>
          <w:sz w:val="21"/>
          <w:szCs w:val="21"/>
        </w:rPr>
      </w:pPr>
      <w:bookmarkStart w:name="（2）承包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公司报告期不存在承包情况。</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租赁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spacing w:before="189"/>
        <w:ind w:left="1134" w:right="1073" w:firstLine="0"/>
        <w:jc w:val="left"/>
        <w:rPr>
          <w:rFonts w:ascii="宋体" w:hAnsi="宋体" w:cs="宋体" w:eastAsia="宋体" w:hint="default"/>
          <w:sz w:val="21"/>
          <w:szCs w:val="21"/>
        </w:rPr>
      </w:pPr>
      <w:bookmarkStart w:name="2、重大担保" w:id="89"/>
      <w:bookmarkEnd w:id="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公司报告期不存在担保情况。</w:t>
      </w:r>
    </w:p>
    <w:p>
      <w:pPr>
        <w:spacing w:before="189"/>
        <w:ind w:left="1134" w:right="1073" w:firstLine="0"/>
        <w:jc w:val="left"/>
        <w:rPr>
          <w:rFonts w:ascii="宋体" w:hAnsi="宋体" w:cs="宋体" w:eastAsia="宋体" w:hint="default"/>
          <w:sz w:val="21"/>
          <w:szCs w:val="21"/>
        </w:rPr>
      </w:pPr>
      <w:bookmarkStart w:name="3、委托他人进行现金资产管理情况" w:id="90"/>
      <w:bookmarkEnd w:id="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委托理财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公司报告期不存在委托理财。</w:t>
      </w:r>
    </w:p>
    <w:p>
      <w:pPr>
        <w:spacing w:before="189"/>
        <w:ind w:left="1134" w:right="1073" w:firstLine="0"/>
        <w:jc w:val="left"/>
        <w:rPr>
          <w:rFonts w:ascii="宋体" w:hAnsi="宋体" w:cs="宋体" w:eastAsia="宋体" w:hint="default"/>
          <w:sz w:val="21"/>
          <w:szCs w:val="21"/>
        </w:rPr>
      </w:pPr>
      <w:bookmarkStart w:name="（2）委托贷款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before="189"/>
        <w:ind w:left="1133" w:right="1073" w:firstLine="0"/>
        <w:jc w:val="left"/>
        <w:rPr>
          <w:rFonts w:ascii="宋体" w:hAnsi="宋体" w:cs="宋体" w:eastAsia="宋体" w:hint="default"/>
          <w:sz w:val="21"/>
          <w:szCs w:val="21"/>
        </w:rPr>
      </w:pPr>
      <w:bookmarkStart w:name="4、其他重大合同" w:id="93"/>
      <w:bookmarkEnd w:id="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6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公司报告期不存在其他重大合同。</w:t>
      </w:r>
    </w:p>
    <w:p>
      <w:pPr>
        <w:pStyle w:val="Heading2"/>
        <w:spacing w:line="240" w:lineRule="auto" w:before="166"/>
        <w:ind w:right="1073"/>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2"/>
          <w:szCs w:val="22"/>
        </w:rPr>
      </w:pPr>
    </w:p>
    <w:p>
      <w:pPr>
        <w:pStyle w:val="BodyText"/>
        <w:spacing w:line="338" w:lineRule="auto"/>
        <w:ind w:left="1134" w:right="1152" w:firstLine="480"/>
        <w:jc w:val="left"/>
      </w:pP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10 </w:t>
      </w:r>
      <w:r>
        <w:rPr/>
        <w:t>日，公司召开了第二届董事会第二十次会议，逐项审议通过了《关于公 司非公开发行股票方案的议案》等相关议案，并在创业板指定信息披露网站巨潮资讯网披露</w:t>
      </w:r>
    </w:p>
    <w:p>
      <w:pPr>
        <w:spacing w:after="0" w:line="338"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38" w:lineRule="auto" w:before="26"/>
        <w:ind w:left="1133" w:right="1161"/>
        <w:jc w:val="left"/>
      </w:pPr>
      <w:r>
        <w:rPr/>
        <w:t>了《</w:t>
      </w:r>
      <w:r>
        <w:rPr>
          <w:rFonts w:ascii="Times New Roman" w:hAnsi="Times New Roman" w:cs="Times New Roman" w:eastAsia="Times New Roman" w:hint="default"/>
        </w:rPr>
        <w:t>2015 </w:t>
      </w:r>
      <w:r>
        <w:rPr/>
        <w:t>年非公开发行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股股票预案》等相关公告；公司于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 </w:t>
      </w:r>
      <w:r>
        <w:rPr/>
        <w:t>日通过中国证监 会发行审核委员会审核；目前公司尚未收到中国证监会的书面核准文件。</w:t>
      </w:r>
    </w:p>
    <w:p>
      <w:pPr>
        <w:spacing w:line="240" w:lineRule="auto" w:before="4"/>
        <w:rPr>
          <w:rFonts w:ascii="宋体" w:hAnsi="宋体" w:cs="宋体" w:eastAsia="宋体" w:hint="default"/>
          <w:sz w:val="21"/>
          <w:szCs w:val="21"/>
        </w:rPr>
      </w:pPr>
    </w:p>
    <w:p>
      <w:pPr>
        <w:pStyle w:val="Heading2"/>
        <w:spacing w:line="240" w:lineRule="auto" w:before="0"/>
        <w:ind w:left="1133" w:right="1073"/>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10"/>
        <w:rPr>
          <w:rFonts w:ascii="宋体" w:hAnsi="宋体" w:cs="宋体" w:eastAsia="宋体" w:hint="default"/>
          <w:b/>
          <w:bCs/>
          <w:sz w:val="28"/>
          <w:szCs w:val="28"/>
        </w:rPr>
      </w:pPr>
    </w:p>
    <w:p>
      <w:pPr>
        <w:spacing w:line="499" w:lineRule="auto" w:before="0"/>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九、社会责任情况" w:id="96"/>
      <w:bookmarkEnd w:id="96"/>
      <w:r>
        <w:rPr>
          <w:rFonts w:ascii="宋体" w:hAnsi="宋体" w:cs="宋体" w:eastAsia="宋体" w:hint="default"/>
          <w:sz w:val="24"/>
          <w:szCs w:val="24"/>
        </w:rPr>
      </w:r>
      <w:r>
        <w:rPr>
          <w:rFonts w:ascii="宋体" w:hAnsi="宋体" w:cs="宋体" w:eastAsia="宋体" w:hint="default"/>
          <w:b/>
          <w:bCs/>
          <w:sz w:val="24"/>
          <w:szCs w:val="24"/>
        </w:rPr>
        <w:t>十九、社会责任情况</w:t>
      </w:r>
      <w:r>
        <w:rPr>
          <w:rFonts w:ascii="宋体" w:hAnsi="宋体" w:cs="宋体" w:eastAsia="宋体" w:hint="default"/>
          <w:sz w:val="24"/>
          <w:szCs w:val="24"/>
        </w:rPr>
      </w:r>
    </w:p>
    <w:p>
      <w:pPr>
        <w:spacing w:line="499" w:lineRule="auto" w:before="116"/>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二十、公司债券相关情况" w:id="97"/>
      <w:bookmarkEnd w:id="97"/>
      <w:r>
        <w:rPr>
          <w:rFonts w:ascii="宋体" w:hAnsi="宋体" w:cs="宋体" w:eastAsia="宋体" w:hint="default"/>
          <w:sz w:val="24"/>
          <w:szCs w:val="24"/>
        </w:rPr>
      </w:r>
      <w:r>
        <w:rPr>
          <w:rFonts w:ascii="宋体" w:hAnsi="宋体" w:cs="宋体" w:eastAsia="宋体" w:hint="default"/>
          <w:b/>
          <w:bCs/>
          <w:w w:val="95"/>
          <w:sz w:val="24"/>
          <w:szCs w:val="24"/>
        </w:rPr>
        <w:t>二十、公司债券相关情况</w:t>
      </w:r>
      <w:r>
        <w:rPr>
          <w:rFonts w:ascii="宋体" w:hAnsi="宋体" w:cs="宋体" w:eastAsia="宋体" w:hint="default"/>
          <w:sz w:val="24"/>
          <w:szCs w:val="24"/>
        </w:rPr>
      </w:r>
    </w:p>
    <w:p>
      <w:pPr>
        <w:pStyle w:val="BodyText"/>
        <w:spacing w:line="357" w:lineRule="auto" w:before="116"/>
        <w:ind w:left="1134" w:right="1152" w:firstLine="480"/>
        <w:jc w:val="left"/>
      </w:pPr>
      <w:r>
        <w:rPr/>
        <w:t>公司是否存在公开发行并在证券交易所上市，且在年度报告批准报出日未到期或到期未 能全额兑付的公司债券</w:t>
      </w:r>
    </w:p>
    <w:p>
      <w:pPr>
        <w:pStyle w:val="BodyText"/>
        <w:spacing w:line="240" w:lineRule="auto" w:before="192"/>
        <w:ind w:right="1073"/>
        <w:jc w:val="left"/>
      </w:pPr>
      <w:r>
        <w:rPr/>
        <w:t>否</w:t>
      </w:r>
    </w:p>
    <w:p>
      <w:pPr>
        <w:spacing w:after="0" w:line="240"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left="3946" w:right="1073"/>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133" w:right="1073"/>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股份变动情况" w:id="101"/>
      <w:bookmarkEnd w:id="10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04"/>
        <w:gridCol w:w="904"/>
        <w:gridCol w:w="755"/>
        <w:gridCol w:w="947"/>
        <w:gridCol w:w="566"/>
        <w:gridCol w:w="709"/>
        <w:gridCol w:w="708"/>
        <w:gridCol w:w="994"/>
        <w:gridCol w:w="980"/>
        <w:gridCol w:w="794"/>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9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49,124,212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54.58%</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49,124,212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40,875,788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45.42%</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40,875,788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股份变动的原因</w:t>
      </w:r>
    </w:p>
    <w:p>
      <w:pPr>
        <w:spacing w:line="240" w:lineRule="auto" w:before="9"/>
        <w:rPr>
          <w:rFonts w:ascii="宋体" w:hAnsi="宋体" w:cs="宋体" w:eastAsia="宋体" w:hint="default"/>
          <w:sz w:val="23"/>
          <w:szCs w:val="23"/>
        </w:rPr>
      </w:pPr>
    </w:p>
    <w:p>
      <w:pPr>
        <w:pStyle w:val="BodyText"/>
        <w:spacing w:line="451" w:lineRule="auto"/>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经中国证券监督管理委员会《关于核准北京中文在线数字出版股份有限公司首次公开发</w:t>
      </w:r>
    </w:p>
    <w:p>
      <w:pPr>
        <w:pStyle w:val="BodyText"/>
        <w:spacing w:line="275" w:lineRule="exact"/>
        <w:ind w:left="1134" w:right="1073"/>
        <w:jc w:val="left"/>
      </w:pPr>
      <w:r>
        <w:rPr/>
        <w:t>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 </w:t>
      </w:r>
      <w:r>
        <w:rPr/>
        <w:t>号）核准，公司获准公开发行人民币普通股（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p>
    <w:p>
      <w:pPr>
        <w:pStyle w:val="BodyText"/>
        <w:spacing w:line="240" w:lineRule="auto" w:before="136"/>
        <w:ind w:left="1133" w:right="1073"/>
        <w:jc w:val="left"/>
      </w:pPr>
      <w:r>
        <w:rPr>
          <w:rFonts w:ascii="Times New Roman" w:hAnsi="Times New Roman" w:cs="Times New Roman" w:eastAsia="Times New Roman" w:hint="default"/>
        </w:rPr>
        <w:t>30,000,000 </w:t>
      </w:r>
      <w:r>
        <w:rPr/>
        <w:t>股。</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t>股份变动的批准情况</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451" w:lineRule="auto" w:before="26"/>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经中国证券监督管理委员会《关于核准北京中文在线数字出版股份有限公司首次公开发</w:t>
      </w:r>
    </w:p>
    <w:p>
      <w:pPr>
        <w:pStyle w:val="BodyText"/>
        <w:spacing w:line="275" w:lineRule="exact"/>
        <w:ind w:left="1134" w:right="1073"/>
        <w:jc w:val="left"/>
      </w:pPr>
      <w:r>
        <w:rPr/>
        <w:t>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 </w:t>
      </w:r>
      <w:r>
        <w:rPr/>
        <w:t>号）核准，公司获准公开发行人民币普通股（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p>
    <w:p>
      <w:pPr>
        <w:pStyle w:val="BodyText"/>
        <w:spacing w:line="240" w:lineRule="auto" w:before="135"/>
        <w:ind w:left="1133" w:right="1073"/>
        <w:jc w:val="left"/>
      </w:pPr>
      <w:r>
        <w:rPr>
          <w:rFonts w:ascii="Times New Roman" w:hAnsi="Times New Roman" w:cs="Times New Roman" w:eastAsia="Times New Roman" w:hint="default"/>
        </w:rPr>
        <w:t>30,000,000 </w:t>
      </w:r>
      <w:r>
        <w:rPr/>
        <w:t>股，发行价为</w:t>
      </w:r>
      <w:r>
        <w:rPr>
          <w:spacing w:val="-60"/>
        </w:rPr>
        <w:t> </w:t>
      </w:r>
      <w:r>
        <w:rPr>
          <w:rFonts w:ascii="Times New Roman" w:hAnsi="Times New Roman" w:cs="Times New Roman" w:eastAsia="Times New Roman" w:hint="default"/>
        </w:rPr>
        <w:t>6.81 </w:t>
      </w:r>
      <w:r>
        <w:rPr/>
        <w:t>元，募集资金总额为</w:t>
      </w:r>
      <w:r>
        <w:rPr>
          <w:spacing w:val="-61"/>
        </w:rPr>
        <w:t> </w:t>
      </w:r>
      <w:r>
        <w:rPr>
          <w:rFonts w:ascii="Times New Roman" w:hAnsi="Times New Roman" w:cs="Times New Roman" w:eastAsia="Times New Roman" w:hint="default"/>
        </w:rPr>
        <w:t>204,300,000.00 </w:t>
      </w:r>
      <w:r>
        <w:rPr/>
        <w:t>元，募集资金净额为</w:t>
      </w:r>
    </w:p>
    <w:p>
      <w:pPr>
        <w:pStyle w:val="BodyText"/>
        <w:spacing w:line="338" w:lineRule="auto" w:before="135"/>
        <w:ind w:left="1133" w:right="1121"/>
        <w:jc w:val="left"/>
      </w:pPr>
      <w:r>
        <w:rPr>
          <w:rFonts w:ascii="Times New Roman" w:hAnsi="Times New Roman" w:cs="Times New Roman" w:eastAsia="Times New Roman" w:hint="default"/>
        </w:rPr>
        <w:t>167,468,281.40 </w:t>
      </w:r>
      <w:r>
        <w:rPr>
          <w:spacing w:val="-4"/>
        </w:rPr>
        <w:t>元。上述资金于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19 </w:t>
      </w:r>
      <w:r>
        <w:rPr>
          <w:spacing w:val="-3"/>
        </w:rPr>
        <w:t>日全部到位，已经信永中和会计师事务所（特</w:t>
      </w:r>
      <w:r>
        <w:rPr/>
        <w:t> 殊普通合伙）审验，并出具</w:t>
      </w:r>
      <w:r>
        <w:rPr>
          <w:spacing w:val="-61"/>
        </w:rPr>
        <w:t> </w:t>
      </w:r>
      <w:r>
        <w:rPr>
          <w:rFonts w:ascii="Times New Roman" w:hAnsi="Times New Roman" w:cs="Times New Roman" w:eastAsia="Times New Roman" w:hint="default"/>
        </w:rPr>
        <w:t>XYZH/2013A1058-12</w:t>
      </w:r>
      <w:r>
        <w:rPr>
          <w:rFonts w:ascii="Times New Roman" w:hAnsi="Times New Roman" w:cs="Times New Roman" w:eastAsia="Times New Roman" w:hint="default"/>
          <w:spacing w:val="-2"/>
        </w:rPr>
        <w:t> </w:t>
      </w:r>
      <w:r>
        <w:rPr/>
        <w:t>号验资报告。经深圳证券交易所深证上 </w:t>
      </w:r>
      <w:r>
        <w:rPr>
          <w:rFonts w:ascii="Times New Roman" w:hAnsi="Times New Roman" w:cs="Times New Roman" w:eastAsia="Times New Roman" w:hint="default"/>
        </w:rPr>
        <w:t>[2015]22</w:t>
      </w:r>
      <w:r>
        <w:rPr>
          <w:rFonts w:ascii="Times New Roman" w:hAnsi="Times New Roman" w:cs="Times New Roman" w:eastAsia="Times New Roman" w:hint="default"/>
          <w:spacing w:val="-2"/>
        </w:rPr>
        <w:t> </w:t>
      </w:r>
      <w:r>
        <w:rPr/>
        <w:t>号文同意，本次公开发行人民币普通股（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股）已于</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日起在深圳证 券交易所挂牌上市。</w:t>
      </w:r>
    </w:p>
    <w:p>
      <w:pPr>
        <w:pStyle w:val="BodyText"/>
        <w:spacing w:line="240" w:lineRule="auto" w:before="211"/>
        <w:ind w:left="1613" w:right="1073"/>
        <w:jc w:val="left"/>
      </w:pPr>
      <w:r>
        <w:rPr/>
        <w:t>股份变动的过户情况</w:t>
      </w:r>
    </w:p>
    <w:p>
      <w:pPr>
        <w:spacing w:line="240" w:lineRule="auto" w:before="9"/>
        <w:rPr>
          <w:rFonts w:ascii="宋体" w:hAnsi="宋体" w:cs="宋体" w:eastAsia="宋体" w:hint="default"/>
          <w:sz w:val="23"/>
          <w:szCs w:val="23"/>
        </w:rPr>
      </w:pPr>
    </w:p>
    <w:p>
      <w:pPr>
        <w:pStyle w:val="BodyText"/>
        <w:spacing w:line="451" w:lineRule="auto"/>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股份变动对最近一年和最近一期基本每股收益和稀释每股收益、归属于公司普通股股东</w:t>
      </w:r>
    </w:p>
    <w:p>
      <w:pPr>
        <w:pStyle w:val="BodyText"/>
        <w:spacing w:line="257" w:lineRule="exact"/>
        <w:ind w:left="1134" w:right="1073"/>
        <w:jc w:val="left"/>
      </w:pPr>
      <w:r>
        <w:rPr/>
        <w:t>的每股净资产等财务指标的影响</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2"/>
          <w:szCs w:val="22"/>
        </w:rPr>
      </w:pPr>
    </w:p>
    <w:p>
      <w:pPr>
        <w:pStyle w:val="BodyText"/>
        <w:spacing w:line="240" w:lineRule="auto"/>
        <w:ind w:right="0"/>
        <w:jc w:val="left"/>
      </w:pPr>
      <w:r>
        <w:rPr/>
        <w:t>公司获准公开发行人民币普通股（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30,000,000</w:t>
      </w:r>
      <w:r>
        <w:rPr>
          <w:rFonts w:ascii="Times New Roman" w:hAnsi="Times New Roman" w:cs="Times New Roman" w:eastAsia="Times New Roman" w:hint="default"/>
          <w:spacing w:val="-2"/>
        </w:rPr>
        <w:t> </w:t>
      </w:r>
      <w:r>
        <w:rPr/>
        <w:t>股，于</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日流通上市，</w:t>
      </w:r>
    </w:p>
    <w:p>
      <w:pPr>
        <w:pStyle w:val="BodyText"/>
        <w:spacing w:line="338" w:lineRule="auto" w:before="135"/>
        <w:ind w:left="1133" w:right="1115"/>
        <w:jc w:val="left"/>
      </w:pPr>
      <w:r>
        <w:rPr/>
        <w:t>股本增加至</w:t>
      </w:r>
      <w:r>
        <w:rPr>
          <w:spacing w:val="-71"/>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1"/>
        </w:rPr>
        <w:t> </w:t>
      </w:r>
      <w:r>
        <w:rPr/>
        <w:t>万股，基本每股收益和稀释每股收益、归属于公司普通股股东的每股净资 产都有所下降。</w:t>
      </w:r>
    </w:p>
    <w:p>
      <w:pPr>
        <w:pStyle w:val="BodyText"/>
        <w:spacing w:line="240" w:lineRule="auto" w:before="211"/>
        <w:ind w:left="1613" w:right="1073"/>
        <w:jc w:val="left"/>
      </w:pPr>
      <w:r>
        <w:rPr/>
        <w:t>公司认为必要或证券监管机构要求披露的其他内容</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限售股份变动情况" w:id="102"/>
      <w:bookmarkEnd w:id="1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491" w:lineRule="auto" w:before="0"/>
        <w:ind w:left="1134" w:right="6852"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二、证券发行与上市情况" w:id="103"/>
      <w:bookmarkEnd w:id="103"/>
      <w:r>
        <w:rPr>
          <w:rFonts w:ascii="宋体" w:hAnsi="宋体" w:cs="宋体" w:eastAsia="宋体" w:hint="default"/>
          <w:sz w:val="24"/>
          <w:szCs w:val="24"/>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1、报告期内证券发行（不含优先股）情况" w:id="104"/>
      <w:bookmarkEnd w:id="1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pStyle w:val="BodyText"/>
        <w:spacing w:line="240" w:lineRule="auto" w:before="132"/>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01" w:type="dxa"/>
        <w:tblLayout w:type="fixed"/>
        <w:tblCellMar>
          <w:top w:w="0" w:type="dxa"/>
          <w:left w:w="0" w:type="dxa"/>
          <w:bottom w:w="0" w:type="dxa"/>
          <w:right w:w="0" w:type="dxa"/>
        </w:tblCellMar>
        <w:tblLook w:val="01E0"/>
      </w:tblPr>
      <w:tblGrid>
        <w:gridCol w:w="1754"/>
        <w:gridCol w:w="1675"/>
        <w:gridCol w:w="1392"/>
        <w:gridCol w:w="866"/>
        <w:gridCol w:w="1571"/>
        <w:gridCol w:w="1356"/>
        <w:gridCol w:w="1069"/>
      </w:tblGrid>
      <w:tr>
        <w:trPr>
          <w:trHeight w:val="714"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1" w:right="60" w:hanging="721"/>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0" w:right="60" w:hanging="451"/>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2" w:right="42"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3" w:right="74"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bl>
    <w:p>
      <w:pPr>
        <w:spacing w:after="0" w:line="319"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01" w:type="dxa"/>
        <w:tblLayout w:type="fixed"/>
        <w:tblCellMar>
          <w:top w:w="0" w:type="dxa"/>
          <w:left w:w="0" w:type="dxa"/>
          <w:bottom w:w="0" w:type="dxa"/>
          <w:right w:w="0" w:type="dxa"/>
        </w:tblCellMar>
        <w:tblLook w:val="01E0"/>
      </w:tblPr>
      <w:tblGrid>
        <w:gridCol w:w="1754"/>
        <w:gridCol w:w="1675"/>
        <w:gridCol w:w="1392"/>
        <w:gridCol w:w="866"/>
        <w:gridCol w:w="1571"/>
        <w:gridCol w:w="1356"/>
        <w:gridCol w:w="1080"/>
      </w:tblGrid>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报告期内证券发行（不含优先股）情况的说明</w:t>
      </w:r>
    </w:p>
    <w:p>
      <w:pPr>
        <w:spacing w:line="240" w:lineRule="auto" w:before="9"/>
        <w:rPr>
          <w:rFonts w:ascii="宋体" w:hAnsi="宋体" w:cs="宋体" w:eastAsia="宋体" w:hint="default"/>
          <w:sz w:val="23"/>
          <w:szCs w:val="23"/>
        </w:rPr>
      </w:pPr>
    </w:p>
    <w:p>
      <w:pPr>
        <w:pStyle w:val="BodyText"/>
        <w:spacing w:line="348" w:lineRule="auto"/>
        <w:ind w:left="1133" w:right="1116" w:firstLine="480"/>
        <w:jc w:val="both"/>
        <w:rPr>
          <w:rFonts w:ascii="Times New Roman" w:hAnsi="Times New Roman" w:cs="Times New Roman" w:eastAsia="Times New Roman" w:hint="default"/>
        </w:rPr>
      </w:pPr>
      <w:r>
        <w:rPr/>
        <w:t>经中国证券监督管理委员会《关于核准北京中文在线数字出版股份有限公司首次公开发 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 </w:t>
      </w:r>
      <w:r>
        <w:rPr/>
        <w:t>号）核准，公司获准公开发行人民币普通股（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 </w:t>
      </w:r>
      <w:r>
        <w:rPr>
          <w:rFonts w:ascii="Times New Roman" w:hAnsi="Times New Roman" w:cs="Times New Roman" w:eastAsia="Times New Roman" w:hint="default"/>
        </w:rPr>
        <w:t>30,000,000</w:t>
      </w:r>
      <w:r>
        <w:rPr>
          <w:rFonts w:ascii="Times New Roman" w:hAnsi="Times New Roman" w:cs="Times New Roman" w:eastAsia="Times New Roman" w:hint="default"/>
          <w:spacing w:val="-28"/>
        </w:rPr>
        <w:t> </w:t>
      </w:r>
      <w:r>
        <w:rPr/>
        <w:t>股。经深圳证券交易所深证上</w:t>
      </w:r>
      <w:r>
        <w:rPr>
          <w:rFonts w:ascii="Times New Roman" w:hAnsi="Times New Roman" w:cs="Times New Roman" w:eastAsia="Times New Roman" w:hint="default"/>
        </w:rPr>
        <w:t>[2015]22</w:t>
      </w:r>
      <w:r>
        <w:rPr>
          <w:rFonts w:ascii="Times New Roman" w:hAnsi="Times New Roman" w:cs="Times New Roman" w:eastAsia="Times New Roman" w:hint="default"/>
          <w:spacing w:val="-28"/>
        </w:rPr>
        <w:t> </w:t>
      </w:r>
      <w:r>
        <w:rPr/>
        <w:t>号文同意，本次公开发行人民币普通股（</w:t>
      </w:r>
      <w:r>
        <w:rPr>
          <w:rFonts w:ascii="Times New Roman" w:hAnsi="Times New Roman" w:cs="Times New Roman" w:eastAsia="Times New Roman" w:hint="default"/>
        </w:rPr>
        <w:t>A</w:t>
      </w:r>
    </w:p>
    <w:p>
      <w:pPr>
        <w:pStyle w:val="BodyText"/>
        <w:spacing w:line="240" w:lineRule="auto" w:before="16"/>
        <w:ind w:left="1134" w:right="1073"/>
        <w:jc w:val="left"/>
      </w:pPr>
      <w:r>
        <w:rPr/>
        <w:t>股）于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21 </w:t>
      </w:r>
      <w:r>
        <w:rPr/>
        <w:t>日起在深圳证券交易所创业板挂牌上市。股票简称为</w:t>
      </w:r>
      <w:r>
        <w:rPr>
          <w:rFonts w:ascii="Times New Roman" w:hAnsi="Times New Roman" w:cs="Times New Roman" w:eastAsia="Times New Roman" w:hint="default"/>
        </w:rPr>
        <w:t>“</w:t>
      </w:r>
      <w:r>
        <w:rPr/>
        <w:t>中文在线</w:t>
      </w:r>
      <w:r>
        <w:rPr>
          <w:rFonts w:ascii="Times New Roman" w:hAnsi="Times New Roman" w:cs="Times New Roman" w:eastAsia="Times New Roman" w:hint="default"/>
        </w:rPr>
        <w:t>”</w:t>
      </w:r>
      <w:r>
        <w:rPr/>
        <w:t>，股</w:t>
      </w:r>
    </w:p>
    <w:p>
      <w:pPr>
        <w:pStyle w:val="BodyText"/>
        <w:spacing w:line="338" w:lineRule="auto" w:before="135"/>
        <w:ind w:left="1134" w:right="1123"/>
        <w:jc w:val="left"/>
      </w:pPr>
      <w:r>
        <w:rPr>
          <w:spacing w:val="-6"/>
        </w:rPr>
        <w:t>票代码为</w:t>
      </w:r>
      <w:r>
        <w:rPr>
          <w:rFonts w:ascii="Times New Roman" w:hAnsi="Times New Roman" w:cs="Times New Roman" w:eastAsia="Times New Roman" w:hint="default"/>
          <w:spacing w:val="-6"/>
        </w:rPr>
        <w:t>“300364”</w:t>
      </w:r>
      <w:r>
        <w:rPr>
          <w:spacing w:val="-6"/>
        </w:rPr>
        <w:t>；本次公司公开发行的</w:t>
      </w:r>
      <w:r>
        <w:rPr>
          <w:spacing w:val="-5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万股人民币普通股股票自</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日起 上市交易。</w:t>
      </w:r>
    </w:p>
    <w:p>
      <w:pPr>
        <w:spacing w:line="240" w:lineRule="auto" w:before="1"/>
        <w:rPr>
          <w:rFonts w:ascii="宋体" w:hAnsi="宋体" w:cs="宋体" w:eastAsia="宋体" w:hint="default"/>
          <w:sz w:val="23"/>
          <w:szCs w:val="23"/>
        </w:rPr>
      </w:pPr>
    </w:p>
    <w:p>
      <w:pPr>
        <w:spacing w:before="0"/>
        <w:ind w:left="1134" w:right="1073" w:firstLine="0"/>
        <w:jc w:val="left"/>
        <w:rPr>
          <w:rFonts w:ascii="宋体" w:hAnsi="宋体" w:cs="宋体" w:eastAsia="宋体" w:hint="default"/>
          <w:sz w:val="21"/>
          <w:szCs w:val="21"/>
        </w:rPr>
      </w:pPr>
      <w:bookmarkStart w:name="2、公司股份总数及股东结构的变动、公司资产和负债结构的变动情况说明" w:id="105"/>
      <w:bookmarkEnd w:id="10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pStyle w:val="BodyText"/>
        <w:spacing w:line="620" w:lineRule="atLeast" w:before="88"/>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报告期内，公司获得中国证券监督管理委员会核准（证监许可［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号），公开发</w:t>
      </w:r>
    </w:p>
    <w:p>
      <w:pPr>
        <w:pStyle w:val="BodyText"/>
        <w:spacing w:line="240" w:lineRule="auto" w:before="135"/>
        <w:ind w:left="1134" w:right="1073"/>
        <w:jc w:val="left"/>
      </w:pPr>
      <w:r>
        <w:rPr/>
        <w:t>行</w:t>
      </w:r>
      <w:r>
        <w:rPr>
          <w:spacing w:val="-60"/>
        </w:rPr>
        <w:t> </w:t>
      </w:r>
      <w:r>
        <w:rPr>
          <w:rFonts w:ascii="Times New Roman" w:hAnsi="Times New Roman" w:cs="Times New Roman" w:eastAsia="Times New Roman" w:hint="default"/>
        </w:rPr>
        <w:t>3,000 </w:t>
      </w:r>
      <w:r>
        <w:rPr/>
        <w:t>万股人民币普通股股票， 发行后总股本为</w:t>
      </w:r>
      <w:r>
        <w:rPr>
          <w:spacing w:val="-60"/>
        </w:rPr>
        <w:t> </w:t>
      </w:r>
      <w:r>
        <w:rPr>
          <w:rFonts w:ascii="Times New Roman" w:hAnsi="Times New Roman" w:cs="Times New Roman" w:eastAsia="Times New Roman" w:hint="default"/>
        </w:rPr>
        <w:t>12,000 </w:t>
      </w:r>
      <w:r>
        <w:rPr/>
        <w:t>万股。</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现存的内部职工股情况" w:id="106"/>
      <w:bookmarkEnd w:id="1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494" w:lineRule="auto" w:before="0"/>
        <w:ind w:left="1134" w:right="6432"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股东和实际控制人情况" w:id="107"/>
      <w:bookmarkEnd w:id="107"/>
      <w:r>
        <w:rPr>
          <w:rFonts w:ascii="宋体" w:hAnsi="宋体" w:cs="宋体" w:eastAsia="宋体" w:hint="default"/>
          <w:sz w:val="24"/>
          <w:szCs w:val="24"/>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08"/>
      <w:bookmarkEnd w:id="10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1"/>
        <w:ind w:left="0" w:right="1130" w:firstLine="0"/>
        <w:jc w:val="right"/>
        <w:rPr>
          <w:rFonts w:ascii="宋体" w:hAnsi="宋体" w:cs="宋体" w:eastAsia="宋体" w:hint="default"/>
          <w:sz w:val="18"/>
          <w:szCs w:val="18"/>
        </w:rPr>
      </w:pPr>
      <w:r>
        <w:rPr/>
        <w:pict>
          <v:shape style="position:absolute;margin-left:449.277008pt;margin-top:73.341728pt;width:85.75pt;height:31.2pt;mso-position-horizontal-relative:page;mso-position-vertical-relative:paragraph;z-index:-86490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3.341728pt;width:52.65pt;height:31.2pt;mso-position-horizontal-relative:page;mso-position-vertical-relative:paragraph;z-index:-864880" coordorigin="9648,1467" coordsize="1053,624">
            <v:shape style="position:absolute;left:9648;top:1467;width:1053;height:624" coordorigin="9648,1467" coordsize="1053,624" path="m9648,2091l10700,2091,10700,1467,9648,1467,9648,209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23"/>
        <w:gridCol w:w="134"/>
        <w:gridCol w:w="673"/>
        <w:gridCol w:w="739"/>
        <w:gridCol w:w="744"/>
        <w:gridCol w:w="1054"/>
        <w:gridCol w:w="121"/>
        <w:gridCol w:w="872"/>
        <w:gridCol w:w="434"/>
        <w:gridCol w:w="559"/>
        <w:gridCol w:w="528"/>
        <w:gridCol w:w="452"/>
        <w:gridCol w:w="859"/>
        <w:gridCol w:w="508"/>
        <w:gridCol w:w="559"/>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13,840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17,584</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1" w:right="2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3" w:type="dxa"/>
            <w:gridSpan w:val="2"/>
            <w:vMerge/>
            <w:tcBorders>
              <w:left w:val="single" w:sz="4" w:space="0" w:color="000000"/>
              <w:right w:val="single" w:sz="4" w:space="0" w:color="000000"/>
            </w:tcBorders>
            <w:shd w:val="clear" w:color="auto" w:fill="D2D2D2"/>
          </w:tcPr>
          <w:p>
            <w:pPr/>
          </w:p>
        </w:tc>
        <w:tc>
          <w:tcPr>
            <w:tcW w:w="981" w:type="dxa"/>
            <w:gridSpan w:val="2"/>
            <w:vMerge/>
            <w:tcBorders>
              <w:left w:val="single" w:sz="4" w:space="0" w:color="000000"/>
              <w:right w:val="single" w:sz="4" w:space="0" w:color="000000"/>
            </w:tcBorders>
            <w:shd w:val="clear" w:color="auto" w:fill="D2D2D2"/>
          </w:tcPr>
          <w:p>
            <w:pPr/>
          </w:p>
        </w:tc>
        <w:tc>
          <w:tcPr>
            <w:tcW w:w="1927" w:type="dxa"/>
            <w:gridSpan w:val="3"/>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81" w:type="dxa"/>
            <w:gridSpan w:val="2"/>
            <w:vMerge/>
            <w:tcBorders>
              <w:left w:val="single" w:sz="4" w:space="0" w:color="000000"/>
              <w:right w:val="single" w:sz="4" w:space="0" w:color="000000"/>
            </w:tcBorders>
            <w:shd w:val="clear" w:color="auto" w:fill="D2D2D2"/>
          </w:tcPr>
          <w:p>
            <w:pPr/>
          </w:p>
        </w:tc>
        <w:tc>
          <w:tcPr>
            <w:tcW w:w="192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81" w:type="dxa"/>
            <w:gridSpan w:val="2"/>
            <w:vMerge/>
            <w:tcBorders>
              <w:left w:val="single" w:sz="4" w:space="0" w:color="000000"/>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81" w:type="dxa"/>
            <w:gridSpan w:val="2"/>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81" w:type="dxa"/>
            <w:gridSpan w:val="2"/>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22"/>
              <w:jc w:val="left"/>
              <w:rPr>
                <w:rFonts w:ascii="Times New Roman" w:hAnsi="Times New Roman" w:cs="Times New Roman" w:eastAsia="Times New Roman" w:hint="default"/>
                <w:sz w:val="18"/>
                <w:szCs w:val="18"/>
              </w:rPr>
            </w:pPr>
            <w:r>
              <w:rPr>
                <w:rFonts w:ascii="Times New Roman"/>
                <w:sz w:val="18"/>
              </w:rPr>
              <w:t>18.69%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22,426,110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22,426,110</w:t>
            </w:r>
          </w:p>
        </w:tc>
        <w:tc>
          <w:tcPr>
            <w:tcW w:w="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5" w:space="0" w:color="D2D2D2"/>
              <w:left w:val="single" w:sz="4" w:space="0" w:color="000000"/>
              <w:bottom w:val="single" w:sz="4" w:space="0" w:color="000000"/>
              <w:right w:val="single" w:sz="4" w:space="0" w:color="000000"/>
            </w:tcBorders>
          </w:tcPr>
          <w:p>
            <w:pPr/>
          </w:p>
        </w:tc>
        <w:tc>
          <w:tcPr>
            <w:tcW w:w="1068" w:type="dxa"/>
            <w:gridSpan w:val="2"/>
            <w:tcBorders>
              <w:top w:val="single" w:sz="45" w:space="0" w:color="D2D2D2"/>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1010"/>
        <w:gridCol w:w="992"/>
        <w:gridCol w:w="994"/>
        <w:gridCol w:w="205"/>
        <w:gridCol w:w="786"/>
        <w:gridCol w:w="563"/>
        <w:gridCol w:w="290"/>
        <w:gridCol w:w="1062"/>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北京启迪华创投 资咨询有限公司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16,811,081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16,811,081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上海文睿投资有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8,449,643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8,449,643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王秋虎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5,031,630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浙江华睿海越现 代服务业创业投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4,654,742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4,654,742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胡松挺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4,277,994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4,277,994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上海开物投资合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3,970,588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3,970,588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陈耀杰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3,962,102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3,962,102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宁波博发投资合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2,501,924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2,501,924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北京德同长通投 资中心（有限合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2,095,870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2,095,870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1"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1" w:type="dxa"/>
            <w:gridSpan w:val="9"/>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报告期内，除童之磊为上海文睿的控股股东，双方存在关联关系外，其他股东无关联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关系，不存在一致行动关系。</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中信银行股份有限公司－中银新动 力股票型证券投资基金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1,117,275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1,117,275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融通新蓝筹证券投资基金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982,308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982,308</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新能源灵活配置混合型证券投资基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849,683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849,683</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交通银行－融通行业景气证券投资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717,862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717,862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全国社保基金四一五组合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675,605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675,605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 讯混合型证券投资基金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653,251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653,251</w:t>
            </w:r>
          </w:p>
        </w:tc>
      </w:tr>
    </w:tbl>
    <w:p>
      <w:pPr>
        <w:spacing w:after="0" w:line="240" w:lineRule="auto"/>
        <w:jc w:val="lef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2"/>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中国银行股份有限公司－国联安优 选行业股票型证券投资基金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565,928</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中信银行股份有限公司－中银智能 制造股票型证券投资基金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564,616</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交通银行股份有限公司－科瑞证券 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招商银行股份有限公司－中银新经 济灵活配置混合型证券投资基金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404,209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404,209</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1" w:type="dxa"/>
            <w:gridSpan w:val="3"/>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376" w:right="2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公司未知其他前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名无限售条件股东之间是否存在关联关系，以及是否属于一致 行动人；</w:t>
            </w:r>
          </w:p>
          <w:p>
            <w:pPr>
              <w:pStyle w:val="TableParagraph"/>
              <w:spacing w:line="300" w:lineRule="auto" w:before="31"/>
              <w:ind w:left="376" w:right="8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公司未知前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名无限售流通股股东和前</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名股东之间是否存在关联关系，以及 是否属于一致行动人。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Times New Roman" w:hAnsi="Times New Roman" w:cs="Times New Roman" w:eastAsia="Times New Roman" w:hint="default"/>
          <w:sz w:val="14"/>
          <w:szCs w:val="14"/>
        </w:rPr>
      </w:pPr>
    </w:p>
    <w:p>
      <w:pPr>
        <w:pStyle w:val="BodyText"/>
        <w:spacing w:line="338" w:lineRule="auto" w:before="26"/>
        <w:ind w:left="1134" w:right="1152" w:firstLine="480"/>
        <w:jc w:val="left"/>
      </w:pPr>
      <w:r>
        <w:rPr/>
        <w:t>公司前</w:t>
      </w:r>
      <w:r>
        <w:rPr>
          <w:spacing w:val="-60"/>
        </w:rPr>
        <w:t> </w:t>
      </w:r>
      <w:r>
        <w:rPr>
          <w:rFonts w:ascii="Times New Roman" w:hAnsi="Times New Roman" w:cs="Times New Roman" w:eastAsia="Times New Roman" w:hint="default"/>
        </w:rPr>
        <w:t>10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 交易</w:t>
      </w:r>
    </w:p>
    <w:p>
      <w:pPr>
        <w:pStyle w:val="BodyText"/>
        <w:spacing w:line="240" w:lineRule="auto" w:before="211"/>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22"/>
          <w:szCs w:val="22"/>
        </w:rPr>
      </w:pPr>
    </w:p>
    <w:p>
      <w:pPr>
        <w:pStyle w:val="BodyText"/>
        <w:spacing w:line="338" w:lineRule="auto"/>
        <w:ind w:left="1134" w:right="1152" w:firstLine="480"/>
        <w:jc w:val="left"/>
      </w:pPr>
      <w:r>
        <w:rPr/>
        <w:t>公司前</w:t>
      </w:r>
      <w:r>
        <w:rPr>
          <w:spacing w:val="-60"/>
        </w:rPr>
        <w:t> </w:t>
      </w:r>
      <w:r>
        <w:rPr>
          <w:rFonts w:ascii="Times New Roman" w:hAnsi="Times New Roman" w:cs="Times New Roman" w:eastAsia="Times New Roman" w:hint="default"/>
        </w:rPr>
        <w:t>10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 易。</w:t>
      </w:r>
    </w:p>
    <w:p>
      <w:pPr>
        <w:spacing w:line="240" w:lineRule="auto" w:before="1"/>
        <w:rPr>
          <w:rFonts w:ascii="宋体" w:hAnsi="宋体" w:cs="宋体" w:eastAsia="宋体" w:hint="default"/>
          <w:sz w:val="23"/>
          <w:szCs w:val="23"/>
        </w:rPr>
      </w:pPr>
    </w:p>
    <w:p>
      <w:pPr>
        <w:spacing w:before="0"/>
        <w:ind w:left="1134" w:right="1073" w:firstLine="0"/>
        <w:jc w:val="left"/>
        <w:rPr>
          <w:rFonts w:ascii="宋体" w:hAnsi="宋体" w:cs="宋体" w:eastAsia="宋体" w:hint="default"/>
          <w:sz w:val="21"/>
          <w:szCs w:val="21"/>
        </w:rPr>
      </w:pPr>
      <w:bookmarkStart w:name="2、公司控股股东情况"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77" w:lineRule="auto"/>
        <w:ind w:left="1613" w:right="7393"/>
        <w:jc w:val="left"/>
      </w:pPr>
      <w:r>
        <w:rPr/>
        <w:t>控股股东性质：自然人控股 控股股东类型：自然人</w:t>
      </w: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童之磊先生，男，</w:t>
            </w: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年出生，中国国籍，无境外永久居留权，硕士研究生， 国际工商管理专业，经济师。</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年获得清华大学学士学位，</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年获美国 麻省理工学院（</w:t>
            </w:r>
            <w:r>
              <w:rPr>
                <w:rFonts w:ascii="Times New Roman" w:hAnsi="Times New Roman" w:cs="Times New Roman" w:eastAsia="Times New Roman" w:hint="default"/>
                <w:sz w:val="18"/>
                <w:szCs w:val="18"/>
              </w:rPr>
              <w:t>MIT</w:t>
            </w:r>
            <w:r>
              <w:rPr>
                <w:rFonts w:ascii="宋体" w:hAnsi="宋体" w:cs="宋体" w:eastAsia="宋体" w:hint="default"/>
                <w:sz w:val="18"/>
                <w:szCs w:val="18"/>
              </w:rPr>
              <w:t>）与清华大学联合培养的国际工商管理硕士（</w:t>
            </w:r>
            <w:r>
              <w:rPr>
                <w:rFonts w:ascii="Times New Roman" w:hAnsi="Times New Roman" w:cs="Times New Roman" w:eastAsia="Times New Roman" w:hint="default"/>
                <w:sz w:val="18"/>
                <w:szCs w:val="18"/>
              </w:rPr>
              <w:t>IMBA</w:t>
            </w:r>
            <w:r>
              <w:rPr>
                <w:rFonts w:ascii="宋体" w:hAnsi="宋体" w:cs="宋体" w:eastAsia="宋体" w:hint="default"/>
                <w:sz w:val="18"/>
                <w:szCs w:val="18"/>
              </w:rPr>
              <w:t>）学 位。</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月发起成立中文在线，现任中文在线数字出版集团股份有限公 司董事长兼总经理、上海文睿投资有限公司执行董事、北京中文在线教育科技 有限公司执行董事兼总经理、上海中文在线文化发展有限公司执行董事、湖北 中文在线数字出版有限公司董事长兼总经理、杭州中文在线信息科技有限公司 董事长兼总经理、北京中文在线文化传媒有限公司监事、北京亚杰商汇咨询有 </w:t>
            </w:r>
            <w:r>
              <w:rPr>
                <w:rFonts w:ascii="宋体" w:hAnsi="宋体" w:cs="宋体" w:eastAsia="宋体" w:hint="default"/>
                <w:spacing w:val="-6"/>
                <w:sz w:val="18"/>
                <w:szCs w:val="18"/>
              </w:rPr>
              <w:t>限公司董事、</w:t>
            </w:r>
            <w:r>
              <w:rPr>
                <w:rFonts w:ascii="Times New Roman" w:hAnsi="Times New Roman" w:cs="Times New Roman" w:eastAsia="Times New Roman" w:hint="default"/>
                <w:spacing w:val="-6"/>
                <w:sz w:val="18"/>
                <w:szCs w:val="18"/>
              </w:rPr>
              <w:t>ATA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董事，北京市东城区第十五届人民代表大会代表、中华全国 青年联合会常委及教育界别秘书长、北京市青年联合会委员、北京市东城区青</w:t>
            </w:r>
          </w:p>
        </w:tc>
      </w:tr>
    </w:tbl>
    <w:p>
      <w:pPr>
        <w:spacing w:after="0" w:line="307"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1"/>
        <w:rPr>
          <w:rFonts w:ascii="宋体" w:hAnsi="宋体" w:cs="宋体" w:eastAsia="宋体" w:hint="default"/>
          <w:sz w:val="12"/>
          <w:szCs w:val="12"/>
        </w:rPr>
      </w:pPr>
    </w:p>
    <w:p>
      <w:pPr>
        <w:spacing w:line="1005" w:lineRule="exact"/>
        <w:ind w:left="112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81.8pt;height:50.3pt;mso-position-horizontal-relative:char;mso-position-vertical-relative:line" coordorigin="0,0" coordsize="9636,1006">
            <v:group style="position:absolute;left:10;top:14;width:3408;height:977" coordorigin="10,14" coordsize="3408,977">
              <v:shape style="position:absolute;left:10;top:14;width:3408;height:977" coordorigin="10,14" coordsize="3408,977" path="m10,991l3417,991,3417,14,10,14,10,991xe" filled="true" fillcolor="#d2d2d2" stroked="false">
                <v:path arrowok="t"/>
                <v:fill type="solid"/>
              </v:shape>
            </v:group>
            <v:group style="position:absolute;left:10;top:10;width:3409;height:2" coordorigin="10,10" coordsize="3409,2">
              <v:shape style="position:absolute;left:10;top:10;width:3409;height:2" coordorigin="10,10" coordsize="3409,0" path="m10,10l3418,10e" filled="false" stroked="true" strokeweight=".48pt" strokecolor="#000000">
                <v:path arrowok="t"/>
              </v:shape>
            </v:group>
            <v:group style="position:absolute;left:3428;top:10;width:6142;height:2" coordorigin="3428,10" coordsize="6142,2">
              <v:shape style="position:absolute;left:3428;top:10;width:6142;height:2" coordorigin="3428,10" coordsize="6142,0" path="m3428,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3409;height:2" coordorigin="10,996" coordsize="3409,2">
              <v:shape style="position:absolute;left:10;top:996;width:3409;height:2" coordorigin="10,996" coordsize="3409,0" path="m10,996l3418,996e" filled="false" stroked="true" strokeweight=".48pt" strokecolor="#000000">
                <v:path arrowok="t"/>
              </v:shape>
            </v:group>
            <v:group style="position:absolute;left:3423;top:5;width:2;height:996" coordorigin="3423,5" coordsize="2,996">
              <v:shape style="position:absolute;left:3423;top:5;width:2;height:996" coordorigin="3423,5" coordsize="0,996" path="m3423,5l3423,1001e" filled="false" stroked="true" strokeweight=".48pt" strokecolor="#000000">
                <v:path arrowok="t"/>
              </v:shape>
            </v:group>
            <v:group style="position:absolute;left:3428;top:996;width:6142;height:2" coordorigin="3428,996" coordsize="6142,2">
              <v:shape style="position:absolute;left:3428;top:996;width:6142;height:2" coordorigin="3428,996" coordsize="6142,0" path="m3428,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3422;top:10;width:6152;height:987" type="#_x0000_t202" filled="false" stroked="false">
                <v:textbox inset="0,0,0,0">
                  <w:txbxContent>
                    <w:p>
                      <w:pPr>
                        <w:spacing w:line="309" w:lineRule="auto" w:before="15"/>
                        <w:ind w:left="28" w:right="100" w:firstLine="0"/>
                        <w:jc w:val="both"/>
                        <w:rPr>
                          <w:rFonts w:ascii="宋体" w:hAnsi="宋体" w:cs="宋体" w:eastAsia="宋体" w:hint="default"/>
                          <w:sz w:val="18"/>
                          <w:szCs w:val="18"/>
                        </w:rPr>
                      </w:pPr>
                      <w:r>
                        <w:rPr>
                          <w:rFonts w:ascii="宋体" w:hAnsi="宋体" w:cs="宋体" w:eastAsia="宋体" w:hint="default"/>
                          <w:spacing w:val="-4"/>
                          <w:sz w:val="18"/>
                          <w:szCs w:val="18"/>
                        </w:rPr>
                        <w:t>年联合会副主席、中国版权协会副理事长、中国音像与数字出版协会副理事长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中国编辑学会副会长、中国版权协会反盗版委员会主任、中文</w:t>
                      </w:r>
                      <w:r>
                        <w:rPr>
                          <w:rFonts w:ascii="Times New Roman" w:hAnsi="Times New Roman" w:cs="Times New Roman" w:eastAsia="Times New Roman" w:hint="default"/>
                          <w:sz w:val="18"/>
                          <w:szCs w:val="18"/>
                        </w:rPr>
                        <w:t>“</w:t>
                      </w:r>
                      <w:r>
                        <w:rPr>
                          <w:rFonts w:ascii="宋体" w:hAnsi="宋体" w:cs="宋体" w:eastAsia="宋体" w:hint="default"/>
                          <w:sz w:val="18"/>
                          <w:szCs w:val="18"/>
                        </w:rPr>
                        <w:t>在线反盗版联 盟</w:t>
                      </w:r>
                      <w:r>
                        <w:rPr>
                          <w:rFonts w:ascii="Times New Roman" w:hAnsi="Times New Roman" w:cs="Times New Roman" w:eastAsia="Times New Roman" w:hint="default"/>
                          <w:sz w:val="18"/>
                          <w:szCs w:val="18"/>
                        </w:rPr>
                        <w:t>”</w:t>
                      </w:r>
                      <w:r>
                        <w:rPr>
                          <w:rFonts w:ascii="宋体" w:hAnsi="宋体" w:cs="宋体" w:eastAsia="宋体" w:hint="default"/>
                          <w:sz w:val="18"/>
                          <w:szCs w:val="18"/>
                        </w:rPr>
                        <w:t>秘书长、中国出版协会常务理事、韬奋基金会理事。</w:t>
                      </w:r>
                    </w:p>
                  </w:txbxContent>
                </v:textbox>
                <w10:wrap type="none"/>
              </v:shape>
              <v:shape style="position:absolute;left:9455;top:8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9"/>
          <w:sz w:val="20"/>
          <w:szCs w:val="20"/>
        </w:rPr>
      </w:r>
    </w:p>
    <w:p>
      <w:pPr>
        <w:spacing w:line="240" w:lineRule="auto" w:before="9"/>
        <w:rPr>
          <w:rFonts w:ascii="宋体" w:hAnsi="宋体" w:cs="宋体" w:eastAsia="宋体" w:hint="default"/>
          <w:sz w:val="12"/>
          <w:szCs w:val="12"/>
        </w:rPr>
      </w:pPr>
    </w:p>
    <w:p>
      <w:pPr>
        <w:pStyle w:val="BodyText"/>
        <w:spacing w:line="240" w:lineRule="auto" w:before="26"/>
        <w:ind w:right="1073"/>
        <w:jc w:val="left"/>
      </w:pPr>
      <w:r>
        <w:rPr/>
        <w:t>控股股东报告期内变更</w:t>
      </w:r>
    </w:p>
    <w:p>
      <w:pPr>
        <w:spacing w:line="240" w:lineRule="auto" w:before="9"/>
        <w:rPr>
          <w:rFonts w:ascii="宋体" w:hAnsi="宋体" w:cs="宋体" w:eastAsia="宋体" w:hint="default"/>
          <w:sz w:val="23"/>
          <w:szCs w:val="23"/>
        </w:rPr>
      </w:pPr>
    </w:p>
    <w:p>
      <w:pPr>
        <w:pStyle w:val="BodyText"/>
        <w:spacing w:line="451" w:lineRule="auto"/>
        <w:ind w:right="6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before="189"/>
        <w:ind w:left="1134" w:right="1073" w:firstLine="0"/>
        <w:jc w:val="left"/>
        <w:rPr>
          <w:rFonts w:ascii="宋体" w:hAnsi="宋体" w:cs="宋体" w:eastAsia="宋体" w:hint="default"/>
          <w:sz w:val="21"/>
          <w:szCs w:val="21"/>
        </w:rPr>
      </w:pPr>
      <w:bookmarkStart w:name="3、公司实际控制人情况" w:id="110"/>
      <w:bookmarkEnd w:id="1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77" w:lineRule="auto"/>
        <w:ind w:right="7152"/>
        <w:jc w:val="left"/>
      </w:pPr>
      <w:r>
        <w:rPr/>
        <w:t>实际控制人性质：境内自然人 实际控制人类型：自然人</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公司控股股东情况</w:t>
            </w:r>
            <w:r>
              <w:rPr>
                <w:rFonts w:ascii="Times New Roman" w:hAnsi="Times New Roman" w:cs="Times New Roman" w:eastAsia="Times New Roman"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实际控制人报告期内变更</w:t>
      </w:r>
    </w:p>
    <w:p>
      <w:pPr>
        <w:spacing w:line="240" w:lineRule="auto" w:before="9"/>
        <w:rPr>
          <w:rFonts w:ascii="宋体" w:hAnsi="宋体" w:cs="宋体" w:eastAsia="宋体" w:hint="default"/>
          <w:sz w:val="23"/>
          <w:szCs w:val="23"/>
        </w:rPr>
      </w:pPr>
    </w:p>
    <w:p>
      <w:pPr>
        <w:pStyle w:val="BodyText"/>
        <w:spacing w:line="463"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6"/>
          <w:szCs w:val="16"/>
        </w:rPr>
      </w:pPr>
    </w:p>
    <w:p>
      <w:pPr>
        <w:spacing w:line="3484" w:lineRule="exact"/>
        <w:ind w:left="3612"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2972899" cy="2212848"/>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8" cstate="print"/>
                    <a:stretch>
                      <a:fillRect/>
                    </a:stretch>
                  </pic:blipFill>
                  <pic:spPr>
                    <a:xfrm>
                      <a:off x="0" y="0"/>
                      <a:ext cx="2972899" cy="2212848"/>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6"/>
        <w:rPr>
          <w:rFonts w:ascii="宋体" w:hAnsi="宋体" w:cs="宋体" w:eastAsia="宋体" w:hint="default"/>
          <w:sz w:val="26"/>
          <w:szCs w:val="26"/>
        </w:rPr>
      </w:pPr>
    </w:p>
    <w:p>
      <w:pPr>
        <w:pStyle w:val="BodyText"/>
        <w:spacing w:line="240" w:lineRule="auto" w:before="26"/>
        <w:ind w:left="1613" w:right="1073"/>
        <w:jc w:val="left"/>
      </w:pPr>
      <w:r>
        <w:rPr/>
        <w:t>实际控制人通过信托或其他资产管理方式控制公司</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4、其他持股在10%以上的法人股东" w:id="111"/>
      <w:bookmarkEnd w:id="11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985"/>
        <w:gridCol w:w="2411"/>
        <w:gridCol w:w="1700"/>
        <w:gridCol w:w="1348"/>
        <w:gridCol w:w="212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启迪华创</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主要从事股权投资和股权 管理业务</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控股股东、实际控制人、重组方及其他承诺主体股份限制减持情况" w:id="112"/>
      <w:bookmarkEnd w:id="11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1114"/>
        <w:jc w:val="center"/>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451" w:lineRule="auto" w:before="26"/>
        <w:ind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451"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left="2660" w:right="1073"/>
        <w:jc w:val="left"/>
        <w:rPr>
          <w:b w:val="0"/>
          <w:bCs w:val="0"/>
        </w:rPr>
      </w:pPr>
      <w:bookmarkStart w:name="_TOC_250003" w:id="115"/>
      <w:bookmarkStart w:name="第八节 董事、监事、高级管理人员和员工情况" w:id="116"/>
      <w:r>
        <w:rPr>
          <w:b w:val="0"/>
          <w:bCs w:val="0"/>
        </w:rPr>
      </w:r>
      <w:r>
        <w:rPr/>
        <w:t>第八节</w:t>
      </w:r>
      <w:r>
        <w:rPr>
          <w:spacing w:val="-17"/>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left="1133" w:right="1073"/>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45"/>
        <w:gridCol w:w="991"/>
        <w:gridCol w:w="65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22,426,110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  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  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  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姜瑞明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  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原森民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22,426,110</w:t>
            </w:r>
          </w:p>
        </w:tc>
        <w:tc>
          <w:tcPr>
            <w:tcW w:w="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ind w:right="1073"/>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王邦江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因职工监事离任补选</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因公司发展需要聘任</w:t>
            </w:r>
          </w:p>
        </w:tc>
      </w:tr>
    </w:tbl>
    <w:p>
      <w:pPr>
        <w:spacing w:line="240" w:lineRule="auto" w:before="2"/>
        <w:rPr>
          <w:rFonts w:ascii="宋体" w:hAnsi="宋体" w:cs="宋体" w:eastAsia="宋体" w:hint="default"/>
          <w:b/>
          <w:bCs/>
          <w:sz w:val="18"/>
          <w:szCs w:val="18"/>
        </w:rPr>
      </w:pPr>
    </w:p>
    <w:p>
      <w:pPr>
        <w:pStyle w:val="Heading2"/>
        <w:spacing w:line="240" w:lineRule="auto"/>
        <w:ind w:right="1073"/>
        <w:jc w:val="left"/>
        <w:rPr>
          <w:b w:val="0"/>
          <w:bCs w:val="0"/>
        </w:rPr>
      </w:pPr>
      <w:bookmarkStart w:name="三、任职情况" w:id="119"/>
      <w:bookmarkEnd w:id="119"/>
      <w:r>
        <w:rPr>
          <w:b w:val="0"/>
          <w:bCs w:val="0"/>
        </w:rPr>
      </w:r>
      <w:r>
        <w:rPr/>
        <w:t>三、任职情况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26"/>
        <w:ind w:left="1613" w:right="1073"/>
        <w:jc w:val="left"/>
      </w:pPr>
      <w:r>
        <w:rPr/>
        <w:t>公司现任董事、监事、高级管理人员专业背景、主要工作经历以及目前在公司的主要职</w:t>
      </w:r>
    </w:p>
    <w:p>
      <w:pPr>
        <w:pStyle w:val="BodyText"/>
        <w:spacing w:line="240" w:lineRule="auto" w:before="154"/>
        <w:ind w:left="1133" w:right="1073"/>
        <w:jc w:val="left"/>
      </w:pPr>
      <w:r>
        <w:rPr/>
        <w:t>责</w:t>
      </w:r>
    </w:p>
    <w:p>
      <w:pPr>
        <w:spacing w:line="240" w:lineRule="auto" w:before="9"/>
        <w:rPr>
          <w:rFonts w:ascii="宋体" w:hAnsi="宋体" w:cs="宋体" w:eastAsia="宋体" w:hint="default"/>
          <w:sz w:val="21"/>
          <w:szCs w:val="21"/>
        </w:rPr>
      </w:pPr>
    </w:p>
    <w:p>
      <w:pPr>
        <w:pStyle w:val="BodyText"/>
        <w:spacing w:line="240" w:lineRule="auto" w:before="26"/>
        <w:ind w:right="1073"/>
        <w:jc w:val="left"/>
      </w:pPr>
      <w:r>
        <w:rPr/>
        <w:t>（一）董事会成员</w:t>
      </w:r>
    </w:p>
    <w:p>
      <w:pPr>
        <w:spacing w:line="240" w:lineRule="auto" w:before="9"/>
        <w:rPr>
          <w:rFonts w:ascii="宋体" w:hAnsi="宋体" w:cs="宋体" w:eastAsia="宋体" w:hint="default"/>
          <w:sz w:val="23"/>
          <w:szCs w:val="23"/>
        </w:rPr>
      </w:pPr>
    </w:p>
    <w:p>
      <w:pPr>
        <w:pStyle w:val="BodyText"/>
        <w:spacing w:line="240" w:lineRule="auto"/>
        <w:ind w:right="1073"/>
        <w:jc w:val="left"/>
      </w:pPr>
      <w:r>
        <w:rPr/>
        <w:t>公司董事会由</w:t>
      </w:r>
      <w:r>
        <w:rPr>
          <w:spacing w:val="-60"/>
        </w:rPr>
        <w:t> </w:t>
      </w:r>
      <w:r>
        <w:rPr>
          <w:rFonts w:ascii="Times New Roman" w:hAnsi="Times New Roman" w:cs="Times New Roman" w:eastAsia="Times New Roman" w:hint="default"/>
        </w:rPr>
        <w:t>7 </w:t>
      </w:r>
      <w:r>
        <w:rPr/>
        <w:t>名董事组成，其中独立董事</w:t>
      </w:r>
      <w:r>
        <w:rPr>
          <w:spacing w:val="-60"/>
        </w:rPr>
        <w:t> </w:t>
      </w:r>
      <w:r>
        <w:rPr>
          <w:rFonts w:ascii="Times New Roman" w:hAnsi="Times New Roman" w:cs="Times New Roman" w:eastAsia="Times New Roman" w:hint="default"/>
        </w:rPr>
        <w:t>3 </w:t>
      </w:r>
      <w:r>
        <w:rPr/>
        <w:t>名，基本情况如下：</w:t>
      </w:r>
    </w:p>
    <w:p>
      <w:pPr>
        <w:spacing w:line="240" w:lineRule="auto" w:before="4"/>
        <w:rPr>
          <w:rFonts w:ascii="宋体" w:hAnsi="宋体" w:cs="宋体" w:eastAsia="宋体" w:hint="default"/>
          <w:sz w:val="19"/>
          <w:szCs w:val="19"/>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2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职位</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任期</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童之磊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雷霖</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周树华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何庆源</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陈晓</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姜瑞明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rFonts w:ascii="Times New Roman" w:hAnsi="Times New Roman" w:cs="Times New Roman" w:eastAsia="Times New Roman" w:hint="default"/>
        </w:rPr>
        <w:t>1</w:t>
      </w:r>
      <w:r>
        <w:rPr/>
        <w:t>、童之磊</w:t>
      </w:r>
    </w:p>
    <w:p>
      <w:pPr>
        <w:spacing w:line="240" w:lineRule="auto" w:before="4"/>
        <w:rPr>
          <w:rFonts w:ascii="宋体" w:hAnsi="宋体" w:cs="宋体" w:eastAsia="宋体" w:hint="default"/>
          <w:sz w:val="22"/>
          <w:szCs w:val="22"/>
        </w:rPr>
      </w:pPr>
    </w:p>
    <w:p>
      <w:pPr>
        <w:pStyle w:val="BodyText"/>
        <w:spacing w:line="350" w:lineRule="auto"/>
        <w:ind w:left="1133" w:right="1130" w:firstLine="480"/>
        <w:jc w:val="both"/>
      </w:pPr>
      <w:r>
        <w:rPr/>
        <w:t>童之磊先生，男，</w:t>
      </w:r>
      <w:r>
        <w:rPr>
          <w:rFonts w:ascii="Times New Roman" w:hAnsi="Times New Roman" w:cs="Times New Roman" w:eastAsia="Times New Roman" w:hint="default"/>
        </w:rPr>
        <w:t>1975</w:t>
      </w:r>
      <w:r>
        <w:rPr>
          <w:rFonts w:ascii="Times New Roman" w:hAnsi="Times New Roman" w:cs="Times New Roman" w:eastAsia="Times New Roman" w:hint="default"/>
          <w:spacing w:val="-21"/>
        </w:rPr>
        <w:t> </w:t>
      </w:r>
      <w:r>
        <w:rPr/>
        <w:t>年出生，中国国籍，无境外永久居留权，硕士研究生，国际工商 管理专业，经济师，</w:t>
      </w:r>
      <w:r>
        <w:rPr>
          <w:rFonts w:ascii="Times New Roman" w:hAnsi="Times New Roman" w:cs="Times New Roman" w:eastAsia="Times New Roman" w:hint="default"/>
        </w:rPr>
        <w:t>1998 </w:t>
      </w:r>
      <w:r>
        <w:rPr/>
        <w:t>年获得清华大学学士学位，</w:t>
      </w:r>
      <w:r>
        <w:rPr>
          <w:rFonts w:ascii="Times New Roman" w:hAnsi="Times New Roman" w:cs="Times New Roman" w:eastAsia="Times New Roman" w:hint="default"/>
        </w:rPr>
        <w:t>2000</w:t>
      </w:r>
      <w:r>
        <w:rPr>
          <w:rFonts w:ascii="Times New Roman" w:hAnsi="Times New Roman" w:cs="Times New Roman" w:eastAsia="Times New Roman" w:hint="default"/>
          <w:spacing w:val="-45"/>
        </w:rPr>
        <w:t> </w:t>
      </w:r>
      <w:r>
        <w:rPr/>
        <w:t>年获美国麻省理工学院（</w:t>
      </w:r>
      <w:r>
        <w:rPr>
          <w:rFonts w:ascii="Times New Roman" w:hAnsi="Times New Roman" w:cs="Times New Roman" w:eastAsia="Times New Roman" w:hint="default"/>
        </w:rPr>
        <w:t>MIT</w:t>
      </w:r>
      <w:r>
        <w:rPr/>
        <w:t>）与</w:t>
      </w:r>
      <w:r>
        <w:rPr>
          <w:spacing w:val="-9"/>
        </w:rPr>
        <w:t> </w:t>
      </w:r>
      <w:r>
        <w:rPr/>
        <w:t>清华大学联合培养的国际工商管理硕士（</w:t>
      </w:r>
      <w:r>
        <w:rPr>
          <w:rFonts w:ascii="Times New Roman" w:hAnsi="Times New Roman" w:cs="Times New Roman" w:eastAsia="Times New Roman" w:hint="default"/>
        </w:rPr>
        <w:t>IMBA</w:t>
      </w:r>
      <w:r>
        <w:rPr/>
        <w:t>）学位。</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月发起成立中文在线，现 任中文在线数字出版集团股份有限公司董事长兼总经理、上海文睿投资有限公司执行董事、 北京中文在线教育科技有限公司执行董事兼总经理、上海中文在线文化发展有限公司执行董 事、湖北中文在线数字出版有限公司董事长兼总经理、杭州中文在线信息科技有限公司董事 </w:t>
      </w:r>
      <w:r>
        <w:rPr>
          <w:spacing w:val="-10"/>
          <w:w w:val="99"/>
        </w:rPr>
        <w:t>长兼总经理、北京中文在线文化传媒有限公司监事、北京亚杰商汇咨询有限公司董事、</w:t>
      </w:r>
      <w:r>
        <w:rPr>
          <w:rFonts w:ascii="Times New Roman" w:hAnsi="Times New Roman" w:cs="Times New Roman" w:eastAsia="Times New Roman" w:hint="default"/>
          <w:spacing w:val="-10"/>
          <w:w w:val="99"/>
        </w:rPr>
        <w:t>ATA</w:t>
      </w:r>
      <w:r>
        <w:rPr>
          <w:rFonts w:ascii="Times New Roman" w:hAnsi="Times New Roman" w:cs="Times New Roman" w:eastAsia="Times New Roman" w:hint="default"/>
          <w:w w:val="99"/>
        </w:rPr>
        <w:t> </w:t>
      </w:r>
      <w:r>
        <w:rPr>
          <w:rFonts w:ascii="Times New Roman" w:hAnsi="Times New Roman" w:cs="Times New Roman" w:eastAsia="Times New Roman" w:hint="default"/>
        </w:rPr>
        <w:t>Inc.</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52"/>
        </w:rPr>
      </w:r>
      <w:r>
        <w:rPr/>
        <w:t>董事，北京市东城区第十五届人民代表大会代表、中华全国青年联合会常委及教育界别秘书 长、北京市青年联合会委员、北京市东城区青年联合会副主席、中国版权协会副理事长、中 国音像与数字出版协会副理事长、中国编辑学会副会长、中国版权协会反盗版委员会主任、 中文</w:t>
      </w:r>
      <w:r>
        <w:rPr>
          <w:rFonts w:ascii="Times New Roman" w:hAnsi="Times New Roman" w:cs="Times New Roman" w:eastAsia="Times New Roman" w:hint="default"/>
        </w:rPr>
        <w:t>“</w:t>
      </w:r>
      <w:r>
        <w:rPr/>
        <w:t>在线反盗版联盟</w:t>
      </w:r>
      <w:r>
        <w:rPr>
          <w:rFonts w:ascii="Times New Roman" w:hAnsi="Times New Roman" w:cs="Times New Roman" w:eastAsia="Times New Roman" w:hint="default"/>
        </w:rPr>
        <w:t>”</w:t>
      </w:r>
      <w:r>
        <w:rPr/>
        <w:t>秘书长、中国出版协会常务理事、韬奋基金会理事。</w:t>
      </w:r>
    </w:p>
    <w:p>
      <w:pPr>
        <w:pStyle w:val="BodyText"/>
        <w:spacing w:line="240" w:lineRule="auto" w:before="169"/>
        <w:ind w:right="1073"/>
        <w:jc w:val="left"/>
      </w:pPr>
      <w:r>
        <w:rPr>
          <w:rFonts w:ascii="Times New Roman" w:hAnsi="Times New Roman" w:cs="Times New Roman" w:eastAsia="Times New Roman" w:hint="default"/>
        </w:rPr>
        <w:t>2</w:t>
      </w:r>
      <w:r>
        <w:rPr/>
        <w:t>、雷霖</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2" w:lineRule="auto" w:before="26"/>
        <w:ind w:left="1133" w:right="1131" w:firstLine="480"/>
        <w:jc w:val="both"/>
      </w:pPr>
      <w:r>
        <w:rPr/>
        <w:t>雷霖先生，男，</w:t>
      </w:r>
      <w:r>
        <w:rPr>
          <w:rFonts w:ascii="Times New Roman" w:hAnsi="Times New Roman" w:cs="Times New Roman" w:eastAsia="Times New Roman" w:hint="default"/>
        </w:rPr>
        <w:t>1974</w:t>
      </w:r>
      <w:r>
        <w:rPr>
          <w:rFonts w:ascii="Times New Roman" w:hAnsi="Times New Roman" w:cs="Times New Roman" w:eastAsia="Times New Roman" w:hint="default"/>
          <w:spacing w:val="-21"/>
        </w:rPr>
        <w:t> </w:t>
      </w:r>
      <w:r>
        <w:rPr/>
        <w:t>年出生，中国国籍，无境外永久居留权，清华大学工学博士，清华 大学经济管理学院博士后。自</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月至今任本公司董事，自</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7 </w:t>
      </w:r>
      <w:r>
        <w:rPr/>
        <w:t>月起担任清华控 股有限公司副总裁、清控资产管理有限公司总裁，兼任启迪中海创业投资有限公司董事长、 启迪汇德创业投资有限公司董事长、启迪明德创业投资有限公司董事长、启迪日新创业投资 有限公司董事长、清控创业投资有限公司董事、清控三联创业投资（北京）有限公司董事、 北京紫荆华融股权投资有限公司董事长、启迪创业投资管理（北京）有限公司董事、慕华教 育科技有限公司董事、深圳力宝清控基金管理有限公司董事、北京荷塘投资管理有限公司董 事、中融人寿保险股份有限公司董事、清华控股集团财务有限公司监事会主席。</w:t>
      </w:r>
    </w:p>
    <w:p>
      <w:pPr>
        <w:pStyle w:val="BodyText"/>
        <w:spacing w:line="240" w:lineRule="auto" w:before="197"/>
        <w:ind w:left="1613" w:right="1073"/>
        <w:jc w:val="left"/>
      </w:pPr>
      <w:r>
        <w:rPr>
          <w:rFonts w:ascii="Times New Roman" w:hAnsi="Times New Roman" w:cs="Times New Roman" w:eastAsia="Times New Roman" w:hint="default"/>
        </w:rPr>
        <w:t>3</w:t>
      </w:r>
      <w:r>
        <w:rPr/>
        <w:t>、周树华</w:t>
      </w:r>
    </w:p>
    <w:p>
      <w:pPr>
        <w:spacing w:line="240" w:lineRule="auto" w:before="4"/>
        <w:rPr>
          <w:rFonts w:ascii="宋体" w:hAnsi="宋体" w:cs="宋体" w:eastAsia="宋体" w:hint="default"/>
          <w:sz w:val="22"/>
          <w:szCs w:val="22"/>
        </w:rPr>
      </w:pPr>
    </w:p>
    <w:p>
      <w:pPr>
        <w:pStyle w:val="BodyText"/>
        <w:spacing w:line="338" w:lineRule="auto"/>
        <w:ind w:left="1133" w:right="1131" w:firstLine="480"/>
        <w:jc w:val="both"/>
      </w:pPr>
      <w:r>
        <w:rPr/>
        <w:t>周树华先生，男，</w:t>
      </w:r>
      <w:r>
        <w:rPr>
          <w:rFonts w:ascii="Times New Roman" w:hAnsi="Times New Roman" w:cs="Times New Roman" w:eastAsia="Times New Roman" w:hint="default"/>
        </w:rPr>
        <w:t>1969</w:t>
      </w:r>
      <w:r>
        <w:rPr>
          <w:rFonts w:ascii="Times New Roman" w:hAnsi="Times New Roman" w:cs="Times New Roman" w:eastAsia="Times New Roman" w:hint="default"/>
          <w:spacing w:val="-21"/>
        </w:rPr>
        <w:t> </w:t>
      </w:r>
      <w:r>
        <w:rPr/>
        <w:t>年出生，中国国籍，无境外永久居留权，硕士研究生，管理学专 业。周树华先生自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月至今任上海开物股权投资管理有限公司执行董事兼总经理，</w:t>
      </w:r>
    </w:p>
    <w:p>
      <w:pPr>
        <w:pStyle w:val="BodyText"/>
        <w:spacing w:line="240" w:lineRule="auto" w:before="27"/>
        <w:ind w:left="1133" w:right="1073"/>
        <w:jc w:val="left"/>
      </w:pPr>
      <w:r>
        <w:rPr/>
        <w:t>自</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月至今任北京开物投资管理有限公司执行董事兼总经理，自</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2 </w:t>
      </w:r>
      <w:r>
        <w:rPr/>
        <w:t>月至今任</w:t>
      </w:r>
    </w:p>
    <w:p>
      <w:pPr>
        <w:pStyle w:val="BodyText"/>
        <w:spacing w:line="240" w:lineRule="auto" w:before="135"/>
        <w:ind w:left="1133" w:right="1073"/>
        <w:jc w:val="left"/>
      </w:pPr>
      <w:r>
        <w:rPr>
          <w:spacing w:val="-4"/>
        </w:rPr>
        <w:t>上海开物兴华创业投资管理有限公司执行董事兼总经理，自</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月至今任上海开物兴晖</w:t>
      </w:r>
    </w:p>
    <w:p>
      <w:pPr>
        <w:pStyle w:val="BodyText"/>
        <w:spacing w:line="240" w:lineRule="auto" w:before="135"/>
        <w:ind w:left="1133" w:right="995"/>
        <w:jc w:val="left"/>
      </w:pPr>
      <w:r>
        <w:rPr/>
        <w:t>创业投资合伙企业（有限合伙）执行事务合伙人委派代表。自</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月至今任公司董事。</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4</w:t>
      </w:r>
      <w:r>
        <w:rPr/>
        <w:t>、张帆</w:t>
      </w:r>
    </w:p>
    <w:p>
      <w:pPr>
        <w:spacing w:line="240" w:lineRule="auto" w:before="4"/>
        <w:rPr>
          <w:rFonts w:ascii="宋体" w:hAnsi="宋体" w:cs="宋体" w:eastAsia="宋体" w:hint="default"/>
          <w:sz w:val="22"/>
          <w:szCs w:val="22"/>
        </w:rPr>
      </w:pPr>
    </w:p>
    <w:p>
      <w:pPr>
        <w:pStyle w:val="BodyText"/>
        <w:spacing w:line="345" w:lineRule="auto"/>
        <w:ind w:left="1133" w:right="995" w:firstLine="480"/>
        <w:jc w:val="left"/>
      </w:pPr>
      <w:r>
        <w:rPr/>
        <w:t>张帆先生，男，</w:t>
      </w:r>
      <w:r>
        <w:rPr>
          <w:rFonts w:ascii="Times New Roman" w:hAnsi="Times New Roman" w:cs="Times New Roman" w:eastAsia="Times New Roman" w:hint="default"/>
        </w:rPr>
        <w:t>1969</w:t>
      </w:r>
      <w:r>
        <w:rPr>
          <w:rFonts w:ascii="Times New Roman" w:hAnsi="Times New Roman" w:cs="Times New Roman" w:eastAsia="Times New Roman" w:hint="default"/>
          <w:spacing w:val="-8"/>
        </w:rPr>
        <w:t> </w:t>
      </w:r>
      <w:r>
        <w:rPr/>
        <w:t>年出生，中国国籍，无境外永久居留权，硕士研究生，国际金融与 </w:t>
      </w:r>
      <w:r>
        <w:rPr>
          <w:spacing w:val="-3"/>
        </w:rPr>
        <w:t>财务专业，高级经济师，湖南省怀化市第四届人大代表。张帆先生自</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月至今任湖南</w:t>
      </w:r>
      <w:r>
        <w:rPr>
          <w:spacing w:val="-118"/>
        </w:rPr>
        <w:t> </w:t>
      </w:r>
      <w:r>
        <w:rPr/>
        <w:t>弘慧教育发展基金会理事长。</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月加入公司，现任公司董事、副总经理和董事会秘 </w:t>
      </w:r>
      <w:r>
        <w:rPr>
          <w:spacing w:val="-3"/>
        </w:rPr>
        <w:t>书、湖北中文在线监事、上海合复新材料科技有限公司董事、北京赛奇科科技有限公司董事、</w:t>
      </w:r>
      <w:r>
        <w:rPr>
          <w:spacing w:val="-81"/>
        </w:rPr>
        <w:t> </w:t>
      </w:r>
      <w:r>
        <w:rPr>
          <w:spacing w:val="-81"/>
        </w:rPr>
      </w:r>
      <w:r>
        <w:rPr/>
        <w:t>重庆桑禾动物药业有限公司董事、深圳丝路数字视觉股份有限公司独立董事、北京华夏威科 软件技术有限公司董事、信德润（北京）科技有限公司董事。</w:t>
      </w:r>
    </w:p>
    <w:p>
      <w:pPr>
        <w:pStyle w:val="BodyText"/>
        <w:spacing w:line="240" w:lineRule="auto" w:before="204"/>
        <w:ind w:left="1613" w:right="1073"/>
        <w:jc w:val="left"/>
      </w:pPr>
      <w:r>
        <w:rPr>
          <w:rFonts w:ascii="Times New Roman" w:hAnsi="Times New Roman" w:cs="Times New Roman" w:eastAsia="Times New Roman" w:hint="default"/>
        </w:rPr>
        <w:t>5</w:t>
      </w:r>
      <w:r>
        <w:rPr/>
        <w:t>、何庆源</w:t>
      </w:r>
    </w:p>
    <w:p>
      <w:pPr>
        <w:spacing w:line="240" w:lineRule="auto" w:before="4"/>
        <w:rPr>
          <w:rFonts w:ascii="宋体" w:hAnsi="宋体" w:cs="宋体" w:eastAsia="宋体" w:hint="default"/>
          <w:sz w:val="22"/>
          <w:szCs w:val="22"/>
        </w:rPr>
      </w:pPr>
    </w:p>
    <w:p>
      <w:pPr>
        <w:pStyle w:val="BodyText"/>
        <w:spacing w:line="338" w:lineRule="auto"/>
        <w:ind w:left="1133" w:right="1130" w:firstLine="480"/>
        <w:jc w:val="both"/>
        <w:rPr>
          <w:rFonts w:ascii="Times New Roman" w:hAnsi="Times New Roman" w:cs="Times New Roman" w:eastAsia="Times New Roman" w:hint="default"/>
        </w:rPr>
      </w:pPr>
      <w:r>
        <w:rPr/>
        <w:t>何庆源先生，男，</w:t>
      </w:r>
      <w:r>
        <w:rPr>
          <w:rFonts w:ascii="Times New Roman" w:hAnsi="Times New Roman" w:cs="Times New Roman" w:eastAsia="Times New Roman" w:hint="default"/>
        </w:rPr>
        <w:t>1959</w:t>
      </w:r>
      <w:r>
        <w:rPr>
          <w:rFonts w:ascii="Times New Roman" w:hAnsi="Times New Roman" w:cs="Times New Roman" w:eastAsia="Times New Roman" w:hint="default"/>
          <w:spacing w:val="-21"/>
        </w:rPr>
        <w:t> </w:t>
      </w:r>
      <w:r>
        <w:rPr/>
        <w:t>年生，加拿大国籍，硕士研究生，管理科学专业。何庆源先生自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月加入本公司，现任本公司独立董事，同时兼任中国远洋海运集团外部董事、中国 </w:t>
      </w:r>
      <w:r>
        <w:rPr>
          <w:spacing w:val="-5"/>
        </w:rPr>
        <w:t>移动通讯集团外部董事、中国中钢股份有限公司外部董事、美国 </w:t>
      </w:r>
      <w:r>
        <w:rPr>
          <w:rFonts w:ascii="Times New Roman" w:hAnsi="Times New Roman" w:cs="Times New Roman" w:eastAsia="Times New Roman" w:hint="default"/>
        </w:rPr>
        <w:t>Air Products and Chemical</w:t>
      </w:r>
      <w:r>
        <w:rPr>
          <w:rFonts w:ascii="Times New Roman" w:hAnsi="Times New Roman" w:cs="Times New Roman" w:eastAsia="Times New Roman" w:hint="default"/>
          <w:spacing w:val="-37"/>
        </w:rPr>
        <w:t> </w:t>
      </w:r>
      <w:r>
        <w:rPr>
          <w:rFonts w:ascii="Times New Roman" w:hAnsi="Times New Roman" w:cs="Times New Roman" w:eastAsia="Times New Roman" w:hint="default"/>
        </w:rPr>
        <w:t>Inc</w:t>
      </w:r>
      <w:r>
        <w:rPr>
          <w:rFonts w:ascii="Times New Roman" w:hAnsi="Times New Roman" w:cs="Times New Roman" w:eastAsia="Times New Roman" w:hint="default"/>
        </w:rPr>
        <w:t> </w:t>
      </w:r>
      <w:r>
        <w:rPr>
          <w:spacing w:val="-16"/>
        </w:rPr>
        <w:t>独立董事、美国</w:t>
      </w:r>
      <w:r>
        <w:rPr>
          <w:spacing w:val="-59"/>
        </w:rPr>
        <w:t> </w:t>
      </w:r>
      <w:r>
        <w:rPr>
          <w:rFonts w:ascii="Times New Roman" w:hAnsi="Times New Roman" w:cs="Times New Roman" w:eastAsia="Times New Roman" w:hint="default"/>
        </w:rPr>
        <w:t>Pentair </w:t>
      </w:r>
      <w:r>
        <w:rPr>
          <w:rFonts w:ascii="Times New Roman" w:hAnsi="Times New Roman" w:cs="Times New Roman" w:eastAsia="Times New Roman" w:hint="default"/>
          <w:spacing w:val="-1"/>
        </w:rPr>
        <w:t>Limited</w:t>
      </w:r>
      <w:r>
        <w:rPr>
          <w:rFonts w:ascii="Times New Roman" w:hAnsi="Times New Roman" w:cs="Times New Roman" w:eastAsia="Times New Roman" w:hint="default"/>
          <w:spacing w:val="1"/>
        </w:rPr>
        <w:t> </w:t>
      </w:r>
      <w:r>
        <w:rPr>
          <w:spacing w:val="-16"/>
        </w:rPr>
        <w:t>独立董事、美国</w:t>
      </w:r>
      <w:r>
        <w:rPr>
          <w:spacing w:val="-59"/>
        </w:rPr>
        <w:t> </w:t>
      </w:r>
      <w:r>
        <w:rPr>
          <w:rFonts w:ascii="Times New Roman" w:hAnsi="Times New Roman" w:cs="Times New Roman" w:eastAsia="Times New Roman" w:hint="default"/>
        </w:rPr>
        <w:t>Qorvo</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rFonts w:ascii="Times New Roman" w:hAnsi="Times New Roman" w:cs="Times New Roman" w:eastAsia="Times New Roman" w:hint="default"/>
          <w:spacing w:val="1"/>
        </w:rPr>
        <w:t> </w:t>
      </w:r>
      <w:r>
        <w:rPr>
          <w:spacing w:val="-11"/>
        </w:rPr>
        <w:t>独立董事、</w:t>
      </w:r>
      <w:r>
        <w:rPr>
          <w:rFonts w:ascii="Times New Roman" w:hAnsi="Times New Roman" w:cs="Times New Roman" w:eastAsia="Times New Roman" w:hint="default"/>
          <w:spacing w:val="-11"/>
        </w:rPr>
        <w:t>Kiina</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Investment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(BVI)</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rPr>
        <w:t> </w:t>
      </w:r>
      <w:r>
        <w:rPr/>
        <w:t>董事长、</w:t>
      </w:r>
      <w:r>
        <w:rPr>
          <w:rFonts w:ascii="Times New Roman" w:hAnsi="Times New Roman" w:cs="Times New Roman" w:eastAsia="Times New Roman" w:hint="default"/>
        </w:rPr>
        <w:t>Kiina Business Services (HK) Ltd </w:t>
      </w:r>
      <w:r>
        <w:rPr/>
        <w:t>董事长、</w:t>
      </w:r>
      <w:r>
        <w:rPr>
          <w:rFonts w:ascii="Times New Roman" w:hAnsi="Times New Roman" w:cs="Times New Roman" w:eastAsia="Times New Roman" w:hint="default"/>
        </w:rPr>
        <w:t>Kiina Systems (HK) Ltd</w:t>
      </w:r>
      <w:r>
        <w:rPr>
          <w:rFonts w:ascii="Times New Roman" w:hAnsi="Times New Roman" w:cs="Times New Roman" w:eastAsia="Times New Roman" w:hint="default"/>
          <w:spacing w:val="-5"/>
        </w:rPr>
        <w:t> </w:t>
      </w:r>
      <w:r>
        <w:rPr/>
        <w:t>董事长、</w:t>
      </w:r>
      <w:r>
        <w:rPr>
          <w:rFonts w:ascii="Times New Roman" w:hAnsi="Times New Roman" w:cs="Times New Roman" w:eastAsia="Times New Roman" w:hint="default"/>
        </w:rPr>
        <w:t>Kiina</w:t>
      </w:r>
    </w:p>
    <w:p>
      <w:pPr>
        <w:spacing w:after="0" w:line="338" w:lineRule="auto"/>
        <w:jc w:val="both"/>
        <w:rPr>
          <w:rFonts w:ascii="Times New Roman" w:hAnsi="Times New Roman" w:cs="Times New Roman" w:eastAsia="Times New Roman" w:hint="default"/>
        </w:rPr>
        <w:sectPr>
          <w:pgSz w:w="11910" w:h="16840"/>
          <w:pgMar w:header="414" w:footer="979" w:top="1260" w:bottom="1160" w:left="0" w:right="0"/>
        </w:sectPr>
      </w:pPr>
    </w:p>
    <w:p>
      <w:pPr>
        <w:spacing w:line="240" w:lineRule="auto" w:before="3"/>
        <w:rPr>
          <w:rFonts w:ascii="Times New Roman" w:hAnsi="Times New Roman" w:cs="Times New Roman" w:eastAsia="Times New Roman" w:hint="default"/>
          <w:sz w:val="16"/>
          <w:szCs w:val="16"/>
        </w:rPr>
      </w:pPr>
    </w:p>
    <w:p>
      <w:pPr>
        <w:pStyle w:val="BodyText"/>
        <w:spacing w:line="240" w:lineRule="auto" w:before="26"/>
        <w:ind w:left="1134" w:right="1073"/>
        <w:jc w:val="left"/>
      </w:pPr>
      <w:r>
        <w:rPr>
          <w:rFonts w:ascii="Times New Roman" w:hAnsi="Times New Roman" w:cs="Times New Roman" w:eastAsia="Times New Roman" w:hint="default"/>
        </w:rPr>
        <w:t>Properties (Canada) Ltd </w:t>
      </w:r>
      <w:r>
        <w:rPr/>
        <w:t>董事长、</w:t>
      </w:r>
      <w:r>
        <w:rPr>
          <w:rFonts w:ascii="Times New Roman" w:hAnsi="Times New Roman" w:cs="Times New Roman" w:eastAsia="Times New Roman" w:hint="default"/>
        </w:rPr>
        <w:t>Kiina </w:t>
      </w:r>
      <w:r>
        <w:rPr>
          <w:rFonts w:ascii="Times New Roman" w:hAnsi="Times New Roman" w:cs="Times New Roman" w:eastAsia="Times New Roman" w:hint="default"/>
          <w:spacing w:val="-4"/>
        </w:rPr>
        <w:t>Ventures </w:t>
      </w:r>
      <w:r>
        <w:rPr>
          <w:rFonts w:ascii="Times New Roman" w:hAnsi="Times New Roman" w:cs="Times New Roman" w:eastAsia="Times New Roman" w:hint="default"/>
        </w:rPr>
        <w:t>(Canada) Inc</w:t>
      </w:r>
      <w:r>
        <w:rPr>
          <w:rFonts w:ascii="Times New Roman" w:hAnsi="Times New Roman" w:cs="Times New Roman" w:eastAsia="Times New Roman" w:hint="default"/>
          <w:spacing w:val="-3"/>
        </w:rPr>
        <w:t> </w:t>
      </w:r>
      <w:r>
        <w:rPr/>
        <w:t>董事长。</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6</w:t>
      </w:r>
      <w:r>
        <w:rPr/>
        <w:t>、陈晓</w:t>
      </w:r>
    </w:p>
    <w:p>
      <w:pPr>
        <w:spacing w:line="240" w:lineRule="auto" w:before="4"/>
        <w:rPr>
          <w:rFonts w:ascii="宋体" w:hAnsi="宋体" w:cs="宋体" w:eastAsia="宋体" w:hint="default"/>
          <w:sz w:val="22"/>
          <w:szCs w:val="22"/>
        </w:rPr>
      </w:pPr>
    </w:p>
    <w:p>
      <w:pPr>
        <w:pStyle w:val="BodyText"/>
        <w:spacing w:line="338" w:lineRule="auto"/>
        <w:ind w:left="1133" w:right="1001" w:firstLine="480"/>
        <w:jc w:val="left"/>
      </w:pPr>
      <w:r>
        <w:rPr>
          <w:spacing w:val="-5"/>
        </w:rPr>
        <w:t>陈晓先生，男，</w:t>
      </w:r>
      <w:r>
        <w:rPr>
          <w:rFonts w:ascii="Times New Roman" w:hAnsi="Times New Roman" w:cs="Times New Roman" w:eastAsia="Times New Roman" w:hint="default"/>
          <w:spacing w:val="-5"/>
        </w:rPr>
        <w:t>1963</w:t>
      </w:r>
      <w:r>
        <w:rPr>
          <w:rFonts w:ascii="Times New Roman" w:hAnsi="Times New Roman" w:cs="Times New Roman" w:eastAsia="Times New Roman" w:hint="default"/>
          <w:spacing w:val="27"/>
        </w:rPr>
        <w:t> </w:t>
      </w:r>
      <w:r>
        <w:rPr>
          <w:spacing w:val="-4"/>
        </w:rPr>
        <w:t>年出生，中国国籍，无境外永久居留权，博士研究生，经济学专业，</w:t>
      </w:r>
      <w:r>
        <w:rPr/>
        <w:t> </w:t>
      </w:r>
      <w:r>
        <w:rPr>
          <w:spacing w:val="-11"/>
        </w:rPr>
        <w:t>教授。自</w:t>
      </w:r>
      <w:r>
        <w:rPr>
          <w:spacing w:val="-60"/>
        </w:rPr>
        <w:t> </w:t>
      </w:r>
      <w:r>
        <w:rPr>
          <w:rFonts w:ascii="Times New Roman" w:hAnsi="Times New Roman" w:cs="Times New Roman" w:eastAsia="Times New Roman" w:hint="default"/>
        </w:rPr>
        <w:t>1997 </w:t>
      </w:r>
      <w:r>
        <w:rPr>
          <w:spacing w:val="-4"/>
        </w:rPr>
        <w:t>年起执教于清华大学，并于</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5 </w:t>
      </w:r>
      <w:r>
        <w:rPr/>
        <w:t>月间担任清华大学经济管 理学院会计系主任，</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月加入本公司，现任本公司独立董事、清华大学经济管理学院 会计系教授。</w:t>
      </w:r>
    </w:p>
    <w:p>
      <w:pPr>
        <w:pStyle w:val="BodyText"/>
        <w:spacing w:line="240" w:lineRule="auto" w:before="211"/>
        <w:ind w:left="1613" w:right="1073"/>
        <w:jc w:val="left"/>
      </w:pPr>
      <w:r>
        <w:rPr>
          <w:rFonts w:ascii="Times New Roman" w:hAnsi="Times New Roman" w:cs="Times New Roman" w:eastAsia="Times New Roman" w:hint="default"/>
        </w:rPr>
        <w:t>7</w:t>
      </w:r>
      <w:r>
        <w:rPr/>
        <w:t>、姜瑞明</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t>姜瑞明先生，男，</w:t>
      </w:r>
      <w:r>
        <w:rPr>
          <w:rFonts w:ascii="Times New Roman" w:hAnsi="Times New Roman" w:cs="Times New Roman" w:eastAsia="Times New Roman" w:hint="default"/>
        </w:rPr>
        <w:t>1966</w:t>
      </w:r>
      <w:r>
        <w:rPr>
          <w:rFonts w:ascii="Times New Roman" w:hAnsi="Times New Roman" w:cs="Times New Roman" w:eastAsia="Times New Roman" w:hint="default"/>
          <w:spacing w:val="-25"/>
        </w:rPr>
        <w:t> </w:t>
      </w:r>
      <w:r>
        <w:rPr/>
        <w:t>年出生，中国国籍，无境外永久居留权，清华大学工商管理硕士</w:t>
      </w:r>
    </w:p>
    <w:p>
      <w:pPr>
        <w:pStyle w:val="BodyText"/>
        <w:spacing w:line="338" w:lineRule="auto" w:before="135"/>
        <w:ind w:left="1134" w:right="1118"/>
        <w:jc w:val="left"/>
      </w:pPr>
      <w:r>
        <w:rPr>
          <w:spacing w:val="-11"/>
          <w:w w:val="99"/>
        </w:rPr>
        <w:t>（</w:t>
      </w:r>
      <w:r>
        <w:rPr>
          <w:rFonts w:ascii="Times New Roman" w:hAnsi="Times New Roman" w:cs="Times New Roman" w:eastAsia="Times New Roman" w:hint="default"/>
          <w:spacing w:val="-11"/>
          <w:w w:val="99"/>
        </w:rPr>
        <w:t>MBA</w:t>
      </w:r>
      <w:r>
        <w:rPr>
          <w:spacing w:val="-11"/>
          <w:w w:val="99"/>
        </w:rPr>
        <w:t>）。姜瑞明先生自</w:t>
      </w:r>
      <w:r>
        <w:rPr>
          <w:spacing w:val="-56"/>
          <w:w w:val="9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1"/>
        </w:rPr>
        <w:t>月加入本公司，现任本公司独立董事、首都机场股份有限</w:t>
      </w:r>
      <w:r>
        <w:rPr/>
        <w:t> 公司独立董事；北京国枫律师事务所执行合伙人。</w:t>
      </w:r>
    </w:p>
    <w:p>
      <w:pPr>
        <w:pStyle w:val="BodyText"/>
        <w:spacing w:line="240" w:lineRule="auto" w:before="211"/>
        <w:ind w:right="1073"/>
        <w:jc w:val="left"/>
      </w:pPr>
      <w:r>
        <w:rPr/>
        <w:t>（二）监事会成员</w:t>
      </w:r>
    </w:p>
    <w:p>
      <w:pPr>
        <w:spacing w:line="240" w:lineRule="auto" w:before="9"/>
        <w:rPr>
          <w:rFonts w:ascii="宋体" w:hAnsi="宋体" w:cs="宋体" w:eastAsia="宋体" w:hint="default"/>
          <w:sz w:val="23"/>
          <w:szCs w:val="23"/>
        </w:rPr>
      </w:pPr>
    </w:p>
    <w:p>
      <w:pPr>
        <w:pStyle w:val="BodyText"/>
        <w:spacing w:line="240" w:lineRule="auto"/>
        <w:ind w:right="1073"/>
        <w:jc w:val="left"/>
      </w:pPr>
      <w:r>
        <w:rPr/>
        <w:t>公司监事会由王忠东、曹达和任佳伟</w:t>
      </w:r>
      <w:r>
        <w:rPr>
          <w:spacing w:val="-60"/>
        </w:rPr>
        <w:t> </w:t>
      </w:r>
      <w:r>
        <w:rPr>
          <w:rFonts w:ascii="Times New Roman" w:hAnsi="Times New Roman" w:cs="Times New Roman" w:eastAsia="Times New Roman" w:hint="default"/>
        </w:rPr>
        <w:t>3 </w:t>
      </w:r>
      <w:r>
        <w:rPr/>
        <w:t>名监事组成，基本情况如下：</w:t>
      </w:r>
    </w:p>
    <w:p>
      <w:pPr>
        <w:spacing w:line="240" w:lineRule="auto" w:before="3"/>
        <w:rPr>
          <w:rFonts w:ascii="宋体" w:hAnsi="宋体" w:cs="宋体" w:eastAsia="宋体" w:hint="default"/>
          <w:sz w:val="19"/>
          <w:szCs w:val="19"/>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2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职位</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任期</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曹达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任佳伟</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陈芳</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rFonts w:ascii="Times New Roman" w:hAnsi="Times New Roman" w:cs="Times New Roman" w:eastAsia="Times New Roman" w:hint="default"/>
        </w:rPr>
        <w:t>1</w:t>
      </w:r>
      <w:r>
        <w:rPr/>
        <w:t>、曹达</w:t>
      </w:r>
    </w:p>
    <w:p>
      <w:pPr>
        <w:spacing w:line="240" w:lineRule="auto" w:before="4"/>
        <w:rPr>
          <w:rFonts w:ascii="宋体" w:hAnsi="宋体" w:cs="宋体" w:eastAsia="宋体" w:hint="default"/>
          <w:sz w:val="22"/>
          <w:szCs w:val="22"/>
        </w:rPr>
      </w:pPr>
    </w:p>
    <w:p>
      <w:pPr>
        <w:pStyle w:val="BodyText"/>
        <w:spacing w:line="345" w:lineRule="auto"/>
        <w:ind w:left="1133" w:right="1001" w:firstLine="480"/>
        <w:jc w:val="left"/>
      </w:pPr>
      <w:r>
        <w:rPr>
          <w:spacing w:val="-5"/>
        </w:rPr>
        <w:t>曹达先生，男，</w:t>
      </w:r>
      <w:r>
        <w:rPr>
          <w:rFonts w:ascii="Times New Roman" w:hAnsi="Times New Roman" w:cs="Times New Roman" w:eastAsia="Times New Roman" w:hint="default"/>
          <w:spacing w:val="-5"/>
        </w:rPr>
        <w:t>1971</w:t>
      </w:r>
      <w:r>
        <w:rPr>
          <w:rFonts w:ascii="Times New Roman" w:hAnsi="Times New Roman" w:cs="Times New Roman" w:eastAsia="Times New Roman" w:hint="default"/>
          <w:spacing w:val="27"/>
        </w:rPr>
        <w:t> </w:t>
      </w:r>
      <w:r>
        <w:rPr>
          <w:spacing w:val="-4"/>
        </w:rPr>
        <w:t>年生，中国国籍，无境外永久居留权，硕士研究生，工商管理专业。</w:t>
      </w:r>
      <w:r>
        <w:rPr/>
        <w:t> 曹达先生自</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月加入公司，现任本公司监事会主席，同时兼任北京金信融达投资管理</w:t>
      </w:r>
      <w:r>
        <w:rPr>
          <w:spacing w:val="-112"/>
        </w:rPr>
        <w:t> </w:t>
      </w:r>
      <w:r>
        <w:rPr>
          <w:spacing w:val="-112"/>
        </w:rPr>
      </w:r>
      <w:r>
        <w:rPr/>
        <w:t>有限公司董事长兼总经理、北京金信华创股权投资中心（有限合伙）执行事务合伙人委派代 表、北京华清汇金投资中心（有限合伙）执行事务合伙人委派代表、北京金信卓华投资中心</w:t>
      </w:r>
    </w:p>
    <w:p>
      <w:pPr>
        <w:pStyle w:val="BodyText"/>
        <w:spacing w:line="357" w:lineRule="auto" w:before="48"/>
        <w:ind w:left="1134" w:right="1170"/>
        <w:jc w:val="both"/>
      </w:pPr>
      <w:r>
        <w:rPr/>
        <w:t>（有限合伙）执行事务合伙人委派代表、北京睿达创新投资管理有限公司执行董事、拉萨睿 祺华创投资管理有限公司执行董事、北京金信明德投资管理有限公司董事、天津荷塘资产管 理有限公司董事、浦华环保股份有限公司董事、华夏龙晖（北京）汽车电子科技股份有限公 司监事、北京盈创汇富投资管理有限公司执行董事、北京清控金信投资有限公司执行董事、 清控华创（天津）资产管理有限公司董事、北京睿祺华盛投资管理有限公司执行董事、北京 清芯华创投资管理有限公司监事、清控金信资本管理（香港）有限公司执行董事、睿华资本 管理有限公司执行董事、桑德环境资源股份有限公司董事、南通金信通达投资管理有限公司</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995"/>
        <w:jc w:val="left"/>
      </w:pPr>
      <w:r>
        <w:rPr>
          <w:spacing w:val="-3"/>
        </w:rPr>
        <w:t>董事、清控金信资本管理（北京）有限公司董事及总裁、北京金信泽华投资中心（有限合伙）</w:t>
      </w:r>
      <w:r>
        <w:rPr>
          <w:spacing w:val="-81"/>
        </w:rPr>
        <w:t> </w:t>
      </w:r>
      <w:r>
        <w:rPr>
          <w:spacing w:val="-81"/>
        </w:rPr>
      </w:r>
      <w:r>
        <w:rPr/>
        <w:t>执行事务合伙人委派代表、北京金信创智投资中心（有限合伙）执行事务合伙人委派代表、 北京金信华盈投资中心（有限合伙）执行事务合伙人委派代表、北京金信汇富投资中心（有 限合伙）执行事务合伙人委派代表、北京金信华睿投资中心（有限合伙）执行事务合伙人委 派代表、北京清控金信投资管理有限公司董事及总裁。</w:t>
      </w:r>
    </w:p>
    <w:p>
      <w:pPr>
        <w:pStyle w:val="BodyText"/>
        <w:spacing w:line="240" w:lineRule="auto" w:before="192"/>
        <w:ind w:left="1613" w:right="1073"/>
        <w:jc w:val="left"/>
      </w:pPr>
      <w:r>
        <w:rPr>
          <w:rFonts w:ascii="Times New Roman" w:hAnsi="Times New Roman" w:cs="Times New Roman" w:eastAsia="Times New Roman" w:hint="default"/>
        </w:rPr>
        <w:t>2</w:t>
      </w:r>
      <w:r>
        <w:rPr/>
        <w:t>、任佳伟</w:t>
      </w:r>
    </w:p>
    <w:p>
      <w:pPr>
        <w:spacing w:line="240" w:lineRule="auto" w:before="4"/>
        <w:rPr>
          <w:rFonts w:ascii="宋体" w:hAnsi="宋体" w:cs="宋体" w:eastAsia="宋体" w:hint="default"/>
          <w:sz w:val="22"/>
          <w:szCs w:val="22"/>
        </w:rPr>
      </w:pPr>
    </w:p>
    <w:p>
      <w:pPr>
        <w:pStyle w:val="BodyText"/>
        <w:spacing w:line="240" w:lineRule="auto"/>
        <w:ind w:left="1613" w:right="1073"/>
        <w:jc w:val="left"/>
        <w:rPr>
          <w:rFonts w:ascii="Times New Roman" w:hAnsi="Times New Roman" w:cs="Times New Roman" w:eastAsia="Times New Roman" w:hint="default"/>
        </w:rPr>
      </w:pPr>
      <w:r>
        <w:rPr/>
        <w:t>任佳伟先生，男，</w:t>
      </w:r>
      <w:r>
        <w:rPr>
          <w:rFonts w:ascii="Times New Roman" w:hAnsi="Times New Roman" w:cs="Times New Roman" w:eastAsia="Times New Roman" w:hint="default"/>
        </w:rPr>
        <w:t>1983 </w:t>
      </w:r>
      <w:r>
        <w:rPr>
          <w:spacing w:val="-3"/>
        </w:rPr>
        <w:t>年生，中国国籍，无境外永久居留权，本科，金融专业。自</w:t>
      </w:r>
      <w:r>
        <w:rPr>
          <w:spacing w:val="-56"/>
        </w:rPr>
        <w:t> </w:t>
      </w:r>
      <w:r>
        <w:rPr>
          <w:rFonts w:ascii="Times New Roman" w:hAnsi="Times New Roman" w:cs="Times New Roman" w:eastAsia="Times New Roman" w:hint="default"/>
          <w:spacing w:val="-3"/>
        </w:rPr>
        <w:t>2011</w:t>
      </w:r>
    </w:p>
    <w:p>
      <w:pPr>
        <w:pStyle w:val="BodyText"/>
        <w:spacing w:line="338" w:lineRule="auto" w:before="135"/>
        <w:ind w:left="1133" w:right="1155"/>
        <w:jc w:val="left"/>
      </w:pP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月加入公司，现任本公司监事，兼任北京北信源软件股份有限公司投资总监、上海无寻 网络科技有限公司董事。</w:t>
      </w:r>
    </w:p>
    <w:p>
      <w:pPr>
        <w:pStyle w:val="BodyText"/>
        <w:spacing w:line="240" w:lineRule="auto" w:before="211"/>
        <w:ind w:right="1073"/>
        <w:jc w:val="left"/>
      </w:pPr>
      <w:r>
        <w:rPr>
          <w:rFonts w:ascii="Times New Roman" w:hAnsi="Times New Roman" w:cs="Times New Roman" w:eastAsia="Times New Roman" w:hint="default"/>
        </w:rPr>
        <w:t>3</w:t>
      </w:r>
      <w:r>
        <w:rPr/>
        <w:t>、陈芳</w:t>
      </w:r>
    </w:p>
    <w:p>
      <w:pPr>
        <w:spacing w:line="240" w:lineRule="auto" w:before="4"/>
        <w:rPr>
          <w:rFonts w:ascii="宋体" w:hAnsi="宋体" w:cs="宋体" w:eastAsia="宋体" w:hint="default"/>
          <w:sz w:val="22"/>
          <w:szCs w:val="22"/>
        </w:rPr>
      </w:pPr>
    </w:p>
    <w:p>
      <w:pPr>
        <w:pStyle w:val="BodyText"/>
        <w:spacing w:line="338" w:lineRule="auto"/>
        <w:ind w:left="1133" w:right="1213" w:firstLine="480"/>
        <w:jc w:val="left"/>
      </w:pPr>
      <w:r>
        <w:rPr/>
        <w:t>陈芳女士，女，</w:t>
      </w:r>
      <w:r>
        <w:rPr>
          <w:rFonts w:ascii="Times New Roman" w:hAnsi="Times New Roman" w:cs="Times New Roman" w:eastAsia="Times New Roman" w:hint="default"/>
        </w:rPr>
        <w:t>1981 </w:t>
      </w:r>
      <w:r>
        <w:rPr/>
        <w:t>年生，中国国籍，无境外永久居住权。自</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 </w:t>
      </w:r>
      <w:r>
        <w:rPr/>
        <w:t>月加入公司， 现任公司人力行政中心副总经理，主要负责公司人力资源和行政工作及团队管理工作。</w:t>
      </w:r>
    </w:p>
    <w:p>
      <w:pPr>
        <w:pStyle w:val="BodyText"/>
        <w:spacing w:line="240" w:lineRule="auto" w:before="211"/>
        <w:ind w:left="1613" w:right="1073"/>
        <w:jc w:val="left"/>
      </w:pPr>
      <w:r>
        <w:rPr/>
        <w:t>（三）高级管理人员</w:t>
      </w:r>
    </w:p>
    <w:p>
      <w:pPr>
        <w:spacing w:line="240" w:lineRule="auto" w:before="9"/>
        <w:rPr>
          <w:rFonts w:ascii="宋体" w:hAnsi="宋体" w:cs="宋体" w:eastAsia="宋体" w:hint="default"/>
          <w:sz w:val="23"/>
          <w:szCs w:val="23"/>
        </w:rPr>
      </w:pPr>
    </w:p>
    <w:p>
      <w:pPr>
        <w:pStyle w:val="BodyText"/>
        <w:spacing w:line="240" w:lineRule="auto"/>
        <w:ind w:left="1613" w:right="0"/>
        <w:jc w:val="left"/>
      </w:pPr>
      <w:r>
        <w:rPr/>
        <w:t>公司设总经理</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4"/>
        </w:rPr>
        <w:t>名，常务副总经理</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5"/>
        </w:rPr>
        <w:t>名，副总经理</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名，其中副总经理兼任董事会秘书、</w:t>
      </w:r>
    </w:p>
    <w:p>
      <w:pPr>
        <w:pStyle w:val="BodyText"/>
        <w:spacing w:line="240" w:lineRule="auto" w:before="135"/>
        <w:ind w:left="1134" w:right="1073"/>
        <w:jc w:val="left"/>
      </w:pPr>
      <w:r>
        <w:rPr/>
        <w:t>副总经理兼任财务总监各</w:t>
      </w:r>
      <w:r>
        <w:rPr>
          <w:spacing w:val="-60"/>
        </w:rPr>
        <w:t> </w:t>
      </w:r>
      <w:r>
        <w:rPr>
          <w:rFonts w:ascii="Times New Roman" w:hAnsi="Times New Roman" w:cs="Times New Roman" w:eastAsia="Times New Roman" w:hint="default"/>
        </w:rPr>
        <w:t>1 </w:t>
      </w:r>
      <w:r>
        <w:rPr/>
        <w:t>名。公司高级管理人员简介如下：</w:t>
      </w:r>
    </w:p>
    <w:p>
      <w:pPr>
        <w:spacing w:line="240" w:lineRule="auto" w:before="4"/>
        <w:rPr>
          <w:rFonts w:ascii="宋体" w:hAnsi="宋体" w:cs="宋体" w:eastAsia="宋体" w:hint="default"/>
          <w:sz w:val="22"/>
          <w:szCs w:val="22"/>
        </w:rPr>
      </w:pPr>
    </w:p>
    <w:p>
      <w:pPr>
        <w:pStyle w:val="BodyText"/>
        <w:spacing w:line="240" w:lineRule="auto"/>
        <w:ind w:right="1073"/>
        <w:jc w:val="left"/>
      </w:pPr>
      <w:r>
        <w:rPr>
          <w:rFonts w:ascii="Times New Roman" w:hAnsi="Times New Roman" w:cs="Times New Roman" w:eastAsia="Times New Roman" w:hint="default"/>
        </w:rPr>
        <w:t>1</w:t>
      </w:r>
      <w:r>
        <w:rPr/>
        <w:t>、童之磊</w:t>
      </w:r>
    </w:p>
    <w:p>
      <w:pPr>
        <w:spacing w:line="240" w:lineRule="auto" w:before="4"/>
        <w:rPr>
          <w:rFonts w:ascii="宋体" w:hAnsi="宋体" w:cs="宋体" w:eastAsia="宋体" w:hint="default"/>
          <w:sz w:val="22"/>
          <w:szCs w:val="22"/>
        </w:rPr>
      </w:pPr>
    </w:p>
    <w:p>
      <w:pPr>
        <w:pStyle w:val="BodyText"/>
        <w:spacing w:line="451" w:lineRule="auto"/>
        <w:ind w:left="1613" w:right="3700"/>
        <w:jc w:val="left"/>
      </w:pPr>
      <w:r>
        <w:rPr/>
        <w:t>童之磊先生，总经理，其简历参见本节 </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、谢广才</w:t>
      </w:r>
    </w:p>
    <w:p>
      <w:pPr>
        <w:pStyle w:val="BodyText"/>
        <w:spacing w:line="338" w:lineRule="auto" w:before="58"/>
        <w:ind w:left="1133" w:right="1114" w:firstLine="480"/>
        <w:jc w:val="left"/>
      </w:pPr>
      <w:r>
        <w:rPr/>
        <w:t>谢广才先生，男，</w:t>
      </w:r>
      <w:r>
        <w:rPr>
          <w:rFonts w:ascii="Times New Roman" w:hAnsi="Times New Roman" w:cs="Times New Roman" w:eastAsia="Times New Roman" w:hint="default"/>
        </w:rPr>
        <w:t>1977</w:t>
      </w:r>
      <w:r>
        <w:rPr>
          <w:rFonts w:ascii="Times New Roman" w:hAnsi="Times New Roman" w:cs="Times New Roman" w:eastAsia="Times New Roman" w:hint="default"/>
          <w:spacing w:val="-21"/>
        </w:rPr>
        <w:t> </w:t>
      </w:r>
      <w:r>
        <w:rPr/>
        <w:t>年生，中国国籍，无境外永久居留权，硕士研究生，工商管理专 业。</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月加入公司，自</w:t>
      </w:r>
      <w:r>
        <w:rPr>
          <w:spacing w:val="-63"/>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月至</w:t>
      </w:r>
      <w:r>
        <w:rPr>
          <w:spacing w:val="-63"/>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月任公司版权部主任，主要负责数字</w:t>
      </w:r>
    </w:p>
    <w:p>
      <w:pPr>
        <w:pStyle w:val="BodyText"/>
        <w:spacing w:line="240" w:lineRule="auto" w:before="27"/>
        <w:ind w:left="1133" w:right="1073"/>
        <w:jc w:val="left"/>
      </w:pPr>
      <w:r>
        <w:rPr/>
        <w:t>版权授权业务；自</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3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4 </w:t>
      </w:r>
      <w:r>
        <w:rPr/>
        <w:t>月任资源建设部主任，主要负责数字版权授权业</w:t>
      </w:r>
    </w:p>
    <w:p>
      <w:pPr>
        <w:pStyle w:val="BodyText"/>
        <w:spacing w:line="240" w:lineRule="auto" w:before="135"/>
        <w:ind w:left="1133" w:right="1073"/>
        <w:jc w:val="left"/>
      </w:pPr>
      <w:r>
        <w:rPr/>
        <w:t>务和政府公共关系；自</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月任版权中心总经理，主要负责数字版权授</w:t>
      </w:r>
    </w:p>
    <w:p>
      <w:pPr>
        <w:pStyle w:val="BodyText"/>
        <w:spacing w:line="348" w:lineRule="auto" w:before="135"/>
        <w:ind w:left="1133" w:right="1169"/>
        <w:jc w:val="both"/>
      </w:pPr>
      <w:r>
        <w:rPr/>
        <w:t>权业务和政府公共关系及数字版权保护工作；自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月任副总经理，主 要负责数字版权分销售业务；现任中文在线常务副总经理，负责全方位数字版权业务，并兼 任杭州中文在线董事、湖北中文在线董事、鸿达以太董事。</w:t>
      </w:r>
    </w:p>
    <w:p>
      <w:pPr>
        <w:pStyle w:val="BodyText"/>
        <w:spacing w:line="240" w:lineRule="auto" w:before="202"/>
        <w:ind w:left="1613" w:right="1073"/>
        <w:jc w:val="left"/>
      </w:pPr>
      <w:r>
        <w:rPr>
          <w:rFonts w:ascii="Times New Roman" w:hAnsi="Times New Roman" w:cs="Times New Roman" w:eastAsia="Times New Roman" w:hint="default"/>
        </w:rPr>
        <w:t>3</w:t>
      </w:r>
      <w:r>
        <w:rPr/>
        <w:t>、原森民</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38" w:lineRule="auto" w:before="26"/>
        <w:ind w:left="1134" w:right="1131" w:firstLine="480"/>
        <w:jc w:val="both"/>
      </w:pPr>
      <w:r>
        <w:rPr/>
        <w:t>原森民先生，男，</w:t>
      </w:r>
      <w:r>
        <w:rPr>
          <w:rFonts w:ascii="Times New Roman" w:hAnsi="Times New Roman" w:cs="Times New Roman" w:eastAsia="Times New Roman" w:hint="default"/>
        </w:rPr>
        <w:t>1964</w:t>
      </w:r>
      <w:r>
        <w:rPr>
          <w:rFonts w:ascii="Times New Roman" w:hAnsi="Times New Roman" w:cs="Times New Roman" w:eastAsia="Times New Roman" w:hint="default"/>
          <w:spacing w:val="-21"/>
        </w:rPr>
        <w:t> </w:t>
      </w:r>
      <w:r>
        <w:rPr/>
        <w:t>年生，中国国籍，无境外永久居留权，硕士研究生，工业经济专 业。</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月加入公司，现任公司副总经理兼财务总监、中文传媒执行董事兼总经理、迈 步科技董事、湖北中文在线董事。</w:t>
      </w:r>
    </w:p>
    <w:p>
      <w:pPr>
        <w:pStyle w:val="BodyText"/>
        <w:spacing w:line="451" w:lineRule="auto" w:before="212"/>
        <w:ind w:left="1613" w:right="2860"/>
        <w:jc w:val="left"/>
      </w:pPr>
      <w:r>
        <w:rPr>
          <w:rFonts w:ascii="Times New Roman" w:hAnsi="Times New Roman" w:cs="Times New Roman" w:eastAsia="Times New Roman" w:hint="default"/>
        </w:rPr>
        <w:t>4</w:t>
      </w:r>
      <w:r>
        <w:rPr/>
        <w:t>、张帆 张帆先生，副总经理、董事会秘书，其简历参见</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w:t>
      </w:r>
      <w:r>
        <w:rPr>
          <w:rFonts w:ascii="Times New Roman" w:hAnsi="Times New Roman" w:cs="Times New Roman" w:eastAsia="Times New Roman" w:hint="default"/>
        </w:rPr>
        <w:t>5</w:t>
      </w:r>
      <w:r>
        <w:rPr/>
        <w:t>、宋洁</w:t>
      </w:r>
    </w:p>
    <w:p>
      <w:pPr>
        <w:pStyle w:val="BodyText"/>
        <w:spacing w:line="348" w:lineRule="auto" w:before="58"/>
        <w:ind w:left="1133" w:right="994" w:firstLine="480"/>
        <w:jc w:val="left"/>
      </w:pPr>
      <w:r>
        <w:rPr/>
        <w:t>宋洁女士，女，</w:t>
      </w:r>
      <w:r>
        <w:rPr>
          <w:rFonts w:ascii="Times New Roman" w:hAnsi="Times New Roman" w:cs="Times New Roman" w:eastAsia="Times New Roman" w:hint="default"/>
        </w:rPr>
        <w:t>1972</w:t>
      </w:r>
      <w:r>
        <w:rPr>
          <w:rFonts w:ascii="Times New Roman" w:hAnsi="Times New Roman" w:cs="Times New Roman" w:eastAsia="Times New Roman" w:hint="default"/>
          <w:spacing w:val="-8"/>
        </w:rPr>
        <w:t> </w:t>
      </w:r>
      <w:r>
        <w:rPr/>
        <w:t>年出生，中国国籍，无境外永久居住权，硕士研究生，经济管理专 </w:t>
      </w:r>
      <w:r>
        <w:rPr>
          <w:spacing w:val="-4"/>
        </w:rPr>
        <w:t>业。曾任长天计算机系统集成有限公司人力资源主管，</w:t>
      </w:r>
      <w:r>
        <w:rPr>
          <w:rFonts w:ascii="Times New Roman" w:hAnsi="Times New Roman" w:cs="Times New Roman" w:eastAsia="Times New Roman" w:hint="default"/>
          <w:spacing w:val="-4"/>
        </w:rPr>
        <w:t>AT&amp;T</w:t>
      </w:r>
      <w:r>
        <w:rPr>
          <w:spacing w:val="-4"/>
        </w:rPr>
        <w:t>（中国）有限公司中国区人力资</w:t>
      </w:r>
      <w:r>
        <w:rPr>
          <w:spacing w:val="-90"/>
        </w:rPr>
        <w:t> </w:t>
      </w:r>
      <w:r>
        <w:rPr>
          <w:spacing w:val="-90"/>
        </w:rPr>
      </w:r>
      <w:r>
        <w:rPr/>
        <w:t>源经理，西安杨森制药有限公司业务人力资源经理，美国斯必克热力设备与服务集团亚太区 人力资源总监，联想集团有限公司人力资源高级总监，北京畅游天下网络技术有限公司人力 </w:t>
      </w:r>
      <w:r>
        <w:rPr>
          <w:spacing w:val="-5"/>
        </w:rPr>
        <w:t>资源副总裁，</w:t>
      </w:r>
      <w:r>
        <w:rPr>
          <w:rFonts w:ascii="Times New Roman" w:hAnsi="Times New Roman" w:cs="Times New Roman" w:eastAsia="Times New Roman" w:hint="default"/>
          <w:spacing w:val="-5"/>
        </w:rPr>
        <w:t>2015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spacing w:val="-4"/>
        </w:rPr>
        <w:t>月加入公司，现任公司副总经理，负责公司人力资源及行政管理工作。</w:t>
      </w:r>
    </w:p>
    <w:p>
      <w:pPr>
        <w:pStyle w:val="BodyText"/>
        <w:spacing w:line="240" w:lineRule="auto" w:before="172"/>
        <w:ind w:right="1073"/>
        <w:jc w:val="left"/>
      </w:pPr>
      <w:r>
        <w:rPr>
          <w:rFonts w:ascii="Times New Roman" w:hAnsi="Times New Roman" w:cs="Times New Roman" w:eastAsia="Times New Roman" w:hint="default"/>
        </w:rPr>
        <w:t>6</w:t>
      </w:r>
      <w:r>
        <w:rPr/>
        <w:t>、鲁丰</w:t>
      </w:r>
    </w:p>
    <w:p>
      <w:pPr>
        <w:spacing w:line="240" w:lineRule="auto" w:before="4"/>
        <w:rPr>
          <w:rFonts w:ascii="宋体" w:hAnsi="宋体" w:cs="宋体" w:eastAsia="宋体" w:hint="default"/>
          <w:sz w:val="22"/>
          <w:szCs w:val="22"/>
        </w:rPr>
      </w:pPr>
    </w:p>
    <w:p>
      <w:pPr>
        <w:pStyle w:val="BodyText"/>
        <w:spacing w:line="345" w:lineRule="auto"/>
        <w:ind w:left="1133" w:right="1129" w:firstLine="480"/>
        <w:jc w:val="both"/>
      </w:pPr>
      <w:r>
        <w:rPr>
          <w:spacing w:val="-7"/>
        </w:rPr>
        <w:t>鲁丰先生，男，</w:t>
      </w:r>
      <w:r>
        <w:rPr>
          <w:rFonts w:ascii="Times New Roman" w:hAnsi="Times New Roman" w:cs="Times New Roman" w:eastAsia="Times New Roman" w:hint="default"/>
          <w:spacing w:val="-7"/>
        </w:rPr>
        <w:t>1972</w:t>
      </w:r>
      <w:r>
        <w:rPr>
          <w:rFonts w:ascii="Times New Roman" w:hAnsi="Times New Roman" w:cs="Times New Roman" w:eastAsia="Times New Roman" w:hint="default"/>
          <w:spacing w:val="3"/>
        </w:rPr>
        <w:t> </w:t>
      </w:r>
      <w:r>
        <w:rPr>
          <w:spacing w:val="-6"/>
        </w:rPr>
        <w:t>年生，中国国籍，无境外永久居留权，大专，计算机信息专业。</w:t>
      </w:r>
      <w:r>
        <w:rPr>
          <w:rFonts w:ascii="Times New Roman" w:hAnsi="Times New Roman" w:cs="Times New Roman" w:eastAsia="Times New Roman" w:hint="default"/>
          <w:spacing w:val="-6"/>
        </w:rPr>
        <w:t>2005</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月加入本公司，先后任无线业务部总监、无线事业部副总经理等职务，负责无线通信领 域数据业务；现任公司副总经理，同时兼任中文在线杭州分公司总经理，负责电信运营商及 相关增值业务。</w:t>
      </w:r>
    </w:p>
    <w:p>
      <w:pPr>
        <w:pStyle w:val="BodyText"/>
        <w:spacing w:line="240" w:lineRule="auto" w:before="204"/>
        <w:ind w:left="1613" w:right="1073"/>
        <w:jc w:val="left"/>
      </w:pPr>
      <w:r>
        <w:rPr/>
        <w:t>在股东单位任职情况</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19"/>
          <w:szCs w:val="19"/>
        </w:rPr>
      </w:pPr>
    </w:p>
    <w:tbl>
      <w:tblPr>
        <w:tblW w:w="0" w:type="auto"/>
        <w:jc w:val="left"/>
        <w:tblInd w:w="1101" w:type="dxa"/>
        <w:tblLayout w:type="fixed"/>
        <w:tblCellMar>
          <w:top w:w="0" w:type="dxa"/>
          <w:left w:w="0" w:type="dxa"/>
          <w:bottom w:w="0" w:type="dxa"/>
          <w:right w:w="0" w:type="dxa"/>
        </w:tblCellMar>
        <w:tblLook w:val="01E0"/>
      </w:tblPr>
      <w:tblGrid>
        <w:gridCol w:w="1112"/>
        <w:gridCol w:w="1812"/>
        <w:gridCol w:w="1812"/>
        <w:gridCol w:w="1511"/>
        <w:gridCol w:w="1112"/>
        <w:gridCol w:w="2336"/>
      </w:tblGrid>
      <w:tr>
        <w:trPr>
          <w:trHeight w:val="71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0" w:right="99"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1" w:right="89"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9" w:right="10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72" w:right="83" w:hanging="990"/>
              <w:jc w:val="left"/>
              <w:rPr>
                <w:rFonts w:ascii="宋体" w:hAnsi="宋体" w:cs="宋体" w:eastAsia="宋体" w:hint="default"/>
                <w:sz w:val="18"/>
                <w:szCs w:val="18"/>
              </w:rPr>
            </w:pPr>
            <w:r>
              <w:rPr>
                <w:rFonts w:ascii="宋体" w:hAnsi="宋体" w:cs="宋体" w:eastAsia="宋体" w:hint="default"/>
                <w:sz w:val="18"/>
                <w:szCs w:val="18"/>
              </w:rPr>
              <w:t>在股东单位是否领取报酬津 贴</w:t>
            </w:r>
          </w:p>
        </w:tc>
      </w:tr>
      <w:tr>
        <w:trPr>
          <w:trHeight w:val="714"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上海文睿投资有限公 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在其他单位任职情况</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234"/>
        <w:gridCol w:w="3162"/>
        <w:gridCol w:w="1206"/>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5"/>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56"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9"/>
              <w:jc w:val="right"/>
              <w:rPr>
                <w:rFonts w:ascii="宋体" w:hAnsi="宋体" w:cs="宋体" w:eastAsia="宋体" w:hint="default"/>
                <w:sz w:val="18"/>
                <w:szCs w:val="18"/>
              </w:rPr>
            </w:pPr>
            <w:r>
              <w:rPr>
                <w:rFonts w:ascii="宋体" w:hAnsi="宋体" w:cs="宋体" w:eastAsia="宋体" w:hint="default"/>
                <w:sz w:val="18"/>
                <w:szCs w:val="18"/>
              </w:rPr>
              <w:t>北京亚杰商汇咨询有限公司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234"/>
        <w:gridCol w:w="3162"/>
        <w:gridCol w:w="1206"/>
        <w:gridCol w:w="1230"/>
        <w:gridCol w:w="1360"/>
        <w:gridCol w:w="1376"/>
      </w:tblGrid>
      <w:tr>
        <w:trPr>
          <w:trHeight w:val="402" w:hRule="exact"/>
        </w:trPr>
        <w:tc>
          <w:tcPr>
            <w:tcW w:w="1234" w:type="dxa"/>
            <w:tcBorders>
              <w:top w:val="nil" w:sz="6" w:space="0" w:color="auto"/>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2"/>
                <w:sz w:val="18"/>
              </w:rPr>
              <w:t>ATA</w:t>
            </w:r>
            <w:r>
              <w:rPr>
                <w:rFonts w:ascii="Times New Roman"/>
                <w:spacing w:val="-10"/>
                <w:sz w:val="18"/>
              </w:rPr>
              <w:t> </w:t>
            </w:r>
            <w:r>
              <w:rPr>
                <w:rFonts w:ascii="Times New Roman"/>
                <w:sz w:val="18"/>
              </w:rPr>
              <w:t>Inc.</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雷霖</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启迪中海创业投资有限公司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北京启迪汇德创业投资有限公司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北京启迪明德创业投资有限公司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清控资产管理有限公司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清控创业投资有限公司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北京启迪日新创业投资有限公司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清控三联创业投资（北京）有限公司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北京紫荆华融股权投资有限公司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启迪创业投资管理（北京）有限公司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慕华教育科技有限公司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深圳力宝清控基金管理有限公司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北京荷塘投资管理有限公司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中融人寿保险股份有限公司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上海开物股权投资管理有限公司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北京开物投资管理有限公司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上海开物兴华创业投资管理有限公司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上海开物兴晖创业投资合伙企业（有限 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中国远洋海运集团</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中国移动通讯集团</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中国中钢股份有限公司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Products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Chemical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Pentair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Qorvo Inc</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Kiina Investment (BVI)</w:t>
            </w:r>
            <w:r>
              <w:rPr>
                <w:rFonts w:ascii="Times New Roman"/>
                <w:spacing w:val="-2"/>
                <w:sz w:val="18"/>
              </w:rPr>
              <w:t> </w:t>
            </w:r>
            <w:r>
              <w:rPr>
                <w:rFonts w:ascii="Times New Roman"/>
                <w:sz w:val="18"/>
              </w:rPr>
              <w:t>Ltd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Kiina Business Services (HK)</w:t>
            </w:r>
            <w:r>
              <w:rPr>
                <w:rFonts w:ascii="Times New Roman"/>
                <w:spacing w:val="-6"/>
                <w:sz w:val="18"/>
              </w:rPr>
              <w:t> </w:t>
            </w:r>
            <w:r>
              <w:rPr>
                <w:rFonts w:ascii="Times New Roman"/>
                <w:sz w:val="18"/>
              </w:rPr>
              <w:t>Ltd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Kiina Systems (HK)</w:t>
            </w:r>
            <w:r>
              <w:rPr>
                <w:rFonts w:ascii="Times New Roman"/>
                <w:spacing w:val="-5"/>
                <w:sz w:val="18"/>
              </w:rPr>
              <w:t> </w:t>
            </w:r>
            <w:r>
              <w:rPr>
                <w:rFonts w:ascii="Times New Roman"/>
                <w:sz w:val="18"/>
              </w:rPr>
              <w:t>Ltd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Kiina Properties (Canada)</w:t>
            </w:r>
            <w:r>
              <w:rPr>
                <w:rFonts w:ascii="Times New Roman"/>
                <w:spacing w:val="-6"/>
                <w:sz w:val="18"/>
              </w:rPr>
              <w:t> </w:t>
            </w:r>
            <w:r>
              <w:rPr>
                <w:rFonts w:ascii="Times New Roman"/>
                <w:sz w:val="18"/>
              </w:rPr>
              <w:t>Ltd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Kiina </w:t>
            </w:r>
            <w:r>
              <w:rPr>
                <w:rFonts w:ascii="Times New Roman"/>
                <w:spacing w:val="-3"/>
                <w:sz w:val="18"/>
              </w:rPr>
              <w:t>Ventures </w:t>
            </w:r>
            <w:r>
              <w:rPr>
                <w:rFonts w:ascii="Times New Roman"/>
                <w:sz w:val="18"/>
              </w:rPr>
              <w:t>(Canada)</w:t>
            </w:r>
            <w:r>
              <w:rPr>
                <w:rFonts w:ascii="Times New Roman"/>
                <w:spacing w:val="-3"/>
                <w:sz w:val="18"/>
              </w:rPr>
              <w:t> </w:t>
            </w:r>
            <w:r>
              <w:rPr>
                <w:rFonts w:ascii="Times New Roman"/>
                <w:sz w:val="18"/>
              </w:rPr>
              <w:t>Inc</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234"/>
        <w:gridCol w:w="3162"/>
        <w:gridCol w:w="1206"/>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清华大学经管学院</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姜瑞明</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北京首都国际机场股份有限公司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曹达</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北京金信融达投资管理有限公司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北京金信华创股权投资中心（有限合伙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22" w:right="0"/>
              <w:jc w:val="left"/>
              <w:rPr>
                <w:rFonts w:ascii="宋体" w:hAnsi="宋体" w:cs="宋体" w:eastAsia="宋体" w:hint="default"/>
                <w:sz w:val="18"/>
                <w:szCs w:val="18"/>
              </w:rPr>
            </w:pPr>
            <w:r>
              <w:rPr>
                <w:rFonts w:ascii="宋体" w:hAnsi="宋体" w:cs="宋体" w:eastAsia="宋体" w:hint="default"/>
                <w:sz w:val="18"/>
                <w:szCs w:val="18"/>
              </w:rPr>
              <w:t>执行事务合伙</w:t>
            </w:r>
          </w:p>
          <w:p>
            <w:pPr>
              <w:pStyle w:val="TableParagraph"/>
              <w:spacing w:line="157"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人委派代表</w:t>
            </w: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58.7pt;height:36.4pt;mso-position-horizontal-relative:char;mso-position-vertical-relative:line" coordorigin="0,0" coordsize="1174,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1151;height:353" coordorigin="23,11" coordsize="1151,353">
                    <v:shape style="position:absolute;left:23;top:11;width:1151;height:353" coordorigin="23,11" coordsize="1151,353" path="m23,364l1174,364,1174,11,23,11,23,364xe" filled="true" fillcolor="#ffffff" stroked="false">
                      <v:path arrowok="t"/>
                      <v:fill type="solid"/>
                    </v:shape>
                  </v:group>
                  <v:group style="position:absolute;left:23;top:364;width:1151;height:352" coordorigin="23,364" coordsize="1151,352">
                    <v:shape style="position:absolute;left:23;top:364;width:1151;height:352" coordorigin="23,364" coordsize="1151,352" path="m23,716l1174,716,1174,364,23,364,23,716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北京华清汇金投资中心（有限合伙）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北京金信卓华投资中心（有限合伙）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北京睿达创新投资管理有限公司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拉萨睿祺华创投资管理有限公司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北京金信明德投资管理有限公司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天津荷塘资产管理有限公司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浦华环保股份有限公司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华夏龙晖（北京）汽车电子科技股份有 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tabs>
                <w:tab w:pos="56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北京盈创汇富投资管理有限公司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北京清控金信投资有限公司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清控华创（天津）资产管理有限公司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北京睿祺华盛投资管理有限公司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北京清芯华创投资管理有限公司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清控金信资本管理（香港）有限公司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睿华资本管理有限公司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桑德环境资源股份有限公司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南通金信通达投资管理有限公司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w:t>
              <w:tab/>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清控金信资本管理（北京）有限公司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北京金信泽华投资中心（有限合伙）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北京金信创智投资中心（有限合伙）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北京金信华盈投资中心（有限合伙）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nil" w:sz="6" w:space="0" w:color="auto"/>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北京金信汇富投资中心（有限合伙）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执行事务合伙</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234"/>
        <w:gridCol w:w="3162"/>
        <w:gridCol w:w="1206"/>
        <w:gridCol w:w="1230"/>
        <w:gridCol w:w="1360"/>
        <w:gridCol w:w="1376"/>
      </w:tblGrid>
      <w:tr>
        <w:trPr>
          <w:trHeight w:val="362" w:hRule="exact"/>
        </w:trPr>
        <w:tc>
          <w:tcPr>
            <w:tcW w:w="1234" w:type="dxa"/>
            <w:vMerge w:val="restart"/>
            <w:tcBorders>
              <w:top w:val="nil" w:sz="6" w:space="0" w:color="auto"/>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人委派代表</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vMerge/>
            <w:tcBorders>
              <w:left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北京金信华睿投资中心（有限合伙）</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北京清控金信投资管理有限公司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原森民</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迈步科技</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pacing w:val="15"/>
                <w:sz w:val="18"/>
                <w:szCs w:val="18"/>
              </w:rPr>
              <w:t>在其他单位任</w:t>
            </w:r>
            <w:r>
              <w:rPr>
                <w:rFonts w:ascii="宋体" w:hAnsi="宋体" w:cs="宋体" w:eastAsia="宋体" w:hint="default"/>
                <w:spacing w:val="-86"/>
                <w:sz w:val="18"/>
                <w:szCs w:val="18"/>
              </w:rPr>
              <w:t> </w:t>
            </w:r>
            <w:r>
              <w:rPr>
                <w:rFonts w:ascii="宋体" w:hAnsi="宋体" w:cs="宋体" w:eastAsia="宋体" w:hint="default"/>
                <w:sz w:val="18"/>
                <w:szCs w:val="18"/>
              </w:rPr>
              <w:t>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26"/>
        <w:ind w:right="1073"/>
        <w:jc w:val="left"/>
      </w:pPr>
      <w:r>
        <w:rPr/>
        <w:t>公司现任及报告期内离任董事、监事和高级管理人员近三年证券监管机构处罚的情况</w:t>
      </w:r>
    </w:p>
    <w:p>
      <w:pPr>
        <w:spacing w:line="240" w:lineRule="auto" w:before="9"/>
        <w:rPr>
          <w:rFonts w:ascii="宋体" w:hAnsi="宋体" w:cs="宋体" w:eastAsia="宋体" w:hint="default"/>
          <w:sz w:val="23"/>
          <w:szCs w:val="23"/>
        </w:rPr>
      </w:pPr>
    </w:p>
    <w:p>
      <w:pPr>
        <w:spacing w:line="499" w:lineRule="auto" w:before="0"/>
        <w:ind w:left="1134" w:right="64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董事、监事、高级管理人员报酬情况" w:id="120"/>
      <w:bookmarkEnd w:id="120"/>
      <w:r>
        <w:rPr>
          <w:rFonts w:ascii="宋体" w:hAnsi="宋体" w:cs="宋体" w:eastAsia="宋体" w:hint="default"/>
          <w:sz w:val="24"/>
          <w:szCs w:val="24"/>
        </w:rPr>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240" w:lineRule="auto" w:before="116"/>
        <w:ind w:right="1073"/>
        <w:jc w:val="left"/>
      </w:pPr>
      <w:r>
        <w:rPr/>
        <w:t>董事、监事、高级管理人员报酬的决策程序、确定依据、实际支付情况</w:t>
      </w:r>
    </w:p>
    <w:p>
      <w:pPr>
        <w:spacing w:line="240" w:lineRule="auto" w:before="8"/>
        <w:rPr>
          <w:rFonts w:ascii="宋体" w:hAnsi="宋体" w:cs="宋体" w:eastAsia="宋体" w:hint="default"/>
          <w:sz w:val="20"/>
          <w:szCs w:val="20"/>
        </w:rPr>
      </w:pPr>
    </w:p>
    <w:tbl>
      <w:tblPr>
        <w:tblW w:w="0" w:type="auto"/>
        <w:jc w:val="left"/>
        <w:tblInd w:w="1126" w:type="dxa"/>
        <w:tblLayout w:type="fixed"/>
        <w:tblCellMar>
          <w:top w:w="0" w:type="dxa"/>
          <w:left w:w="0" w:type="dxa"/>
          <w:bottom w:w="0" w:type="dxa"/>
          <w:right w:w="0" w:type="dxa"/>
        </w:tblCellMar>
        <w:tblLook w:val="01E0"/>
      </w:tblPr>
      <w:tblGrid>
        <w:gridCol w:w="2836"/>
        <w:gridCol w:w="6733"/>
      </w:tblGrid>
      <w:tr>
        <w:trPr>
          <w:trHeight w:val="1052" w:hRule="exact"/>
        </w:trPr>
        <w:tc>
          <w:tcPr>
            <w:tcW w:w="28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董事、监事、高级管理人员报酬的决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策程序</w:t>
            </w:r>
          </w:p>
        </w:tc>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55"/>
              <w:jc w:val="both"/>
              <w:rPr>
                <w:rFonts w:ascii="宋体" w:hAnsi="宋体" w:cs="宋体" w:eastAsia="宋体" w:hint="default"/>
                <w:sz w:val="18"/>
                <w:szCs w:val="18"/>
              </w:rPr>
            </w:pPr>
            <w:r>
              <w:rPr>
                <w:rFonts w:ascii="宋体" w:hAnsi="宋体" w:cs="宋体" w:eastAsia="宋体" w:hint="default"/>
                <w:sz w:val="18"/>
                <w:szCs w:val="18"/>
              </w:rPr>
              <w:t>公司董事、监事、高级管理人员的报酬由董事会审议通过后，提交股东大会审议。其 中在公司担任工作职务的董事、监事、高级管理人员岗位报酬由公司支付，不再支付 董事、监事津贴。</w:t>
            </w:r>
          </w:p>
        </w:tc>
      </w:tr>
      <w:tr>
        <w:trPr>
          <w:trHeight w:val="739" w:hRule="exact"/>
        </w:trPr>
        <w:tc>
          <w:tcPr>
            <w:tcW w:w="28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董事、监事、高级管理人员报酬确定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依据</w:t>
            </w:r>
          </w:p>
        </w:tc>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55"/>
              <w:jc w:val="left"/>
              <w:rPr>
                <w:rFonts w:ascii="宋体" w:hAnsi="宋体" w:cs="宋体" w:eastAsia="宋体" w:hint="default"/>
                <w:sz w:val="18"/>
                <w:szCs w:val="18"/>
              </w:rPr>
            </w:pPr>
            <w:r>
              <w:rPr>
                <w:rFonts w:ascii="宋体" w:hAnsi="宋体" w:cs="宋体" w:eastAsia="宋体" w:hint="default"/>
                <w:sz w:val="18"/>
                <w:szCs w:val="18"/>
              </w:rPr>
              <w:t>根据国家有关法律、法规及《公司章程》的有关规定，以及行业及地区的收入水平， 结合公司实际经营和盈利水平，董事、监事、高级管理人员的分工及履行情况确定。</w:t>
            </w:r>
          </w:p>
        </w:tc>
      </w:tr>
      <w:tr>
        <w:trPr>
          <w:trHeight w:val="739" w:hRule="exact"/>
        </w:trPr>
        <w:tc>
          <w:tcPr>
            <w:tcW w:w="28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5"/>
                <w:sz w:val="18"/>
                <w:szCs w:val="18"/>
              </w:rPr>
              <w:t>董事、监事和高级管理人员报酬的实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际支付情况</w:t>
            </w:r>
          </w:p>
        </w:tc>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报告期内，公司已向董事、监事及管理人员全额支付薪酬。</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right="1073"/>
        <w:jc w:val="left"/>
      </w:pPr>
      <w:r>
        <w:rPr/>
        <w:t>公司报告期内董事、监事和高级管理人员报酬情况</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  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  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  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姜瑞明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  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原森民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王邦江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公司董事、监事、高级管理人员报告期内被授予的股权激励情况</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张帆</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经理兼董 事会秘书 兼</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原森民</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鲁丰</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日，公司披露了首期股票期权激励计划（草案</w:t>
            </w:r>
            <w:r>
              <w:rPr>
                <w:rFonts w:ascii="宋体" w:hAnsi="宋体" w:cs="宋体" w:eastAsia="宋体" w:hint="default"/>
                <w:spacing w:val="-90"/>
                <w:sz w:val="18"/>
                <w:szCs w:val="18"/>
              </w:rPr>
              <w:t>）</w:t>
            </w:r>
            <w:r>
              <w:rPr>
                <w:rFonts w:ascii="宋体" w:hAnsi="宋体" w:cs="宋体" w:eastAsia="宋体" w:hint="default"/>
                <w:sz w:val="18"/>
                <w:szCs w:val="18"/>
              </w:rPr>
              <w:t>，向激励对象授予股票期权。上述董</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事、高管被授予部分股票期权，授予日为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日，报告期内未行权。</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五、公司员工情况" w:id="121"/>
      <w:bookmarkEnd w:id="12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员工数量、专业构成及教育程度" w:id="122"/>
      <w:bookmarkEnd w:id="1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编辑运营人员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薪酬政策" w:id="123"/>
      <w:bookmarkEnd w:id="1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2" w:lineRule="auto"/>
        <w:ind w:left="1133" w:right="1169" w:firstLine="480"/>
        <w:jc w:val="both"/>
      </w:pPr>
      <w:r>
        <w:rPr/>
        <w:t>公司奉行</w:t>
      </w:r>
      <w:r>
        <w:rPr>
          <w:rFonts w:ascii="Times New Roman" w:hAnsi="Times New Roman" w:cs="Times New Roman" w:eastAsia="Times New Roman" w:hint="default"/>
        </w:rPr>
        <w:t>“</w:t>
      </w:r>
      <w:r>
        <w:rPr/>
        <w:t>承担社会责任、贯彻股东精神、让员工满意</w:t>
      </w:r>
      <w:r>
        <w:rPr>
          <w:rFonts w:ascii="Times New Roman" w:hAnsi="Times New Roman" w:cs="Times New Roman" w:eastAsia="Times New Roman" w:hint="default"/>
        </w:rPr>
        <w:t>”</w:t>
      </w:r>
      <w:r>
        <w:rPr/>
        <w:t>的企业经营宗旨，制定切合公司 实际且具有一定竞争力的薪酬政策。员工薪酬主要分为基本薪酬和绩效奖金两部分，基本薪 酬部分由岗位价值、职级水平等因素确定，以稳定员工为基本目的；绩效奖金部分以企业年 度经营目标为导向，以个人业绩为依据，体现企业经营价值；除此之外，为达到进一步激励 人才的目的，公司实施了股权激励计划，极大的激励了核心管理者和骨干员工的积极性和创 造性，将企业经营价值和员工进行分享，提高核心员工的满意度。</w:t>
      </w:r>
    </w:p>
    <w:p>
      <w:pPr>
        <w:pStyle w:val="BodyText"/>
        <w:spacing w:line="240" w:lineRule="auto" w:before="197"/>
        <w:ind w:left="1613" w:right="1073"/>
        <w:jc w:val="left"/>
      </w:pPr>
      <w:r>
        <w:rPr/>
        <w:t>非现金收入的薪酬政策，坚持以人为本的原则，除按照国家和地方政策要求，为员工缴</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52"/>
        <w:jc w:val="left"/>
      </w:pPr>
      <w:r>
        <w:rPr/>
        <w:t>纳各项社会保险和住房公积金外，还提供年度体检、节日贺礼、生日贺礼、员工活动等福利 和交通津贴、午餐津贴，在创建和谐团队的同时提高了企业团队凝聚力。</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3、培训计划" w:id="124"/>
      <w:bookmarkEnd w:id="1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1169" w:firstLine="480"/>
        <w:jc w:val="both"/>
      </w:pPr>
      <w:r>
        <w:rPr/>
        <w:t>公司培训与人才发展工作紧密围绕公司人才战略、人力资源规划、年度经营目标开展， 制定年度培训计划并认真落实，培训教育工作取得了新的进展。相继开展了雏鹰培训、青干 班培训、导师计划等一系列人才发展与管理培训课程，进一步增强了公司各类人才的业务知 识和管理能力，保证了人才梯队的建设，为业务发展提供合格的管理人才与专业人才。</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4、劳务外包情况" w:id="125"/>
      <w:bookmarkEnd w:id="12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1114"/>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133" w:right="0"/>
        <w:jc w:val="both"/>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613" w:right="0"/>
        <w:jc w:val="left"/>
      </w:pPr>
      <w:r>
        <w:rPr/>
        <w:t>报告期内</w:t>
      </w:r>
      <w:r>
        <w:rPr>
          <w:spacing w:val="-51"/>
        </w:rPr>
        <w:t>，</w:t>
      </w:r>
      <w:r>
        <w:rPr/>
        <w:t>公司严格按</w:t>
      </w:r>
      <w:r>
        <w:rPr>
          <w:spacing w:val="-51"/>
        </w:rPr>
        <w:t>照</w:t>
      </w:r>
      <w:r>
        <w:rPr/>
        <w:t>《公司法</w:t>
      </w:r>
      <w:r>
        <w:rPr>
          <w:spacing w:val="-120"/>
        </w:rPr>
        <w:t>》</w:t>
      </w:r>
      <w:r>
        <w:rPr>
          <w:spacing w:val="-171"/>
        </w:rPr>
        <w:t>、</w:t>
      </w:r>
      <w:r>
        <w:rPr/>
        <w:t>《证券法</w:t>
      </w:r>
      <w:r>
        <w:rPr>
          <w:spacing w:val="-120"/>
        </w:rPr>
        <w:t>》</w:t>
      </w:r>
      <w:r>
        <w:rPr>
          <w:spacing w:val="-171"/>
        </w:rPr>
        <w:t>、</w:t>
      </w:r>
      <w:r>
        <w:rPr/>
        <w:t>《深圳证券交易所创业板股票上市规则</w:t>
      </w:r>
      <w:r>
        <w:rPr>
          <w:spacing w:val="-120"/>
        </w:rPr>
        <w:t>》</w:t>
      </w:r>
      <w:r>
        <w:rPr/>
        <w:t>、</w:t>
      </w:r>
    </w:p>
    <w:p>
      <w:pPr>
        <w:pStyle w:val="BodyText"/>
        <w:spacing w:line="357" w:lineRule="auto" w:before="154"/>
        <w:ind w:left="1133" w:right="1131"/>
        <w:jc w:val="both"/>
      </w:pPr>
      <w:r>
        <w:rPr/>
        <w:t>《深圳证券交易所创业板上市公司规范运作指引》等相关法律、法规和规范性文件的要求， 不断完善公司治理结构，进一步提高公司治理水平。公司确立了由股东大会、董事会、监事 会和经营管理层组成的公司治理结构，建立健全了股东大会、董事会、监事会、独立董事、 董事会秘书等相关制度。目前，公司在治理方面的各项规章制度配套齐全，主要有《公司章 </w:t>
      </w:r>
      <w:r>
        <w:rPr>
          <w:spacing w:val="-31"/>
        </w:rPr>
        <w:t>程》、《股东大会议事规则》、《董事会议事规则》、《监事会议事规则》、《总经理工作细则》、《独</w:t>
      </w:r>
      <w:r>
        <w:rPr>
          <w:spacing w:val="-99"/>
        </w:rPr>
        <w:t> </w:t>
      </w:r>
      <w:r>
        <w:rPr>
          <w:spacing w:val="-99"/>
        </w:rPr>
      </w:r>
      <w:r>
        <w:rPr>
          <w:spacing w:val="-26"/>
        </w:rPr>
        <w:t>立董事工作细则》、《董事会秘书工作制度》、《信息披露管理办法》、《关联交易管理办法》、《募</w:t>
      </w:r>
      <w:r>
        <w:rPr>
          <w:spacing w:val="-114"/>
        </w:rPr>
        <w:t> </w:t>
      </w:r>
      <w:r>
        <w:rPr>
          <w:spacing w:val="-114"/>
        </w:rPr>
      </w:r>
      <w:r>
        <w:rPr>
          <w:spacing w:val="-17"/>
        </w:rPr>
        <w:t>集资金使用管理制度》、《对外投资管理制度》、《对外担保管理制度》、《内部审计制度》等。</w:t>
      </w:r>
      <w:r>
        <w:rPr>
          <w:spacing w:val="-109"/>
        </w:rPr>
        <w:t> </w:t>
      </w:r>
      <w:r>
        <w:rPr>
          <w:spacing w:val="-109"/>
        </w:rPr>
      </w:r>
      <w:r>
        <w:rPr/>
        <w:t>此外，公司持续深入开展公司治理活动，不断加强信息披露工作，进一步提高了公司规范运 作和治理水平，形成了规范的股东大会、董事会、监事会和经理层的经营决策机制，切实维 护公司及全体股东利益。</w:t>
      </w:r>
    </w:p>
    <w:p>
      <w:pPr>
        <w:pStyle w:val="BodyText"/>
        <w:spacing w:line="240" w:lineRule="auto" w:before="192"/>
        <w:ind w:right="1073"/>
        <w:jc w:val="left"/>
      </w:pPr>
      <w:r>
        <w:rPr/>
        <w:t>（一）关于股东与股东大会</w:t>
      </w:r>
    </w:p>
    <w:p>
      <w:pPr>
        <w:spacing w:line="240" w:lineRule="auto" w:before="9"/>
        <w:rPr>
          <w:rFonts w:ascii="宋体" w:hAnsi="宋体" w:cs="宋体" w:eastAsia="宋体" w:hint="default"/>
          <w:sz w:val="23"/>
          <w:szCs w:val="23"/>
        </w:rPr>
      </w:pPr>
    </w:p>
    <w:p>
      <w:pPr>
        <w:pStyle w:val="BodyText"/>
        <w:spacing w:line="357" w:lineRule="auto"/>
        <w:ind w:left="1134" w:right="995" w:firstLine="480"/>
        <w:jc w:val="left"/>
      </w:pPr>
      <w:r>
        <w:rPr>
          <w:spacing w:val="-20"/>
        </w:rPr>
        <w:t>公司严格按照《公司法》、《上市公司股东大会规则》、《公司章程》、《股东大会议事规则》</w:t>
      </w:r>
      <w:r>
        <w:rPr/>
        <w:t> </w:t>
      </w:r>
      <w:r>
        <w:rPr>
          <w:spacing w:val="-3"/>
        </w:rPr>
        <w:t>等规定和要求，规范地召集、召开股东大会，平等地对待所有股东，使其充分行使股东权利。</w:t>
      </w:r>
      <w:r>
        <w:rPr>
          <w:spacing w:val="-81"/>
        </w:rPr>
        <w:t> </w:t>
      </w:r>
      <w:r>
        <w:rPr>
          <w:spacing w:val="-81"/>
        </w:rPr>
      </w:r>
      <w:r>
        <w:rPr/>
        <w:t>公司股东大会就会议通知所列明的议案依次进行审议，议案审议符合程序，出席股东大会会 议人员的资格合法有效。股东大会设有股东讨论环节，股东可充分表达自己的意见，公司管 理层对于股东的提问、质询也尽量予以解答，以确保中小股东的话语权。召开股东大会时， 公司按相关要求提供网络投票方式为全体股东参与投票表决提供便利。此外，公司聘请律师 见证，保证会议召集、召开和表决程序的合法性，维护了公司和股东的合法权益。</w:t>
      </w:r>
    </w:p>
    <w:p>
      <w:pPr>
        <w:pStyle w:val="BodyText"/>
        <w:spacing w:line="240" w:lineRule="auto" w:before="192"/>
        <w:ind w:left="1613" w:right="1073"/>
        <w:jc w:val="left"/>
      </w:pPr>
      <w:r>
        <w:rPr/>
        <w:t>（二）关于公司与控股股东</w:t>
      </w:r>
    </w:p>
    <w:p>
      <w:pPr>
        <w:spacing w:line="240" w:lineRule="auto" w:before="9"/>
        <w:rPr>
          <w:rFonts w:ascii="宋体" w:hAnsi="宋体" w:cs="宋体" w:eastAsia="宋体" w:hint="default"/>
          <w:sz w:val="23"/>
          <w:szCs w:val="23"/>
        </w:rPr>
      </w:pPr>
    </w:p>
    <w:p>
      <w:pPr>
        <w:pStyle w:val="BodyText"/>
        <w:spacing w:line="357" w:lineRule="auto"/>
        <w:ind w:left="1133" w:right="1169" w:firstLine="480"/>
        <w:jc w:val="both"/>
      </w:pPr>
      <w:r>
        <w:rPr/>
        <w:t>公司的控股股东、实际控制人为童之磊先生。控股股东能依据法律、法规及公司的规章 管理制度行使权力，并承担相应的义务，履行相关承诺。不存在控股股东利用其控股地位侵 害其他股东利益的行为，也没有超越股东大会或董事会直接或间接干预公司的决策和经营活 动，不存在控股股东非经营性占用公司资金以及公司为控股股东提供担保的情形。</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（三）关于董事与董事会</w:t>
      </w:r>
    </w:p>
    <w:p>
      <w:pPr>
        <w:spacing w:line="240" w:lineRule="auto" w:before="9"/>
        <w:rPr>
          <w:rFonts w:ascii="宋体" w:hAnsi="宋体" w:cs="宋体" w:eastAsia="宋体" w:hint="default"/>
          <w:sz w:val="23"/>
          <w:szCs w:val="23"/>
        </w:rPr>
      </w:pPr>
    </w:p>
    <w:p>
      <w:pPr>
        <w:pStyle w:val="BodyText"/>
        <w:spacing w:line="345" w:lineRule="auto"/>
        <w:ind w:left="1133" w:right="1130" w:firstLine="480"/>
        <w:jc w:val="both"/>
      </w:pPr>
      <w:r>
        <w:rPr/>
        <w:t>公司董事会成员共</w:t>
      </w:r>
      <w:r>
        <w:rPr>
          <w:spacing w:val="-60"/>
        </w:rPr>
        <w:t> </w:t>
      </w:r>
      <w:r>
        <w:rPr>
          <w:rFonts w:ascii="Times New Roman" w:hAnsi="Times New Roman" w:cs="Times New Roman" w:eastAsia="Times New Roman" w:hint="default"/>
        </w:rPr>
        <w:t>7 </w:t>
      </w:r>
      <w:r>
        <w:rPr/>
        <w:t>人，其中独立董事</w:t>
      </w:r>
      <w:r>
        <w:rPr>
          <w:spacing w:val="-60"/>
        </w:rPr>
        <w:t> </w:t>
      </w:r>
      <w:r>
        <w:rPr>
          <w:rFonts w:ascii="Times New Roman" w:hAnsi="Times New Roman" w:cs="Times New Roman" w:eastAsia="Times New Roman" w:hint="default"/>
        </w:rPr>
        <w:t>3 </w:t>
      </w:r>
      <w:r>
        <w:rPr/>
        <w:t>人，占全体董事的三分之一以上，均由股东大 会选举产生，由公司高级管理人员担任的董事不超过董事总数的</w:t>
      </w:r>
      <w:r>
        <w:rPr>
          <w:spacing w:val="-89"/>
        </w:rPr>
        <w:t> </w:t>
      </w:r>
      <w:r>
        <w:rPr>
          <w:rFonts w:ascii="Times New Roman" w:hAnsi="Times New Roman" w:cs="Times New Roman" w:eastAsia="Times New Roman" w:hint="default"/>
          <w:spacing w:val="-4"/>
        </w:rPr>
        <w:t>1/3</w:t>
      </w:r>
      <w:r>
        <w:rPr>
          <w:spacing w:val="-4"/>
        </w:rPr>
        <w:t>，董事会的人数及人员构</w:t>
      </w:r>
      <w:r>
        <w:rPr/>
        <w:t> 成符合法律、法规和《公司章程》的有关规定。公司全体董事的任职资格和任免均按照《公 </w:t>
      </w:r>
      <w:r>
        <w:rPr>
          <w:spacing w:val="-8"/>
        </w:rPr>
        <w:t>司法》、《创业板上市规则》及《公司章程》等规定执行，符合法定程序。</w:t>
      </w:r>
    </w:p>
    <w:p>
      <w:pPr>
        <w:pStyle w:val="BodyText"/>
        <w:spacing w:line="357" w:lineRule="auto" w:before="204"/>
        <w:ind w:left="1133" w:right="995" w:firstLine="480"/>
        <w:jc w:val="left"/>
      </w:pPr>
      <w:r>
        <w:rPr>
          <w:spacing w:val="-3"/>
        </w:rPr>
        <w:t>全体董事诚实守信、勤勉尽责，积极出席董事会和股东大会，认真审议各项董事会议案，</w:t>
      </w:r>
      <w:r>
        <w:rPr/>
        <w:t> 忠诚于公司和全体股东的利益，保护中小股东的合法权益不受侵害。同时，独立董事以其所 具备的丰富的专业知识和勤勉尽责的职业道德在董事会制定公司发展战略、发展计划和进行 生产经营决策等方面发挥了重要的作用，有力地保障了董事会决策的科学性和公正性。</w:t>
      </w:r>
    </w:p>
    <w:p>
      <w:pPr>
        <w:pStyle w:val="BodyText"/>
        <w:spacing w:line="240" w:lineRule="auto" w:before="192"/>
        <w:ind w:left="1613" w:right="1073"/>
        <w:jc w:val="left"/>
      </w:pPr>
      <w:r>
        <w:rPr/>
        <w:t>（四）关于监事与监事会</w:t>
      </w:r>
    </w:p>
    <w:p>
      <w:pPr>
        <w:spacing w:line="240" w:lineRule="auto" w:before="9"/>
        <w:rPr>
          <w:rFonts w:ascii="宋体" w:hAnsi="宋体" w:cs="宋体" w:eastAsia="宋体" w:hint="default"/>
          <w:sz w:val="23"/>
          <w:szCs w:val="23"/>
        </w:rPr>
      </w:pPr>
    </w:p>
    <w:p>
      <w:pPr>
        <w:pStyle w:val="BodyText"/>
        <w:spacing w:line="348" w:lineRule="auto"/>
        <w:ind w:left="1133" w:right="1132" w:firstLine="480"/>
        <w:jc w:val="both"/>
      </w:pPr>
      <w:r>
        <w:rPr/>
        <w:t>公司监事会成员共</w:t>
      </w:r>
      <w:r>
        <w:rPr>
          <w:spacing w:val="-60"/>
        </w:rPr>
        <w:t> </w:t>
      </w:r>
      <w:r>
        <w:rPr>
          <w:rFonts w:ascii="Times New Roman" w:hAnsi="Times New Roman" w:cs="Times New Roman" w:eastAsia="Times New Roman" w:hint="default"/>
        </w:rPr>
        <w:t>3 </w:t>
      </w:r>
      <w:r>
        <w:rPr/>
        <w:t>人，其中职工代表监事</w:t>
      </w:r>
      <w:r>
        <w:rPr>
          <w:spacing w:val="-60"/>
        </w:rPr>
        <w:t> </w:t>
      </w:r>
      <w:r>
        <w:rPr>
          <w:rFonts w:ascii="Times New Roman" w:hAnsi="Times New Roman" w:cs="Times New Roman" w:eastAsia="Times New Roman" w:hint="default"/>
        </w:rPr>
        <w:t>1 </w:t>
      </w:r>
      <w:r>
        <w:rPr/>
        <w:t>人，股东代表监事</w:t>
      </w:r>
      <w:r>
        <w:rPr>
          <w:spacing w:val="-60"/>
        </w:rPr>
        <w:t> </w:t>
      </w:r>
      <w:r>
        <w:rPr>
          <w:rFonts w:ascii="Times New Roman" w:hAnsi="Times New Roman" w:cs="Times New Roman" w:eastAsia="Times New Roman" w:hint="default"/>
        </w:rPr>
        <w:t>2 </w:t>
      </w:r>
      <w:r>
        <w:rPr/>
        <w:t>人。监事会的人数及 </w:t>
      </w:r>
      <w:r>
        <w:rPr>
          <w:spacing w:val="-5"/>
        </w:rPr>
        <w:t>人员构成符合法律、法规和《公司章程》的要求。公司全体监事的任职资格和任免均按照《公</w:t>
      </w:r>
      <w:r>
        <w:rPr/>
        <w:t> </w:t>
      </w:r>
      <w:r>
        <w:rPr>
          <w:spacing w:val="-11"/>
        </w:rPr>
        <w:t>司法》、《公司章程》等规定执行，符合法定程序。</w:t>
      </w:r>
    </w:p>
    <w:p>
      <w:pPr>
        <w:pStyle w:val="BodyText"/>
        <w:spacing w:line="357" w:lineRule="auto" w:before="202"/>
        <w:ind w:left="1133" w:right="995" w:firstLine="480"/>
        <w:jc w:val="left"/>
      </w:pPr>
      <w:r>
        <w:rPr>
          <w:spacing w:val="-3"/>
        </w:rPr>
        <w:t>公司监事能够按照《监事会议事规则》的规定，认真履行自己的职责，对公司重大事项、</w:t>
      </w:r>
      <w:r>
        <w:rPr/>
        <w:t> 财务状况、董事和高级管理人员的履职情况等进行有效监督并发表意见。</w:t>
      </w:r>
    </w:p>
    <w:p>
      <w:pPr>
        <w:pStyle w:val="BodyText"/>
        <w:spacing w:line="240" w:lineRule="auto" w:before="192"/>
        <w:ind w:left="1613" w:right="1073"/>
        <w:jc w:val="left"/>
      </w:pPr>
      <w:r>
        <w:rPr/>
        <w:t>（五）关于经理层</w:t>
      </w:r>
    </w:p>
    <w:p>
      <w:pPr>
        <w:spacing w:line="240" w:lineRule="auto" w:before="9"/>
        <w:rPr>
          <w:rFonts w:ascii="宋体" w:hAnsi="宋体" w:cs="宋体" w:eastAsia="宋体" w:hint="default"/>
          <w:sz w:val="23"/>
          <w:szCs w:val="23"/>
        </w:rPr>
      </w:pPr>
    </w:p>
    <w:p>
      <w:pPr>
        <w:pStyle w:val="BodyText"/>
        <w:spacing w:line="357" w:lineRule="auto"/>
        <w:ind w:left="1133" w:right="1169" w:firstLine="480"/>
        <w:jc w:val="both"/>
      </w:pPr>
      <w:r>
        <w:rPr/>
        <w:t>公司《总经理工作细则》明确了总经理的权利和义务。公司经理层在任期内严格按照相 关规则行使职权，并对公司日常生产经营实施有效控制。公司经理层没有越权行使职权的行 为，董事会和监事会能对公司经理层实施有效的监督和制约。公司总经理等高级管理人员忠 实履行职务，能够维护公司和全体股东的利益，目前未发生过因未能忠实履行职务，违背诚 信义务，侵害公司和股东利益的行为。</w:t>
      </w:r>
    </w:p>
    <w:p>
      <w:pPr>
        <w:pStyle w:val="BodyText"/>
        <w:spacing w:line="240" w:lineRule="auto" w:before="192"/>
        <w:ind w:left="1613" w:right="1073"/>
        <w:jc w:val="left"/>
      </w:pPr>
      <w:r>
        <w:rPr/>
        <w:t>（六）关于公司内部控制</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目前，已经纳入公司内控范畴的领域有公司治理结构、组织机构、人力资源管理、内部 审计机构、资金的内部控制、销售与收款、采购与付款、资产管理、对控股子公司的控制、 关联交易的内部控制、对外担保的内部控制、对外投资的内部控制、对募集资金的控制、对 信息披露的内部控制等。内控制度得到了有效执行，相关风险得到有效控制。</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451" w:lineRule="auto" w:before="26"/>
        <w:ind w:left="1613" w:right="1153"/>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信息披露与透明度</w:t>
      </w:r>
      <w:r>
        <w:rPr>
          <w:w w:val="99"/>
        </w:rPr>
        <w:t> </w:t>
      </w:r>
      <w:r>
        <w:rPr/>
        <w:t>公司严格按照有关法律法规之规定，加强信息披露事务管理，履行信息披露义务，并指</w:t>
      </w:r>
    </w:p>
    <w:p>
      <w:pPr>
        <w:pStyle w:val="BodyText"/>
        <w:spacing w:line="257" w:lineRule="exact"/>
        <w:ind w:left="1133" w:right="0"/>
        <w:jc w:val="both"/>
      </w:pPr>
      <w:r>
        <w:rPr/>
        <w:t>定巨潮资讯网为公司信息披露的网站和《中国证券报</w:t>
      </w:r>
      <w:r>
        <w:rPr>
          <w:spacing w:val="-120"/>
        </w:rPr>
        <w:t>》、</w:t>
      </w:r>
      <w:r>
        <w:rPr/>
        <w:t>《上海证券报</w:t>
      </w:r>
      <w:r>
        <w:rPr>
          <w:spacing w:val="-120"/>
        </w:rPr>
        <w:t>》、</w:t>
      </w:r>
      <w:r>
        <w:rPr/>
        <w:t>《证券时报</w:t>
      </w:r>
      <w:r>
        <w:rPr>
          <w:spacing w:val="-120"/>
        </w:rPr>
        <w:t>》、</w:t>
      </w:r>
      <w:r>
        <w:rPr/>
        <w:t>《证券</w:t>
      </w:r>
    </w:p>
    <w:p>
      <w:pPr>
        <w:pStyle w:val="BodyText"/>
        <w:spacing w:line="357" w:lineRule="auto" w:before="154"/>
        <w:ind w:left="1133" w:right="1169"/>
        <w:jc w:val="both"/>
      </w:pPr>
      <w:r>
        <w:rPr/>
        <w:t>日报》作为公司信息披露的报纸，真实、准确、及时、完整地披露信息，确保所有投资者公 </w:t>
      </w:r>
      <w:r>
        <w:rPr>
          <w:spacing w:val="-6"/>
        </w:rPr>
        <w:t>平获取公司信息。公司按照《投资者关系管理制度》、《信息披露管理制度》的要求，加强与</w:t>
      </w:r>
      <w:r>
        <w:rPr>
          <w:spacing w:val="-114"/>
        </w:rPr>
        <w:t> </w:t>
      </w:r>
      <w:r>
        <w:rPr>
          <w:spacing w:val="-114"/>
        </w:rPr>
      </w:r>
      <w:r>
        <w:rPr/>
        <w:t>投资者的沟通，促进投资者对公司的了解和认同。</w:t>
      </w:r>
    </w:p>
    <w:p>
      <w:pPr>
        <w:pStyle w:val="BodyText"/>
        <w:spacing w:line="240" w:lineRule="auto" w:before="192"/>
        <w:ind w:right="1073"/>
        <w:jc w:val="left"/>
      </w:pPr>
      <w:r>
        <w:rPr/>
        <w:t>（八）关于公司独立性</w:t>
      </w:r>
    </w:p>
    <w:p>
      <w:pPr>
        <w:spacing w:line="240" w:lineRule="auto" w:before="9"/>
        <w:rPr>
          <w:rFonts w:ascii="宋体" w:hAnsi="宋体" w:cs="宋体" w:eastAsia="宋体" w:hint="default"/>
          <w:sz w:val="23"/>
          <w:szCs w:val="23"/>
        </w:rPr>
      </w:pPr>
    </w:p>
    <w:p>
      <w:pPr>
        <w:pStyle w:val="BodyText"/>
        <w:spacing w:line="357" w:lineRule="auto"/>
        <w:ind w:left="1134" w:right="1169" w:firstLine="480"/>
        <w:jc w:val="both"/>
      </w:pPr>
      <w:r>
        <w:rPr/>
        <w:t>公司严格按照《公司法》和《公司章程》的有关规定规范运作，建立了健全的公司法人 治理结构，在资产、人员、财务、机构、业务等方面均独立于控股股东、实际控制人控制及 其施加重大影响的其他企业，公司具有完整的业务体系及面向市场独立经营的能力。公司控 股股东严格规范自己的行为，没有超越股东大会直接或间接干预公司的决策和经营活动，不 存在同业竞争的情况，亦不存在控股股东及其它关联方非经营性占用公司资金的情况。</w:t>
      </w:r>
    </w:p>
    <w:p>
      <w:pPr>
        <w:pStyle w:val="BodyText"/>
        <w:spacing w:line="240" w:lineRule="auto" w:before="192"/>
        <w:ind w:left="1613" w:right="1073"/>
        <w:jc w:val="left"/>
      </w:pPr>
      <w:r>
        <w:rPr/>
        <w:t>（九）公司透明情况</w:t>
      </w:r>
    </w:p>
    <w:p>
      <w:pPr>
        <w:spacing w:line="240" w:lineRule="auto" w:before="9"/>
        <w:rPr>
          <w:rFonts w:ascii="宋体" w:hAnsi="宋体" w:cs="宋体" w:eastAsia="宋体" w:hint="default"/>
          <w:sz w:val="23"/>
          <w:szCs w:val="23"/>
        </w:rPr>
      </w:pPr>
    </w:p>
    <w:p>
      <w:pPr>
        <w:pStyle w:val="BodyText"/>
        <w:spacing w:line="357" w:lineRule="auto"/>
        <w:ind w:left="1133" w:right="995" w:firstLine="480"/>
        <w:jc w:val="left"/>
      </w:pPr>
      <w:r>
        <w:rPr>
          <w:spacing w:val="-4"/>
        </w:rPr>
        <w:t>公司严格按照有关法律法规、《公司章程》和公司《信息披露管理制度》的要求，真实、</w:t>
      </w:r>
      <w:r>
        <w:rPr/>
        <w:t> </w:t>
      </w:r>
      <w:r>
        <w:rPr>
          <w:spacing w:val="-3"/>
        </w:rPr>
        <w:t>准确、完整、及时、公平地披露有关信息和向中国证监会北京证监局、深交所报告有关情况。</w:t>
      </w:r>
      <w:r>
        <w:rPr>
          <w:spacing w:val="-81"/>
        </w:rPr>
        <w:t> </w:t>
      </w:r>
      <w:r>
        <w:rPr>
          <w:spacing w:val="-81"/>
        </w:rPr>
      </w:r>
      <w:r>
        <w:rPr/>
        <w:t>公司指定董事会秘书负责信息披露、接待投资者来访和投资咨询，公司证券投资部设有专线</w:t>
      </w:r>
      <w:r>
        <w:rPr/>
        <w:t> 电话，公司网站设立了投资者关系专栏，并通过电子信箱、传真、投资者关系互动平台等多 种方式，确保与广大中小投资者进行无障碍地有效沟通。公司所有需披露的信息均在中国证 监会指定的创业板信息披露网站上全面披露，确保所有股东均有平等机会获取公司信息。</w:t>
      </w:r>
    </w:p>
    <w:p>
      <w:pPr>
        <w:pStyle w:val="BodyText"/>
        <w:spacing w:line="357" w:lineRule="auto" w:before="192"/>
        <w:ind w:left="1133" w:right="1153" w:firstLine="480"/>
        <w:jc w:val="left"/>
      </w:pPr>
      <w:r>
        <w:rPr/>
        <w:t>公司治理的实际状况与中国证监会发布的有关上市公司治理的规范性文件是否存在重大 差异</w:t>
      </w:r>
    </w:p>
    <w:p>
      <w:pPr>
        <w:pStyle w:val="BodyText"/>
        <w:spacing w:line="451" w:lineRule="auto" w:before="192"/>
        <w:ind w:right="1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公司治理的实际状况与中国证监会发布的有关上市公司治理的规范性文件不存在重大差</w:t>
      </w:r>
    </w:p>
    <w:p>
      <w:pPr>
        <w:pStyle w:val="BodyText"/>
        <w:spacing w:line="257" w:lineRule="exact"/>
        <w:ind w:left="1134" w:right="0"/>
        <w:jc w:val="both"/>
      </w:pPr>
      <w:r>
        <w:rPr/>
        <w:t>异。</w:t>
      </w:r>
    </w:p>
    <w:p>
      <w:pPr>
        <w:spacing w:line="240" w:lineRule="auto" w:before="11"/>
        <w:rPr>
          <w:rFonts w:ascii="宋体" w:hAnsi="宋体" w:cs="宋体" w:eastAsia="宋体" w:hint="default"/>
          <w:sz w:val="28"/>
          <w:szCs w:val="28"/>
        </w:rPr>
      </w:pPr>
    </w:p>
    <w:p>
      <w:pPr>
        <w:spacing w:line="528" w:lineRule="auto" w:before="0"/>
        <w:ind w:left="1613" w:right="1073" w:hanging="480"/>
        <w:jc w:val="left"/>
        <w:rPr>
          <w:rFonts w:ascii="宋体" w:hAnsi="宋体" w:cs="宋体" w:eastAsia="宋体" w:hint="default"/>
          <w:sz w:val="24"/>
          <w:szCs w:val="24"/>
        </w:rPr>
      </w:pPr>
      <w:bookmarkStart w:name="二、公司相对于控股股东在业务、人员、资产、机构、财务等方面的独立情况" w:id="129"/>
      <w:bookmarkEnd w:id="129"/>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公司严格按照《公司法》、《证券法》等有关法律法规和《公司章程》的要求规范运作，</w:t>
      </w:r>
    </w:p>
    <w:p>
      <w:pPr>
        <w:spacing w:after="0" w:line="528" w:lineRule="auto"/>
        <w:jc w:val="left"/>
        <w:rPr>
          <w:rFonts w:ascii="宋体" w:hAnsi="宋体" w:cs="宋体" w:eastAsia="宋体" w:hint="default"/>
          <w:sz w:val="24"/>
          <w:szCs w:val="24"/>
        </w:rPr>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3" w:right="995"/>
        <w:jc w:val="left"/>
      </w:pPr>
      <w:r>
        <w:rPr/>
        <w:t>与控股股东在业务、人员、资产、机构、财务等方面保持独立，具有独立完整的业务及自主 </w:t>
      </w:r>
      <w:r>
        <w:rPr>
          <w:spacing w:val="-3"/>
        </w:rPr>
        <w:t>经营能力。公司所有的生产经营或重大事项均根据《公司章程》及相关制度的规定由经理层、</w:t>
      </w:r>
      <w:r>
        <w:rPr>
          <w:spacing w:val="-81"/>
        </w:rPr>
        <w:t> </w:t>
      </w:r>
      <w:r>
        <w:rPr>
          <w:spacing w:val="-81"/>
        </w:rPr>
      </w:r>
      <w:r>
        <w:rPr/>
        <w:t>董事会、股东大会讨论确定，不存在受控于控股股东、实际控制人的情形。</w:t>
      </w:r>
    </w:p>
    <w:p>
      <w:pPr>
        <w:spacing w:line="240" w:lineRule="auto" w:before="11"/>
        <w:rPr>
          <w:rFonts w:ascii="宋体" w:hAnsi="宋体" w:cs="宋体" w:eastAsia="宋体" w:hint="default"/>
          <w:sz w:val="19"/>
          <w:szCs w:val="19"/>
        </w:rPr>
      </w:pPr>
    </w:p>
    <w:p>
      <w:pPr>
        <w:pStyle w:val="Heading2"/>
        <w:spacing w:line="240" w:lineRule="auto" w:before="0"/>
        <w:ind w:left="1133" w:right="1073"/>
        <w:jc w:val="left"/>
        <w:rPr>
          <w:b w:val="0"/>
          <w:bCs w:val="0"/>
        </w:rPr>
      </w:pPr>
      <w:bookmarkStart w:name="三、同业竞争情况" w:id="130"/>
      <w:bookmarkEnd w:id="130"/>
      <w:r>
        <w:rPr>
          <w:b w:val="0"/>
          <w:bCs w:val="0"/>
        </w:rPr>
      </w:r>
      <w:r>
        <w:rPr/>
        <w:t>三、同业竞争情况</w:t>
      </w:r>
      <w:r>
        <w:rPr>
          <w:b w:val="0"/>
          <w:bCs w:val="0"/>
        </w:rPr>
      </w:r>
    </w:p>
    <w:p>
      <w:pPr>
        <w:spacing w:line="240" w:lineRule="auto" w:before="10"/>
        <w:rPr>
          <w:rFonts w:ascii="宋体" w:hAnsi="宋体" w:cs="宋体" w:eastAsia="宋体" w:hint="default"/>
          <w:b/>
          <w:bCs/>
          <w:sz w:val="28"/>
          <w:szCs w:val="28"/>
        </w:rPr>
      </w:pPr>
    </w:p>
    <w:p>
      <w:pPr>
        <w:spacing w:line="491" w:lineRule="auto" w:before="0"/>
        <w:ind w:left="1134" w:right="3713"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报告期内召开的年度股东大会和临时股东大会的有关情况" w:id="131"/>
      <w:bookmarkEnd w:id="131"/>
      <w:r>
        <w:rPr>
          <w:rFonts w:ascii="宋体" w:hAnsi="宋体" w:cs="宋体" w:eastAsia="宋体" w:hint="default"/>
          <w:sz w:val="24"/>
          <w:szCs w:val="24"/>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2"/>
      <w:bookmarkEnd w:id="132"/>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101" w:type="dxa"/>
        <w:tblLayout w:type="fixed"/>
        <w:tblCellMar>
          <w:top w:w="0" w:type="dxa"/>
          <w:left w:w="0" w:type="dxa"/>
          <w:bottom w:w="0" w:type="dxa"/>
          <w:right w:w="0" w:type="dxa"/>
        </w:tblCellMar>
        <w:tblLook w:val="01E0"/>
      </w:tblPr>
      <w:tblGrid>
        <w:gridCol w:w="1708"/>
        <w:gridCol w:w="852"/>
        <w:gridCol w:w="1066"/>
        <w:gridCol w:w="1186"/>
        <w:gridCol w:w="1186"/>
        <w:gridCol w:w="3698"/>
      </w:tblGrid>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77"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年第一次临时股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年第一次临时股东大会决议公告（公告编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2015-015</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 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年年度股东大会决议公告（公告编号：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2015-034</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2015-042</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年第三次临时股东大会决议公告（公告编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2015-050</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年第四次临时股东大会决议公告（公告编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2015-079</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年第五次临时股东大会决议公告（公告编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2015-091</w:t>
            </w:r>
            <w:r>
              <w:rPr>
                <w:rFonts w:ascii="宋体" w:hAnsi="宋体" w:cs="宋体" w:eastAsia="宋体" w:hint="default"/>
                <w:sz w:val="18"/>
                <w:szCs w:val="18"/>
              </w:rPr>
              <w:t>）</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年第六次临时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年第六次临时股东大会决议公告（公告编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2015-107</w:t>
            </w:r>
            <w:r>
              <w:rPr>
                <w:rFonts w:ascii="宋体" w:hAnsi="宋体" w:cs="宋体" w:eastAsia="宋体" w:hint="default"/>
                <w:sz w:val="18"/>
                <w:szCs w:val="18"/>
              </w:rPr>
              <w:t>）</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年第七次临时 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年第七次临时股东大会决议公告（公告编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2015-121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表决权恢复的优先股股东请求召开临时股东大会"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独立董事出席董事会及股东大会的情况" w:id="135"/>
      <w:bookmarkEnd w:id="1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13"/>
        <w:gridCol w:w="1336"/>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9"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姜瑞明</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独立董事对公司有关事项提出异议的情况" w:id="136"/>
      <w:bookmarkEnd w:id="1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t>独立董事对公司有关事项是否提出异议</w:t>
      </w:r>
    </w:p>
    <w:p>
      <w:pPr>
        <w:spacing w:line="240" w:lineRule="auto" w:before="9"/>
        <w:rPr>
          <w:rFonts w:ascii="宋体" w:hAnsi="宋体" w:cs="宋体" w:eastAsia="宋体" w:hint="default"/>
          <w:sz w:val="23"/>
          <w:szCs w:val="23"/>
        </w:rPr>
      </w:pPr>
    </w:p>
    <w:p>
      <w:pPr>
        <w:pStyle w:val="BodyText"/>
        <w:spacing w:line="451" w:lineRule="auto"/>
        <w:ind w:right="52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before="189"/>
        <w:ind w:left="1133" w:right="1073" w:firstLine="0"/>
        <w:jc w:val="left"/>
        <w:rPr>
          <w:rFonts w:ascii="宋体" w:hAnsi="宋体" w:cs="宋体" w:eastAsia="宋体" w:hint="default"/>
          <w:sz w:val="21"/>
          <w:szCs w:val="21"/>
        </w:rPr>
      </w:pPr>
      <w:bookmarkStart w:name="3、独立董事履行职责的其他说明" w:id="137"/>
      <w:bookmarkEnd w:id="1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独立董事对公司有关建议是否被采纳</w:t>
      </w:r>
    </w:p>
    <w:p>
      <w:pPr>
        <w:spacing w:line="240" w:lineRule="auto" w:before="9"/>
        <w:rPr>
          <w:rFonts w:ascii="宋体" w:hAnsi="宋体" w:cs="宋体" w:eastAsia="宋体" w:hint="default"/>
          <w:sz w:val="23"/>
          <w:szCs w:val="23"/>
        </w:rPr>
      </w:pPr>
    </w:p>
    <w:p>
      <w:pPr>
        <w:pStyle w:val="BodyText"/>
        <w:spacing w:line="451" w:lineRule="auto"/>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BodyText"/>
        <w:spacing w:line="357" w:lineRule="auto" w:before="98"/>
        <w:ind w:left="1133" w:right="995" w:firstLine="480"/>
        <w:jc w:val="left"/>
      </w:pPr>
      <w:r>
        <w:rPr>
          <w:spacing w:val="-7"/>
        </w:rPr>
        <w:t>公司独立董事何庆源先生、陈晓先生和姜瑞明先生能够严格按照《公司章程》、《独立董</w:t>
      </w:r>
      <w:r>
        <w:rPr/>
        <w:t> 事工作制度》等的规定，本着对公司、股东负责的态度，忠实、勤勉地履行职责，按时出席 相关会议，认真审议各项议案，客观地发表自己的看法及观点，积极深入公司及控股子公司 </w:t>
      </w:r>
      <w:r>
        <w:rPr>
          <w:spacing w:val="-2"/>
        </w:rPr>
        <w:t>现场调研，了解公司生产经营状况和内部控制的建设及董事会决议、股东会决议的执行情况，</w:t>
      </w:r>
      <w:r>
        <w:rPr/>
        <w:t> 并利用自己的专业知识做出独立、公正的判断。在报告期内，对公司年报事项、股权激励事 项、募集资金存放于使用事项、关联交易事项、非公开发行等事项进行审核并出具了独立董 事意见，有效保证了公司董事会决策的公正性和客观性，维护了公司整体利益和广大中小股 东的合法权益，为公司的规范运作和健康发展发挥了积极作用。</w:t>
      </w:r>
    </w:p>
    <w:p>
      <w:pPr>
        <w:spacing w:after="0" w:line="357" w:lineRule="auto"/>
        <w:jc w:val="left"/>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0"/>
        <w:jc w:val="both"/>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28"/>
          <w:szCs w:val="28"/>
        </w:rPr>
      </w:pPr>
    </w:p>
    <w:p>
      <w:pPr>
        <w:pStyle w:val="BodyText"/>
        <w:spacing w:line="352" w:lineRule="auto"/>
        <w:ind w:left="1133" w:right="1131" w:firstLine="480"/>
        <w:jc w:val="both"/>
      </w:pPr>
      <w:r>
        <w:rPr/>
        <w:t>公司董事会下设四个专门委员会，分别为审计委员会、薪酬与考核委员会、提名委员会 及战略委员会。</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年各专门委员会本着勤勉尽责的原则，按照有关法律法规、规范性文件 及公司各专门委员会工作细则的有关规定开展相关工作。四个专门委员会自成立起一直按照 相应的议事规则运作，在公司内部审计、人才选拔、薪酬与考核等各个方面发挥着积极的作 用。</w:t>
      </w:r>
    </w:p>
    <w:p>
      <w:pPr>
        <w:pStyle w:val="BodyText"/>
        <w:spacing w:line="451" w:lineRule="auto" w:before="197"/>
        <w:ind w:left="1613" w:right="1153"/>
        <w:jc w:val="left"/>
      </w:pPr>
      <w:r>
        <w:rPr>
          <w:rFonts w:ascii="Times New Roman" w:hAnsi="Times New Roman" w:cs="Times New Roman" w:eastAsia="Times New Roman" w:hint="default"/>
        </w:rPr>
        <w:t>1</w:t>
      </w:r>
      <w:r>
        <w:rPr/>
        <w:t>、审计委员会的履职情况 </w:t>
      </w:r>
      <w:r>
        <w:rPr>
          <w:spacing w:val="-12"/>
        </w:rPr>
        <w:t>审计委员会根据《公司法》、《证券法》、《公司章程》等有关规定，积极履行职责。报告</w:t>
      </w:r>
    </w:p>
    <w:p>
      <w:pPr>
        <w:pStyle w:val="BodyText"/>
        <w:spacing w:line="257" w:lineRule="exact"/>
        <w:ind w:left="1133" w:right="0"/>
        <w:jc w:val="both"/>
      </w:pPr>
      <w:r>
        <w:rPr/>
        <w:t>期内，审计委员会审查了公司内部控制制度及执行情况，审核了公司所有重要的会计政策，</w:t>
      </w:r>
    </w:p>
    <w:p>
      <w:pPr>
        <w:pStyle w:val="BodyText"/>
        <w:spacing w:line="350" w:lineRule="auto" w:before="154"/>
        <w:ind w:left="1133" w:right="1011"/>
        <w:jc w:val="both"/>
      </w:pPr>
      <w:r>
        <w:rPr/>
        <w:t>定期了解公司财务状况和经营情况，督促和指导内审部门对公司财务管理运行情况进行定期 和不定期的检查和评估，委员会认为公司内控制度体系符合法律、法规及《公司章程》的要 求，适应当前公司生产经营实际情况的需要，并能够得到有效的执行。同时，审计委员会还 </w:t>
      </w:r>
      <w:r>
        <w:rPr>
          <w:spacing w:val="-6"/>
        </w:rPr>
        <w:t>就下列事项展开工作：（</w:t>
      </w:r>
      <w:r>
        <w:rPr>
          <w:rFonts w:ascii="Times New Roman" w:hAnsi="Times New Roman" w:cs="Times New Roman" w:eastAsia="Times New Roman" w:hint="default"/>
          <w:spacing w:val="-6"/>
        </w:rPr>
        <w:t>1</w:t>
      </w:r>
      <w:r>
        <w:rPr>
          <w:spacing w:val="-6"/>
        </w:rPr>
        <w:t>）与会计师事务所就年度审计报告编制进行沟通与交流；（</w:t>
      </w:r>
      <w:r>
        <w:rPr>
          <w:rFonts w:ascii="Times New Roman" w:hAnsi="Times New Roman" w:cs="Times New Roman" w:eastAsia="Times New Roman" w:hint="default"/>
          <w:spacing w:val="-6"/>
        </w:rPr>
        <w:t>2</w:t>
      </w:r>
      <w:r>
        <w:rPr>
          <w:spacing w:val="-6"/>
        </w:rPr>
        <w:t>）与公</w:t>
      </w:r>
      <w:r>
        <w:rPr>
          <w:spacing w:val="-108"/>
        </w:rPr>
        <w:t> </w:t>
      </w:r>
      <w:r>
        <w:rPr>
          <w:spacing w:val="-3"/>
        </w:rPr>
        <w:t>司审计部就公司的内部控制制度的完善与执行保持沟通；（</w:t>
      </w:r>
      <w:r>
        <w:rPr>
          <w:rFonts w:ascii="Times New Roman" w:hAnsi="Times New Roman" w:cs="Times New Roman" w:eastAsia="Times New Roman" w:hint="default"/>
          <w:spacing w:val="-3"/>
        </w:rPr>
        <w:t>3</w:t>
      </w:r>
      <w:r>
        <w:rPr>
          <w:spacing w:val="-3"/>
        </w:rPr>
        <w:t>）审议公司内审部门提交的季度</w:t>
      </w:r>
      <w:r>
        <w:rPr>
          <w:spacing w:val="-117"/>
        </w:rPr>
        <w:t> </w:t>
      </w:r>
      <w:r>
        <w:rPr>
          <w:spacing w:val="-5"/>
        </w:rPr>
        <w:t>工作报告，年度工作计划；（</w:t>
      </w:r>
      <w:r>
        <w:rPr>
          <w:rFonts w:ascii="Times New Roman" w:hAnsi="Times New Roman" w:cs="Times New Roman" w:eastAsia="Times New Roman" w:hint="default"/>
          <w:spacing w:val="-5"/>
        </w:rPr>
        <w:t>4</w:t>
      </w:r>
      <w:r>
        <w:rPr>
          <w:spacing w:val="-5"/>
        </w:rPr>
        <w:t>）对会计师事务所的工作进行评价，并向董事会提出续聘建议。</w:t>
      </w:r>
    </w:p>
    <w:p>
      <w:pPr>
        <w:pStyle w:val="BodyText"/>
        <w:spacing w:line="451" w:lineRule="auto" w:before="169"/>
        <w:ind w:right="1152"/>
        <w:jc w:val="left"/>
      </w:pPr>
      <w:r>
        <w:rPr>
          <w:rFonts w:ascii="Times New Roman" w:hAnsi="Times New Roman" w:cs="Times New Roman" w:eastAsia="Times New Roman" w:hint="default"/>
        </w:rPr>
        <w:t>2</w:t>
      </w:r>
      <w:r>
        <w:rPr/>
        <w:t>、薪酬与考核委员会的履职情况 薪酬与考核委员会对公司董事和高级管理人员的薪酬情况进行了审核，认为其薪酬标准</w:t>
      </w:r>
    </w:p>
    <w:p>
      <w:pPr>
        <w:pStyle w:val="BodyText"/>
        <w:spacing w:line="257" w:lineRule="exact"/>
        <w:ind w:left="1134" w:right="0"/>
        <w:jc w:val="both"/>
      </w:pPr>
      <w:r>
        <w:rPr/>
        <w:t>和年度薪酬总额的确定符合公司相关薪酬管理制度的规定。同时，薪酬与考核委员会不断探</w:t>
      </w:r>
    </w:p>
    <w:p>
      <w:pPr>
        <w:pStyle w:val="BodyText"/>
        <w:spacing w:line="348" w:lineRule="auto" w:before="154"/>
        <w:ind w:left="1134" w:right="1130"/>
        <w:jc w:val="both"/>
      </w:pPr>
      <w:r>
        <w:rPr/>
        <w:t>讨绩效考核体系的进一步完善。报告期内，薪酬与考核委员会召开了三次会议，分别对</w:t>
      </w:r>
      <w:r>
        <w:rPr>
          <w:spacing w:val="-80"/>
        </w:rPr>
        <w:t> </w:t>
      </w:r>
      <w:r>
        <w:rPr>
          <w:rFonts w:ascii="Times New Roman" w:hAnsi="Times New Roman" w:cs="Times New Roman" w:eastAsia="Times New Roman" w:hint="default"/>
        </w:rPr>
        <w:t>2014 </w:t>
      </w:r>
      <w:r>
        <w:rPr/>
        <w:t>年度董事监事高级管理人员薪酬，以及公司首期股票期权激励计划、第二期股票期权激励计 划进行了审议并通过。</w:t>
      </w:r>
    </w:p>
    <w:p>
      <w:pPr>
        <w:pStyle w:val="BodyText"/>
        <w:spacing w:line="451" w:lineRule="auto" w:before="202"/>
        <w:ind w:left="1613" w:right="1153"/>
        <w:jc w:val="left"/>
      </w:pPr>
      <w:r>
        <w:rPr>
          <w:rFonts w:ascii="Times New Roman" w:hAnsi="Times New Roman" w:cs="Times New Roman" w:eastAsia="Times New Roman" w:hint="default"/>
        </w:rPr>
        <w:t>3</w:t>
      </w:r>
      <w:r>
        <w:rPr/>
        <w:t>、提名委员会的履职情况 报告期内，提名委员会认真履行职责，对公司董事会规模和人员结构的情况、董事和经</w:t>
      </w:r>
    </w:p>
    <w:p>
      <w:pPr>
        <w:pStyle w:val="BodyText"/>
        <w:spacing w:line="257" w:lineRule="exact"/>
        <w:ind w:left="1133" w:right="0"/>
        <w:jc w:val="both"/>
      </w:pPr>
      <w:r>
        <w:rPr/>
        <w:t>理人员的任职资格等相关事宜提出建议；报告期内，提名委员会召开了一次会议，审议并通</w:t>
      </w:r>
    </w:p>
    <w:p>
      <w:pPr>
        <w:pStyle w:val="BodyText"/>
        <w:spacing w:line="240" w:lineRule="auto" w:before="154"/>
        <w:ind w:left="1133" w:right="0"/>
        <w:jc w:val="both"/>
      </w:pPr>
      <w:r>
        <w:rPr/>
        <w:t>过了《关于聘请宋洁为公司副总经理的议案</w:t>
      </w:r>
      <w:r>
        <w:rPr>
          <w:spacing w:val="-120"/>
        </w:rPr>
        <w:t>》</w:t>
      </w:r>
      <w:r>
        <w:rPr/>
        <w:t>。</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4</w:t>
      </w:r>
      <w:r>
        <w:rPr/>
        <w:t>、战略委员会的履职情况</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年公司战略委员会认真履行职责，按照《公司章程》的相关规定，勤勉尽责，积极</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spacing w:line="528" w:lineRule="auto" w:before="26"/>
        <w:ind w:left="1133" w:right="8584" w:firstLine="0"/>
        <w:jc w:val="left"/>
        <w:rPr>
          <w:rFonts w:ascii="宋体" w:hAnsi="宋体" w:cs="宋体" w:eastAsia="宋体" w:hint="default"/>
          <w:sz w:val="24"/>
          <w:szCs w:val="24"/>
        </w:rPr>
      </w:pPr>
      <w:r>
        <w:rPr>
          <w:rFonts w:ascii="宋体" w:hAnsi="宋体" w:cs="宋体" w:eastAsia="宋体" w:hint="default"/>
          <w:sz w:val="24"/>
          <w:szCs w:val="24"/>
        </w:rPr>
        <w:t>开展工作。 </w:t>
      </w:r>
      <w:bookmarkStart w:name="七、监事会工作情况" w:id="139"/>
      <w:bookmarkEnd w:id="139"/>
      <w:r>
        <w:rPr>
          <w:rFonts w:ascii="宋体" w:hAnsi="宋体" w:cs="宋体" w:eastAsia="宋体" w:hint="default"/>
          <w:sz w:val="24"/>
          <w:szCs w:val="24"/>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pStyle w:val="BodyText"/>
        <w:spacing w:line="240" w:lineRule="auto" w:before="88"/>
        <w:ind w:left="1613" w:right="1073"/>
        <w:jc w:val="left"/>
      </w:pPr>
      <w:r>
        <w:rPr/>
        <w:t>监事会在报告期内的监督活动是否发现公司存在风险</w:t>
      </w:r>
    </w:p>
    <w:p>
      <w:pPr>
        <w:spacing w:line="240" w:lineRule="auto" w:before="9"/>
        <w:rPr>
          <w:rFonts w:ascii="宋体" w:hAnsi="宋体" w:cs="宋体" w:eastAsia="宋体" w:hint="default"/>
          <w:sz w:val="23"/>
          <w:szCs w:val="23"/>
        </w:rPr>
      </w:pPr>
    </w:p>
    <w:p>
      <w:pPr>
        <w:pStyle w:val="BodyText"/>
        <w:spacing w:line="451" w:lineRule="auto"/>
        <w:ind w:right="57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pStyle w:val="Heading2"/>
        <w:spacing w:line="240" w:lineRule="auto" w:before="166"/>
        <w:ind w:right="1073"/>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left="1134" w:right="1169" w:firstLine="480"/>
        <w:jc w:val="both"/>
      </w:pPr>
      <w:r>
        <w:rPr/>
        <w:t>公司建立了完善的人力资源管理体系，包括招聘、培训、薪酬福利体系、绩效评估体系 等。公司高级管理人员的收入与工作绩效直接挂钩。在公司领取薪酬的董事、监事和高级管 理人员的报酬，依据公司绩效考核管理办法予以确定。薪酬与考核委员会负责对高级管理人 员的工作能力、履职情况、责任目标完成情况进行考评，制定薪酬方案，并报公司董事会薪 酬与考核委员会审议。</w:t>
      </w:r>
    </w:p>
    <w:p>
      <w:pPr>
        <w:pStyle w:val="BodyText"/>
        <w:spacing w:line="357" w:lineRule="auto" w:before="192"/>
        <w:ind w:left="1134" w:right="1170" w:firstLine="480"/>
        <w:jc w:val="both"/>
      </w:pPr>
      <w:r>
        <w:rPr>
          <w:spacing w:val="-7"/>
        </w:rPr>
        <w:t>报告期内，公司高级管理人员能够严格按照《公司法》、《公司章程》及国家有关法律法</w:t>
      </w:r>
      <w:r>
        <w:rPr/>
        <w:t> 规认真履行职责，积极落实公司股东大会和董事会相关决议，认真履行了工作职责。公司各 项考评及激励机制执行情况良好，起到了应有的激励和约束作用。</w:t>
      </w:r>
    </w:p>
    <w:p>
      <w:pPr>
        <w:spacing w:line="240" w:lineRule="auto" w:before="11"/>
        <w:rPr>
          <w:rFonts w:ascii="宋体" w:hAnsi="宋体" w:cs="宋体" w:eastAsia="宋体" w:hint="default"/>
          <w:sz w:val="19"/>
          <w:szCs w:val="19"/>
        </w:rPr>
      </w:pPr>
    </w:p>
    <w:p>
      <w:pPr>
        <w:pStyle w:val="Heading2"/>
        <w:spacing w:line="240" w:lineRule="auto" w:before="0"/>
        <w:ind w:left="1133" w:right="1073"/>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报告期内发现的内部控制重大缺陷的具体情况"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内控自我评价报告"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77"/>
        <w:gridCol w:w="3408"/>
        <w:gridCol w:w="3472"/>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43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2694"/>
        <w:gridCol w:w="3402"/>
        <w:gridCol w:w="3472"/>
      </w:tblGrid>
      <w:tr>
        <w:trPr>
          <w:trHeight w:val="703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重大缺陷，是指一个或多个控制缺陷的组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合，可能导致企业严重偏离控制目标。认定</w:t>
            </w:r>
            <w:r>
              <w:rPr>
                <w:rFonts w:ascii="宋体" w:hAnsi="宋体" w:cs="宋体" w:eastAsia="宋体" w:hint="default"/>
                <w:sz w:val="18"/>
                <w:szCs w:val="18"/>
              </w:rPr>
              <w:t> 标准：</w:t>
            </w:r>
            <w:r>
              <w:rPr>
                <w:rFonts w:ascii="Times New Roman" w:hAnsi="Times New Roman" w:cs="Times New Roman" w:eastAsia="Times New Roman" w:hint="default"/>
                <w:sz w:val="18"/>
                <w:szCs w:val="18"/>
              </w:rPr>
              <w:t>1</w:t>
            </w:r>
            <w:r>
              <w:rPr>
                <w:rFonts w:ascii="宋体" w:hAnsi="宋体" w:cs="宋体" w:eastAsia="宋体" w:hint="default"/>
                <w:sz w:val="18"/>
                <w:szCs w:val="18"/>
              </w:rPr>
              <w:t>、对已经签发的财务报告重报更正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错误（由于政策变化或其他客观因素变化导</w:t>
            </w:r>
            <w:r>
              <w:rPr>
                <w:rFonts w:ascii="宋体" w:hAnsi="宋体" w:cs="宋体" w:eastAsia="宋体" w:hint="default"/>
                <w:sz w:val="18"/>
                <w:szCs w:val="18"/>
              </w:rPr>
              <w:t> 致的对以前年度的追溯调整除外）</w:t>
            </w:r>
            <w:r>
              <w:rPr>
                <w:rFonts w:ascii="Times New Roman" w:hAnsi="Times New Roman" w:cs="Times New Roman" w:eastAsia="Times New Roman" w:hint="default"/>
                <w:sz w:val="18"/>
                <w:szCs w:val="18"/>
              </w:rPr>
              <w:t>2</w:t>
            </w:r>
            <w:r>
              <w:rPr>
                <w:rFonts w:ascii="宋体" w:hAnsi="宋体" w:cs="宋体" w:eastAsia="宋体" w:hint="default"/>
                <w:sz w:val="18"/>
                <w:szCs w:val="18"/>
              </w:rPr>
              <w:t>、注册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会计师发现的、未被识别的当期财务报告的</w:t>
            </w:r>
            <w:r>
              <w:rPr>
                <w:rFonts w:ascii="宋体" w:hAnsi="宋体" w:cs="宋体" w:eastAsia="宋体" w:hint="default"/>
                <w:sz w:val="18"/>
                <w:szCs w:val="18"/>
              </w:rPr>
              <w:t> 重大错报；</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、公司董事、监事及高级管理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人员出现舞弊行为；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、公司监事会、审计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委员会、内部审计机构对内部控制监督无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效；</w:t>
            </w:r>
            <w:r>
              <w:rPr>
                <w:rFonts w:ascii="Times New Roman" w:hAnsi="Times New Roman" w:cs="Times New Roman" w:eastAsia="Times New Roman" w:hint="default"/>
                <w:sz w:val="18"/>
                <w:szCs w:val="18"/>
              </w:rPr>
              <w:t>5</w:t>
            </w:r>
            <w:r>
              <w:rPr>
                <w:rFonts w:ascii="宋体" w:hAnsi="宋体" w:cs="宋体" w:eastAsia="宋体" w:hint="default"/>
                <w:sz w:val="18"/>
                <w:szCs w:val="18"/>
              </w:rPr>
              <w:t>、因严重违反国家会计法律法规和企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业会计准则、行业财务制度，受到国家机关</w:t>
            </w:r>
            <w:r>
              <w:rPr>
                <w:rFonts w:ascii="宋体" w:hAnsi="宋体" w:cs="宋体" w:eastAsia="宋体" w:hint="default"/>
                <w:sz w:val="18"/>
                <w:szCs w:val="18"/>
              </w:rPr>
              <w:t> 在行业以上范围内通报、处罚。</w:t>
            </w:r>
          </w:p>
          <w:p>
            <w:pPr>
              <w:pStyle w:val="TableParagraph"/>
              <w:spacing w:line="307" w:lineRule="auto" w:before="62"/>
              <w:ind w:left="22" w:right="19"/>
              <w:jc w:val="both"/>
              <w:rPr>
                <w:rFonts w:ascii="宋体" w:hAnsi="宋体" w:cs="宋体" w:eastAsia="宋体" w:hint="default"/>
                <w:sz w:val="18"/>
                <w:szCs w:val="18"/>
              </w:rPr>
            </w:pPr>
            <w:r>
              <w:rPr>
                <w:rFonts w:ascii="宋体" w:hAnsi="宋体" w:cs="宋体" w:eastAsia="宋体" w:hint="default"/>
                <w:spacing w:val="-4"/>
                <w:sz w:val="18"/>
                <w:szCs w:val="18"/>
              </w:rPr>
              <w:t>二、重要缺陷，是指一个或多个控制缺陷的</w:t>
            </w:r>
            <w:r>
              <w:rPr>
                <w:rFonts w:ascii="宋体" w:hAnsi="宋体" w:cs="宋体" w:eastAsia="宋体" w:hint="default"/>
                <w:sz w:val="18"/>
                <w:szCs w:val="18"/>
              </w:rPr>
              <w:t> </w:t>
            </w:r>
            <w:r>
              <w:rPr>
                <w:rFonts w:ascii="宋体" w:hAnsi="宋体" w:cs="宋体" w:eastAsia="宋体" w:hint="default"/>
                <w:spacing w:val="4"/>
                <w:sz w:val="18"/>
                <w:szCs w:val="18"/>
              </w:rPr>
              <w:t>组合，其严重程度和经济后果低于重大缺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陷，但仍有可能导致企业偏离控制目标。认</w:t>
            </w:r>
            <w:r>
              <w:rPr>
                <w:rFonts w:ascii="宋体" w:hAnsi="宋体" w:cs="宋体" w:eastAsia="宋体" w:hint="default"/>
                <w:sz w:val="18"/>
                <w:szCs w:val="18"/>
              </w:rPr>
              <w:t> 定标准：</w:t>
            </w:r>
            <w:r>
              <w:rPr>
                <w:rFonts w:ascii="Times New Roman" w:hAnsi="Times New Roman" w:cs="Times New Roman" w:eastAsia="Times New Roman" w:hint="default"/>
                <w:sz w:val="18"/>
                <w:szCs w:val="18"/>
              </w:rPr>
              <w:t>1</w:t>
            </w:r>
            <w:r>
              <w:rPr>
                <w:rFonts w:ascii="宋体" w:hAnsi="宋体" w:cs="宋体" w:eastAsia="宋体" w:hint="default"/>
                <w:sz w:val="18"/>
                <w:szCs w:val="18"/>
              </w:rPr>
              <w:t>、未根据一般公认的会计准则对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会计政策进行选择和应用的控制；</w:t>
            </w:r>
            <w:r>
              <w:rPr>
                <w:rFonts w:ascii="Times New Roman" w:hAnsi="Times New Roman" w:cs="Times New Roman" w:eastAsia="Times New Roman" w:hint="default"/>
                <w:sz w:val="18"/>
                <w:szCs w:val="18"/>
              </w:rPr>
              <w:t>2</w:t>
            </w:r>
            <w:r>
              <w:rPr>
                <w:rFonts w:ascii="宋体" w:hAnsi="宋体" w:cs="宋体" w:eastAsia="宋体" w:hint="default"/>
                <w:sz w:val="18"/>
                <w:szCs w:val="18"/>
              </w:rPr>
              <w:t>、未对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非常规或复杂交易进行有效控制；</w:t>
            </w:r>
            <w:r>
              <w:rPr>
                <w:rFonts w:ascii="Times New Roman" w:hAnsi="Times New Roman" w:cs="Times New Roman" w:eastAsia="Times New Roman" w:hint="default"/>
                <w:sz w:val="18"/>
                <w:szCs w:val="18"/>
              </w:rPr>
              <w:t>3</w:t>
            </w:r>
            <w:r>
              <w:rPr>
                <w:rFonts w:ascii="宋体" w:hAnsi="宋体" w:cs="宋体" w:eastAsia="宋体" w:hint="default"/>
                <w:sz w:val="18"/>
                <w:szCs w:val="18"/>
              </w:rPr>
              <w:t>、未建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立反舞弊程序及控制措施；</w:t>
            </w:r>
            <w:r>
              <w:rPr>
                <w:rFonts w:ascii="Times New Roman" w:hAnsi="Times New Roman" w:cs="Times New Roman" w:eastAsia="Times New Roman" w:hint="default"/>
                <w:sz w:val="18"/>
                <w:szCs w:val="18"/>
              </w:rPr>
              <w:t>4</w:t>
            </w:r>
            <w:r>
              <w:rPr>
                <w:rFonts w:ascii="宋体" w:hAnsi="宋体" w:cs="宋体" w:eastAsia="宋体" w:hint="default"/>
                <w:sz w:val="18"/>
                <w:szCs w:val="18"/>
              </w:rPr>
              <w:t>、未对期末财</w:t>
            </w:r>
            <w:r>
              <w:rPr>
                <w:rFonts w:ascii="宋体" w:hAnsi="宋体" w:cs="宋体" w:eastAsia="宋体" w:hint="default"/>
                <w:spacing w:val="-75"/>
                <w:sz w:val="18"/>
                <w:szCs w:val="18"/>
              </w:rPr>
              <w:t> </w:t>
            </w:r>
            <w:r>
              <w:rPr>
                <w:rFonts w:ascii="宋体" w:hAnsi="宋体" w:cs="宋体" w:eastAsia="宋体" w:hint="default"/>
                <w:sz w:val="18"/>
                <w:szCs w:val="18"/>
              </w:rPr>
              <w:t>务报告过程进行有效控制。</w:t>
            </w:r>
          </w:p>
          <w:p>
            <w:pPr>
              <w:pStyle w:val="TableParagraph"/>
              <w:spacing w:line="319" w:lineRule="auto" w:before="64"/>
              <w:ind w:left="22" w:right="22"/>
              <w:jc w:val="both"/>
              <w:rPr>
                <w:rFonts w:ascii="宋体" w:hAnsi="宋体" w:cs="宋体" w:eastAsia="宋体" w:hint="default"/>
                <w:sz w:val="18"/>
                <w:szCs w:val="18"/>
              </w:rPr>
            </w:pPr>
            <w:r>
              <w:rPr>
                <w:rFonts w:ascii="宋体" w:hAnsi="宋体" w:cs="宋体" w:eastAsia="宋体" w:hint="default"/>
                <w:spacing w:val="-4"/>
                <w:sz w:val="18"/>
                <w:szCs w:val="18"/>
              </w:rPr>
              <w:t>三、一般缺陷，除上述重大缺陷、重要缺陷</w:t>
            </w:r>
            <w:r>
              <w:rPr>
                <w:rFonts w:ascii="宋体" w:hAnsi="宋体" w:cs="宋体" w:eastAsia="宋体" w:hint="default"/>
                <w:sz w:val="18"/>
                <w:szCs w:val="18"/>
              </w:rPr>
              <w:t> 以外的缺陷。</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7"/>
              <w:jc w:val="both"/>
              <w:rPr>
                <w:rFonts w:ascii="宋体" w:hAnsi="宋体" w:cs="宋体" w:eastAsia="宋体" w:hint="default"/>
                <w:sz w:val="18"/>
                <w:szCs w:val="18"/>
              </w:rPr>
            </w:pPr>
            <w:r>
              <w:rPr>
                <w:rFonts w:ascii="宋体" w:hAnsi="宋体" w:cs="宋体" w:eastAsia="宋体" w:hint="default"/>
                <w:spacing w:val="4"/>
                <w:sz w:val="18"/>
                <w:szCs w:val="18"/>
              </w:rPr>
              <w:t>重大缺陷认定标准：</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、严重违反国家法律 </w:t>
            </w:r>
            <w:r>
              <w:rPr>
                <w:rFonts w:ascii="宋体" w:hAnsi="宋体" w:cs="宋体" w:eastAsia="宋体" w:hint="default"/>
                <w:sz w:val="18"/>
                <w:szCs w:val="18"/>
              </w:rPr>
              <w:t>法规，受到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万元以上处罚；</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、公司缺乏 </w:t>
            </w:r>
            <w:r>
              <w:rPr>
                <w:rFonts w:ascii="宋体" w:hAnsi="宋体" w:cs="宋体" w:eastAsia="宋体" w:hint="default"/>
                <w:spacing w:val="4"/>
                <w:sz w:val="18"/>
                <w:szCs w:val="18"/>
              </w:rPr>
              <w:t>决策流程；</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、公司决策程序不科学导致重 大决策失误；</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、公司高级管理人员或关键 人员流失严重；</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、出现严重的产品质量问 </w:t>
            </w:r>
            <w:r>
              <w:rPr>
                <w:rFonts w:ascii="宋体" w:hAnsi="宋体" w:cs="宋体" w:eastAsia="宋体" w:hint="default"/>
                <w:sz w:val="18"/>
                <w:szCs w:val="18"/>
              </w:rPr>
              <w:t>题</w:t>
            </w:r>
            <w:r>
              <w:rPr>
                <w:rFonts w:ascii="Times New Roman" w:hAnsi="Times New Roman" w:cs="Times New Roman" w:eastAsia="Times New Roman" w:hint="default"/>
                <w:sz w:val="18"/>
                <w:szCs w:val="18"/>
              </w:rPr>
              <w:t>,</w:t>
            </w:r>
            <w:r>
              <w:rPr>
                <w:rFonts w:ascii="宋体" w:hAnsi="宋体" w:cs="宋体" w:eastAsia="宋体" w:hint="default"/>
                <w:sz w:val="18"/>
                <w:szCs w:val="18"/>
              </w:rPr>
              <w:t>并造成严重后果；</w:t>
            </w:r>
            <w:r>
              <w:rPr>
                <w:rFonts w:ascii="Times New Roman" w:hAnsi="Times New Roman" w:cs="Times New Roman" w:eastAsia="Times New Roman" w:hint="default"/>
                <w:sz w:val="18"/>
                <w:szCs w:val="18"/>
              </w:rPr>
              <w:t>6</w:t>
            </w:r>
            <w:r>
              <w:rPr>
                <w:rFonts w:ascii="宋体" w:hAnsi="宋体" w:cs="宋体" w:eastAsia="宋体" w:hint="default"/>
                <w:sz w:val="18"/>
                <w:szCs w:val="18"/>
              </w:rPr>
              <w:t>、公司遭受证监会处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罚或证券交易所警告；</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、重要业务缺乏制 度控制或控制失效；</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、媒体出现负面新闻 </w:t>
            </w:r>
            <w:r>
              <w:rPr>
                <w:rFonts w:ascii="宋体" w:hAnsi="宋体" w:cs="宋体" w:eastAsia="宋体" w:hint="default"/>
                <w:sz w:val="18"/>
                <w:szCs w:val="18"/>
              </w:rPr>
              <w:t>公司未及时澄清或应对，对公司造成严重影</w:t>
            </w:r>
            <w:r>
              <w:rPr>
                <w:rFonts w:ascii="宋体" w:hAnsi="宋体" w:cs="宋体" w:eastAsia="宋体" w:hint="default"/>
                <w:sz w:val="18"/>
                <w:szCs w:val="18"/>
              </w:rPr>
              <w:t> 响</w:t>
            </w:r>
          </w:p>
          <w:p>
            <w:pPr>
              <w:pStyle w:val="TableParagraph"/>
              <w:spacing w:line="300" w:lineRule="auto" w:before="68"/>
              <w:ind w:left="22" w:right="17"/>
              <w:jc w:val="both"/>
              <w:rPr>
                <w:rFonts w:ascii="宋体" w:hAnsi="宋体" w:cs="宋体" w:eastAsia="宋体" w:hint="default"/>
                <w:sz w:val="18"/>
                <w:szCs w:val="18"/>
              </w:rPr>
            </w:pPr>
            <w:r>
              <w:rPr>
                <w:rFonts w:ascii="宋体" w:hAnsi="宋体" w:cs="宋体" w:eastAsia="宋体" w:hint="default"/>
                <w:spacing w:val="4"/>
                <w:sz w:val="18"/>
                <w:szCs w:val="18"/>
              </w:rPr>
              <w:t>二、重要缺陷认定标准：</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、存在违反公司 内部制度并造成损失；</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、公司具备决策流 程但不完善；</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、公司决策程序不科学导致 一般性决策失误；</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、公司关键岗位人员流 失严重；</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、公司产品出现质量问题，对公 司存在影响但未造成严重后果；</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、公司重 </w:t>
            </w:r>
            <w:r>
              <w:rPr>
                <w:rFonts w:ascii="宋体" w:hAnsi="宋体" w:cs="宋体" w:eastAsia="宋体" w:hint="default"/>
                <w:spacing w:val="3"/>
                <w:sz w:val="18"/>
                <w:szCs w:val="18"/>
              </w:rPr>
              <w:t>要业务控制制度或控制活动存在缺陷；</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媒体出现负面新闻，对公司造成较大影响。</w:t>
            </w:r>
          </w:p>
          <w:p>
            <w:pPr>
              <w:pStyle w:val="TableParagraph"/>
              <w:spacing w:line="319" w:lineRule="auto" w:before="70"/>
              <w:ind w:left="22" w:right="22"/>
              <w:jc w:val="both"/>
              <w:rPr>
                <w:rFonts w:ascii="宋体" w:hAnsi="宋体" w:cs="宋体" w:eastAsia="宋体" w:hint="default"/>
                <w:sz w:val="18"/>
                <w:szCs w:val="18"/>
              </w:rPr>
            </w:pPr>
            <w:r>
              <w:rPr>
                <w:rFonts w:ascii="宋体" w:hAnsi="宋体" w:cs="宋体" w:eastAsia="宋体" w:hint="default"/>
                <w:sz w:val="18"/>
                <w:szCs w:val="18"/>
              </w:rPr>
              <w:t>三、一般缺陷，公司存在的除重大缺陷及重 要缺陷的其他缺陷。</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line="528" w:lineRule="auto" w:before="26"/>
        <w:ind w:left="1613" w:right="6432" w:hanging="480"/>
        <w:jc w:val="left"/>
        <w:rPr>
          <w:rFonts w:ascii="宋体" w:hAnsi="宋体" w:cs="宋体" w:eastAsia="宋体" w:hint="default"/>
          <w:sz w:val="24"/>
          <w:szCs w:val="24"/>
        </w:rPr>
      </w:pPr>
      <w:bookmarkStart w:name="十、内部控制审计报告或鉴证报告" w:id="144"/>
      <w:bookmarkEnd w:id="144"/>
      <w:r>
        <w:rPr/>
      </w:r>
      <w:r>
        <w:rPr>
          <w:rFonts w:ascii="宋体" w:hAnsi="宋体" w:cs="宋体" w:eastAsia="宋体" w:hint="default"/>
          <w:b/>
          <w:bCs/>
          <w:w w:val="95"/>
          <w:sz w:val="24"/>
          <w:szCs w:val="24"/>
        </w:rPr>
        <w:t>十、内部控制审计报告或鉴证报告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内部控制鉴证报告</w:t>
      </w: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33"/>
              <w:ind w:left="22" w:right="22"/>
              <w:jc w:val="left"/>
              <w:rPr>
                <w:rFonts w:ascii="宋体" w:hAnsi="宋体" w:cs="宋体" w:eastAsia="宋体" w:hint="default"/>
                <w:sz w:val="18"/>
                <w:szCs w:val="18"/>
              </w:rPr>
            </w:pPr>
            <w:r>
              <w:rPr>
                <w:rFonts w:ascii="宋体" w:hAnsi="宋体" w:cs="宋体" w:eastAsia="宋体" w:hint="default"/>
                <w:spacing w:val="-6"/>
                <w:sz w:val="18"/>
                <w:szCs w:val="18"/>
              </w:rPr>
              <w:t>中文在线按照《内部会计控制规范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基本规范（试行）》及相关规定于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日在所有重大方面保持了与财务报告 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巨潮资讯网《内部控制鉴证报告》</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会计师事务所是否出具非标准意见的内部控制鉴证报告</w:t>
      </w:r>
    </w:p>
    <w:p>
      <w:pPr>
        <w:spacing w:line="240" w:lineRule="auto" w:before="9"/>
        <w:rPr>
          <w:rFonts w:ascii="宋体" w:hAnsi="宋体" w:cs="宋体" w:eastAsia="宋体" w:hint="default"/>
          <w:sz w:val="23"/>
          <w:szCs w:val="23"/>
        </w:rPr>
      </w:pPr>
    </w:p>
    <w:p>
      <w:pPr>
        <w:pStyle w:val="BodyText"/>
        <w:spacing w:line="451" w:lineRule="auto"/>
        <w:ind w:right="2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会计师事务所出具的内部控制鉴证报告与董事会的自我评价报告意见是否一致</w:t>
      </w:r>
    </w:p>
    <w:p>
      <w:pPr>
        <w:pStyle w:val="BodyText"/>
        <w:spacing w:line="240" w:lineRule="auto" w:before="98"/>
        <w:ind w:left="1613"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414" w:footer="979" w:top="12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1114"/>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133" w:right="1073"/>
        <w:jc w:val="left"/>
        <w:rPr>
          <w:b w:val="0"/>
          <w:bCs w:val="0"/>
        </w:rPr>
      </w:pPr>
      <w:bookmarkStart w:name="一、审计报告" w:id="147"/>
      <w:bookmarkEnd w:id="147"/>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XYZH/2016BJA10529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唐炫 郑小川</w:t>
            </w:r>
          </w:p>
        </w:tc>
      </w:tr>
    </w:tbl>
    <w:p>
      <w:pPr>
        <w:spacing w:line="240" w:lineRule="auto" w:before="2"/>
        <w:rPr>
          <w:rFonts w:ascii="宋体" w:hAnsi="宋体" w:cs="宋体" w:eastAsia="宋体" w:hint="default"/>
          <w:b/>
          <w:bCs/>
          <w:sz w:val="10"/>
          <w:szCs w:val="10"/>
        </w:rPr>
      </w:pPr>
    </w:p>
    <w:p>
      <w:pPr>
        <w:pStyle w:val="Heading2"/>
        <w:spacing w:line="240" w:lineRule="auto"/>
        <w:ind w:left="1114" w:right="1115"/>
        <w:jc w:val="center"/>
        <w:rPr>
          <w:b w:val="0"/>
          <w:bCs w:val="0"/>
        </w:rPr>
      </w:pPr>
      <w:r>
        <w:rPr/>
        <w:t>审计报告正文</w:t>
      </w:r>
      <w:r>
        <w:rPr>
          <w:b w:val="0"/>
          <w:bCs w:val="0"/>
        </w:rPr>
      </w:r>
    </w:p>
    <w:p>
      <w:pPr>
        <w:spacing w:line="240" w:lineRule="auto" w:before="3"/>
        <w:rPr>
          <w:rFonts w:ascii="宋体" w:hAnsi="宋体" w:cs="宋体" w:eastAsia="宋体" w:hint="default"/>
          <w:b/>
          <w:bCs/>
          <w:sz w:val="24"/>
          <w:szCs w:val="24"/>
        </w:rPr>
      </w:pPr>
    </w:p>
    <w:p>
      <w:pPr>
        <w:spacing w:before="0"/>
        <w:ind w:left="1114" w:right="1154" w:firstLine="0"/>
        <w:jc w:val="center"/>
        <w:rPr>
          <w:rFonts w:ascii="宋体" w:hAnsi="宋体" w:cs="宋体" w:eastAsia="宋体" w:hint="default"/>
          <w:sz w:val="28"/>
          <w:szCs w:val="28"/>
        </w:rPr>
      </w:pPr>
      <w:r>
        <w:rPr>
          <w:rFonts w:ascii="宋体" w:hAnsi="宋体" w:cs="宋体" w:eastAsia="宋体" w:hint="default"/>
          <w:b/>
          <w:bCs/>
          <w:sz w:val="28"/>
          <w:szCs w:val="28"/>
        </w:rPr>
        <w:t>审</w:t>
      </w:r>
      <w:r>
        <w:rPr>
          <w:rFonts w:ascii="宋体" w:hAnsi="宋体" w:cs="宋体" w:eastAsia="宋体" w:hint="default"/>
          <w:b/>
          <w:bCs/>
          <w:spacing w:val="-102"/>
          <w:sz w:val="28"/>
          <w:szCs w:val="28"/>
        </w:rPr>
        <w:t> </w:t>
      </w:r>
      <w:r>
        <w:rPr>
          <w:rFonts w:ascii="宋体" w:hAnsi="宋体" w:cs="宋体" w:eastAsia="宋体" w:hint="default"/>
          <w:b/>
          <w:bCs/>
          <w:sz w:val="28"/>
          <w:szCs w:val="28"/>
        </w:rPr>
        <w:t>计</w:t>
      </w:r>
      <w:r>
        <w:rPr>
          <w:rFonts w:ascii="宋体" w:hAnsi="宋体" w:cs="宋体" w:eastAsia="宋体" w:hint="default"/>
          <w:b/>
          <w:bCs/>
          <w:spacing w:val="-102"/>
          <w:sz w:val="28"/>
          <w:szCs w:val="28"/>
        </w:rPr>
        <w:t> </w:t>
      </w:r>
      <w:r>
        <w:rPr>
          <w:rFonts w:ascii="宋体" w:hAnsi="宋体" w:cs="宋体" w:eastAsia="宋体" w:hint="default"/>
          <w:b/>
          <w:bCs/>
          <w:sz w:val="28"/>
          <w:szCs w:val="28"/>
        </w:rPr>
        <w:t>报</w:t>
      </w:r>
      <w:r>
        <w:rPr>
          <w:rFonts w:ascii="宋体" w:hAnsi="宋体" w:cs="宋体" w:eastAsia="宋体" w:hint="default"/>
          <w:b/>
          <w:bCs/>
          <w:spacing w:val="-103"/>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spacing w:line="240" w:lineRule="auto" w:before="1"/>
        <w:rPr>
          <w:rFonts w:ascii="宋体" w:hAnsi="宋体" w:cs="宋体" w:eastAsia="宋体" w:hint="default"/>
          <w:b/>
          <w:bCs/>
          <w:sz w:val="27"/>
          <w:szCs w:val="27"/>
        </w:rPr>
      </w:pPr>
    </w:p>
    <w:p>
      <w:pPr>
        <w:pStyle w:val="BodyText"/>
        <w:spacing w:line="240" w:lineRule="auto" w:before="69"/>
        <w:ind w:left="0" w:right="1131"/>
        <w:jc w:val="right"/>
        <w:rPr>
          <w:rFonts w:ascii="Times New Roman" w:hAnsi="Times New Roman" w:cs="Times New Roman" w:eastAsia="Times New Roman" w:hint="default"/>
        </w:rPr>
      </w:pPr>
      <w:r>
        <w:rPr>
          <w:rFonts w:ascii="Times New Roman"/>
          <w:spacing w:val="-1"/>
        </w:rPr>
        <w:t>XYZH/2016BJA10529</w:t>
      </w:r>
    </w:p>
    <w:p>
      <w:pPr>
        <w:spacing w:line="240" w:lineRule="auto" w:before="3"/>
        <w:rPr>
          <w:rFonts w:ascii="Times New Roman" w:hAnsi="Times New Roman" w:cs="Times New Roman" w:eastAsia="Times New Roman" w:hint="default"/>
          <w:sz w:val="23"/>
          <w:szCs w:val="23"/>
        </w:rPr>
      </w:pPr>
    </w:p>
    <w:p>
      <w:pPr>
        <w:pStyle w:val="BodyText"/>
        <w:spacing w:line="240" w:lineRule="auto" w:before="26"/>
        <w:ind w:left="1613" w:right="1073"/>
        <w:jc w:val="left"/>
      </w:pPr>
      <w:r>
        <w:rPr/>
        <w:t>中文在线数字出版集团股份有限公司全体股东：</w:t>
      </w:r>
    </w:p>
    <w:p>
      <w:pPr>
        <w:spacing w:line="240" w:lineRule="auto" w:before="9"/>
        <w:rPr>
          <w:rFonts w:ascii="宋体" w:hAnsi="宋体" w:cs="宋体" w:eastAsia="宋体" w:hint="default"/>
          <w:sz w:val="23"/>
          <w:szCs w:val="23"/>
        </w:rPr>
      </w:pPr>
    </w:p>
    <w:p>
      <w:pPr>
        <w:pStyle w:val="BodyText"/>
        <w:spacing w:line="348" w:lineRule="auto"/>
        <w:ind w:left="1133" w:right="995" w:firstLine="480"/>
        <w:jc w:val="left"/>
      </w:pPr>
      <w:r>
        <w:rPr>
          <w:spacing w:val="-3"/>
        </w:rPr>
        <w:t>我们审计了后附的北京中文在线数字出版股份有限公司（以下简称中文在线）财务报表，</w:t>
      </w:r>
      <w:r>
        <w:rPr/>
        <w:t> 包括</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spacing w:val="-1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年度的合并及母公司利润表、合 并及母公司现金流量表、合并及母公司股东权益变动表以及财务报表附注。</w:t>
      </w:r>
    </w:p>
    <w:p>
      <w:pPr>
        <w:pStyle w:val="BodyText"/>
        <w:spacing w:line="240" w:lineRule="auto" w:before="202"/>
        <w:ind w:left="1613" w:right="1073"/>
        <w:jc w:val="left"/>
      </w:pPr>
      <w:r>
        <w:rPr/>
        <w:t>一、管理层对财务报表的责任</w:t>
      </w:r>
    </w:p>
    <w:p>
      <w:pPr>
        <w:spacing w:line="240" w:lineRule="auto" w:before="9"/>
        <w:rPr>
          <w:rFonts w:ascii="宋体" w:hAnsi="宋体" w:cs="宋体" w:eastAsia="宋体" w:hint="default"/>
          <w:sz w:val="23"/>
          <w:szCs w:val="23"/>
        </w:rPr>
      </w:pPr>
    </w:p>
    <w:p>
      <w:pPr>
        <w:pStyle w:val="BodyText"/>
        <w:spacing w:line="338" w:lineRule="auto"/>
        <w:ind w:left="1133" w:right="1169" w:firstLine="480"/>
        <w:jc w:val="both"/>
      </w:pPr>
      <w:r>
        <w:rPr>
          <w:spacing w:val="-4"/>
        </w:rPr>
        <w:t>编制和公允列报财务报表是中文在线管理层的责任，这种责任包括：（</w:t>
      </w:r>
      <w:r>
        <w:rPr>
          <w:rFonts w:ascii="Times New Roman" w:hAnsi="Times New Roman" w:cs="Times New Roman" w:eastAsia="Times New Roman" w:hint="default"/>
          <w:spacing w:val="-4"/>
        </w:rPr>
        <w:t>1</w:t>
      </w:r>
      <w:r>
        <w:rPr>
          <w:spacing w:val="-4"/>
        </w:rPr>
        <w:t>）按照企业会计</w:t>
      </w:r>
      <w:r>
        <w:rPr/>
        <w:t> </w:t>
      </w:r>
      <w:r>
        <w:rPr>
          <w:spacing w:val="-3"/>
        </w:rPr>
        <w:t>准则的规定编制财务报表，并使其实现公允反映；（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w:t>
      </w:r>
      <w:r>
        <w:rPr>
          <w:spacing w:val="-117"/>
        </w:rPr>
        <w:t> </w:t>
      </w:r>
      <w:r>
        <w:rPr/>
        <w:t>以使财务报表不存在由于舞弊或错误导致的重大错报。</w:t>
      </w:r>
    </w:p>
    <w:p>
      <w:pPr>
        <w:pStyle w:val="BodyText"/>
        <w:spacing w:line="240" w:lineRule="auto" w:before="211"/>
        <w:ind w:left="1613" w:right="1073"/>
        <w:jc w:val="left"/>
      </w:pPr>
      <w:r>
        <w:rPr/>
        <w:t>二、注册会计师的责任</w:t>
      </w:r>
    </w:p>
    <w:p>
      <w:pPr>
        <w:spacing w:line="240" w:lineRule="auto" w:before="8"/>
        <w:rPr>
          <w:rFonts w:ascii="宋体" w:hAnsi="宋体" w:cs="宋体" w:eastAsia="宋体" w:hint="default"/>
          <w:sz w:val="23"/>
          <w:szCs w:val="23"/>
        </w:rPr>
      </w:pPr>
    </w:p>
    <w:p>
      <w:pPr>
        <w:pStyle w:val="BodyText"/>
        <w:spacing w:line="357" w:lineRule="auto"/>
        <w:ind w:left="1133" w:right="995" w:firstLine="480"/>
        <w:jc w:val="left"/>
      </w:pPr>
      <w:r>
        <w:rPr/>
        <w:t>我们的责任是在执行审计工作的基础上对财务报表发表审计意见。我们按照中国注册会 </w:t>
      </w: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7" w:lineRule="auto" w:before="192"/>
        <w:ind w:left="1133"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p>
    <w:p>
      <w:pPr>
        <w:spacing w:after="0" w:line="357"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994"/>
        <w:jc w:val="left"/>
      </w:pPr>
      <w:r>
        <w:rPr>
          <w:spacing w:val="-2"/>
        </w:rPr>
        <w:t>当的审计程序。审计工作还包括评价管理层选用会计政策的恰当性和作出会计估计的合理性，</w:t>
      </w:r>
      <w:r>
        <w:rPr/>
        <w:t> 以及评价财务报表的总体列报。</w:t>
      </w:r>
    </w:p>
    <w:p>
      <w:pPr>
        <w:pStyle w:val="BodyText"/>
        <w:spacing w:line="477" w:lineRule="auto" w:before="192"/>
        <w:ind w:left="1613" w:right="1073"/>
        <w:jc w:val="left"/>
      </w:pPr>
      <w:r>
        <w:rPr/>
        <w:t>我们相信，我们获取的审计证据是充分、适当的，为发表审计意见提供了基础。 三、审计意见</w:t>
      </w:r>
    </w:p>
    <w:p>
      <w:pPr>
        <w:pStyle w:val="BodyText"/>
        <w:spacing w:line="348" w:lineRule="auto" w:before="72"/>
        <w:ind w:left="1133" w:right="1169" w:firstLine="480"/>
        <w:jc w:val="both"/>
      </w:pPr>
      <w:r>
        <w:rPr/>
        <w:t>我们认为，中文在线财务报表在所有重大方面按照企业会计准则的规定编制，公允反映 了中文在线</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日的合并及母公司财务状况以及</w:t>
      </w:r>
      <w:r>
        <w:rPr>
          <w:spacing w:val="-60"/>
        </w:rPr>
        <w:t> </w:t>
      </w:r>
      <w:r>
        <w:rPr>
          <w:rFonts w:ascii="Times New Roman" w:hAnsi="Times New Roman" w:cs="Times New Roman" w:eastAsia="Times New Roman" w:hint="default"/>
        </w:rPr>
        <w:t>2015 </w:t>
      </w:r>
      <w:r>
        <w:rPr/>
        <w:t>年度的合并及母公司经营 成果和现金流量。</w:t>
      </w:r>
    </w:p>
    <w:p>
      <w:pPr>
        <w:spacing w:line="240" w:lineRule="auto" w:before="7"/>
        <w:rPr>
          <w:rFonts w:ascii="宋体" w:hAnsi="宋体" w:cs="宋体" w:eastAsia="宋体" w:hint="default"/>
          <w:sz w:val="20"/>
          <w:szCs w:val="20"/>
        </w:rPr>
      </w:pPr>
    </w:p>
    <w:p>
      <w:pPr>
        <w:pStyle w:val="Heading2"/>
        <w:spacing w:line="240" w:lineRule="auto" w:before="0"/>
        <w:ind w:left="1133" w:right="1073"/>
        <w:jc w:val="left"/>
        <w:rPr>
          <w:b w:val="0"/>
          <w:bCs w:val="0"/>
        </w:rPr>
      </w:pPr>
      <w:bookmarkStart w:name="二、财务报表" w:id="148"/>
      <w:bookmarkEnd w:id="148"/>
      <w:r>
        <w:rPr>
          <w:b w:val="0"/>
          <w:bCs w:val="0"/>
        </w:rPr>
      </w:r>
      <w:r>
        <w:rPr/>
        <w:t>二、财务报表</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财务附注中报表的单位为：人民币元</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合并资产负债表" w:id="149"/>
      <w:bookmarkEnd w:id="1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414" w:footer="979" w:top="1260" w:bottom="116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编制单位：中文在线数字出版集团股份有限公司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25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915" w:space="40"/>
            <w:col w:w="1742" w:space="2223"/>
            <w:col w:w="299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255,813,531.61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59,956,818.95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159,856,030.80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97,537,231.63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38,484,543.55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23,931,717.71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5,610,326.66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9,249,765.75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8,794,654.27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1,446,666.98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468,559,086.89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192,122,201.02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73,505,105.81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10,880,746.75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4,849,986.52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123,698,715.84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61,489,393.28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3,432,209.62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17,752,179.43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1,654,444.08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633,122.71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5,867,389.74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2,503,767.41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410,437,664.09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241,008,169.86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878,996,750.98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433,130,370.88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249,352,800.00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50,204,974.04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32,480,250.85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17,392,899.78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12,110,316.70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17,604,982.33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11,129,997.79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15,077,464.93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14,672,301.23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184,723.14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586,724.17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527,625.70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350,404,568.39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126,021,570.05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11,077,565.42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5,195,800.12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3,887,428.44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14,964,993.86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5,195,800.12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365,369,562.25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131,217,370.17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188,827,854.16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29,880,245.78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21,426,336.16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20,198,350.08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181,554,398.86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161,127,686.55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511,808,589.18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301,206,282.41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1,818,599.55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706,718.30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513,627,188.73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301,913,000.71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878,996,750.98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433,130,370.88</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法定代表人：童之磊</w:t>
        <w:tab/>
        <w:t>主管会计工作负责人：原森民</w:t>
        <w:tab/>
        <w:t>会计机构负责人：李凤梅</w:t>
      </w:r>
    </w:p>
    <w:p>
      <w:pPr>
        <w:spacing w:line="240" w:lineRule="auto" w:before="11"/>
        <w:rPr>
          <w:rFonts w:ascii="宋体" w:hAnsi="宋体" w:cs="宋体" w:eastAsia="宋体" w:hint="default"/>
          <w:sz w:val="26"/>
          <w:szCs w:val="26"/>
        </w:rPr>
      </w:pPr>
    </w:p>
    <w:p>
      <w:pPr>
        <w:spacing w:before="0"/>
        <w:ind w:left="1133" w:right="1073" w:firstLine="0"/>
        <w:jc w:val="left"/>
        <w:rPr>
          <w:rFonts w:ascii="宋体" w:hAnsi="宋体" w:cs="宋体" w:eastAsia="宋体" w:hint="default"/>
          <w:sz w:val="21"/>
          <w:szCs w:val="21"/>
        </w:rPr>
      </w:pPr>
      <w:bookmarkStart w:name="2、母公司资产负债表" w:id="150"/>
      <w:bookmarkEnd w:id="1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221,693,963.61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43,195,740.96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102,153,240.16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74,043,653.67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1,712,861.38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3,012,360.24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30,798,312.64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56,749,609.34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356,358,377.79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177,001,364.21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93,129,300.00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90,629,300.00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122,894,616.66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105,468,563.70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9,098,284.62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3,465,093.10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79,233,363.08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56,223,349.01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3,432,209.62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4,488,121.08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824,375.04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312,275,895.06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256,610,680.85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668,634,272.85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433,612,045.06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38,213,701.92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16,006,541.62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11,994,031.55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9,279,857.75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9,231,196.88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6,918,885.24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7,965,748.97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11,656,144.03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5,083,310.63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33,827,282.03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172,608,823.28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132,789,788.45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5,560,806.92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1,985,083.14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5,560,806.92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1,985,083.14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178,169,630.20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134,774,871.59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189,272,989.48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30,325,381.10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21,426,336.16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20,198,350.08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159,765,317.01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158,313,442.29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490,464,642.65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298,837,173.47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668,634,272.85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433,612,045.06</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9"/>
        <w:rPr>
          <w:rFonts w:ascii="Times New Roman" w:hAnsi="Times New Roman" w:cs="Times New Roman" w:eastAsia="Times New Roman" w:hint="default"/>
          <w:sz w:val="10"/>
          <w:szCs w:val="10"/>
        </w:rPr>
      </w:pPr>
      <w:r>
        <w:rPr/>
        <w:pict>
          <v:group style="position:absolute;margin-left:212.119995pt;margin-top:629.919983pt;width:157.7pt;height:19.6pt;mso-position-horizontal-relative:page;mso-position-vertical-relative:page;z-index:-864760"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spacing w:before="35"/>
        <w:ind w:left="1134" w:right="1073" w:firstLine="0"/>
        <w:jc w:val="left"/>
        <w:rPr>
          <w:rFonts w:ascii="宋体" w:hAnsi="宋体" w:cs="宋体" w:eastAsia="宋体" w:hint="default"/>
          <w:sz w:val="21"/>
          <w:szCs w:val="21"/>
        </w:rPr>
      </w:pPr>
      <w:bookmarkStart w:name="3、合并利润表" w:id="151"/>
      <w:bookmarkEnd w:id="15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390,246,185.64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269,738,063.00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390,246,185.64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269,738,063.00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374,725,405.62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235,894,311.29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206,120,487.59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144,735,750.21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1,522,925.43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2,523,498.49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42,556,981.21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28,277,445.07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120,539,776.49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57,918,599.21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415,487.60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393,408.08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3,569,747.30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2,045,610.23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5,815,403.81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6,076,431.33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5,815,403.81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6,076,431.33</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21,336,183.83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39,920,183.04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14,621,726.99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13,992,709.88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548,740.47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218,673.85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7,823.20</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r>
        <w:rPr/>
        <w:pict>
          <v:group style="position:absolute;margin-left:212.119995pt;margin-top:72.47998pt;width:157.7pt;height:19.650pt;mso-position-horizontal-relative:page;mso-position-vertical-relative:page;z-index:-864736"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tbl>
      <w:tblPr>
        <w:tblW w:w="0" w:type="auto"/>
        <w:jc w:val="left"/>
        <w:tblInd w:w="1140" w:type="dxa"/>
        <w:tblLayout w:type="fixed"/>
        <w:tblCellMar>
          <w:top w:w="0" w:type="dxa"/>
          <w:left w:w="0" w:type="dxa"/>
          <w:bottom w:w="0" w:type="dxa"/>
          <w:right w:w="0" w:type="dxa"/>
        </w:tblCellMar>
        <w:tblLook w:val="01E0"/>
      </w:tblPr>
      <w:tblGrid>
        <w:gridCol w:w="3057"/>
        <w:gridCol w:w="1117"/>
        <w:gridCol w:w="2106"/>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35,409,170.35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53,694,219.07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6,042,590.71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7,593,033.80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29,366,579.64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46,101,185.27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31,254,698.39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46,169,543.67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-1,888,118.75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-68,358.40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29,366,579.64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46,101,185.27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31,254,698.39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46,169,543.67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-1,888,118.75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-68,358.40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2"/>
        <w:rPr>
          <w:rFonts w:ascii="Times New Roman" w:hAnsi="Times New Roman" w:cs="Times New Roman" w:eastAsia="Times New Roman" w:hint="default"/>
          <w:sz w:val="12"/>
          <w:szCs w:val="12"/>
        </w:rPr>
      </w:pPr>
    </w:p>
    <w:p>
      <w:pPr>
        <w:tabs>
          <w:tab w:pos="4554" w:val="left" w:leader="none"/>
          <w:tab w:pos="8695" w:val="left" w:leader="none"/>
        </w:tabs>
        <w:spacing w:line="621" w:lineRule="auto" w:before="44"/>
        <w:ind w:left="113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法定代表人：童之磊</w:t>
        <w:tab/>
        <w:t>主管会计工作负责人：原森民</w:t>
        <w:tab/>
        <w:t>会计机构负责人：李凤梅</w:t>
      </w:r>
    </w:p>
    <w:p>
      <w:pPr>
        <w:spacing w:before="65"/>
        <w:ind w:left="1133" w:right="1073" w:firstLine="0"/>
        <w:jc w:val="left"/>
        <w:rPr>
          <w:rFonts w:ascii="宋体" w:hAnsi="宋体" w:cs="宋体" w:eastAsia="宋体" w:hint="default"/>
          <w:sz w:val="21"/>
          <w:szCs w:val="21"/>
        </w:rPr>
      </w:pPr>
      <w:bookmarkStart w:name="4、母公司利润表" w:id="152"/>
      <w:bookmarkEnd w:id="1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185,625,365.74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176,240,104.57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94,189,984.01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82,766,518.64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581,791.59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1,606,855.56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24,767,696.18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24,107,921.13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74,701,721.19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27,879,134.29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108,074.62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732,443.01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2,330,852.47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405,413.40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11,239,183.90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25,445,296.69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3,295,252.96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2,731,290.17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184,429.58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64,187,115.23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12,783,031.69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6,897,323.17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262,280.63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188,550.00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12,705,180.64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70,895,888.40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425,319.84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6,856,375.25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12,279,860.80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64,039,513.15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12,279,860.80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64,039,513.15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合并现金流量表" w:id="153"/>
      <w:bookmarkEnd w:id="15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371,705,821.19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256,049,507.15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159,596.87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27,604,055.50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18,966,342.87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399,469,473.56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275,015,850.02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163,094,999.26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99,216,574.05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111,429,279.08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87,206,564.03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28,414,426.37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18,778,218.10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60,425,311.16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31,488,540.76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363,364,015.87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236,689,896.94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36,105,457.69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38,325,953.08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3,010,627.95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1,080,175.37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41,640,627.95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1,080,175.37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65,958,555.91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45,061,852.59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96,748,300.00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23,117,159.49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240,500,715.40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141,810,152.59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-198,860,087.45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-140,729,977.22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248,839,900.00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431,139,900.00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11,019,475.00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9,785,973.35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168,548,417.00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234,567,892.00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9,785,973.35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196,572,008.00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45,214,026.65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-1,165.58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33,816,212.66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-57,189,998.88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59,140,818.95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116,330,817.83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92,957,031.61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59,140,818.95</w:t>
            </w:r>
          </w:p>
        </w:tc>
      </w:tr>
    </w:tbl>
    <w:p>
      <w:pPr>
        <w:spacing w:line="240" w:lineRule="auto" w:before="10"/>
        <w:rPr>
          <w:rFonts w:ascii="Times New Roman" w:hAnsi="Times New Roman" w:cs="Times New Roman" w:eastAsia="Times New Roman" w:hint="default"/>
          <w:sz w:val="21"/>
          <w:szCs w:val="21"/>
        </w:rPr>
      </w:pPr>
    </w:p>
    <w:p>
      <w:pPr>
        <w:spacing w:before="35"/>
        <w:ind w:left="1134" w:right="1073" w:firstLine="0"/>
        <w:jc w:val="left"/>
        <w:rPr>
          <w:rFonts w:ascii="宋体" w:hAnsi="宋体" w:cs="宋体" w:eastAsia="宋体" w:hint="default"/>
          <w:sz w:val="21"/>
          <w:szCs w:val="21"/>
        </w:rPr>
      </w:pPr>
      <w:bookmarkStart w:name="6、母公司现金流量表" w:id="154"/>
      <w:bookmarkEnd w:id="15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149,009,052.32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162,935,088.67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107,969.77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18,622,730.02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7,090,087.78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167,739,752.11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170,025,176.45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44,464,868.73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58,876,592.38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63,266,028.34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67,075,066.13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17,337,714.14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10,545,019.78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19,837,430.27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16,054,070.70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144,906,041.48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152,550,748.99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22,833,710.63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17,474,427.46</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100,836,020.51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40,548,705.23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131,636,020.51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40,548,705.23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46,128,627.34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26,585,112.57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90,629,300.00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39,788,840.00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10,007,910.00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94,521,149.15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14,694,089.34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182,938,616.49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141,916,411.91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-51,302,595.98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-101,367,706.68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11,019,475.00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9,785,973.35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168,548,417.00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234,567,892.00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9,785,973.35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44,732,108.00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45,214,026.65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16,263,222.65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-38,679,252.57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43,195,740.96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81,874,993.53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59,458,963.61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43,195,740.96</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414" w:top="1260" w:bottom="1160" w:left="0" w:right="0"/>
        </w:sectPr>
      </w:pPr>
    </w:p>
    <w:p>
      <w:pPr>
        <w:spacing w:line="240" w:lineRule="auto" w:before="9"/>
        <w:rPr>
          <w:rFonts w:ascii="Times New Roman" w:hAnsi="Times New Roman" w:cs="Times New Roman" w:eastAsia="Times New Roman" w:hint="default"/>
          <w:sz w:val="10"/>
          <w:szCs w:val="10"/>
        </w:rPr>
      </w:pPr>
    </w:p>
    <w:p>
      <w:pPr>
        <w:spacing w:before="35"/>
        <w:ind w:left="1134" w:right="1073" w:firstLine="0"/>
        <w:jc w:val="left"/>
        <w:rPr>
          <w:rFonts w:ascii="宋体" w:hAnsi="宋体" w:cs="宋体" w:eastAsia="宋体" w:hint="default"/>
          <w:sz w:val="21"/>
          <w:szCs w:val="21"/>
        </w:rPr>
      </w:pPr>
      <w:bookmarkStart w:name="7、合并所有者权益变动表" w:id="155"/>
      <w:bookmarkEnd w:id="15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本期金额</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350.08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161,127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,686.55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706,718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301,913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,000.71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350.08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161,127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,686.55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706,718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301,913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,000.71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158,947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1,227,9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20,426,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712.31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pacing w:val="-3"/>
                <w:sz w:val="18"/>
              </w:rPr>
              <w:t>1,111,8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81.25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211,714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,188.02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31,254,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698.39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-1,888,1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29,366,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579.64</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158,947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,608.38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191,947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,608.38</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137,468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,281.40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167,468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,281.40</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326.98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21,479,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326.98</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79" w:header="414" w:top="1260" w:bottom="1160" w:left="0" w:right="0"/>
          <w:pgNumType w:start="101"/>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1,227,9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-10,827,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986.08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1,227,9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-1,227,9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188,827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336.16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181,554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1,818,5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513,627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,188.73</w:t>
            </w:r>
          </w:p>
        </w:tc>
      </w:tr>
    </w:tbl>
    <w:p>
      <w:pPr>
        <w:spacing w:before="51"/>
        <w:ind w:left="1134" w:right="107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245.78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398.76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129,661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,894.51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775,076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pacing w:val="-3"/>
                <w:sz w:val="18"/>
              </w:rPr>
              <w:t>264,111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,615.75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245.78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129,661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,894.51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775,076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pacing w:val="-3"/>
                <w:sz w:val="18"/>
              </w:rPr>
              <w:t>264,111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,615.75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31,465,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792.04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-68,358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37,801,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384.96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46,169,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543.67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-68,358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46,101,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185.27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-14,703,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751.63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-8,299,8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51.32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-8,299,8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-8,299,8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00.31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245.78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161,127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,686.55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706,718</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301,913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,000.71</w:t>
            </w:r>
          </w:p>
        </w:tc>
      </w:tr>
    </w:tbl>
    <w:p>
      <w:pPr>
        <w:spacing w:line="240" w:lineRule="auto" w:before="10"/>
        <w:rPr>
          <w:rFonts w:ascii="Times New Roman" w:hAnsi="Times New Roman" w:cs="Times New Roman" w:eastAsia="Times New Roman" w:hint="default"/>
          <w:sz w:val="21"/>
          <w:szCs w:val="21"/>
        </w:rPr>
      </w:pPr>
    </w:p>
    <w:p>
      <w:pPr>
        <w:spacing w:before="35"/>
        <w:ind w:left="1134" w:right="1073" w:firstLine="0"/>
        <w:jc w:val="left"/>
        <w:rPr>
          <w:rFonts w:ascii="宋体" w:hAnsi="宋体" w:cs="宋体" w:eastAsia="宋体" w:hint="default"/>
          <w:sz w:val="21"/>
          <w:szCs w:val="21"/>
        </w:rPr>
      </w:pPr>
      <w:bookmarkStart w:name="8、母公司所有者权益变动表" w:id="156"/>
      <w:bookmarkEnd w:id="15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本期金额</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30,325,38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158,313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,442.29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298,837,1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73.47</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30,325,38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158,313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,442.29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298,837,1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73.47</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158,947,6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2,679,8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191,627,4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12,279,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12,279,86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158,947,6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188,947,6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137,468,2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167,468,2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21,479,32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21,479,32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6.98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189,272,9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160,993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,303.09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490,464,6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42.65</w:t>
            </w:r>
          </w:p>
        </w:tc>
      </w:tr>
    </w:tbl>
    <w:p>
      <w:pPr>
        <w:spacing w:before="51"/>
        <w:ind w:left="1134" w:right="107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30,325,38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13,794,39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108,977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,680.77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243,097,4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60.63</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30,325,38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13,794,39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108,977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,680.77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243,097,4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60.63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6,403,951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49,335,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761.52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55,739,71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513.15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64,039,51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6,403,951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751.63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-8,299,80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6,403,951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-6,403,9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51.32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-8,299,8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-8,299,80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30,325,38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20,198,35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158,313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,442.29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298,837,1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73.47</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1073"/>
        <w:jc w:val="left"/>
        <w:rPr>
          <w:b w:val="0"/>
          <w:bCs w:val="0"/>
        </w:rPr>
      </w:pPr>
      <w:bookmarkStart w:name="三、公司基本情况" w:id="157"/>
      <w:bookmarkEnd w:id="157"/>
      <w:r>
        <w:rPr>
          <w:b w:val="0"/>
          <w:bCs w:val="0"/>
        </w:rPr>
      </w:r>
      <w:r>
        <w:rPr/>
        <w:t>三、公司基本情况</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1613" w:right="0"/>
        <w:jc w:val="left"/>
      </w:pPr>
      <w:r>
        <w:rPr/>
        <w:t>截至</w:t>
      </w:r>
      <w:r>
        <w:rPr>
          <w:spacing w:val="-7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w:t>
      </w:r>
      <w:r>
        <w:rPr>
          <w:spacing w:val="-120"/>
        </w:rPr>
        <w:t>，</w:t>
      </w:r>
      <w:r>
        <w:rPr/>
        <w:t>中文在线数字集团出版股份有限公司股本及股权结构情况如下：</w:t>
      </w:r>
    </w:p>
    <w:p>
      <w:pPr>
        <w:spacing w:line="240" w:lineRule="auto" w:before="4"/>
        <w:rPr>
          <w:rFonts w:ascii="宋体" w:hAnsi="宋体" w:cs="宋体" w:eastAsia="宋体" w:hint="default"/>
          <w:sz w:val="19"/>
          <w:szCs w:val="19"/>
        </w:rPr>
      </w:pPr>
    </w:p>
    <w:tbl>
      <w:tblPr>
        <w:tblW w:w="0" w:type="auto"/>
        <w:jc w:val="left"/>
        <w:tblInd w:w="1021" w:type="dxa"/>
        <w:tblLayout w:type="fixed"/>
        <w:tblCellMar>
          <w:top w:w="0" w:type="dxa"/>
          <w:left w:w="0" w:type="dxa"/>
          <w:bottom w:w="0" w:type="dxa"/>
          <w:right w:w="0" w:type="dxa"/>
        </w:tblCellMar>
        <w:tblLook w:val="01E0"/>
      </w:tblPr>
      <w:tblGrid>
        <w:gridCol w:w="3593"/>
        <w:gridCol w:w="3258"/>
        <w:gridCol w:w="3004"/>
      </w:tblGrid>
      <w:tr>
        <w:trPr>
          <w:trHeight w:val="322" w:hRule="exact"/>
        </w:trPr>
        <w:tc>
          <w:tcPr>
            <w:tcW w:w="3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22"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90,000,000.00</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75.00</w:t>
            </w:r>
          </w:p>
        </w:tc>
      </w:tr>
      <w:tr>
        <w:trPr>
          <w:trHeight w:val="322"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限售条件股份</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120,000,000.00</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13"/>
          <w:szCs w:val="13"/>
        </w:rPr>
      </w:pPr>
    </w:p>
    <w:p>
      <w:pPr>
        <w:pStyle w:val="BodyText"/>
        <w:spacing w:line="357" w:lineRule="auto" w:before="26"/>
        <w:ind w:left="1134" w:right="995" w:firstLine="480"/>
        <w:jc w:val="left"/>
      </w:pPr>
      <w:r>
        <w:rPr/>
        <w:t>本公司设有股东大会、董事会、监事会、总经理、财务总监，制定了相应的议事规程。 </w:t>
      </w:r>
      <w:r>
        <w:rPr>
          <w:spacing w:val="-3"/>
        </w:rPr>
        <w:t>本公司下设无线事业部、法律服务中心、政府与公共服务事业部、互联网事业部、内容中心、</w:t>
      </w:r>
      <w:r>
        <w:rPr>
          <w:spacing w:val="-81"/>
        </w:rPr>
        <w:t> </w:t>
      </w:r>
      <w:r>
        <w:rPr>
          <w:spacing w:val="-81"/>
        </w:rPr>
      </w:r>
      <w:r>
        <w:rPr>
          <w:spacing w:val="-3"/>
        </w:rPr>
        <w:t>版权中心、研发中心、市场中心、人力行政中心、财务部、内审部、证券投资部等职能部门。</w:t>
      </w:r>
    </w:p>
    <w:p>
      <w:pPr>
        <w:pStyle w:val="BodyText"/>
        <w:spacing w:line="240" w:lineRule="auto" w:before="192"/>
        <w:ind w:right="1073"/>
        <w:jc w:val="left"/>
      </w:pPr>
      <w:r>
        <w:rPr/>
        <w:t>本公司合并财务报表范围包括：</w:t>
      </w:r>
    </w:p>
    <w:p>
      <w:pPr>
        <w:spacing w:line="240" w:lineRule="auto" w:before="9"/>
        <w:rPr>
          <w:rFonts w:ascii="宋体" w:hAnsi="宋体" w:cs="宋体" w:eastAsia="宋体" w:hint="default"/>
          <w:sz w:val="23"/>
          <w:szCs w:val="23"/>
        </w:rPr>
      </w:pPr>
    </w:p>
    <w:p>
      <w:pPr>
        <w:pStyle w:val="BodyText"/>
        <w:spacing w:line="357" w:lineRule="auto"/>
        <w:ind w:left="1134" w:right="1049" w:firstLine="480"/>
        <w:jc w:val="both"/>
      </w:pPr>
      <w:r>
        <w:rPr/>
        <w:t>北京中文在线文化传媒有限公司、上海中文在线文化发展有限公司、杭州中文在线信息 科技有限公司、北京中文在线教育科技发展有限公司、广州市四月天信息科技有限公司、湖 北中文在线数字出版有限公司、中文在线教育集团有限公司、北京汤圆和它的小伙伴们网络 科技有限公司、北京中文万维科技有限公司、北京鸿达以太文化发展有限公司共</w:t>
      </w:r>
      <w:r>
        <w:rPr>
          <w:spacing w:val="-59"/>
        </w:rPr>
        <w:t> </w:t>
      </w:r>
      <w:r>
        <w:rPr>
          <w:rFonts w:ascii="Times New Roman" w:hAnsi="Times New Roman" w:cs="Times New Roman" w:eastAsia="Times New Roman" w:hint="default"/>
        </w:rPr>
        <w:t>10 </w:t>
      </w:r>
      <w:r>
        <w:rPr/>
        <w:t>家公司。</w:t>
      </w:r>
    </w:p>
    <w:p>
      <w:pPr>
        <w:spacing w:line="240" w:lineRule="auto" w:before="6"/>
        <w:rPr>
          <w:rFonts w:ascii="宋体" w:hAnsi="宋体" w:cs="宋体" w:eastAsia="宋体" w:hint="default"/>
          <w:sz w:val="17"/>
          <w:szCs w:val="17"/>
        </w:rPr>
      </w:pPr>
    </w:p>
    <w:p>
      <w:pPr>
        <w:pStyle w:val="Heading2"/>
        <w:spacing w:line="240" w:lineRule="auto" w:before="0"/>
        <w:ind w:right="1073"/>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编制基础" w:id="159"/>
      <w:bookmarkEnd w:id="1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left="1134" w:right="1131" w:firstLine="480"/>
        <w:jc w:val="both"/>
      </w:pPr>
      <w:r>
        <w:rPr>
          <w:spacing w:val="-6"/>
        </w:rPr>
        <w:t>本公司财务报表以持续经营为基础，根据实际发生的交易和事项，按照财政部颁布的《企</w:t>
      </w:r>
      <w:r>
        <w:rPr/>
        <w:t> 业会计准则》及相关规定，并基于本附注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 计估计编制。</w:t>
      </w:r>
    </w:p>
    <w:p>
      <w:pPr>
        <w:spacing w:line="240" w:lineRule="auto" w:before="4"/>
        <w:rPr>
          <w:rFonts w:ascii="宋体" w:hAnsi="宋体" w:cs="宋体" w:eastAsia="宋体" w:hint="default"/>
          <w:sz w:val="22"/>
          <w:szCs w:val="22"/>
        </w:rPr>
      </w:pPr>
    </w:p>
    <w:p>
      <w:pPr>
        <w:spacing w:before="0"/>
        <w:ind w:left="1134" w:right="1073" w:firstLine="0"/>
        <w:jc w:val="left"/>
        <w:rPr>
          <w:rFonts w:ascii="宋体" w:hAnsi="宋体" w:cs="宋体" w:eastAsia="宋体" w:hint="default"/>
          <w:sz w:val="21"/>
          <w:szCs w:val="21"/>
        </w:rPr>
      </w:pPr>
      <w:bookmarkStart w:name="2、持续经营" w:id="160"/>
      <w:bookmarkEnd w:id="1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52" w:firstLine="480"/>
        <w:jc w:val="left"/>
      </w:pPr>
      <w:r>
        <w:rPr/>
        <w:t>本公司有近期获利经营的历史且有财务资源支持，以持续经营为基础编制财务报表是合 理的。</w:t>
      </w:r>
    </w:p>
    <w:p>
      <w:pPr>
        <w:spacing w:line="240" w:lineRule="auto" w:before="11"/>
        <w:rPr>
          <w:rFonts w:ascii="宋体" w:hAnsi="宋体" w:cs="宋体" w:eastAsia="宋体" w:hint="default"/>
          <w:sz w:val="19"/>
          <w:szCs w:val="19"/>
        </w:rPr>
      </w:pPr>
    </w:p>
    <w:p>
      <w:pPr>
        <w:spacing w:line="528" w:lineRule="auto" w:before="0"/>
        <w:ind w:left="1614" w:right="6912" w:hanging="480"/>
        <w:jc w:val="left"/>
        <w:rPr>
          <w:rFonts w:ascii="宋体" w:hAnsi="宋体" w:cs="宋体" w:eastAsia="宋体" w:hint="default"/>
          <w:sz w:val="24"/>
          <w:szCs w:val="24"/>
        </w:rPr>
      </w:pPr>
      <w:bookmarkStart w:name="五、重要会计政策及会计估计" w:id="161"/>
      <w:bookmarkEnd w:id="161"/>
      <w:r>
        <w:rPr/>
      </w: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spacing w:after="0" w:line="528" w:lineRule="auto"/>
        <w:jc w:val="left"/>
        <w:rPr>
          <w:rFonts w:ascii="宋体" w:hAnsi="宋体" w:cs="宋体" w:eastAsia="宋体" w:hint="default"/>
          <w:sz w:val="24"/>
          <w:szCs w:val="24"/>
        </w:rPr>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3" w:right="1170" w:firstLine="480"/>
        <w:jc w:val="left"/>
      </w:pPr>
      <w:r>
        <w:rPr/>
        <w:t>本公司根据实际生产经营特点制定的具体会计政策和会计估计包括应收款项坏账准备的 确认和计量、固定资产分类及折旧方法、无形资产</w:t>
      </w:r>
      <w:r>
        <w:rPr>
          <w:rFonts w:ascii="Times New Roman" w:hAnsi="Times New Roman" w:cs="Times New Roman" w:eastAsia="Times New Roman" w:hint="default"/>
        </w:rPr>
        <w:t>-</w:t>
      </w:r>
      <w:r>
        <w:rPr/>
        <w:t>版权摊销方法、收入确认等。</w:t>
      </w:r>
    </w:p>
    <w:p>
      <w:pPr>
        <w:spacing w:line="240" w:lineRule="auto" w:before="4"/>
        <w:rPr>
          <w:rFonts w:ascii="宋体" w:hAnsi="宋体" w:cs="宋体" w:eastAsia="宋体" w:hint="default"/>
          <w:sz w:val="19"/>
          <w:szCs w:val="19"/>
        </w:rPr>
      </w:pPr>
    </w:p>
    <w:p>
      <w:pPr>
        <w:spacing w:before="0"/>
        <w:ind w:left="1133" w:right="1073" w:firstLine="0"/>
        <w:jc w:val="left"/>
        <w:rPr>
          <w:rFonts w:ascii="宋体" w:hAnsi="宋体" w:cs="宋体" w:eastAsia="宋体" w:hint="default"/>
          <w:sz w:val="21"/>
          <w:szCs w:val="21"/>
        </w:rPr>
      </w:pPr>
      <w:bookmarkStart w:name="1、遵循企业会计准则的声明" w:id="162"/>
      <w:bookmarkEnd w:id="1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995" w:firstLine="480"/>
        <w:jc w:val="left"/>
      </w:pPr>
      <w:r>
        <w:rPr>
          <w:spacing w:val="-3"/>
        </w:rPr>
        <w:t>本公司编制的财务报表符合企业会计准则的要求，真实完整地反映了本公司的财务状况、</w:t>
      </w:r>
      <w:r>
        <w:rPr/>
        <w:t> 经营成果和现金流量等有关信息。</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2、会计期间"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本公司的会计期间为公历</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营业周期" w:id="164"/>
      <w:bookmarkEnd w:id="1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本公司以</w:t>
      </w:r>
      <w:r>
        <w:rPr>
          <w:spacing w:val="-60"/>
        </w:rPr>
        <w:t> </w:t>
      </w:r>
      <w:r>
        <w:rPr>
          <w:rFonts w:ascii="Times New Roman" w:hAnsi="Times New Roman" w:cs="Times New Roman" w:eastAsia="Times New Roman" w:hint="default"/>
        </w:rPr>
        <w:t>12 </w:t>
      </w:r>
      <w:r>
        <w:rPr/>
        <w:t>个月作为一个营业周期。</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4、记账本位币"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本公司以人民币为记账本位币。</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同一控制下和非同一控制下企业合并的会计处理方法" w:id="166"/>
      <w:bookmarkEnd w:id="1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70" w:firstLine="480"/>
        <w:jc w:val="both"/>
      </w:pPr>
      <w:r>
        <w:rPr/>
        <w:t>本公司作为合并方，在同一控制下企业合并中取得的资产和负债，在合并日按被合并方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BodyText"/>
        <w:spacing w:line="357" w:lineRule="auto" w:before="192"/>
        <w:ind w:left="1133" w:right="1036" w:firstLine="480"/>
        <w:jc w:val="left"/>
      </w:pPr>
      <w:r>
        <w:rPr/>
        <w:t>在非同一控制下企业合并中取得的被购买方可辨认资产、负债及或有负债在收购日以公 允价值计量。合并成本为本公司在购买日为取得对被购买方的控制权而支付的现金或非现金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 </w:t>
      </w:r>
      <w:r>
        <w:rPr>
          <w:spacing w:val="-3"/>
        </w:rPr>
        <w:t>和）。合并成本大于合并中取得的被购买方可辨认净资产公允价值份额的差额，确认为商誉；</w:t>
      </w:r>
      <w:r>
        <w:rPr>
          <w:spacing w:val="-117"/>
        </w:rPr>
        <w:t> </w:t>
      </w:r>
      <w:r>
        <w:rPr>
          <w:spacing w:val="-117"/>
        </w:rPr>
      </w:r>
      <w:r>
        <w:rPr/>
        <w:t>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spacing w:after="0" w:line="357"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6、合并财务报表的编制方法" w:id="167"/>
      <w:bookmarkEnd w:id="16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620" w:lineRule="atLeast" w:before="70"/>
        <w:ind w:left="1613" w:right="1153"/>
        <w:jc w:val="left"/>
      </w:pPr>
      <w:r>
        <w:rPr/>
        <w:t>本公司将所有控制的子公司纳入合并财务报表范围。 在编制合并财务报表时，子公司与本公司采用的会计政策或会计期间不一致的，按照本</w:t>
      </w:r>
    </w:p>
    <w:p>
      <w:pPr>
        <w:pStyle w:val="BodyText"/>
        <w:spacing w:line="240" w:lineRule="auto" w:before="154"/>
        <w:ind w:left="1133" w:right="1073"/>
        <w:jc w:val="left"/>
      </w:pPr>
      <w:r>
        <w:rPr/>
        <w:t>公司的会计政策或会计期间对子公司财务报表进行必要的调整。</w:t>
      </w:r>
    </w:p>
    <w:p>
      <w:pPr>
        <w:spacing w:line="240" w:lineRule="auto" w:before="9"/>
        <w:rPr>
          <w:rFonts w:ascii="宋体" w:hAnsi="宋体" w:cs="宋体" w:eastAsia="宋体" w:hint="default"/>
          <w:sz w:val="23"/>
          <w:szCs w:val="23"/>
        </w:rPr>
      </w:pPr>
    </w:p>
    <w:p>
      <w:pPr>
        <w:pStyle w:val="BodyText"/>
        <w:spacing w:line="350" w:lineRule="auto"/>
        <w:ind w:left="1133" w:right="1131" w:firstLine="480"/>
        <w:jc w:val="both"/>
      </w:pPr>
      <w:r>
        <w:rPr/>
        <w:t>合并范围内的所有重大内部交易、往来余额及未实现利润在合并报表编制时予以抵销。 子公司的所有者权益中不属于母公司的份额以及当期净损益、其他综合收益及综合收益总额 </w:t>
      </w:r>
      <w:r>
        <w:rPr>
          <w:spacing w:val="-2"/>
        </w:rPr>
        <w:t>中属于少数股东权益的份额，分别在合并财务报表</w:t>
      </w:r>
      <w:r>
        <w:rPr>
          <w:rFonts w:ascii="Times New Roman" w:hAnsi="Times New Roman" w:cs="Times New Roman" w:eastAsia="Times New Roman" w:hint="default"/>
          <w:spacing w:val="-2"/>
        </w:rPr>
        <w:t>“</w:t>
      </w:r>
      <w:r>
        <w:rPr>
          <w:spacing w:val="-2"/>
        </w:rPr>
        <w:t>少数股东权益、少数股东损益、归属于少</w:t>
      </w:r>
      <w:r>
        <w:rPr>
          <w:spacing w:val="-107"/>
        </w:rPr>
        <w:t> </w:t>
      </w:r>
      <w:r>
        <w:rPr>
          <w:spacing w:val="-107"/>
        </w:rPr>
      </w:r>
      <w:r>
        <w:rPr/>
        <w:t>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357" w:lineRule="auto" w:before="169"/>
        <w:ind w:left="1133" w:right="1170" w:firstLine="480"/>
        <w:jc w:val="both"/>
      </w:pPr>
      <w:r>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BodyText"/>
        <w:spacing w:line="357" w:lineRule="auto" w:before="192"/>
        <w:ind w:left="1133" w:right="1169" w:firstLine="480"/>
        <w:jc w:val="both"/>
      </w:pPr>
      <w:r>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BodyText"/>
        <w:spacing w:line="357" w:lineRule="auto" w:before="192"/>
        <w:ind w:left="1133" w:right="995" w:firstLine="480"/>
        <w:jc w:val="left"/>
      </w:pPr>
      <w:r>
        <w:rPr>
          <w:spacing w:val="-3"/>
        </w:rPr>
        <w:t>本公司在不丧失控制权的情况下部分处置对子公司的长期股权投资，在合并财务报表中，</w:t>
      </w:r>
      <w:r>
        <w:rPr/>
        <w:t> 处置价款与处置长期股权投资相对应享有子公司自购买日或合并日开始持续计算的净资产份 额之间的差额，调整资本溢价或股本溢价，资本公积不足冲减的，调整留存收益。</w:t>
      </w:r>
    </w:p>
    <w:p>
      <w:pPr>
        <w:pStyle w:val="BodyText"/>
        <w:spacing w:line="357" w:lineRule="auto" w:before="192"/>
        <w:ind w:left="1133" w:right="1169" w:firstLine="480"/>
        <w:jc w:val="both"/>
      </w:pPr>
      <w:r>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r>
        <w:rPr>
          <w:spacing w:val="1"/>
        </w:rPr>
        <w:t> </w:t>
      </w:r>
      <w:r>
        <w:rPr/>
        <w:t>。</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7、合营安排分类及共同经营会计处理方法" w:id="168"/>
      <w:bookmarkEnd w:id="16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0" w:firstLine="0"/>
        <w:jc w:val="both"/>
        <w:rPr>
          <w:rFonts w:ascii="宋体" w:hAnsi="宋体" w:cs="宋体" w:eastAsia="宋体" w:hint="default"/>
          <w:sz w:val="21"/>
          <w:szCs w:val="21"/>
        </w:rPr>
      </w:pPr>
      <w:bookmarkStart w:name="8、现金及现金等价物的确定标准" w:id="169"/>
      <w:bookmarkEnd w:id="1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left="1134" w:right="1171" w:firstLine="480"/>
        <w:jc w:val="both"/>
      </w:pPr>
      <w:r>
        <w:rPr/>
        <w:t>本公司现金流量表之现金指库存现金以及可以随时用于支付的存款。现金流量表之现金 等价物指持有期限不超过</w:t>
      </w:r>
      <w:r>
        <w:rPr>
          <w:spacing w:val="-60"/>
        </w:rPr>
        <w:t> </w:t>
      </w:r>
      <w:r>
        <w:rPr>
          <w:rFonts w:ascii="Times New Roman" w:hAnsi="Times New Roman" w:cs="Times New Roman" w:eastAsia="Times New Roman" w:hint="default"/>
        </w:rPr>
        <w:t>3 </w:t>
      </w:r>
      <w:r>
        <w:rPr/>
        <w:t>个月、流动性强、易于转换为已知金额现金且价值变动风险很小 的投资。</w:t>
      </w:r>
    </w:p>
    <w:p>
      <w:pPr>
        <w:spacing w:line="240" w:lineRule="auto" w:before="4"/>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9、外币业务和外币报表折算" w:id="170"/>
      <w:bookmarkEnd w:id="17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51" w:lineRule="auto"/>
        <w:ind w:right="1152"/>
        <w:jc w:val="left"/>
      </w:pPr>
      <w:r>
        <w:rPr/>
        <w:t>（</w:t>
      </w:r>
      <w:r>
        <w:rPr>
          <w:rFonts w:ascii="Times New Roman" w:hAnsi="Times New Roman" w:cs="Times New Roman" w:eastAsia="Times New Roman" w:hint="default"/>
        </w:rPr>
        <w:t>1</w:t>
      </w:r>
      <w:r>
        <w:rPr/>
        <w:t>）外币交易 本公司外币交易按交易发生日的即期汇率将外币金额折算为人民币金额。于资产负债表</w:t>
      </w:r>
    </w:p>
    <w:p>
      <w:pPr>
        <w:pStyle w:val="BodyText"/>
        <w:spacing w:line="257" w:lineRule="exact"/>
        <w:ind w:left="1134" w:right="0"/>
        <w:jc w:val="both"/>
      </w:pPr>
      <w:r>
        <w:rPr/>
        <w:t>日，外币货币性项目采用资产负债表日的即期汇率折算为人民币，所产生的折算差额除了为</w:t>
      </w:r>
    </w:p>
    <w:p>
      <w:pPr>
        <w:pStyle w:val="BodyText"/>
        <w:spacing w:line="357" w:lineRule="auto" w:before="154"/>
        <w:ind w:left="1134" w:right="1170"/>
        <w:jc w:val="both"/>
      </w:pPr>
      <w:r>
        <w:rPr/>
        <w:t>购建或生产符合资本化条件的资产而借入的外币专门借款产生的汇兑差额按资本化的原则处 理外，直接计入当期损益。以公允价值计量的外币非货币性项目，采用公允价值确定日的即 期汇率折算为人民币，所产生的折算差额，作为公允价值变动直接计入当期损益。以历史成 本计量的外币非货币性项目，仍采用交易发生日的即期汇率折算，不改变其人民币金额。</w:t>
      </w:r>
    </w:p>
    <w:p>
      <w:pPr>
        <w:pStyle w:val="BodyText"/>
        <w:spacing w:line="451" w:lineRule="auto" w:before="192"/>
        <w:ind w:left="1613" w:right="1153"/>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w:t>
      </w:r>
    </w:p>
    <w:p>
      <w:pPr>
        <w:pStyle w:val="BodyText"/>
        <w:spacing w:line="275" w:lineRule="exact"/>
        <w:ind w:left="1134" w:right="0"/>
        <w:jc w:val="both"/>
      </w:pPr>
      <w:r>
        <w:rPr/>
        <w:t>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外，均按业务发生时的即期汇率折算；利润表中的收入与费用项目，采</w:t>
      </w:r>
    </w:p>
    <w:p>
      <w:pPr>
        <w:pStyle w:val="BodyText"/>
        <w:spacing w:line="357" w:lineRule="auto" w:before="135"/>
        <w:ind w:left="1134" w:right="1170"/>
        <w:jc w:val="both"/>
      </w:pPr>
      <w:r>
        <w:rPr/>
        <w:t>用交易发生日的即期汇率折算。上述折算产生的外币报表折算差额，在所有者权益项目下单 独列示。外币现金流量采用现金流量发生日的即期汇率折算。汇率变动对现金的影响额，在 现金流量表中单独列示。</w:t>
      </w:r>
    </w:p>
    <w:p>
      <w:pPr>
        <w:spacing w:line="240" w:lineRule="auto" w:before="8"/>
        <w:rPr>
          <w:rFonts w:ascii="宋体" w:hAnsi="宋体" w:cs="宋体" w:eastAsia="宋体" w:hint="default"/>
          <w:sz w:val="21"/>
          <w:szCs w:val="21"/>
        </w:rPr>
      </w:pPr>
    </w:p>
    <w:p>
      <w:pPr>
        <w:spacing w:before="0"/>
        <w:ind w:left="1134" w:right="0" w:firstLine="0"/>
        <w:jc w:val="both"/>
        <w:rPr>
          <w:rFonts w:ascii="宋体" w:hAnsi="宋体" w:cs="宋体" w:eastAsia="宋体" w:hint="default"/>
          <w:sz w:val="21"/>
          <w:szCs w:val="21"/>
        </w:rPr>
      </w:pPr>
      <w:bookmarkStart w:name="10、金融工具" w:id="171"/>
      <w:bookmarkEnd w:id="17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本公司成为金融工具合同的一方时确认一项金融资产或金融负债。</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t>（</w:t>
      </w:r>
      <w:r>
        <w:rPr>
          <w:rFonts w:ascii="Times New Roman" w:hAnsi="Times New Roman" w:cs="Times New Roman" w:eastAsia="Times New Roman" w:hint="default"/>
        </w:rPr>
        <w:t>1</w:t>
      </w:r>
      <w:r>
        <w:rPr/>
        <w:t>）金融资产</w:t>
      </w:r>
    </w:p>
    <w:p>
      <w:pPr>
        <w:spacing w:line="240" w:lineRule="auto" w:before="4"/>
        <w:rPr>
          <w:rFonts w:ascii="宋体" w:hAnsi="宋体" w:cs="宋体" w:eastAsia="宋体" w:hint="default"/>
          <w:sz w:val="22"/>
          <w:szCs w:val="22"/>
        </w:rPr>
      </w:pPr>
    </w:p>
    <w:p>
      <w:pPr>
        <w:pStyle w:val="BodyText"/>
        <w:spacing w:line="451" w:lineRule="auto"/>
        <w:ind w:left="1613" w:right="1153"/>
        <w:jc w:val="left"/>
      </w:pPr>
      <w:r>
        <w:rPr>
          <w:rFonts w:ascii="Times New Roman" w:hAnsi="Times New Roman" w:cs="Times New Roman" w:eastAsia="Times New Roman" w:hint="default"/>
        </w:rPr>
        <w:t>A.</w:t>
      </w:r>
      <w:r>
        <w:rPr/>
        <w:t>金融资产分类、确认依据和计量方法 本公司按投资目的和经济实质对拥有的金融资产分类为以公允价值计量且其变动计入当</w:t>
      </w:r>
    </w:p>
    <w:p>
      <w:pPr>
        <w:pStyle w:val="BodyText"/>
        <w:spacing w:line="257" w:lineRule="exact"/>
        <w:ind w:left="1133" w:right="0"/>
        <w:jc w:val="both"/>
      </w:pPr>
      <w:r>
        <w:rPr/>
        <w:t>期损益的金融资产、持有至到期投资、应收款项及可供出售金融资产。</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t>以公允价值计量且其变动计入当期损益的金融资产，包括交易性金融资产和在初始确认</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995"/>
        <w:jc w:val="left"/>
      </w:pPr>
      <w:r>
        <w:rPr/>
        <w:t>时指定为以公允价值计量且其变动计入当期损益的金融资产。对此类金融资产，采用公允价 值进行后续计量。公允价值变动计入公允价值变动损益；在资产持有期间所取得的利息或现 </w:t>
      </w:r>
      <w:r>
        <w:rPr>
          <w:spacing w:val="-3"/>
        </w:rPr>
        <w:t>金股利，确认为投资收益；处置时，其公允价值与初始入账金额之间的差额确认为投资损益，</w:t>
      </w:r>
      <w:r>
        <w:rPr>
          <w:spacing w:val="-81"/>
        </w:rPr>
        <w:t> </w:t>
      </w:r>
      <w:r>
        <w:rPr>
          <w:spacing w:val="-81"/>
        </w:rPr>
      </w:r>
      <w:r>
        <w:rPr/>
        <w:t>同时调整公允价值变动损益。</w:t>
      </w:r>
    </w:p>
    <w:p>
      <w:pPr>
        <w:pStyle w:val="BodyText"/>
        <w:spacing w:line="357" w:lineRule="auto" w:before="192"/>
        <w:ind w:left="1134" w:right="1169" w:firstLine="480"/>
        <w:jc w:val="both"/>
      </w:pPr>
      <w:r>
        <w:rPr/>
        <w:t>持有至到期投资，是指到期日固定、回收金额固定或可确定，且本公司有明确意图和能 力持有至到期的非衍生金融资产。持有至到期投资采用实际利率法，按照摊余成本进行后续 计量，其摊销或减值以及终止确认产生的利得或损失，均计入当期损益。</w:t>
      </w:r>
    </w:p>
    <w:p>
      <w:pPr>
        <w:pStyle w:val="BodyText"/>
        <w:spacing w:line="240" w:lineRule="auto" w:before="192"/>
        <w:ind w:left="1613" w:right="1073"/>
        <w:jc w:val="left"/>
      </w:pPr>
      <w:r>
        <w:rPr/>
        <w:t>应收款项，是指在活跃市场中没有报价，回收金额固定或可确定的非衍生金融资产。</w:t>
      </w:r>
    </w:p>
    <w:p>
      <w:pPr>
        <w:spacing w:line="240" w:lineRule="auto" w:before="9"/>
        <w:rPr>
          <w:rFonts w:ascii="宋体" w:hAnsi="宋体" w:cs="宋体" w:eastAsia="宋体" w:hint="default"/>
          <w:sz w:val="23"/>
          <w:szCs w:val="23"/>
        </w:rPr>
      </w:pPr>
    </w:p>
    <w:p>
      <w:pPr>
        <w:pStyle w:val="BodyText"/>
        <w:spacing w:line="357" w:lineRule="auto"/>
        <w:ind w:left="1133" w:right="995" w:firstLine="480"/>
        <w:jc w:val="left"/>
      </w:pPr>
      <w:r>
        <w:rPr/>
        <w:t>可供出售金融资产，是指初始确认时即被指定为可供出售的非衍生金融资产，以及未被 划分为其他类的金融资产。这类资产中，在活跃市场中没有报价且其公允价值不能可靠计量 的权益工具投资以及与该权益工具挂钩并须通过交付该权益工具结算的衍生金融资产，按成 </w:t>
      </w:r>
      <w:r>
        <w:rPr>
          <w:spacing w:val="-2"/>
        </w:rPr>
        <w:t>本进行后续计量；其他存在活跃市场报价或虽没有活跃市场报价但公允价值能够可靠计量的，</w:t>
      </w:r>
      <w:r>
        <w:rPr/>
        <w:t> 按公允价值计量，公允价值变动计入其他综合收益。对于此类金融资产采用公允价值进行后 续计量，除减值损失及外币货币性金融资产形成的汇兑损益外，可供出售金融资产公允价值 变动直接计入股东权益，待该金融资产终止确认时，原直接计入权益的公允价值变动累计额 转入当期损益。可供出售债务工具投资在持有期间按实际利率法计算的利息，以及被投资单 位宣告发放的与可供出售权益工具投资相关的现金股利，作为投资收益计入当期损益。对于 在活跃市场中没有报价且其公允价值不能可靠计量的权益工具投资，按成本计量。</w:t>
      </w:r>
    </w:p>
    <w:p>
      <w:pPr>
        <w:pStyle w:val="BodyText"/>
        <w:spacing w:line="451" w:lineRule="auto" w:before="192"/>
        <w:ind w:left="1613" w:right="1153"/>
        <w:jc w:val="left"/>
      </w:pPr>
      <w:r>
        <w:rPr>
          <w:rFonts w:ascii="Times New Roman" w:hAnsi="Times New Roman" w:cs="Times New Roman" w:eastAsia="Times New Roman" w:hint="default"/>
        </w:rPr>
        <w:t>B.</w:t>
      </w:r>
      <w:r>
        <w:rPr/>
        <w:t>金融资产转移的确认依据和计量方法 金融资产满足下列条件之一的，予以终止确认：①收取该金融资产现金流量的合同权利</w:t>
      </w:r>
    </w:p>
    <w:p>
      <w:pPr>
        <w:pStyle w:val="BodyText"/>
        <w:spacing w:line="257" w:lineRule="exact"/>
        <w:ind w:left="1133" w:right="1073"/>
        <w:jc w:val="left"/>
      </w:pPr>
      <w:r>
        <w:rPr/>
        <w:t>终止；②该金融资产已转移，且本公司将金融资产所有权上几乎所有的风险和报酬转移给转</w:t>
      </w:r>
    </w:p>
    <w:p>
      <w:pPr>
        <w:pStyle w:val="BodyText"/>
        <w:spacing w:line="357" w:lineRule="auto" w:before="154"/>
        <w:ind w:left="1134" w:right="1111"/>
        <w:jc w:val="left"/>
      </w:pPr>
      <w:r>
        <w:rPr/>
        <w:t>入方；</w:t>
      </w:r>
      <w:r>
        <w:rPr>
          <w:spacing w:val="-79"/>
        </w:rPr>
        <w:t> </w:t>
      </w:r>
      <w:r>
        <w:rPr/>
        <w:t>③该金融资产已转移，虽然本公司既没有转移也没有保留金融资产所有权上几乎所有</w:t>
      </w:r>
      <w:r>
        <w:rPr/>
        <w:t> 的风险和报酬，但是放弃了对该金融资产控制。</w:t>
      </w:r>
    </w:p>
    <w:p>
      <w:pPr>
        <w:pStyle w:val="BodyText"/>
        <w:spacing w:line="357" w:lineRule="auto" w:before="192"/>
        <w:ind w:left="1134" w:right="1170" w:firstLine="480"/>
        <w:jc w:val="both"/>
      </w:pPr>
      <w:r>
        <w:rPr/>
        <w:t>企业既没有转移也没有保留金融资产所有权上几乎所有的风险和报酬，且未放弃对该金 融资产控制的，则按照其继续涉入所转移金融资产的程度确认有关金融资产，并相应确认有 关负债。</w:t>
      </w:r>
    </w:p>
    <w:p>
      <w:pPr>
        <w:pStyle w:val="BodyText"/>
        <w:spacing w:line="240" w:lineRule="auto" w:before="192"/>
        <w:ind w:right="1073"/>
        <w:jc w:val="left"/>
      </w:pPr>
      <w:r>
        <w:rPr/>
        <w:t>金融资产整体转移满足终止确认条件的，将所转移金融资产的账面价值，与因转移而收</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到的对价及原计入其他综合收益的公允价值变动累计额之和的差额计入当期损益。</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价及应分摊至终止确认部分的原计入其他综合收益的公允价值变动累计额之和，与分摊的前 述账面金额的差额计入当期损益。</w:t>
      </w:r>
    </w:p>
    <w:p>
      <w:pPr>
        <w:pStyle w:val="BodyText"/>
        <w:spacing w:line="451" w:lineRule="auto" w:before="192"/>
        <w:ind w:right="1152"/>
        <w:jc w:val="left"/>
      </w:pPr>
      <w:r>
        <w:rPr>
          <w:rFonts w:ascii="Times New Roman" w:hAnsi="Times New Roman" w:cs="Times New Roman" w:eastAsia="Times New Roman" w:hint="default"/>
        </w:rPr>
        <w:t>C.</w:t>
      </w:r>
      <w:r>
        <w:rPr/>
        <w:t>金融资产减值的测试方法及会计处理方法 除以公允价值计量且其变动计入当期损益的金融资产外，本公司于资产负债表日对其他</w:t>
      </w:r>
    </w:p>
    <w:p>
      <w:pPr>
        <w:pStyle w:val="BodyText"/>
        <w:spacing w:line="257" w:lineRule="exact"/>
        <w:ind w:left="1134" w:right="1073"/>
        <w:jc w:val="left"/>
      </w:pPr>
      <w:r>
        <w:rPr/>
        <w:t>金融资产的账面价值进行检查，如果有客观证据表明某项金融资产发生减值的，计提减值准</w:t>
      </w:r>
    </w:p>
    <w:p>
      <w:pPr>
        <w:pStyle w:val="BodyText"/>
        <w:spacing w:line="240" w:lineRule="auto" w:before="154"/>
        <w:ind w:left="1134" w:right="1073"/>
        <w:jc w:val="left"/>
      </w:pPr>
      <w:r>
        <w:rPr/>
        <w:t>备。</w:t>
      </w:r>
    </w:p>
    <w:p>
      <w:pPr>
        <w:spacing w:line="240" w:lineRule="auto" w:before="9"/>
        <w:rPr>
          <w:rFonts w:ascii="宋体" w:hAnsi="宋体" w:cs="宋体" w:eastAsia="宋体" w:hint="default"/>
          <w:sz w:val="23"/>
          <w:szCs w:val="23"/>
        </w:rPr>
      </w:pPr>
    </w:p>
    <w:p>
      <w:pPr>
        <w:pStyle w:val="BodyText"/>
        <w:spacing w:line="348" w:lineRule="auto"/>
        <w:ind w:left="1133" w:right="1131" w:firstLine="480"/>
        <w:jc w:val="both"/>
      </w:pPr>
      <w:r>
        <w:rPr/>
        <w:t>本公司对于活跃市场上有报价的股票投资、债券投资等可供出售金融资产，年末按照该 类资产活跃市场上的报价确认的公允价值，较按照取得该项资产时支付对价的公允价值及相 关交易费用之和确认的成本，下跌幅度达到或超过</w:t>
      </w:r>
      <w:r>
        <w:rPr>
          <w:spacing w:val="-60"/>
        </w:rPr>
        <w:t> </w:t>
      </w:r>
      <w:r>
        <w:rPr>
          <w:rFonts w:ascii="Times New Roman" w:hAnsi="Times New Roman" w:cs="Times New Roman" w:eastAsia="Times New Roman" w:hint="default"/>
        </w:rPr>
        <w:t>50%</w:t>
      </w:r>
      <w:r>
        <w:rPr/>
        <w:t>以上；并截至资产负债表日持续下跌 时间已经达到或超过</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3"/>
        </w:rPr>
        <w:t>个月，本公司根据成本与年末公允价值的差额确认累积应计提的减值</w:t>
      </w:r>
      <w:r>
        <w:rPr/>
        <w:t> 准备。</w:t>
      </w:r>
    </w:p>
    <w:p>
      <w:pPr>
        <w:pStyle w:val="BodyText"/>
        <w:spacing w:line="338" w:lineRule="auto" w:before="202"/>
        <w:ind w:left="1133" w:right="1013" w:firstLine="480"/>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 用损失</w:t>
      </w:r>
      <w:r>
        <w:rPr>
          <w:rFonts w:ascii="Times New Roman" w:hAnsi="Times New Roman" w:cs="Times New Roman" w:eastAsia="Times New Roman" w:hint="default"/>
        </w:rPr>
        <w:t>)</w:t>
      </w:r>
      <w:r>
        <w:rPr/>
        <w:t>现值低于账面价值的差额，计提减值准备。如果有客观证据表明该金融资产价值已恢 </w:t>
      </w:r>
      <w:r>
        <w:rPr>
          <w:spacing w:val="-3"/>
        </w:rPr>
        <w:t>复，且客观上与确认该损失后发生的事项有关，原确认的减值损失予以转回，计入当期损益。</w:t>
      </w:r>
    </w:p>
    <w:p>
      <w:pPr>
        <w:pStyle w:val="BodyText"/>
        <w:spacing w:line="357" w:lineRule="auto" w:before="211"/>
        <w:ind w:left="1134" w:right="1170" w:firstLine="480"/>
        <w:jc w:val="both"/>
      </w:pPr>
      <w:r>
        <w:rPr/>
        <w:t>当可供出售金融资产发生减值，原直接计入所有者权益的因公允价值下降形成的累计损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益。</w:t>
      </w:r>
    </w:p>
    <w:p>
      <w:pPr>
        <w:pStyle w:val="BodyText"/>
        <w:spacing w:line="451" w:lineRule="auto" w:before="192"/>
        <w:ind w:left="1613" w:right="6200"/>
        <w:jc w:val="left"/>
      </w:pPr>
      <w:r>
        <w:rPr>
          <w:rFonts w:ascii="Times New Roman" w:hAnsi="Times New Roman" w:cs="Times New Roman" w:eastAsia="Times New Roman" w:hint="default"/>
        </w:rPr>
        <w:t>(2)</w:t>
      </w:r>
      <w:r>
        <w:rPr/>
        <w:t>金融负债</w:t>
      </w:r>
      <w:r>
        <w:rPr>
          <w:w w:val="99"/>
        </w:rPr>
        <w:t> </w:t>
      </w:r>
      <w:r>
        <w:rPr>
          <w:rFonts w:ascii="Times New Roman" w:hAnsi="Times New Roman" w:cs="Times New Roman" w:eastAsia="Times New Roman" w:hint="default"/>
        </w:rPr>
        <w:t>A.</w:t>
      </w:r>
      <w:r>
        <w:rPr/>
        <w:t>金融负债分类、确认依据和计量方法</w:t>
      </w:r>
    </w:p>
    <w:p>
      <w:pPr>
        <w:pStyle w:val="BodyText"/>
        <w:spacing w:line="357" w:lineRule="auto" w:before="58"/>
        <w:ind w:left="1133" w:right="1169" w:firstLine="480"/>
        <w:jc w:val="both"/>
      </w:pPr>
      <w:r>
        <w:rPr/>
        <w:t>本公司的金融负债于初始确认时分类为以公允价值计量且其变动计入当期损益的金融负 债和其他金融负债。</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firstLine="480"/>
        <w:jc w:val="both"/>
      </w:pPr>
      <w:r>
        <w:rPr/>
        <w:t>以公允价值计量且其变动计入当期损益的金融负债，包括交易性金融负债和初始确认时 指定为以公允价值计量且其变动计入当期损益的金融负债，按照公允价值进行后续计量，公 允价值变动形成的利得或损失以及与该金融负债相关的股利和利息支出计入当期损益。</w:t>
      </w:r>
    </w:p>
    <w:p>
      <w:pPr>
        <w:pStyle w:val="BodyText"/>
        <w:spacing w:line="240" w:lineRule="auto" w:before="192"/>
        <w:ind w:left="1613" w:right="1073"/>
        <w:jc w:val="left"/>
      </w:pPr>
      <w:r>
        <w:rPr/>
        <w:t>其他金融负债采用实际利率法，按照摊余成本进行后续计量。</w:t>
      </w:r>
    </w:p>
    <w:p>
      <w:pPr>
        <w:spacing w:line="240" w:lineRule="auto" w:before="9"/>
        <w:rPr>
          <w:rFonts w:ascii="宋体" w:hAnsi="宋体" w:cs="宋体" w:eastAsia="宋体" w:hint="default"/>
          <w:sz w:val="23"/>
          <w:szCs w:val="23"/>
        </w:rPr>
      </w:pPr>
    </w:p>
    <w:p>
      <w:pPr>
        <w:pStyle w:val="BodyText"/>
        <w:spacing w:line="451" w:lineRule="auto"/>
        <w:ind w:left="1613" w:right="1153"/>
        <w:jc w:val="left"/>
      </w:pPr>
      <w:r>
        <w:rPr>
          <w:rFonts w:ascii="Times New Roman" w:hAnsi="Times New Roman" w:cs="Times New Roman" w:eastAsia="Times New Roman" w:hint="default"/>
        </w:rPr>
        <w:t>B.</w:t>
      </w:r>
      <w:r>
        <w:rPr/>
        <w:t>金融负债终止确认条件 当金融负债的现时义务全部或部分已经解除时，终止确认该金融负债或义务已解除的部</w:t>
      </w:r>
    </w:p>
    <w:p>
      <w:pPr>
        <w:pStyle w:val="BodyText"/>
        <w:spacing w:line="257" w:lineRule="exact"/>
        <w:ind w:left="1133" w:right="1073"/>
        <w:jc w:val="left"/>
      </w:pPr>
      <w:r>
        <w:rPr/>
        <w:t>分。终止确认部分的账面价值与支付的对价之间的差额，计入当期损益。</w:t>
      </w:r>
    </w:p>
    <w:p>
      <w:pPr>
        <w:spacing w:line="240" w:lineRule="auto" w:before="9"/>
        <w:rPr>
          <w:rFonts w:ascii="宋体" w:hAnsi="宋体" w:cs="宋体" w:eastAsia="宋体" w:hint="default"/>
          <w:sz w:val="23"/>
          <w:szCs w:val="23"/>
        </w:rPr>
      </w:pPr>
    </w:p>
    <w:p>
      <w:pPr>
        <w:pStyle w:val="BodyText"/>
        <w:spacing w:line="451" w:lineRule="auto"/>
        <w:ind w:right="1152"/>
        <w:jc w:val="left"/>
      </w:pPr>
      <w:r>
        <w:rPr>
          <w:rFonts w:ascii="Times New Roman" w:hAnsi="Times New Roman" w:cs="Times New Roman" w:eastAsia="Times New Roman" w:hint="default"/>
        </w:rPr>
        <w:t>C.</w:t>
      </w:r>
      <w:r>
        <w:rPr/>
        <w:t>金融资产和金融负债的公允价值确定方法 本公司金融资产和金融负债以主要市场的价格计量金融资产和金融负债的公允价值，不</w:t>
      </w:r>
    </w:p>
    <w:p>
      <w:pPr>
        <w:pStyle w:val="BodyText"/>
        <w:spacing w:line="257" w:lineRule="exact"/>
        <w:ind w:left="1134" w:right="1073"/>
        <w:jc w:val="left"/>
      </w:pPr>
      <w:r>
        <w:rPr/>
        <w:t>存在主要市场的，以最有利市场的价格计量金融资产和金融负债的公允价值，并且采用当时</w:t>
      </w:r>
    </w:p>
    <w:p>
      <w:pPr>
        <w:pStyle w:val="BodyText"/>
        <w:spacing w:line="240" w:lineRule="auto" w:before="154"/>
        <w:ind w:left="1134" w:right="1073"/>
        <w:jc w:val="left"/>
      </w:pPr>
      <w:r>
        <w:rPr/>
        <w:t>适用并且有足够可利用数据和其他信息支持的估值技术。</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公允价值，是指市场参与者在计量日发生的有序交易中，出售一项资产所能收到或者转 移一项负债所需支付的价格。</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11、应收款项" w:id="172"/>
      <w:bookmarkEnd w:id="172"/>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单项金额重大并单独计提坏账准备的应收款项" w:id="173"/>
      <w:bookmarkEnd w:id="1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按信用风险特征组合计提坏账准备的应收款项"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0"/>
        <w:rPr>
          <w:rFonts w:ascii="宋体" w:hAnsi="宋体" w:cs="宋体" w:eastAsia="宋体" w:hint="default"/>
          <w:b/>
          <w:bCs/>
          <w:sz w:val="13"/>
          <w:szCs w:val="13"/>
        </w:rPr>
      </w:pPr>
    </w:p>
    <w:p>
      <w:pPr>
        <w:pStyle w:val="BodyText"/>
        <w:spacing w:line="240" w:lineRule="auto" w:before="26"/>
        <w:ind w:right="1073"/>
        <w:jc w:val="left"/>
      </w:pPr>
      <w:r>
        <w:rPr/>
        <w:t>组合中，采用账龄分析法计提坏账准备的：</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组合中，采用余额百分比法计提坏账准备的：</w:t>
      </w:r>
    </w:p>
    <w:p>
      <w:pPr>
        <w:spacing w:line="240" w:lineRule="auto" w:before="9"/>
        <w:rPr>
          <w:rFonts w:ascii="宋体" w:hAnsi="宋体" w:cs="宋体" w:eastAsia="宋体" w:hint="default"/>
          <w:sz w:val="23"/>
          <w:szCs w:val="23"/>
        </w:rPr>
      </w:pPr>
    </w:p>
    <w:p>
      <w:pPr>
        <w:pStyle w:val="BodyText"/>
        <w:spacing w:line="451" w:lineRule="auto"/>
        <w:ind w:right="5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w:t>
      </w:r>
    </w:p>
    <w:p>
      <w:pPr>
        <w:pStyle w:val="BodyText"/>
        <w:spacing w:line="240" w:lineRule="auto" w:before="98"/>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单项金额不重大但单独计提坏账准备的应收款项"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12、存货" w:id="176"/>
      <w:bookmarkEnd w:id="176"/>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620" w:lineRule="atLeast" w:before="70"/>
        <w:ind w:right="1152"/>
        <w:jc w:val="left"/>
      </w:pPr>
      <w:r>
        <w:rPr/>
        <w:t>本公司存货主要包括原材料和库存商品。 存货实行永续盘存制，存货在取得时按实际成本计价；领用或发出存货，采用加权平均</w:t>
      </w:r>
    </w:p>
    <w:p>
      <w:pPr>
        <w:pStyle w:val="BodyText"/>
        <w:spacing w:line="240" w:lineRule="auto" w:before="154"/>
        <w:ind w:left="1134" w:right="1073"/>
        <w:jc w:val="left"/>
      </w:pPr>
      <w:r>
        <w:rPr/>
        <w:t>法确定其实际成本。</w:t>
      </w:r>
    </w:p>
    <w:p>
      <w:pPr>
        <w:spacing w:line="240" w:lineRule="auto" w:before="9"/>
        <w:rPr>
          <w:rFonts w:ascii="宋体" w:hAnsi="宋体" w:cs="宋体" w:eastAsia="宋体" w:hint="default"/>
          <w:sz w:val="23"/>
          <w:szCs w:val="23"/>
        </w:rPr>
      </w:pPr>
    </w:p>
    <w:p>
      <w:pPr>
        <w:pStyle w:val="BodyText"/>
        <w:spacing w:line="357" w:lineRule="auto"/>
        <w:ind w:left="1134" w:right="1170" w:firstLine="480"/>
        <w:jc w:val="both"/>
      </w:pPr>
      <w:r>
        <w:rPr/>
        <w:t>期末存货按成本与可变现净值孰低原则计价，对于存货因遭受毁损、全部或部分陈旧过 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BodyText"/>
        <w:spacing w:line="357" w:lineRule="auto" w:before="192"/>
        <w:ind w:left="1134" w:right="1169" w:firstLine="480"/>
        <w:jc w:val="both"/>
      </w:pPr>
      <w:r>
        <w:rPr/>
        <w:t>库存商品和用于出售的材料等直接用于出售的商品存货，其可变现净值按该存货的估计 售价减去估计的销售费用和相关税费后的金额确定；用于生产而持有的材料存货，其可变现</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jc w:val="both"/>
      </w:pPr>
      <w:r>
        <w:rPr/>
        <w:t>净值按所生产的产成品的估计售价减去至完工时估计将要发生的成本、估计的销售费用和相 关税费后的金额确定。</w:t>
      </w:r>
    </w:p>
    <w:p>
      <w:pPr>
        <w:spacing w:line="240" w:lineRule="auto" w:before="8"/>
        <w:rPr>
          <w:rFonts w:ascii="宋体" w:hAnsi="宋体" w:cs="宋体" w:eastAsia="宋体" w:hint="default"/>
          <w:sz w:val="21"/>
          <w:szCs w:val="21"/>
        </w:rPr>
      </w:pPr>
    </w:p>
    <w:p>
      <w:pPr>
        <w:spacing w:before="0"/>
        <w:ind w:left="1134" w:right="0" w:firstLine="0"/>
        <w:jc w:val="both"/>
        <w:rPr>
          <w:rFonts w:ascii="宋体" w:hAnsi="宋体" w:cs="宋体" w:eastAsia="宋体" w:hint="default"/>
          <w:sz w:val="21"/>
          <w:szCs w:val="21"/>
        </w:rPr>
      </w:pPr>
      <w:bookmarkStart w:name="13、划分为持有待售资产" w:id="177"/>
      <w:bookmarkEnd w:id="17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0" w:firstLine="0"/>
        <w:jc w:val="both"/>
        <w:rPr>
          <w:rFonts w:ascii="宋体" w:hAnsi="宋体" w:cs="宋体" w:eastAsia="宋体" w:hint="default"/>
          <w:sz w:val="21"/>
          <w:szCs w:val="21"/>
        </w:rPr>
      </w:pPr>
      <w:bookmarkStart w:name="14、长期股权投资" w:id="178"/>
      <w:bookmarkEnd w:id="178"/>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640" w:lineRule="atLeast" w:before="50"/>
        <w:ind w:left="1613" w:right="1033"/>
        <w:jc w:val="left"/>
      </w:pPr>
      <w:r>
        <w:rPr/>
        <w:t>本公司长期股权投资主要是对子公司的投资、对联营企业的投资和对合营企业的投资。 本公司直接或通过子公司间接拥有被投资单位</w:t>
      </w:r>
      <w:r>
        <w:rPr>
          <w:spacing w:val="-60"/>
        </w:rPr>
        <w:t> </w:t>
      </w:r>
      <w:r>
        <w:rPr>
          <w:rFonts w:ascii="Times New Roman" w:hAnsi="Times New Roman" w:cs="Times New Roman" w:eastAsia="Times New Roman" w:hint="default"/>
        </w:rPr>
        <w:t>20</w:t>
      </w:r>
      <w:r>
        <w:rPr/>
        <w:t>％（含）以上但低于</w:t>
      </w:r>
      <w:r>
        <w:rPr>
          <w:spacing w:val="-60"/>
        </w:rPr>
        <w:t> </w:t>
      </w:r>
      <w:r>
        <w:rPr>
          <w:rFonts w:ascii="Times New Roman" w:hAnsi="Times New Roman" w:cs="Times New Roman" w:eastAsia="Times New Roman" w:hint="default"/>
        </w:rPr>
        <w:t>50</w:t>
      </w:r>
      <w:r>
        <w:rPr/>
        <w:t>％的表决权时，</w:t>
      </w:r>
    </w:p>
    <w:p>
      <w:pPr>
        <w:pStyle w:val="BodyText"/>
        <w:spacing w:line="350" w:lineRule="auto" w:before="135"/>
        <w:ind w:left="1133" w:right="1149"/>
        <w:jc w:val="both"/>
      </w:pPr>
      <w:r>
        <w:rPr/>
        <w:t>通常认为对被投资单位具有重大影响。持有被投资单位</w:t>
      </w:r>
      <w:r>
        <w:rPr>
          <w:spacing w:val="-60"/>
        </w:rPr>
        <w:t> </w:t>
      </w:r>
      <w:r>
        <w:rPr>
          <w:rFonts w:ascii="Times New Roman" w:hAnsi="Times New Roman" w:cs="Times New Roman" w:eastAsia="Times New Roman" w:hint="default"/>
        </w:rPr>
        <w:t>20%</w:t>
      </w:r>
      <w:r>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BodyText"/>
        <w:spacing w:line="357" w:lineRule="auto" w:before="199"/>
        <w:ind w:left="1133" w:right="1170" w:firstLine="480"/>
        <w:jc w:val="both"/>
      </w:pPr>
      <w:r>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投资成本按零确定。通过非同一控制下的企业合并取得的长期股权投资，以合并成本作为初 始投资成本。</w:t>
      </w:r>
    </w:p>
    <w:p>
      <w:pPr>
        <w:pStyle w:val="BodyText"/>
        <w:spacing w:line="357" w:lineRule="auto" w:before="192"/>
        <w:ind w:left="1133" w:right="1170" w:firstLine="480"/>
        <w:jc w:val="both"/>
      </w:pPr>
      <w:r>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BodyText"/>
        <w:spacing w:line="240" w:lineRule="auto" w:before="192"/>
        <w:ind w:left="1613" w:right="1073"/>
        <w:jc w:val="left"/>
      </w:pPr>
      <w:r>
        <w:rPr/>
        <w:t>本公司对子公司投资采用成本法核算，对合营企业及联营企业投资采用权益法核算。</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BodyText"/>
        <w:spacing w:line="357" w:lineRule="auto" w:before="192"/>
        <w:ind w:left="1133" w:right="1170" w:firstLine="480"/>
        <w:jc w:val="both"/>
      </w:pPr>
      <w:r>
        <w:rPr/>
        <w:t>后续计量采用权益法核算的长期股权投资，随着被投资单位所有者权益的变动相应调整 增加或减少长期股权投资的账面价值。其中在确认应享有被投资单位净损益的份额时，以取</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jc w:val="both"/>
      </w:pPr>
      <w:r>
        <w:rPr/>
        <w:t>得投资时被投资单位各项可辨认资产等的公允价值为基础，按照本公司的会计政策及会计期 间，并抵销与联营企业及合营企业之间发生的内部交易损益按照持股比例计算归属于投资企 业的部分，对被投资单位的净利润进行调整后确认。</w:t>
      </w:r>
    </w:p>
    <w:p>
      <w:pPr>
        <w:pStyle w:val="BodyText"/>
        <w:spacing w:line="357" w:lineRule="auto" w:before="192"/>
        <w:ind w:left="1134" w:right="1169" w:firstLine="480"/>
        <w:jc w:val="both"/>
      </w:pPr>
      <w:r>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pStyle w:val="BodyText"/>
        <w:spacing w:line="357" w:lineRule="auto" w:before="192"/>
        <w:ind w:left="1133" w:right="1170" w:firstLine="480"/>
        <w:jc w:val="both"/>
      </w:pPr>
      <w:r>
        <w:rPr/>
        <w:t>因处置部分股权投资等原因丧失了对被投资单位的共同控制或重大影响的，处置后的剩 余股权改按可供出售金融资产核算，剩余股权在丧失共同控制或重大影响之日的公允价值与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w:t>
      </w:r>
    </w:p>
    <w:p>
      <w:pPr>
        <w:pStyle w:val="BodyText"/>
        <w:spacing w:line="357" w:lineRule="auto" w:before="192"/>
        <w:ind w:left="1134" w:right="1169" w:firstLine="480"/>
        <w:jc w:val="both"/>
      </w:pPr>
      <w:r>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股权不能对被投资单位实施共同控制或施加重大影响的，改按可供出售金融资产的有关规定 进行会计处理，处置股权账面价值和处置对价的差额计入投资收益，剩余股权在丧失控制之 日的公允价值与账面价值间的差额计入当期投资损益。</w:t>
      </w:r>
    </w:p>
    <w:p>
      <w:pPr>
        <w:spacing w:line="240" w:lineRule="auto" w:before="8"/>
        <w:rPr>
          <w:rFonts w:ascii="宋体" w:hAnsi="宋体" w:cs="宋体" w:eastAsia="宋体" w:hint="default"/>
          <w:sz w:val="21"/>
          <w:szCs w:val="21"/>
        </w:rPr>
      </w:pPr>
    </w:p>
    <w:p>
      <w:pPr>
        <w:spacing w:before="0"/>
        <w:ind w:left="1133" w:right="0" w:firstLine="0"/>
        <w:jc w:val="both"/>
        <w:rPr>
          <w:rFonts w:ascii="宋体" w:hAnsi="宋体" w:cs="宋体" w:eastAsia="宋体" w:hint="default"/>
          <w:sz w:val="21"/>
          <w:szCs w:val="21"/>
        </w:rPr>
      </w:pPr>
      <w:bookmarkStart w:name="15、投资性房地产" w:id="179"/>
      <w:bookmarkEnd w:id="179"/>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477" w:lineRule="auto"/>
        <w:ind w:right="7872"/>
        <w:jc w:val="left"/>
      </w:pPr>
      <w:r>
        <w:rPr/>
        <w:t>投资性房地产计量模式 不适用</w:t>
      </w:r>
    </w:p>
    <w:p>
      <w:pPr>
        <w:spacing w:before="162"/>
        <w:ind w:left="1134" w:right="0" w:firstLine="0"/>
        <w:jc w:val="both"/>
        <w:rPr>
          <w:rFonts w:ascii="宋体" w:hAnsi="宋体" w:cs="宋体" w:eastAsia="宋体" w:hint="default"/>
          <w:sz w:val="21"/>
          <w:szCs w:val="21"/>
        </w:rPr>
      </w:pPr>
      <w:bookmarkStart w:name="16、固定资产" w:id="180"/>
      <w:bookmarkEnd w:id="180"/>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确认条件"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69" w:firstLine="480"/>
        <w:jc w:val="both"/>
      </w:pPr>
      <w:r>
        <w:rPr/>
        <w:t>固定资产是指为生产商品、提供劳务、出租或经营管理而持有，使用期限超过一年的有 形资产；同时与该固定资产有关的经济利益很可能流入企业，该固定资产的成本能够可靠地 计量。</w:t>
      </w:r>
    </w:p>
    <w:p>
      <w:pPr>
        <w:spacing w:after="0" w:line="357" w:lineRule="auto"/>
        <w:jc w:val="both"/>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2）折旧方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3）融资租入固定资产的认定依据、计价和折旧方法"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17、在建工程" w:id="184"/>
      <w:bookmarkEnd w:id="184"/>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18、借款费用" w:id="185"/>
      <w:bookmarkEnd w:id="18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69"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BodyText"/>
        <w:spacing w:line="357" w:lineRule="auto" w:before="192"/>
        <w:ind w:left="1133" w:right="1170" w:firstLine="480"/>
        <w:jc w:val="both"/>
      </w:pPr>
      <w:r>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门借款部分的资产支出加权平均数乘以所占用一般借款的加权平均利率，确定资本化金额。 资本化率根据一般借款加权平均利率计算确定。</w:t>
      </w:r>
    </w:p>
    <w:p>
      <w:pPr>
        <w:pStyle w:val="BodyText"/>
        <w:spacing w:line="338" w:lineRule="auto" w:before="192"/>
        <w:ind w:left="1133" w:right="1169" w:firstLine="480"/>
        <w:jc w:val="both"/>
      </w:pPr>
      <w:r>
        <w:rPr/>
        <w:t>符合资本化条件的资产，是指需要经过相当长时间（通常指</w:t>
      </w:r>
      <w:r>
        <w:rPr>
          <w:spacing w:val="-60"/>
        </w:rPr>
        <w:t> </w:t>
      </w:r>
      <w:r>
        <w:rPr>
          <w:rFonts w:ascii="Times New Roman" w:hAnsi="Times New Roman" w:cs="Times New Roman" w:eastAsia="Times New Roman" w:hint="default"/>
        </w:rPr>
        <w:t>1 </w:t>
      </w:r>
      <w:r>
        <w:rPr/>
        <w:t>年以上）的购建或者生产 活动才能达到预定可使用或者可销售状态的固定资产、投资性房地产和存货等资产。</w:t>
      </w:r>
    </w:p>
    <w:p>
      <w:pPr>
        <w:pStyle w:val="BodyText"/>
        <w:spacing w:line="357" w:lineRule="auto" w:before="211"/>
        <w:ind w:left="1133" w:right="1170" w:firstLine="480"/>
        <w:jc w:val="both"/>
      </w:pPr>
      <w:r>
        <w:rPr/>
        <w:t>如果符合资本化条件的资产在购建或者生产过程中发生非正常中断、且中断时间连续超 过</w:t>
      </w:r>
      <w:r>
        <w:rPr>
          <w:spacing w:val="-60"/>
        </w:rPr>
        <w:t> </w:t>
      </w:r>
      <w:r>
        <w:rPr>
          <w:rFonts w:ascii="Times New Roman" w:hAnsi="Times New Roman" w:cs="Times New Roman" w:eastAsia="Times New Roman" w:hint="default"/>
        </w:rPr>
        <w:t>3 </w:t>
      </w:r>
      <w:r>
        <w:rPr/>
        <w:t>个月，暂停借款费用的资本化，直至资产的购建或生产活动重新开始。</w:t>
      </w:r>
    </w:p>
    <w:p>
      <w:pPr>
        <w:spacing w:line="240" w:lineRule="auto" w:before="4"/>
        <w:rPr>
          <w:rFonts w:ascii="宋体" w:hAnsi="宋体" w:cs="宋体" w:eastAsia="宋体" w:hint="default"/>
          <w:sz w:val="19"/>
          <w:szCs w:val="19"/>
        </w:rPr>
      </w:pPr>
    </w:p>
    <w:p>
      <w:pPr>
        <w:spacing w:before="0"/>
        <w:ind w:left="1114" w:right="9487" w:firstLine="0"/>
        <w:jc w:val="center"/>
        <w:rPr>
          <w:rFonts w:ascii="宋体" w:hAnsi="宋体" w:cs="宋体" w:eastAsia="宋体" w:hint="default"/>
          <w:sz w:val="21"/>
          <w:szCs w:val="21"/>
        </w:rPr>
      </w:pPr>
      <w:bookmarkStart w:name="19、生物资产" w:id="186"/>
      <w:bookmarkEnd w:id="18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20、油气资产" w:id="187"/>
      <w:bookmarkEnd w:id="187"/>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1、无形资产" w:id="188"/>
      <w:bookmarkEnd w:id="188"/>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计价方法、使用寿命、减值测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69" w:firstLine="480"/>
        <w:jc w:val="both"/>
      </w:pPr>
      <w:r>
        <w:rPr/>
        <w:t>无形资产的计价方法：本公司的无形资产主要是买断版权、软件使用权、非专利技术。 购入的无形资产，按实际支付的价款和相关的其他支出作为实际成本。投资者投入的无形资 产，按投资合同或协议约定的价值确定实际成本，但合同或协议约定价值不公允的，按公允 价值确定实际成本。</w:t>
      </w:r>
    </w:p>
    <w:p>
      <w:pPr>
        <w:pStyle w:val="BodyText"/>
        <w:spacing w:line="357" w:lineRule="auto" w:before="192"/>
        <w:ind w:left="1134" w:right="1170" w:firstLine="480"/>
        <w:jc w:val="both"/>
      </w:pPr>
      <w:r>
        <w:rPr/>
        <w:t>本公司的版权分为买断版权和分成版权，本公司将买断版权作为无形资产管理，并在受 益年限内摊销。分成版权在该版权形成收入的当期，按合同约定的分成方式计提版税，记入 当期损益。</w:t>
      </w:r>
    </w:p>
    <w:p>
      <w:pPr>
        <w:pStyle w:val="BodyText"/>
        <w:spacing w:line="357" w:lineRule="auto" w:before="192"/>
        <w:ind w:left="1134" w:right="1170" w:firstLine="480"/>
        <w:jc w:val="both"/>
      </w:pPr>
      <w:r>
        <w:rPr/>
        <w:t>无形资产摊销方法和期限：本公司买断版权如有合同约定使用年限的，按合同约定的使 用年限摊销；如合同未约定使用年限的，按预计受益年限摊销。软件使用权和非专利技术按 预计受益年限摊销。摊销金额按其受益对象计入相关资产成本和当期损益。</w:t>
      </w:r>
    </w:p>
    <w:p>
      <w:pPr>
        <w:pStyle w:val="BodyText"/>
        <w:spacing w:line="357" w:lineRule="auto" w:before="192"/>
        <w:ind w:left="1133" w:right="1170" w:firstLine="480"/>
        <w:jc w:val="both"/>
      </w:pPr>
      <w:r>
        <w:rPr/>
        <w:t>本公司于每年年度终了，对使用寿命有限的无形资产的预计使用寿命及摊销方法进行复 核，如发生改变，则作为会计估计变更处理。本公司于每个会计期间，对使用寿命不确定的 无形资产的预计使用寿命进行复核，如有证据表明无形资产的使用寿命是有限的，则估计其 使用寿命并在预计使用寿命内摊销。</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2）内部研究开发支出会计政策"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1170" w:firstLine="480"/>
        <w:jc w:val="both"/>
      </w:pPr>
      <w:r>
        <w:rPr/>
        <w:t>本公司内部研究开发项目支出根据其性质以及研发活动最终形成无形资产是否具有较大 不确定性，分为研究阶段支出和开发阶段支出。</w:t>
      </w:r>
    </w:p>
    <w:p>
      <w:pPr>
        <w:pStyle w:val="BodyText"/>
        <w:spacing w:line="343" w:lineRule="auto" w:before="192"/>
        <w:ind w:left="1133" w:right="1131" w:firstLine="480"/>
        <w:jc w:val="both"/>
      </w:pPr>
      <w:r>
        <w:rPr/>
        <w:t>自行研究开发的无形资产，其研究阶段的支出，于发生时计入当期损益；其开发阶段的 </w:t>
      </w:r>
      <w:r>
        <w:rPr>
          <w:spacing w:val="-3"/>
        </w:rPr>
        <w:t>支出，同时满足下列条件的，确认为无形资产：</w:t>
      </w:r>
      <w:r>
        <w:rPr>
          <w:rFonts w:ascii="Times New Roman" w:hAnsi="Times New Roman" w:cs="Times New Roman" w:eastAsia="Times New Roman" w:hint="default"/>
          <w:spacing w:val="-3"/>
        </w:rPr>
        <w:t>1</w:t>
      </w:r>
      <w:r>
        <w:rPr>
          <w:spacing w:val="-3"/>
        </w:rPr>
        <w:t>）完成该无形资产以使其能够使用或出售在</w:t>
      </w:r>
      <w:r>
        <w:rPr>
          <w:spacing w:val="-81"/>
        </w:rPr>
        <w:t> </w:t>
      </w:r>
      <w:r>
        <w:rPr>
          <w:spacing w:val="-81"/>
        </w:rPr>
      </w:r>
      <w:r>
        <w:rPr/>
        <w:t>技术上具有可行性；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）运用该无形资产生产 </w:t>
      </w:r>
      <w:r>
        <w:rPr>
          <w:spacing w:val="-3"/>
        </w:rPr>
        <w:t>的产品存在市场或无形资产自身存在市场；</w:t>
      </w:r>
      <w:r>
        <w:rPr>
          <w:rFonts w:ascii="Times New Roman" w:hAnsi="Times New Roman" w:cs="Times New Roman" w:eastAsia="Times New Roman" w:hint="default"/>
          <w:spacing w:val="-3"/>
        </w:rPr>
        <w:t>4</w:t>
      </w:r>
      <w:r>
        <w:rPr>
          <w:spacing w:val="-3"/>
        </w:rPr>
        <w:t>）有足够的技术、财务资源和其他资源支持，以</w:t>
      </w:r>
      <w:r>
        <w:rPr>
          <w:spacing w:val="-80"/>
        </w:rPr>
        <w:t> </w:t>
      </w:r>
      <w:r>
        <w:rPr>
          <w:spacing w:val="-80"/>
        </w:rPr>
      </w:r>
      <w:r>
        <w:rPr>
          <w:spacing w:val="-3"/>
        </w:rPr>
        <w:t>完成该无形资产的开发，并有能力使用或出售该无形资产；</w:t>
      </w:r>
      <w:r>
        <w:rPr>
          <w:rFonts w:ascii="Times New Roman" w:hAnsi="Times New Roman" w:cs="Times New Roman" w:eastAsia="Times New Roman" w:hint="default"/>
          <w:spacing w:val="-3"/>
        </w:rPr>
        <w:t>5</w:t>
      </w:r>
      <w:r>
        <w:rPr>
          <w:spacing w:val="-3"/>
        </w:rPr>
        <w:t>）归属于该无形资产开发阶段的</w:t>
      </w:r>
    </w:p>
    <w:p>
      <w:pPr>
        <w:spacing w:after="0" w:line="343" w:lineRule="auto"/>
        <w:jc w:val="both"/>
        <w:sectPr>
          <w:footerReference w:type="default" r:id="rId21"/>
          <w:pgSz w:w="11910" w:h="16840"/>
          <w:pgMar w:footer="979" w:header="414" w:top="1260" w:bottom="1160" w:left="0" w:right="0"/>
          <w:pgNumType w:start="118"/>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支出能够可靠地计量。</w:t>
      </w:r>
    </w:p>
    <w:p>
      <w:pPr>
        <w:spacing w:line="240" w:lineRule="auto" w:before="9"/>
        <w:rPr>
          <w:rFonts w:ascii="宋体" w:hAnsi="宋体" w:cs="宋体" w:eastAsia="宋体" w:hint="default"/>
          <w:sz w:val="23"/>
          <w:szCs w:val="23"/>
        </w:rPr>
      </w:pPr>
    </w:p>
    <w:p>
      <w:pPr>
        <w:pStyle w:val="BodyText"/>
        <w:spacing w:line="357" w:lineRule="auto"/>
        <w:ind w:left="1134" w:right="1170" w:firstLine="480"/>
        <w:jc w:val="both"/>
      </w:pPr>
      <w:r>
        <w:rPr/>
        <w:t>不满足上述条件的开发阶段的支出，于发生时计入当期损益。前期已计入损益的开发支 出以后期间不再确认为资产。已资本化的开发阶段的支出在资产负债表上列示为开发支出， 自该项目达到预定可使用状态之日起转为无形资产列报。</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22、长期资产减值" w:id="191"/>
      <w:bookmarkEnd w:id="19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70" w:firstLine="480"/>
        <w:jc w:val="both"/>
      </w:pPr>
      <w:r>
        <w:rPr/>
        <w:t>本公司于每一资产负债表日对长期股权投资、固定资产、使用寿命确定的无形资产等项 目进行检查，当存在下列迹象时，表明资产可能发生了减值，本公司将进行减值测试；对商 誉和受益年限不确定的无形资产，无论是否存在减值迹象，每年末均进行减值测试。难以对 单项资产的可收回金额进行测试的，以该资产所属的资产组或资产组组合为基础测试。</w:t>
      </w:r>
    </w:p>
    <w:p>
      <w:pPr>
        <w:pStyle w:val="BodyText"/>
        <w:spacing w:line="357" w:lineRule="auto" w:before="192"/>
        <w:ind w:left="1133" w:right="1169" w:firstLine="480"/>
        <w:jc w:val="both"/>
      </w:pPr>
      <w:r>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BodyText"/>
        <w:spacing w:line="343" w:lineRule="auto" w:before="192"/>
        <w:ind w:left="1133" w:right="995" w:firstLine="480"/>
        <w:jc w:val="left"/>
      </w:pPr>
      <w:r>
        <w:rPr/>
        <w:t>出现减值的迹象如下：</w:t>
      </w:r>
      <w:r>
        <w:rPr>
          <w:rFonts w:ascii="Times New Roman" w:hAnsi="Times New Roman" w:cs="Times New Roman" w:eastAsia="Times New Roman" w:hint="default"/>
        </w:rPr>
        <w:t>1)</w:t>
      </w:r>
      <w:r>
        <w:rPr/>
        <w:t>资产的市价当期大幅度下跌，其跌幅明显高于因时间的推移或 者正常使用而预计的下跌；</w:t>
      </w:r>
      <w:r>
        <w:rPr>
          <w:rFonts w:ascii="Times New Roman" w:hAnsi="Times New Roman" w:cs="Times New Roman" w:eastAsia="Times New Roman" w:hint="default"/>
        </w:rPr>
        <w:t>2)</w:t>
      </w:r>
      <w:r>
        <w:rPr/>
        <w:t>本公司经营所处的经济、技术或者法律等环境以及资产所处的 市场在当期或者将在近期发生重大变化，从而对本公司产生不利影响；</w:t>
      </w:r>
      <w:r>
        <w:rPr>
          <w:rFonts w:ascii="Times New Roman" w:hAnsi="Times New Roman" w:cs="Times New Roman" w:eastAsia="Times New Roman" w:hint="default"/>
        </w:rPr>
        <w:t>3)</w:t>
      </w:r>
      <w:r>
        <w:rPr/>
        <w:t>市场利率或者其他 </w:t>
      </w:r>
      <w:r>
        <w:rPr>
          <w:spacing w:val="-2"/>
        </w:rPr>
        <w:t>市场投资报酬率在当期已经提高，从而影响本公司计算资产预计未来现金流量现值的折现率，</w:t>
      </w:r>
      <w:r>
        <w:rPr/>
        <w:t> 导致资产可收回金额大幅度降低；</w:t>
      </w:r>
      <w:r>
        <w:rPr>
          <w:rFonts w:ascii="Times New Roman" w:hAnsi="Times New Roman" w:cs="Times New Roman" w:eastAsia="Times New Roman" w:hint="default"/>
        </w:rPr>
        <w:t>4)</w:t>
      </w:r>
      <w:r>
        <w:rPr/>
        <w:t>有证据表明资产已经陈旧过时或者其实体已经损坏；</w:t>
      </w:r>
      <w:r>
        <w:rPr>
          <w:rFonts w:ascii="Times New Roman" w:hAnsi="Times New Roman" w:cs="Times New Roman" w:eastAsia="Times New Roman" w:hint="default"/>
        </w:rPr>
        <w:t>5) </w:t>
      </w:r>
      <w:r>
        <w:rPr/>
        <w:t>资产已经或者将被闲置、终止使用或者计划提前处置；</w:t>
      </w:r>
      <w:r>
        <w:rPr>
          <w:rFonts w:ascii="Times New Roman" w:hAnsi="Times New Roman" w:cs="Times New Roman" w:eastAsia="Times New Roman" w:hint="default"/>
        </w:rPr>
        <w:t>6)</w:t>
      </w:r>
      <w:r>
        <w:rPr/>
        <w:t>本公司内部报告的证据表明资产的 经济绩效已经低于或者将低于预期，如资产所创造的净现金流量或者实现的营业利润（或者 亏损）远远低于（或者高于）预计金额等；</w:t>
      </w:r>
      <w:r>
        <w:rPr>
          <w:rFonts w:ascii="Times New Roman" w:hAnsi="Times New Roman" w:cs="Times New Roman" w:eastAsia="Times New Roman" w:hint="default"/>
        </w:rPr>
        <w:t>7)</w:t>
      </w:r>
      <w:r>
        <w:rPr/>
        <w:t>其他表明资产可能已经发生减值的迹象。</w:t>
      </w:r>
    </w:p>
    <w:p>
      <w:pPr>
        <w:spacing w:line="240" w:lineRule="auto" w:before="6"/>
        <w:rPr>
          <w:rFonts w:ascii="宋体" w:hAnsi="宋体" w:cs="宋体" w:eastAsia="宋体" w:hint="default"/>
          <w:sz w:val="20"/>
          <w:szCs w:val="20"/>
        </w:rPr>
      </w:pPr>
    </w:p>
    <w:p>
      <w:pPr>
        <w:spacing w:before="0"/>
        <w:ind w:left="1133" w:right="1073" w:firstLine="0"/>
        <w:jc w:val="left"/>
        <w:rPr>
          <w:rFonts w:ascii="宋体" w:hAnsi="宋体" w:cs="宋体" w:eastAsia="宋体" w:hint="default"/>
          <w:sz w:val="21"/>
          <w:szCs w:val="21"/>
        </w:rPr>
      </w:pPr>
      <w:bookmarkStart w:name="23、长期待摊费用" w:id="192"/>
      <w:bookmarkEnd w:id="19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本公司的长期待摊费用是指已经支出，但应由当期及以后各期承担的、摊销期在</w:t>
      </w:r>
      <w:r>
        <w:rPr>
          <w:spacing w:val="-59"/>
        </w:rPr>
        <w:t> </w:t>
      </w:r>
      <w:r>
        <w:rPr>
          <w:rFonts w:ascii="Times New Roman" w:hAnsi="Times New Roman" w:cs="Times New Roman" w:eastAsia="Times New Roman" w:hint="default"/>
        </w:rPr>
        <w:t>1 </w:t>
      </w:r>
      <w:r>
        <w:rPr/>
        <w:t>年以</w:t>
      </w:r>
    </w:p>
    <w:p>
      <w:pPr>
        <w:pStyle w:val="BodyText"/>
        <w:spacing w:line="338" w:lineRule="auto" w:before="135"/>
        <w:ind w:left="1133" w:right="1233"/>
        <w:jc w:val="left"/>
      </w:pPr>
      <w:r>
        <w:rPr/>
        <w:t>上</w:t>
      </w:r>
      <w:r>
        <w:rPr>
          <w:rFonts w:ascii="Times New Roman" w:hAnsi="Times New Roman" w:cs="Times New Roman" w:eastAsia="Times New Roman" w:hint="default"/>
        </w:rPr>
        <w:t>(</w:t>
      </w:r>
      <w:r>
        <w:rPr/>
        <w:t>不含</w:t>
      </w:r>
      <w:r>
        <w:rPr>
          <w:spacing w:val="-60"/>
        </w:rPr>
        <w:t> </w:t>
      </w:r>
      <w:r>
        <w:rPr>
          <w:rFonts w:ascii="Times New Roman" w:hAnsi="Times New Roman" w:cs="Times New Roman" w:eastAsia="Times New Roman" w:hint="default"/>
        </w:rPr>
        <w:t>1 </w:t>
      </w:r>
      <w:r>
        <w:rPr/>
        <w:t>年</w:t>
      </w:r>
      <w:r>
        <w:rPr>
          <w:rFonts w:ascii="Times New Roman" w:hAnsi="Times New Roman" w:cs="Times New Roman" w:eastAsia="Times New Roman" w:hint="default"/>
        </w:rPr>
        <w:t>)</w:t>
      </w:r>
      <w:r>
        <w:rPr/>
        <w:t>的办公室装修费用，该类费用在</w:t>
      </w:r>
      <w:r>
        <w:rPr>
          <w:spacing w:val="-60"/>
        </w:rPr>
        <w:t> </w:t>
      </w:r>
      <w:r>
        <w:rPr>
          <w:rFonts w:ascii="Times New Roman" w:hAnsi="Times New Roman" w:cs="Times New Roman" w:eastAsia="Times New Roman" w:hint="default"/>
        </w:rPr>
        <w:t>3 </w:t>
      </w:r>
      <w:r>
        <w:rPr/>
        <w:t>年内平均摊销。如果长期待摊费用项目不能 使以后会计期间受益，则将尚未摊销的该项目的摊余价值全部转入当期损益。</w:t>
      </w:r>
    </w:p>
    <w:p>
      <w:pPr>
        <w:spacing w:after="0" w:line="338"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24、职工薪酬" w:id="193"/>
      <w:bookmarkEnd w:id="19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短期薪酬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995" w:firstLine="480"/>
        <w:jc w:val="left"/>
      </w:pPr>
      <w:r>
        <w:rPr>
          <w:spacing w:val="-3"/>
        </w:rPr>
        <w:t>短期薪酬主要包括职工工资、奖金、津贴、补贴、职工福利、医疗保险费、工伤保险费、</w:t>
      </w:r>
      <w:r>
        <w:rPr/>
        <w:t> 生育保险费、住房公积金、工会和教育经费等，在职工提供服务的会计期间，将实际发生的 短期薪酬确认为负债，并按照受益对象计入当期损益或相关资产成本。</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2）离职后福利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995" w:firstLine="480"/>
        <w:jc w:val="left"/>
      </w:pPr>
      <w:r>
        <w:rPr/>
        <w:t>离职后福利主要包括基本养老保险费、失业保险费等，按照公司承担的风险和义务，分 类为设定提存计划。对于设定提存计划，根据在资产负债表日为换取职工在会计期间提供的 </w:t>
      </w:r>
      <w:r>
        <w:rPr>
          <w:spacing w:val="-2"/>
        </w:rPr>
        <w:t>服务而向单独主体缴存的提存金确认为负债，并按照受益对象计入当期损益或相关资产成本。</w:t>
      </w:r>
    </w:p>
    <w:p>
      <w:pPr>
        <w:spacing w:line="240" w:lineRule="auto" w:before="8"/>
        <w:rPr>
          <w:rFonts w:ascii="宋体" w:hAnsi="宋体" w:cs="宋体" w:eastAsia="宋体" w:hint="default"/>
          <w:sz w:val="21"/>
          <w:szCs w:val="21"/>
        </w:rPr>
      </w:pPr>
    </w:p>
    <w:p>
      <w:pPr>
        <w:spacing w:before="0"/>
        <w:ind w:left="1134" w:right="1073" w:firstLine="0"/>
        <w:jc w:val="left"/>
        <w:rPr>
          <w:rFonts w:ascii="宋体" w:hAnsi="宋体" w:cs="宋体" w:eastAsia="宋体" w:hint="default"/>
          <w:sz w:val="21"/>
          <w:szCs w:val="21"/>
        </w:rPr>
      </w:pPr>
      <w:bookmarkStart w:name="（3）辞退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1171" w:firstLine="480"/>
        <w:jc w:val="both"/>
      </w:pPr>
      <w:r>
        <w:rPr/>
        <w:t>本公司在职工劳动合同到期之前解除与职工的劳动关系、或者为鼓励职工自愿接受裁减 而提出给予职工的补偿。本公司向职工提供辞退福利的，在下列两者孰早日确认辞退福利产 生的负债，并计入当期损益：①本公司不能单方面撤回因解除劳动关系计划或裁减建议所提 供的辞退福利时；②本公司确认与涉及支付辞退福利的重组相关的成本或费用时。辞退福利 预期在年度报告期结束后十二个月不能完全支付的，按照其他长期职工薪酬处理。</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4）其他长期职工福利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5、预计负债" w:id="198"/>
      <w:bookmarkEnd w:id="198"/>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5" w:lineRule="auto"/>
        <w:ind w:left="1133" w:right="1132" w:firstLine="480"/>
        <w:jc w:val="both"/>
      </w:pPr>
      <w:r>
        <w:rPr/>
        <w:t>预计负债的确认原则：当与对外担保、商业承兑汇票贴现、未决诉讼或仲裁、产品质量 </w:t>
      </w:r>
      <w:r>
        <w:rPr>
          <w:spacing w:val="-3"/>
        </w:rPr>
        <w:t>保证等或有事项相关的业务同时符合以下条件时，本公司将其确认为负债：</w:t>
      </w:r>
      <w:r>
        <w:rPr>
          <w:rFonts w:ascii="Times New Roman" w:hAnsi="Times New Roman" w:cs="Times New Roman" w:eastAsia="Times New Roman" w:hint="default"/>
          <w:spacing w:val="-3"/>
        </w:rPr>
        <w:t>1</w:t>
      </w:r>
      <w:r>
        <w:rPr>
          <w:spacing w:val="-3"/>
        </w:rPr>
        <w:t>）该义务是本公</w:t>
      </w:r>
      <w:r>
        <w:rPr>
          <w:spacing w:val="-80"/>
        </w:rPr>
        <w:t> </w:t>
      </w:r>
      <w:r>
        <w:rPr>
          <w:spacing w:val="-80"/>
        </w:rPr>
      </w:r>
      <w:r>
        <w:rPr/>
        <w:t>司承担的现时义务；</w:t>
      </w:r>
      <w:r>
        <w:rPr>
          <w:rFonts w:ascii="Times New Roman" w:hAnsi="Times New Roman" w:cs="Times New Roman" w:eastAsia="Times New Roman" w:hint="default"/>
        </w:rPr>
        <w:t>2</w:t>
      </w:r>
      <w:r>
        <w:rPr/>
        <w:t>）该义务的履行很可能导致经济利益流出企业；</w:t>
      </w:r>
      <w:r>
        <w:rPr>
          <w:rFonts w:ascii="Times New Roman" w:hAnsi="Times New Roman" w:cs="Times New Roman" w:eastAsia="Times New Roman" w:hint="default"/>
        </w:rPr>
        <w:t>3</w:t>
      </w:r>
      <w:r>
        <w:rPr/>
        <w:t>）该义务的金额能够 可靠地计量。</w:t>
      </w:r>
    </w:p>
    <w:p>
      <w:pPr>
        <w:pStyle w:val="BodyText"/>
        <w:spacing w:line="357" w:lineRule="auto" w:before="204"/>
        <w:ind w:left="1133" w:right="1170" w:firstLine="480"/>
        <w:jc w:val="both"/>
      </w:pPr>
      <w:r>
        <w:rPr/>
        <w:t>预计负债的计量方法：预计负债按照履行相关现时义务所需支出的最佳估计数进行初始 计量，并综合考虑与或有事项有关的风险、不确定性和货币时间价值等因素。货币时间价值 影响重大的，通过对相关未来现金流出进行折现后确定最佳估计数。每个资产负债表日对预</w:t>
      </w:r>
    </w:p>
    <w:p>
      <w:pPr>
        <w:spacing w:after="0" w:line="357"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计负债的账面价值进行复核，如有改变则对账面价值进行调整以反映当前最佳估计数。</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6、股份支付" w:id="199"/>
      <w:bookmarkEnd w:id="199"/>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7、优先股、永续债等其他金融工具" w:id="200"/>
      <w:bookmarkEnd w:id="20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8、收入" w:id="201"/>
      <w:bookmarkEnd w:id="20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1133" w:right="1073" w:firstLine="480"/>
        <w:jc w:val="left"/>
      </w:pPr>
      <w:r>
        <w:rPr>
          <w:spacing w:val="-3"/>
        </w:rPr>
        <w:t>（</w:t>
      </w:r>
      <w:r>
        <w:rPr>
          <w:rFonts w:ascii="Times New Roman" w:hAnsi="Times New Roman" w:cs="Times New Roman" w:eastAsia="Times New Roman" w:hint="default"/>
          <w:spacing w:val="-3"/>
        </w:rPr>
        <w:t>1</w:t>
      </w:r>
      <w:r>
        <w:rPr>
          <w:spacing w:val="-3"/>
        </w:rPr>
        <w:t>）本公司的营业收入主要包括数字阅读产品收入、数字出版运营服务收入、数字内容</w:t>
      </w:r>
      <w:r>
        <w:rPr/>
        <w:t> 增值服务收入，收入确认原则如下：</w:t>
      </w:r>
    </w:p>
    <w:p>
      <w:pPr>
        <w:pStyle w:val="BodyText"/>
        <w:spacing w:line="357" w:lineRule="auto" w:before="211"/>
        <w:ind w:left="1133" w:right="1170" w:firstLine="480"/>
        <w:jc w:val="both"/>
      </w:pPr>
      <w:r>
        <w:rPr/>
        <w:t>本公司在已将商品所有权上的主要风险和报酬转移给购货方、本公司既没有保留通常与 所有权相联系的继续管理权、也没有对已售出的商品实施有效控制、收入的金额能够可靠地 计量、相关的经济利益很可能流入企业、相关的已发生或将发生的成本能够可靠地计量时， 确认销售商品收入的实现。</w:t>
      </w:r>
    </w:p>
    <w:p>
      <w:pPr>
        <w:pStyle w:val="BodyText"/>
        <w:spacing w:line="355" w:lineRule="auto" w:before="192"/>
        <w:ind w:left="1133" w:right="995" w:firstLine="480"/>
        <w:jc w:val="left"/>
      </w:pPr>
      <w:r>
        <w:rPr/>
        <w:t>本公司在劳务总收入和总成本能够可靠地计量、与劳务相关的经济利益很可能流入本公 司、劳务的完成进度能够可靠地确定时，确认劳务收入的实现。在资产负债表日，提供劳务 交易的结果能够可靠估计的，按完工百分比法确认相关的劳务收入，完工百分比按已完工作 的测量（已经提供的劳务占应提供劳务总量的比例</w:t>
      </w:r>
      <w:r>
        <w:rPr>
          <w:rFonts w:ascii="Times New Roman" w:hAnsi="Times New Roman" w:cs="Times New Roman" w:eastAsia="Times New Roman" w:hint="default"/>
        </w:rPr>
        <w:t>/</w:t>
      </w:r>
      <w:r>
        <w:rPr/>
        <w:t>已经发生的成本占估计总成本的比例）确 认；提供劳务交易结果不能够可靠估计、已经发生的劳务成本预计能够得到补偿的，按已经 发生的能够得到补偿的劳务成本金额确认提供劳务收入，并结转已经发生的劳务成本；提供 劳务交易结果不能够可靠估计、已经发生的劳务成本预计全部不能得到补偿的，将已经发生 </w:t>
      </w:r>
      <w:r>
        <w:rPr>
          <w:spacing w:val="-2"/>
        </w:rPr>
        <w:t>的劳务成本计入当期损益，不确认提供劳务收入。与交易相关的经济利益很可能流入本公司、</w:t>
      </w:r>
      <w:r>
        <w:rPr/>
        <w:t> 收入的金额能够可靠地计量时，确认让渡资产使用权收入的实现。</w:t>
      </w:r>
    </w:p>
    <w:p>
      <w:pPr>
        <w:pStyle w:val="BodyText"/>
        <w:spacing w:line="240" w:lineRule="auto" w:before="194"/>
        <w:ind w:left="1613" w:right="1073"/>
        <w:jc w:val="left"/>
      </w:pPr>
      <w:r>
        <w:rPr/>
        <w:t>（</w:t>
      </w:r>
      <w:r>
        <w:rPr>
          <w:rFonts w:ascii="Times New Roman" w:hAnsi="Times New Roman" w:cs="Times New Roman" w:eastAsia="Times New Roman" w:hint="default"/>
        </w:rPr>
        <w:t>2</w:t>
      </w:r>
      <w:r>
        <w:rPr/>
        <w:t>）收入确认的具体方法为：</w:t>
      </w:r>
    </w:p>
    <w:p>
      <w:pPr>
        <w:spacing w:line="240" w:lineRule="auto" w:before="4"/>
        <w:rPr>
          <w:rFonts w:ascii="宋体" w:hAnsi="宋体" w:cs="宋体" w:eastAsia="宋体" w:hint="default"/>
          <w:sz w:val="22"/>
          <w:szCs w:val="22"/>
        </w:rPr>
      </w:pPr>
    </w:p>
    <w:p>
      <w:pPr>
        <w:pStyle w:val="BodyText"/>
        <w:spacing w:line="338" w:lineRule="auto"/>
        <w:ind w:left="1133" w:right="1073" w:firstLine="480"/>
        <w:jc w:val="left"/>
      </w:pPr>
      <w:r>
        <w:rPr>
          <w:rFonts w:ascii="Times New Roman" w:hAnsi="Times New Roman" w:cs="Times New Roman" w:eastAsia="Times New Roman" w:hint="default"/>
          <w:spacing w:val="-3"/>
        </w:rPr>
        <w:t>1</w:t>
      </w:r>
      <w:r>
        <w:rPr>
          <w:spacing w:val="-3"/>
        </w:rPr>
        <w:t>）数字阅读产品收入包括按阅读流量确认的收入、数字阅读产品销售收入、数字阅读项</w:t>
      </w:r>
      <w:r>
        <w:rPr/>
        <w:t> 目开发收入、互联网广告收入。</w:t>
      </w:r>
    </w:p>
    <w:p>
      <w:pPr>
        <w:pStyle w:val="BodyText"/>
        <w:spacing w:line="240" w:lineRule="auto" w:before="211"/>
        <w:ind w:left="1613" w:right="1073"/>
        <w:jc w:val="left"/>
      </w:pPr>
      <w:r>
        <w:rPr/>
        <w:t>按阅读流量确认的收入的确认方法为：提供数字阅读产品后，按双方确认的结算单确认</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70"/>
        <w:jc w:val="both"/>
      </w:pPr>
      <w:r>
        <w:rPr/>
        <w:t>收入。在无法及时取得结算单的情况下，如能够及时取得当月阅读流量，根据系统平台阅读 流量和合同约定的分成方法确认收入，如无法及时取得当月阅读流量，在实际取得结算单时 确认收入，年末均按实际取得双方确认的当年结算单进行确认。</w:t>
      </w:r>
    </w:p>
    <w:p>
      <w:pPr>
        <w:pStyle w:val="BodyText"/>
        <w:spacing w:line="357" w:lineRule="auto" w:before="192"/>
        <w:ind w:left="1133" w:right="1170" w:firstLine="480"/>
        <w:jc w:val="both"/>
      </w:pPr>
      <w:r>
        <w:rPr/>
        <w:t>数字阅读产品销售收入的确认方法为：提供数字阅读产品后，根据合同约定的收入和结 算方式，在取得双方确认的结算单时确认收入。在数字阅读产品包含后续服务的情况下，后 续服务收入在服务期间内分期确认。</w:t>
      </w:r>
    </w:p>
    <w:p>
      <w:pPr>
        <w:pStyle w:val="BodyText"/>
        <w:spacing w:line="357" w:lineRule="auto" w:before="192"/>
        <w:ind w:left="1133" w:right="1170" w:firstLine="480"/>
        <w:jc w:val="both"/>
      </w:pPr>
      <w:r>
        <w:rPr/>
        <w:t>数字阅读项目开发收入的确认方法为：在资产负债表日，提供劳务交易的结果能够可靠 估计的，按完工百分比法确认相关的劳务收入。</w:t>
      </w:r>
    </w:p>
    <w:p>
      <w:pPr>
        <w:pStyle w:val="BodyText"/>
        <w:spacing w:line="240" w:lineRule="auto" w:before="192"/>
        <w:ind w:right="1073"/>
        <w:jc w:val="left"/>
      </w:pPr>
      <w:r>
        <w:rPr/>
        <w:t>互联网广告收入的确认方法为：在发布广告后，按合同约定确认广告收入。</w:t>
      </w:r>
    </w:p>
    <w:p>
      <w:pPr>
        <w:spacing w:line="240" w:lineRule="auto" w:before="9"/>
        <w:rPr>
          <w:rFonts w:ascii="宋体" w:hAnsi="宋体" w:cs="宋体" w:eastAsia="宋体" w:hint="default"/>
          <w:sz w:val="23"/>
          <w:szCs w:val="23"/>
        </w:rPr>
      </w:pPr>
    </w:p>
    <w:p>
      <w:pPr>
        <w:pStyle w:val="BodyText"/>
        <w:spacing w:line="451" w:lineRule="auto"/>
        <w:ind w:left="1613" w:right="1153"/>
        <w:jc w:val="left"/>
      </w:pPr>
      <w:r>
        <w:rPr>
          <w:rFonts w:ascii="Times New Roman" w:hAnsi="Times New Roman" w:cs="Times New Roman" w:eastAsia="Times New Roman" w:hint="default"/>
        </w:rPr>
        <w:t>2</w:t>
      </w:r>
      <w:r>
        <w:rPr/>
        <w:t>）数字出版运营服务收入包括手机阅读基地运营收入和其他机构运营收入。 手机阅读基地运营收入的确认方法为：提供运营服务后，相关成本能够可靠计量时，在</w:t>
      </w:r>
    </w:p>
    <w:p>
      <w:pPr>
        <w:pStyle w:val="BodyText"/>
        <w:spacing w:line="257" w:lineRule="exact"/>
        <w:ind w:left="1133" w:right="0"/>
        <w:jc w:val="both"/>
      </w:pPr>
      <w:r>
        <w:rPr/>
        <w:t>能够取得当月运营流量数据的情况下，根据当月系统平台统计的运营流量和合同约定的分成</w:t>
      </w:r>
    </w:p>
    <w:p>
      <w:pPr>
        <w:pStyle w:val="BodyText"/>
        <w:spacing w:line="357" w:lineRule="auto" w:before="154"/>
        <w:ind w:left="1133" w:right="1170"/>
        <w:jc w:val="both"/>
      </w:pPr>
      <w:r>
        <w:rPr/>
        <w:t>方法确认收入；在无法取得当月运营流量数据的情况下，根据实际结算时双方确认的运营流 量和合同约定的分成方法确认收入。</w:t>
      </w:r>
    </w:p>
    <w:p>
      <w:pPr>
        <w:pStyle w:val="BodyText"/>
        <w:spacing w:line="357" w:lineRule="auto" w:before="192"/>
        <w:ind w:left="1133" w:right="1170" w:firstLine="480"/>
        <w:jc w:val="both"/>
      </w:pPr>
      <w:r>
        <w:rPr/>
        <w:t>其他机构运营收入的确认方法为：提供运营服务后，按阅读流量和合同约定的收入结算 方式计算收入，收入确认方法与上述数字阅读产品中按阅读流量确认的收入相同。</w:t>
      </w:r>
    </w:p>
    <w:p>
      <w:pPr>
        <w:pStyle w:val="BodyText"/>
        <w:spacing w:line="338" w:lineRule="auto" w:before="192"/>
        <w:ind w:left="1133" w:right="1132" w:firstLine="480"/>
        <w:jc w:val="both"/>
      </w:pPr>
      <w:r>
        <w:rPr>
          <w:rFonts w:ascii="Times New Roman" w:hAnsi="Times New Roman" w:cs="Times New Roman" w:eastAsia="Times New Roman" w:hint="default"/>
          <w:spacing w:val="-3"/>
        </w:rPr>
        <w:t>3</w:t>
      </w:r>
      <w:r>
        <w:rPr>
          <w:spacing w:val="-3"/>
        </w:rPr>
        <w:t>）数字内容增值服务收入的确认方法为：根据与客户签订的合同，在提供有关产品或服</w:t>
      </w:r>
      <w:r>
        <w:rPr/>
        <w:t> 务后，相关成本能够可靠计量时，按照合同约定的结算方式和条件确认收入。</w:t>
      </w:r>
    </w:p>
    <w:p>
      <w:pPr>
        <w:spacing w:line="240" w:lineRule="auto" w:before="1"/>
        <w:rPr>
          <w:rFonts w:ascii="宋体" w:hAnsi="宋体" w:cs="宋体" w:eastAsia="宋体" w:hint="default"/>
          <w:sz w:val="23"/>
          <w:szCs w:val="23"/>
        </w:rPr>
      </w:pPr>
    </w:p>
    <w:p>
      <w:pPr>
        <w:spacing w:before="0"/>
        <w:ind w:left="1133" w:right="0" w:firstLine="0"/>
        <w:jc w:val="both"/>
        <w:rPr>
          <w:rFonts w:ascii="宋体" w:hAnsi="宋体" w:cs="宋体" w:eastAsia="宋体" w:hint="default"/>
          <w:sz w:val="21"/>
          <w:szCs w:val="21"/>
        </w:rPr>
      </w:pPr>
      <w:bookmarkStart w:name="29、政府补助" w:id="202"/>
      <w:bookmarkEnd w:id="202"/>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与资产相关的政府补助判断依据及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70" w:firstLine="480"/>
        <w:jc w:val="both"/>
      </w:pPr>
      <w:r>
        <w:rPr/>
        <w:t>与资产相关的政府补助，是指本公司取得的、用于购建或以其他方式形成长期资产的政 府补助；与资产相关的政府补助，本公司于资产的使用期限内摊销确认。</w:t>
      </w:r>
    </w:p>
    <w:p>
      <w:pPr>
        <w:spacing w:line="240" w:lineRule="auto" w:before="8"/>
        <w:rPr>
          <w:rFonts w:ascii="宋体" w:hAnsi="宋体" w:cs="宋体" w:eastAsia="宋体" w:hint="default"/>
          <w:sz w:val="21"/>
          <w:szCs w:val="21"/>
        </w:rPr>
      </w:pPr>
    </w:p>
    <w:p>
      <w:pPr>
        <w:spacing w:before="0"/>
        <w:ind w:left="1133" w:right="0" w:firstLine="0"/>
        <w:jc w:val="both"/>
        <w:rPr>
          <w:rFonts w:ascii="宋体" w:hAnsi="宋体" w:cs="宋体" w:eastAsia="宋体" w:hint="default"/>
          <w:sz w:val="21"/>
          <w:szCs w:val="21"/>
        </w:rPr>
      </w:pPr>
      <w:bookmarkStart w:name="（2）与收益相关的政府补助判断依据及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70" w:firstLine="480"/>
        <w:jc w:val="both"/>
      </w:pPr>
      <w:r>
        <w:rPr/>
        <w:t>与收益相关的政府补助，是指除与资产相关的政府补助之外的政府补助；与收益相关的 政府补助，本公司根据合同或相关补助文件，在受益期间内确认为当期营业外收入。</w:t>
      </w:r>
    </w:p>
    <w:p>
      <w:pPr>
        <w:spacing w:after="0" w:line="357" w:lineRule="auto"/>
        <w:jc w:val="both"/>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30、递延所得税资产/递延所得税负债" w:id="205"/>
      <w:bookmarkEnd w:id="20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5" w:lineRule="auto"/>
        <w:ind w:left="1133" w:right="1073" w:firstLine="480"/>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暂 </w:t>
      </w:r>
      <w:r>
        <w:rPr>
          <w:spacing w:val="-2"/>
        </w:rPr>
        <w:t>时性差异</w:t>
      </w:r>
      <w:r>
        <w:rPr>
          <w:rFonts w:ascii="Times New Roman" w:hAnsi="Times New Roman" w:cs="Times New Roman" w:eastAsia="Times New Roman" w:hint="default"/>
          <w:spacing w:val="-2"/>
        </w:rPr>
        <w:t>)</w:t>
      </w:r>
      <w:r>
        <w:rPr>
          <w:spacing w:val="-2"/>
        </w:rPr>
        <w:t>计算确认。对于按照税法规定能够于以后年度抵减应纳税所得额的可抵扣亏损和税</w:t>
      </w:r>
      <w:r>
        <w:rPr>
          <w:spacing w:val="-80"/>
        </w:rPr>
        <w:t> </w:t>
      </w:r>
      <w:r>
        <w:rPr>
          <w:spacing w:val="-80"/>
        </w:rPr>
      </w:r>
      <w:r>
        <w:rPr/>
        <w:t>款抵减，视同暂时性差异确认相应的递延所得税资产。于资产负债表日，递延所得税资产和 递延所得税负债，按照预期收回该资产或清偿该负债期间的适用税率计量。</w:t>
      </w:r>
    </w:p>
    <w:p>
      <w:pPr>
        <w:pStyle w:val="BodyText"/>
        <w:spacing w:line="357" w:lineRule="auto" w:before="204"/>
        <w:ind w:left="1133" w:right="1169" w:firstLine="480"/>
        <w:jc w:val="both"/>
      </w:pPr>
      <w:r>
        <w:rPr/>
        <w:t>本公司以很可能取得用来抵扣可抵扣暂时性差异的应纳税所得额为限，确认由可抵扣暂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31、租赁" w:id="206"/>
      <w:bookmarkEnd w:id="206"/>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经营租赁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本公司无经营性租赁业务。</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融资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本公司无融资租赁业务。</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2、其他重要的会计政策和会计估计" w:id="209"/>
      <w:bookmarkEnd w:id="209"/>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1170" w:firstLine="480"/>
        <w:jc w:val="both"/>
      </w:pPr>
      <w:r>
        <w:rPr/>
        <w:t>编制财务报表时，本公司管理层需要运用估计和假设，这些估计和假设会对会计政策的 应用及资产、负债、收入及费用的金额产生影响。实际情况可能与这些估计不同。本公司管 理层对估计涉及的关键假设和不确定性因素的判断进行持续评估。会计估计变更的影响在变 更当期和未来期间予以确认。</w:t>
      </w:r>
    </w:p>
    <w:p>
      <w:pPr>
        <w:pStyle w:val="BodyText"/>
        <w:spacing w:line="357" w:lineRule="auto" w:before="192"/>
        <w:ind w:left="1133" w:right="1169" w:firstLine="480"/>
        <w:jc w:val="both"/>
      </w:pPr>
      <w:r>
        <w:rPr/>
        <w:t>下列会计估计及关键假设存在导致未来期间的资产及负债账面值发生重大调整的重要风 险。</w:t>
      </w:r>
    </w:p>
    <w:p>
      <w:pPr>
        <w:pStyle w:val="BodyText"/>
        <w:spacing w:line="451" w:lineRule="auto" w:before="192"/>
        <w:ind w:right="1152"/>
        <w:jc w:val="left"/>
      </w:pPr>
      <w:r>
        <w:rPr/>
        <w:t>（</w:t>
      </w:r>
      <w:r>
        <w:rPr>
          <w:rFonts w:ascii="Times New Roman" w:hAnsi="Times New Roman" w:cs="Times New Roman" w:eastAsia="Times New Roman" w:hint="default"/>
        </w:rPr>
        <w:t>1</w:t>
      </w:r>
      <w:r>
        <w:rPr/>
        <w:t>）应收款项减值 本公司在资产负债表日按摊余成本计量的应收款項，以评估是否出现减值情況，并在出</w:t>
      </w:r>
    </w:p>
    <w:p>
      <w:pPr>
        <w:pStyle w:val="BodyText"/>
        <w:spacing w:line="257" w:lineRule="exact"/>
        <w:ind w:left="1134" w:right="1073"/>
        <w:jc w:val="left"/>
      </w:pPr>
      <w:r>
        <w:rPr/>
        <w:t>现减值情況时评估减值损失的具体金额。减值的客观证据包括显示个别或组合应收款项预计</w:t>
      </w:r>
    </w:p>
    <w:p>
      <w:pPr>
        <w:pStyle w:val="BodyText"/>
        <w:spacing w:line="240" w:lineRule="auto" w:before="154"/>
        <w:ind w:left="1134" w:right="1073"/>
        <w:jc w:val="left"/>
      </w:pPr>
      <w:r>
        <w:rPr/>
        <w:t>未来现金流量出现大幅下降的可判断数据，显示个别或组合应收款项中债务人的财务状况出</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52"/>
        <w:jc w:val="left"/>
      </w:pPr>
      <w:r>
        <w:rPr/>
        <w:t>现重大负面的可判断数据等事項。如果有证据表明该应收款项价值已恢复，且客观上与确认 该损失后发生的事项有关，则将原确认的减值损失予以转回。</w:t>
      </w:r>
    </w:p>
    <w:p>
      <w:pPr>
        <w:pStyle w:val="BodyText"/>
        <w:spacing w:line="451" w:lineRule="auto" w:before="192"/>
        <w:ind w:left="1613" w:right="1153"/>
        <w:jc w:val="left"/>
      </w:pPr>
      <w:r>
        <w:rPr>
          <w:rFonts w:ascii="Times New Roman" w:hAnsi="Times New Roman" w:cs="Times New Roman" w:eastAsia="Times New Roman" w:hint="default"/>
        </w:rPr>
        <w:t>(2)</w:t>
      </w:r>
      <w:r>
        <w:rPr/>
        <w:t>商誉减值准备的会计估计</w:t>
      </w:r>
      <w:r>
        <w:rPr>
          <w:w w:val="99"/>
        </w:rPr>
        <w:t> </w:t>
      </w:r>
      <w:r>
        <w:rPr/>
        <w:t>本公司每年对商誉进行减值测试。包含商誉的资产组和资产组组合的可收回金额为其预</w:t>
      </w:r>
    </w:p>
    <w:p>
      <w:pPr>
        <w:pStyle w:val="BodyText"/>
        <w:spacing w:line="257" w:lineRule="exact"/>
        <w:ind w:left="1133" w:right="1073"/>
        <w:jc w:val="left"/>
      </w:pPr>
      <w:r>
        <w:rPr/>
        <w:t>计未来现金流量的现值，其计算需要采用会计估计。</w:t>
      </w:r>
    </w:p>
    <w:p>
      <w:pPr>
        <w:spacing w:line="240" w:lineRule="auto" w:before="9"/>
        <w:rPr>
          <w:rFonts w:ascii="宋体" w:hAnsi="宋体" w:cs="宋体" w:eastAsia="宋体" w:hint="default"/>
          <w:sz w:val="23"/>
          <w:szCs w:val="23"/>
        </w:rPr>
      </w:pPr>
    </w:p>
    <w:p>
      <w:pPr>
        <w:pStyle w:val="BodyText"/>
        <w:spacing w:line="357" w:lineRule="auto"/>
        <w:ind w:left="1134" w:right="1152" w:firstLine="480"/>
        <w:jc w:val="left"/>
      </w:pPr>
      <w:r>
        <w:rPr/>
        <w:t>如果管理层对资产组和资产组组合未来现金流量计算中采用的毛利率进行修订，修订后 的毛利率低于目前采用的毛利率，本公司需对商誉增加计提减值准备。</w:t>
      </w:r>
    </w:p>
    <w:p>
      <w:pPr>
        <w:pStyle w:val="BodyText"/>
        <w:spacing w:line="357" w:lineRule="auto" w:before="192"/>
        <w:ind w:left="1133" w:right="1153" w:firstLine="480"/>
        <w:jc w:val="left"/>
      </w:pPr>
      <w:r>
        <w:rPr/>
        <w:t>如果管理层对应用于现金流量折现的税前折现率进行重新修订，修订后的税前折率高于 目前采用的折现率，本公司需对商誉增加计提减值准备。</w:t>
      </w:r>
    </w:p>
    <w:p>
      <w:pPr>
        <w:pStyle w:val="BodyText"/>
        <w:spacing w:line="357" w:lineRule="auto" w:before="192"/>
        <w:ind w:left="1133" w:right="1153" w:firstLine="480"/>
        <w:jc w:val="left"/>
      </w:pPr>
      <w:r>
        <w:rPr/>
        <w:t>如果实际毛利率或税前折现率高于或低于管理层的估计，本公司不能转回原已计提的商 誉减值损失。</w:t>
      </w:r>
    </w:p>
    <w:p>
      <w:pPr>
        <w:pStyle w:val="BodyText"/>
        <w:spacing w:line="451" w:lineRule="auto" w:before="192"/>
        <w:ind w:left="1613" w:right="1153"/>
        <w:jc w:val="left"/>
      </w:pPr>
      <w:r>
        <w:rPr>
          <w:rFonts w:ascii="Times New Roman" w:hAnsi="Times New Roman" w:cs="Times New Roman" w:eastAsia="Times New Roman" w:hint="default"/>
        </w:rPr>
        <w:t>(3)</w:t>
      </w:r>
      <w:r>
        <w:rPr/>
        <w:t>递延所得税资产确认的会计估计</w:t>
      </w:r>
      <w:r>
        <w:rPr>
          <w:w w:val="99"/>
        </w:rPr>
        <w:t> </w:t>
      </w:r>
      <w:r>
        <w:rPr/>
        <w:t>递延所得税资产的估计需要对未来各个年度的应纳税所得额及适用的税率进行估计，递</w:t>
      </w:r>
    </w:p>
    <w:p>
      <w:pPr>
        <w:pStyle w:val="BodyText"/>
        <w:spacing w:line="257" w:lineRule="exact"/>
        <w:ind w:left="1133" w:right="1073"/>
        <w:jc w:val="left"/>
      </w:pPr>
      <w:r>
        <w:rPr/>
        <w:t>延所得税资产的实现取决于公司未来是否很可能获得足够的应纳税所得额。未来税率的变化</w:t>
      </w:r>
    </w:p>
    <w:p>
      <w:pPr>
        <w:pStyle w:val="BodyText"/>
        <w:spacing w:line="357" w:lineRule="auto" w:before="154"/>
        <w:ind w:left="1133" w:right="1153"/>
        <w:jc w:val="left"/>
      </w:pPr>
      <w:r>
        <w:rPr/>
        <w:t>和暂时性差异的转回时间也可能影响所得税费用（收益）以及递延所得税的余额。上述估计 的变化可能导致对递延所得税的重要调整。</w:t>
      </w:r>
    </w:p>
    <w:p>
      <w:pPr>
        <w:pStyle w:val="BodyText"/>
        <w:spacing w:line="451" w:lineRule="auto" w:before="192"/>
        <w:ind w:left="1613" w:right="1153"/>
        <w:jc w:val="left"/>
      </w:pPr>
      <w:r>
        <w:rPr>
          <w:rFonts w:ascii="Times New Roman" w:hAnsi="Times New Roman" w:cs="Times New Roman" w:eastAsia="Times New Roman" w:hint="default"/>
        </w:rPr>
        <w:t>(4)</w:t>
      </w:r>
      <w:r>
        <w:rPr/>
        <w:t>固定资产、无形资产的可使用年限</w:t>
      </w:r>
      <w:r>
        <w:rPr>
          <w:w w:val="99"/>
        </w:rPr>
        <w:t> </w:t>
      </w:r>
      <w:r>
        <w:rPr/>
        <w:t>本公司至少于每年年度终了，对固定资产和无形资产的预计使用寿命进行复核。预计使</w:t>
      </w:r>
    </w:p>
    <w:p>
      <w:pPr>
        <w:pStyle w:val="BodyText"/>
        <w:spacing w:line="257" w:lineRule="exact"/>
        <w:ind w:left="1133" w:right="1073"/>
        <w:jc w:val="left"/>
      </w:pPr>
      <w:r>
        <w:rPr/>
        <w:t>用寿命是管理层基于同类资产历史经验、参考同行业普遍所应用的估计并结合预期技术更新</w:t>
      </w:r>
    </w:p>
    <w:p>
      <w:pPr>
        <w:pStyle w:val="BodyText"/>
        <w:spacing w:line="240" w:lineRule="auto" w:before="154"/>
        <w:ind w:left="1133" w:right="1073"/>
        <w:jc w:val="left"/>
      </w:pPr>
      <w:r>
        <w:rPr/>
        <w:t>而决定的。当以往的估计发生重大变化时，则相应调整未来期间的折旧费用和摊销费用。</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3、重要会计政策和会计估计变更" w:id="210"/>
      <w:bookmarkEnd w:id="210"/>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重要会计政策变更"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2）重要会计估计变更"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491" w:lineRule="auto" w:before="0"/>
        <w:ind w:left="1134" w:right="8328"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六、税项" w:id="213"/>
      <w:bookmarkEnd w:id="213"/>
      <w:r>
        <w:rPr>
          <w:rFonts w:ascii="宋体" w:hAnsi="宋体" w:cs="宋体" w:eastAsia="宋体" w:hint="default"/>
          <w:sz w:val="24"/>
          <w:szCs w:val="24"/>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4"/>
      <w:bookmarkEnd w:id="21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0"/>
        <w:rPr>
          <w:rFonts w:ascii="宋体" w:hAnsi="宋体" w:cs="宋体" w:eastAsia="宋体" w:hint="default"/>
          <w:b/>
          <w:bCs/>
          <w:sz w:val="13"/>
          <w:szCs w:val="13"/>
        </w:rPr>
      </w:pPr>
    </w:p>
    <w:p>
      <w:pPr>
        <w:pStyle w:val="BodyText"/>
        <w:spacing w:line="240" w:lineRule="auto" w:before="26"/>
        <w:ind w:right="1073"/>
        <w:jc w:val="left"/>
      </w:pPr>
      <w:r>
        <w:rPr/>
        <w:t>存在不同企业所得税税率纳税主体的，披露情况说明</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北京中文在线文化传媒有限公司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上海中文在线文化发展有限公司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杭州中文在线信息科技有限公司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北京中文在线教育科技发展有限公司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广州市四月天信息科技有限公司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湖北中文在线数字出版有限公司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中文在线教育集团有限公司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北京汤圆和它的小伙伴们网络科技有限公司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北京中文万维科技有限公司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税收优惠" w:id="215"/>
      <w:bookmarkEnd w:id="21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w:t>
      </w:r>
      <w:r>
        <w:rPr>
          <w:rFonts w:ascii="Times New Roman" w:hAnsi="Times New Roman" w:cs="Times New Roman" w:eastAsia="Times New Roman" w:hint="default"/>
        </w:rPr>
        <w:t>1</w:t>
      </w:r>
      <w:r>
        <w:rPr/>
        <w:t>）企业所得税</w:t>
      </w:r>
    </w:p>
    <w:p>
      <w:pPr>
        <w:spacing w:line="240" w:lineRule="auto" w:before="4"/>
        <w:rPr>
          <w:rFonts w:ascii="宋体" w:hAnsi="宋体" w:cs="宋体" w:eastAsia="宋体" w:hint="default"/>
          <w:sz w:val="22"/>
          <w:szCs w:val="22"/>
        </w:rPr>
      </w:pPr>
    </w:p>
    <w:p>
      <w:pPr>
        <w:pStyle w:val="BodyText"/>
        <w:spacing w:line="338" w:lineRule="auto"/>
        <w:ind w:left="1133" w:right="1206" w:firstLine="480"/>
        <w:jc w:val="left"/>
      </w:pPr>
      <w:r>
        <w:rPr>
          <w:rFonts w:ascii="Times New Roman" w:hAnsi="Times New Roman" w:cs="Times New Roman" w:eastAsia="Times New Roman" w:hint="default"/>
        </w:rPr>
        <w:t>1</w:t>
      </w:r>
      <w:r>
        <w:rPr/>
        <w:t>）本公司为高新技术企业，于</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日取得了编号为</w:t>
      </w:r>
      <w:r>
        <w:rPr>
          <w:spacing w:val="-62"/>
        </w:rPr>
        <w:t> </w:t>
      </w:r>
      <w:r>
        <w:rPr>
          <w:rFonts w:ascii="Times New Roman" w:hAnsi="Times New Roman" w:cs="Times New Roman" w:eastAsia="Times New Roman" w:hint="default"/>
        </w:rPr>
        <w:t>GR201511001718</w:t>
      </w:r>
      <w:r>
        <w:rPr>
          <w:rFonts w:ascii="Times New Roman" w:hAnsi="Times New Roman" w:cs="Times New Roman" w:eastAsia="Times New Roman" w:hint="default"/>
          <w:spacing w:val="-2"/>
        </w:rPr>
        <w:t> </w:t>
      </w:r>
      <w:r>
        <w:rPr/>
        <w:t>的高 新技术企业证书，有效期三年。 本公司</w:t>
      </w:r>
      <w:r>
        <w:rPr>
          <w:spacing w:val="-60"/>
        </w:rPr>
        <w:t> </w:t>
      </w:r>
      <w:r>
        <w:rPr>
          <w:rFonts w:ascii="Times New Roman" w:hAnsi="Times New Roman" w:cs="Times New Roman" w:eastAsia="Times New Roman" w:hint="default"/>
        </w:rPr>
        <w:t>2015 </w:t>
      </w:r>
      <w:r>
        <w:rPr/>
        <w:t>年适用高新技术企业的</w:t>
      </w:r>
      <w:r>
        <w:rPr>
          <w:spacing w:val="-60"/>
        </w:rPr>
        <w:t> </w:t>
      </w:r>
      <w:r>
        <w:rPr>
          <w:rFonts w:ascii="Times New Roman" w:hAnsi="Times New Roman" w:cs="Times New Roman" w:eastAsia="Times New Roman" w:hint="default"/>
        </w:rPr>
        <w:t>15%</w:t>
      </w:r>
      <w:r>
        <w:rPr/>
        <w:t>优惠税率。</w:t>
      </w:r>
    </w:p>
    <w:p>
      <w:pPr>
        <w:pStyle w:val="BodyText"/>
        <w:spacing w:line="338" w:lineRule="auto" w:before="183"/>
        <w:ind w:left="1133" w:right="1073" w:firstLine="480"/>
        <w:jc w:val="left"/>
      </w:pPr>
      <w:r>
        <w:rPr>
          <w:rFonts w:ascii="Times New Roman" w:hAnsi="Times New Roman" w:cs="Times New Roman" w:eastAsia="Times New Roman" w:hint="default"/>
          <w:spacing w:val="-3"/>
        </w:rPr>
        <w:t>2</w:t>
      </w:r>
      <w:r>
        <w:rPr>
          <w:spacing w:val="-3"/>
        </w:rPr>
        <w:t>）本公司全资子公司北京中文在线文化传媒有限公司（以下简称中文传媒）为高新技术</w:t>
      </w:r>
      <w:r>
        <w:rPr/>
        <w:t> 企业，于</w:t>
      </w:r>
      <w:r>
        <w:rPr>
          <w:spacing w:val="-6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日取得了编号为</w:t>
      </w:r>
      <w:r>
        <w:rPr>
          <w:spacing w:val="-62"/>
        </w:rPr>
        <w:t> </w:t>
      </w:r>
      <w:r>
        <w:rPr>
          <w:rFonts w:ascii="Times New Roman" w:hAnsi="Times New Roman" w:cs="Times New Roman" w:eastAsia="Times New Roman" w:hint="default"/>
        </w:rPr>
        <w:t>GF201311000891</w:t>
      </w:r>
      <w:r>
        <w:rPr>
          <w:rFonts w:ascii="Times New Roman" w:hAnsi="Times New Roman" w:cs="Times New Roman" w:eastAsia="Times New Roman" w:hint="default"/>
          <w:spacing w:val="-2"/>
        </w:rPr>
        <w:t> </w:t>
      </w:r>
      <w:r>
        <w:rPr/>
        <w:t>的高新技术企业证书，有效期三</w:t>
      </w:r>
    </w:p>
    <w:p>
      <w:pPr>
        <w:spacing w:after="0" w:line="338"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0"/>
        <w:jc w:val="both"/>
      </w:pPr>
      <w:r>
        <w:rPr/>
        <w:t>年。中文传媒</w:t>
      </w:r>
      <w:r>
        <w:rPr>
          <w:spacing w:val="-60"/>
        </w:rPr>
        <w:t> </w:t>
      </w:r>
      <w:r>
        <w:rPr>
          <w:rFonts w:ascii="Times New Roman" w:hAnsi="Times New Roman" w:cs="Times New Roman" w:eastAsia="Times New Roman" w:hint="default"/>
        </w:rPr>
        <w:t>2015 </w:t>
      </w:r>
      <w:r>
        <w:rPr/>
        <w:t>年适用高新技术企业的</w:t>
      </w:r>
      <w:r>
        <w:rPr>
          <w:spacing w:val="-60"/>
        </w:rPr>
        <w:t> </w:t>
      </w:r>
      <w:r>
        <w:rPr>
          <w:rFonts w:ascii="Times New Roman" w:hAnsi="Times New Roman" w:cs="Times New Roman" w:eastAsia="Times New Roman" w:hint="default"/>
        </w:rPr>
        <w:t>15%</w:t>
      </w:r>
      <w:r>
        <w:rPr/>
        <w:t>优惠税率。</w:t>
      </w:r>
    </w:p>
    <w:p>
      <w:pPr>
        <w:spacing w:line="240" w:lineRule="auto" w:before="4"/>
        <w:rPr>
          <w:rFonts w:ascii="宋体" w:hAnsi="宋体" w:cs="宋体" w:eastAsia="宋体" w:hint="default"/>
          <w:sz w:val="22"/>
          <w:szCs w:val="22"/>
        </w:rPr>
      </w:pPr>
    </w:p>
    <w:p>
      <w:pPr>
        <w:pStyle w:val="BodyText"/>
        <w:spacing w:line="338" w:lineRule="auto"/>
        <w:ind w:left="1133" w:right="1131" w:firstLine="480"/>
        <w:jc w:val="both"/>
      </w:pPr>
      <w:r>
        <w:rPr>
          <w:rFonts w:ascii="Times New Roman" w:hAnsi="Times New Roman" w:cs="Times New Roman" w:eastAsia="Times New Roman" w:hint="default"/>
          <w:spacing w:val="-3"/>
        </w:rPr>
        <w:t>3</w:t>
      </w:r>
      <w:r>
        <w:rPr>
          <w:spacing w:val="-3"/>
        </w:rPr>
        <w:t>）本公司全资子公司北京中文在线教育科技发展有限公司（以下简称中文教育）为高新</w:t>
      </w:r>
      <w:r>
        <w:rPr/>
        <w:t> </w:t>
      </w:r>
      <w:r>
        <w:rPr>
          <w:spacing w:val="-5"/>
        </w:rPr>
        <w:t>技术企业，于</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日取得了编号为</w:t>
      </w:r>
      <w:r>
        <w:rPr>
          <w:spacing w:val="-59"/>
        </w:rPr>
        <w:t> </w:t>
      </w:r>
      <w:r>
        <w:rPr>
          <w:rFonts w:ascii="Times New Roman" w:hAnsi="Times New Roman" w:cs="Times New Roman" w:eastAsia="Times New Roman" w:hint="default"/>
        </w:rPr>
        <w:t>GR201410001249</w:t>
      </w:r>
      <w:r>
        <w:rPr>
          <w:rFonts w:ascii="Times New Roman" w:hAnsi="Times New Roman" w:cs="Times New Roman" w:eastAsia="Times New Roman" w:hint="default"/>
          <w:spacing w:val="1"/>
        </w:rPr>
        <w:t> </w:t>
      </w:r>
      <w:r>
        <w:rPr>
          <w:spacing w:val="-3"/>
        </w:rPr>
        <w:t>的高新技术企业证书，有效</w:t>
      </w:r>
      <w:r>
        <w:rPr/>
        <w:t> 期三年。中文教育</w:t>
      </w:r>
      <w:r>
        <w:rPr>
          <w:spacing w:val="-60"/>
        </w:rPr>
        <w:t> </w:t>
      </w:r>
      <w:r>
        <w:rPr>
          <w:rFonts w:ascii="Times New Roman" w:hAnsi="Times New Roman" w:cs="Times New Roman" w:eastAsia="Times New Roman" w:hint="default"/>
        </w:rPr>
        <w:t>2015 </w:t>
      </w:r>
      <w:r>
        <w:rPr/>
        <w:t>年适用高新技术企业的</w:t>
      </w:r>
      <w:r>
        <w:rPr>
          <w:spacing w:val="-60"/>
        </w:rPr>
        <w:t> </w:t>
      </w:r>
      <w:r>
        <w:rPr>
          <w:rFonts w:ascii="Times New Roman" w:hAnsi="Times New Roman" w:cs="Times New Roman" w:eastAsia="Times New Roman" w:hint="default"/>
        </w:rPr>
        <w:t>15%</w:t>
      </w:r>
      <w:r>
        <w:rPr/>
        <w:t>优惠税率。</w:t>
      </w:r>
    </w:p>
    <w:p>
      <w:pPr>
        <w:pStyle w:val="BodyText"/>
        <w:spacing w:line="338" w:lineRule="auto" w:before="183"/>
        <w:ind w:left="1133" w:right="1131" w:firstLine="480"/>
        <w:jc w:val="both"/>
      </w:pPr>
      <w:r>
        <w:rPr>
          <w:rFonts w:ascii="Times New Roman" w:hAnsi="Times New Roman" w:cs="Times New Roman" w:eastAsia="Times New Roman" w:hint="default"/>
          <w:spacing w:val="-3"/>
        </w:rPr>
        <w:t>4</w:t>
      </w:r>
      <w:r>
        <w:rPr>
          <w:spacing w:val="-3"/>
        </w:rPr>
        <w:t>）本公司全资子公司上海中文在线文化发展有限公司（以下简称上海中文在线）为高新</w:t>
      </w:r>
      <w:r>
        <w:rPr/>
        <w:t> </w:t>
      </w:r>
      <w:r>
        <w:rPr>
          <w:spacing w:val="-3"/>
        </w:rPr>
        <w:t>技术企业，于</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日取得了编号为</w:t>
      </w:r>
      <w:r>
        <w:rPr>
          <w:spacing w:val="-62"/>
        </w:rPr>
        <w:t> </w:t>
      </w:r>
      <w:r>
        <w:rPr>
          <w:rFonts w:ascii="Times New Roman" w:hAnsi="Times New Roman" w:cs="Times New Roman" w:eastAsia="Times New Roman" w:hint="default"/>
        </w:rPr>
        <w:t>GF201431000258</w:t>
      </w:r>
      <w:r>
        <w:rPr>
          <w:rFonts w:ascii="Times New Roman" w:hAnsi="Times New Roman" w:cs="Times New Roman" w:eastAsia="Times New Roman" w:hint="default"/>
          <w:spacing w:val="-2"/>
        </w:rPr>
        <w:t> </w:t>
      </w:r>
      <w:r>
        <w:rPr/>
        <w:t>的高新技术企业证书，有效期 三年。上海中文在线</w:t>
      </w:r>
      <w:r>
        <w:rPr>
          <w:spacing w:val="-60"/>
        </w:rPr>
        <w:t> </w:t>
      </w:r>
      <w:r>
        <w:rPr>
          <w:rFonts w:ascii="Times New Roman" w:hAnsi="Times New Roman" w:cs="Times New Roman" w:eastAsia="Times New Roman" w:hint="default"/>
        </w:rPr>
        <w:t>2015 </w:t>
      </w:r>
      <w:r>
        <w:rPr/>
        <w:t>年适用高新技术企业的</w:t>
      </w:r>
      <w:r>
        <w:rPr>
          <w:spacing w:val="-60"/>
        </w:rPr>
        <w:t> </w:t>
      </w:r>
      <w:r>
        <w:rPr>
          <w:rFonts w:ascii="Times New Roman" w:hAnsi="Times New Roman" w:cs="Times New Roman" w:eastAsia="Times New Roman" w:hint="default"/>
        </w:rPr>
        <w:t>15%</w:t>
      </w:r>
      <w:r>
        <w:rPr/>
        <w:t>优惠税率。</w:t>
      </w:r>
    </w:p>
    <w:p>
      <w:pPr>
        <w:pStyle w:val="BodyText"/>
        <w:spacing w:line="338" w:lineRule="auto" w:before="183"/>
        <w:ind w:left="1133" w:right="1073" w:firstLine="480"/>
        <w:jc w:val="left"/>
      </w:pPr>
      <w:r>
        <w:rPr>
          <w:rFonts w:ascii="Times New Roman" w:hAnsi="Times New Roman" w:cs="Times New Roman" w:eastAsia="Times New Roman" w:hint="default"/>
          <w:spacing w:val="-3"/>
        </w:rPr>
        <w:t>5</w:t>
      </w:r>
      <w:r>
        <w:rPr>
          <w:spacing w:val="-3"/>
        </w:rPr>
        <w:t>）本公司全资子公司北京鸿达以太文化发展有限公司（以下简称北京鸿达以太）为高新</w:t>
      </w:r>
      <w:r>
        <w:rPr/>
        <w:t> 技术企业，于</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日取得了编号为</w:t>
      </w:r>
      <w:r>
        <w:rPr>
          <w:spacing w:val="-62"/>
        </w:rPr>
        <w:t> </w:t>
      </w:r>
      <w:r>
        <w:rPr>
          <w:rFonts w:ascii="Times New Roman" w:hAnsi="Times New Roman" w:cs="Times New Roman" w:eastAsia="Times New Roman" w:hint="default"/>
        </w:rPr>
        <w:t>GF201411000176</w:t>
      </w:r>
      <w:r>
        <w:rPr>
          <w:rFonts w:ascii="Times New Roman" w:hAnsi="Times New Roman" w:cs="Times New Roman" w:eastAsia="Times New Roman" w:hint="default"/>
          <w:spacing w:val="-2"/>
        </w:rPr>
        <w:t> </w:t>
      </w:r>
      <w:r>
        <w:rPr/>
        <w:t>的高新技术企业证书，有效 期三年。北京鸿达以太</w:t>
      </w:r>
      <w:r>
        <w:rPr>
          <w:spacing w:val="-60"/>
        </w:rPr>
        <w:t> </w:t>
      </w:r>
      <w:r>
        <w:rPr>
          <w:rFonts w:ascii="Times New Roman" w:hAnsi="Times New Roman" w:cs="Times New Roman" w:eastAsia="Times New Roman" w:hint="default"/>
        </w:rPr>
        <w:t>2015 </w:t>
      </w:r>
      <w:r>
        <w:rPr/>
        <w:t>年适用高新技术企业的</w:t>
      </w:r>
      <w:r>
        <w:rPr>
          <w:spacing w:val="-60"/>
        </w:rPr>
        <w:t> </w:t>
      </w:r>
      <w:r>
        <w:rPr>
          <w:rFonts w:ascii="Times New Roman" w:hAnsi="Times New Roman" w:cs="Times New Roman" w:eastAsia="Times New Roman" w:hint="default"/>
        </w:rPr>
        <w:t>15%</w:t>
      </w:r>
      <w:r>
        <w:rPr/>
        <w:t>优惠税率</w:t>
      </w:r>
    </w:p>
    <w:p>
      <w:pPr>
        <w:pStyle w:val="BodyText"/>
        <w:spacing w:line="240" w:lineRule="auto" w:before="183"/>
        <w:ind w:left="1613" w:right="1073"/>
        <w:jc w:val="left"/>
      </w:pPr>
      <w:r>
        <w:rPr/>
        <w:t>除上述所得税税收优惠外，本公司其他子公司企业所得税的适用税率均为</w:t>
      </w:r>
      <w:r>
        <w:rPr>
          <w:spacing w:val="-60"/>
        </w:rPr>
        <w:t> </w:t>
      </w:r>
      <w:r>
        <w:rPr>
          <w:rFonts w:ascii="Times New Roman" w:hAnsi="Times New Roman" w:cs="Times New Roman" w:eastAsia="Times New Roman" w:hint="default"/>
        </w:rPr>
        <w:t>25%</w:t>
      </w:r>
      <w:r>
        <w:rPr/>
        <w:t>。</w:t>
      </w:r>
    </w:p>
    <w:p>
      <w:pPr>
        <w:pStyle w:val="BodyText"/>
        <w:spacing w:line="620" w:lineRule="atLeast" w:before="4"/>
        <w:ind w:right="112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）增值税 </w:t>
      </w:r>
      <w:r>
        <w:rPr>
          <w:spacing w:val="-3"/>
        </w:rPr>
        <w:t>根据《关于鼓励软件产业和集成电路产业发展有关税收政策问题的通知》（财税</w:t>
      </w:r>
      <w:r>
        <w:rPr>
          <w:rFonts w:ascii="Times New Roman" w:hAnsi="Times New Roman" w:cs="Times New Roman" w:eastAsia="Times New Roman" w:hint="default"/>
          <w:spacing w:val="-3"/>
        </w:rPr>
        <w:t>[2000]25</w:t>
      </w:r>
    </w:p>
    <w:p>
      <w:pPr>
        <w:pStyle w:val="BodyText"/>
        <w:spacing w:line="338" w:lineRule="auto" w:before="136"/>
        <w:ind w:left="1133" w:right="1130"/>
        <w:jc w:val="both"/>
      </w:pPr>
      <w:r>
        <w:rPr>
          <w:spacing w:val="-14"/>
        </w:rPr>
        <w:t>号）、《关于软件产品增值税政策的通知》（财税</w:t>
      </w:r>
      <w:r>
        <w:rPr>
          <w:rFonts w:ascii="Times New Roman" w:hAnsi="Times New Roman" w:cs="Times New Roman" w:eastAsia="Times New Roman" w:hint="default"/>
          <w:spacing w:val="-14"/>
        </w:rPr>
        <w:t>[2011]100</w:t>
      </w:r>
      <w:r>
        <w:rPr>
          <w:rFonts w:ascii="Times New Roman" w:hAnsi="Times New Roman" w:cs="Times New Roman" w:eastAsia="Times New Roman" w:hint="default"/>
          <w:spacing w:val="1"/>
        </w:rPr>
        <w:t> </w:t>
      </w:r>
      <w:r>
        <w:rPr>
          <w:spacing w:val="-7"/>
        </w:rPr>
        <w:t>号）文件的规定，自</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1"/>
        </w:rPr>
        <w:t>24 </w:t>
      </w:r>
      <w:r>
        <w:rPr/>
        <w:t>日起，对增值税一般纳税人销售其自行开发生产的软件产品，按</w:t>
      </w:r>
      <w:r>
        <w:rPr>
          <w:spacing w:val="-60"/>
        </w:rPr>
        <w:t> </w:t>
      </w:r>
      <w:r>
        <w:rPr>
          <w:rFonts w:ascii="Times New Roman" w:hAnsi="Times New Roman" w:cs="Times New Roman" w:eastAsia="Times New Roman" w:hint="default"/>
        </w:rPr>
        <w:t>17%</w:t>
      </w:r>
      <w:r>
        <w:rPr/>
        <w:t>的法定税率征收增值税 后，对其增值税实际税负超过</w:t>
      </w:r>
      <w:r>
        <w:rPr>
          <w:spacing w:val="-60"/>
        </w:rPr>
        <w:t> </w:t>
      </w:r>
      <w:r>
        <w:rPr>
          <w:rFonts w:ascii="Times New Roman" w:hAnsi="Times New Roman" w:cs="Times New Roman" w:eastAsia="Times New Roman" w:hint="default"/>
        </w:rPr>
        <w:t>3%</w:t>
      </w:r>
      <w:r>
        <w:rPr/>
        <w:t>的部分实行即征即退政策。</w:t>
      </w:r>
    </w:p>
    <w:p>
      <w:pPr>
        <w:spacing w:line="240" w:lineRule="auto" w:before="1"/>
        <w:rPr>
          <w:rFonts w:ascii="宋体" w:hAnsi="宋体" w:cs="宋体" w:eastAsia="宋体" w:hint="default"/>
          <w:sz w:val="19"/>
          <w:szCs w:val="19"/>
        </w:rPr>
      </w:pPr>
    </w:p>
    <w:p>
      <w:pPr>
        <w:pStyle w:val="Heading2"/>
        <w:spacing w:line="240" w:lineRule="auto" w:before="0"/>
        <w:ind w:left="1133" w:right="0"/>
        <w:jc w:val="both"/>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货币资金" w:id="217"/>
      <w:bookmarkEnd w:id="2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198,989.05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234,544.38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92,758,042.56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58,906,274.57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162,856,500.00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255,813,531.61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59,956,818.95</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其他说明</w:t>
      </w:r>
    </w:p>
    <w:p>
      <w:pPr>
        <w:spacing w:line="240" w:lineRule="auto" w:before="11"/>
        <w:rPr>
          <w:rFonts w:ascii="宋体" w:hAnsi="宋体" w:cs="宋体" w:eastAsia="宋体" w:hint="default"/>
          <w:sz w:val="24"/>
          <w:szCs w:val="24"/>
        </w:rPr>
      </w:pPr>
    </w:p>
    <w:p>
      <w:pPr>
        <w:spacing w:line="369" w:lineRule="auto" w:before="0"/>
        <w:ind w:left="1134" w:right="1073" w:firstLine="440"/>
        <w:jc w:val="left"/>
        <w:rPr>
          <w:rFonts w:ascii="宋体" w:hAnsi="宋体" w:cs="宋体" w:eastAsia="宋体" w:hint="default"/>
          <w:sz w:val="22"/>
          <w:szCs w:val="22"/>
        </w:rPr>
      </w:pPr>
      <w:r>
        <w:rPr>
          <w:rFonts w:ascii="宋体" w:hAnsi="宋体" w:cs="宋体" w:eastAsia="宋体" w:hint="default"/>
          <w:sz w:val="22"/>
          <w:szCs w:val="22"/>
        </w:rPr>
        <w:t>年末其他货币资金中</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16,223.50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万元为开立信用证之保证金，其他均为质量保函保证金；年末货</w:t>
      </w:r>
      <w:r>
        <w:rPr>
          <w:rFonts w:ascii="宋体" w:hAnsi="宋体" w:cs="宋体" w:eastAsia="宋体" w:hint="default"/>
          <w:w w:val="99"/>
          <w:sz w:val="22"/>
          <w:szCs w:val="22"/>
        </w:rPr>
        <w:t> </w:t>
      </w:r>
      <w:r>
        <w:rPr>
          <w:rFonts w:ascii="宋体" w:hAnsi="宋体" w:cs="宋体" w:eastAsia="宋体" w:hint="default"/>
          <w:spacing w:val="-2"/>
          <w:sz w:val="22"/>
          <w:szCs w:val="22"/>
        </w:rPr>
        <w:t>币资金余额除其他货币资金外，不存在因抵押或冻结等对使用有限制、存放在境外、有潜在回收风险</w:t>
      </w:r>
    </w:p>
    <w:p>
      <w:pPr>
        <w:spacing w:after="0" w:line="369" w:lineRule="auto"/>
        <w:jc w:val="left"/>
        <w:rPr>
          <w:rFonts w:ascii="宋体" w:hAnsi="宋体" w:cs="宋体" w:eastAsia="宋体" w:hint="default"/>
          <w:sz w:val="22"/>
          <w:szCs w:val="22"/>
        </w:rPr>
        <w:sectPr>
          <w:pgSz w:w="11910" w:h="16840"/>
          <w:pgMar w:header="414" w:footer="979" w:top="1260" w:bottom="1160" w:left="0" w:right="0"/>
        </w:sectPr>
      </w:pPr>
    </w:p>
    <w:p>
      <w:pPr>
        <w:spacing w:line="240" w:lineRule="auto" w:before="13"/>
        <w:rPr>
          <w:rFonts w:ascii="宋体" w:hAnsi="宋体" w:cs="宋体" w:eastAsia="宋体" w:hint="default"/>
          <w:sz w:val="14"/>
          <w:szCs w:val="14"/>
        </w:rPr>
      </w:pPr>
    </w:p>
    <w:p>
      <w:pPr>
        <w:spacing w:before="31"/>
        <w:ind w:left="1134" w:right="1073" w:firstLine="0"/>
        <w:jc w:val="left"/>
        <w:rPr>
          <w:rFonts w:ascii="宋体" w:hAnsi="宋体" w:cs="宋体" w:eastAsia="宋体" w:hint="default"/>
          <w:sz w:val="22"/>
          <w:szCs w:val="22"/>
        </w:rPr>
      </w:pPr>
      <w:r>
        <w:rPr>
          <w:rFonts w:ascii="宋体" w:hAnsi="宋体" w:cs="宋体" w:eastAsia="宋体" w:hint="default"/>
          <w:sz w:val="22"/>
          <w:szCs w:val="22"/>
        </w:rPr>
        <w:t>的款项。</w:t>
      </w:r>
    </w:p>
    <w:p>
      <w:pPr>
        <w:spacing w:line="240" w:lineRule="auto" w:before="6"/>
        <w:rPr>
          <w:rFonts w:ascii="宋体" w:hAnsi="宋体" w:cs="宋体" w:eastAsia="宋体" w:hint="default"/>
          <w:sz w:val="31"/>
          <w:szCs w:val="31"/>
        </w:rPr>
      </w:pPr>
    </w:p>
    <w:p>
      <w:pPr>
        <w:spacing w:before="0"/>
        <w:ind w:left="1134" w:right="1073" w:firstLine="0"/>
        <w:jc w:val="left"/>
        <w:rPr>
          <w:rFonts w:ascii="宋体" w:hAnsi="宋体" w:cs="宋体" w:eastAsia="宋体" w:hint="default"/>
          <w:sz w:val="21"/>
          <w:szCs w:val="21"/>
        </w:rPr>
      </w:pPr>
      <w:bookmarkStart w:name="2、以公允价值计量且其变动计入当期损益的金融资产" w:id="218"/>
      <w:bookmarkEnd w:id="2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衍生金融资产"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4、应收票据" w:id="220"/>
      <w:bookmarkEnd w:id="2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应收账款" w:id="221"/>
      <w:bookmarkEnd w:id="2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应收账款分类披露"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168,430,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770.27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8,574,73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159,856,0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30.80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102,203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,659.55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4,666,427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97,537,231.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168,430,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770.27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8,574,73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159,856,0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30.80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102,203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,659.55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4,666,427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97,537,231.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期末单项金额重大并单项计提坏账准备的应收账款：</w:t>
      </w:r>
    </w:p>
    <w:p>
      <w:pPr>
        <w:spacing w:line="240" w:lineRule="auto" w:before="9"/>
        <w:rPr>
          <w:rFonts w:ascii="宋体" w:hAnsi="宋体" w:cs="宋体" w:eastAsia="宋体" w:hint="default"/>
          <w:sz w:val="23"/>
          <w:szCs w:val="23"/>
        </w:rPr>
      </w:pPr>
    </w:p>
    <w:p>
      <w:pPr>
        <w:pStyle w:val="BodyText"/>
        <w:spacing w:line="451"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154,070,765.64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3,037,455.48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154,070,765.64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3,037,455.48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6,662,959.17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999,443.87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2,465,573.15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1,232,786.58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2,341,628.55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2,341,628.55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166,504,351.51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8,574,739.47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477" w:lineRule="auto" w:before="26"/>
        <w:ind w:right="4512"/>
        <w:jc w:val="left"/>
      </w:pPr>
      <w:r>
        <w:rPr/>
        <w:t>确定该组合依据的说明： 以应收账款的账龄为信用风险特征划分组合。 组合中，采用余额百分比法计提坏账准备的应收账款：</w:t>
      </w:r>
    </w:p>
    <w:p>
      <w:pPr>
        <w:pStyle w:val="BodyText"/>
        <w:spacing w:line="451" w:lineRule="auto" w:before="72"/>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pStyle w:val="BodyText"/>
        <w:spacing w:line="357" w:lineRule="auto" w:before="98"/>
        <w:ind w:left="1133" w:right="1153" w:firstLine="480"/>
        <w:jc w:val="left"/>
      </w:pPr>
      <w:r>
        <w:rPr/>
        <w:t>采用其他方法计提坏账准备的组合为：与交易对象关系的组合，该组合为应收关联方款 项，不计提坏账准备，期末应收款项余额为</w:t>
      </w:r>
      <w:r>
        <w:rPr>
          <w:spacing w:val="-60"/>
        </w:rPr>
        <w:t> </w:t>
      </w:r>
      <w:r>
        <w:rPr>
          <w:rFonts w:ascii="Times New Roman" w:hAnsi="Times New Roman" w:cs="Times New Roman" w:eastAsia="Times New Roman" w:hint="default"/>
        </w:rPr>
        <w:t>1,926,418.76 </w:t>
      </w:r>
      <w:r>
        <w:rPr/>
        <w:t>元。</w:t>
      </w:r>
    </w:p>
    <w:p>
      <w:pPr>
        <w:spacing w:line="240" w:lineRule="auto" w:before="3"/>
        <w:rPr>
          <w:rFonts w:ascii="宋体" w:hAnsi="宋体" w:cs="宋体" w:eastAsia="宋体" w:hint="default"/>
          <w:sz w:val="19"/>
          <w:szCs w:val="19"/>
        </w:rPr>
      </w:pPr>
    </w:p>
    <w:p>
      <w:pPr>
        <w:spacing w:before="0"/>
        <w:ind w:left="1133" w:right="1073" w:firstLine="0"/>
        <w:jc w:val="left"/>
        <w:rPr>
          <w:rFonts w:ascii="宋体" w:hAnsi="宋体" w:cs="宋体" w:eastAsia="宋体" w:hint="default"/>
          <w:sz w:val="21"/>
          <w:szCs w:val="21"/>
        </w:rPr>
      </w:pPr>
      <w:bookmarkStart w:name="（2）本期计提、收回或转回的坏账准备情况"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本期计提坏账准备金额</w:t>
      </w:r>
      <w:r>
        <w:rPr>
          <w:spacing w:val="-63"/>
        </w:rPr>
        <w:t> </w:t>
      </w:r>
      <w:r>
        <w:rPr>
          <w:rFonts w:ascii="Times New Roman" w:hAnsi="Times New Roman" w:cs="Times New Roman" w:eastAsia="Times New Roman" w:hint="default"/>
        </w:rPr>
        <w:t>3,908,311.55</w:t>
      </w:r>
      <w:r>
        <w:rPr>
          <w:rFonts w:ascii="Times New Roman" w:hAnsi="Times New Roman" w:cs="Times New Roman" w:eastAsia="Times New Roman" w:hint="default"/>
          <w:spacing w:val="-3"/>
        </w:rPr>
        <w:t> </w:t>
      </w:r>
      <w:r>
        <w:rPr/>
        <w:t>元；本期收回或转回坏账准备金额</w:t>
      </w:r>
      <w:r>
        <w:rPr>
          <w:spacing w:val="-6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本期实际核销的应收账款情况"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按欠款方归集的期末余额前五名的应收账款情况"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21" w:type="dxa"/>
        <w:tblLayout w:type="fixed"/>
        <w:tblCellMar>
          <w:top w:w="0" w:type="dxa"/>
          <w:left w:w="0" w:type="dxa"/>
          <w:bottom w:w="0" w:type="dxa"/>
          <w:right w:w="0" w:type="dxa"/>
        </w:tblCellMar>
        <w:tblLook w:val="01E0"/>
      </w:tblPr>
      <w:tblGrid>
        <w:gridCol w:w="2745"/>
        <w:gridCol w:w="1778"/>
        <w:gridCol w:w="1777"/>
        <w:gridCol w:w="1778"/>
        <w:gridCol w:w="1778"/>
      </w:tblGrid>
      <w:tr>
        <w:trPr>
          <w:trHeight w:val="634"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18" w:right="116"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 额合计数的比例</w:t>
            </w:r>
            <w:r>
              <w:rPr>
                <w:rFonts w:ascii="Times New Roman" w:hAnsi="Times New Roman" w:cs="Times New Roman" w:eastAsia="Times New Roman" w:hint="default"/>
                <w:sz w:val="18"/>
                <w:szCs w:val="18"/>
              </w:rPr>
              <w:t>(%)</w:t>
            </w:r>
          </w:p>
        </w:tc>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32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49,224,560.00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29.23%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1,485,669.05</w:t>
            </w:r>
          </w:p>
        </w:tc>
      </w:tr>
      <w:tr>
        <w:trPr>
          <w:trHeight w:val="32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北京新浪互联信息服务有限公司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12.47%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420,000.00</w:t>
            </w:r>
          </w:p>
        </w:tc>
      </w:tr>
      <w:tr>
        <w:trPr>
          <w:trHeight w:val="323"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咪咕数字传媒有限公司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17,780,464.00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10.56%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355,609.28</w:t>
            </w:r>
          </w:p>
        </w:tc>
      </w:tr>
      <w:tr>
        <w:trPr>
          <w:trHeight w:val="32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220,000.00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b/>
          <w:bCs/>
          <w:sz w:val="13"/>
          <w:szCs w:val="13"/>
        </w:rPr>
      </w:pPr>
    </w:p>
    <w:tbl>
      <w:tblPr>
        <w:tblW w:w="0" w:type="auto"/>
        <w:jc w:val="left"/>
        <w:tblInd w:w="1021" w:type="dxa"/>
        <w:tblLayout w:type="fixed"/>
        <w:tblCellMar>
          <w:top w:w="0" w:type="dxa"/>
          <w:left w:w="0" w:type="dxa"/>
          <w:bottom w:w="0" w:type="dxa"/>
          <w:right w:w="0" w:type="dxa"/>
        </w:tblCellMar>
        <w:tblLook w:val="01E0"/>
      </w:tblPr>
      <w:tblGrid>
        <w:gridCol w:w="2745"/>
        <w:gridCol w:w="1778"/>
        <w:gridCol w:w="1777"/>
        <w:gridCol w:w="1778"/>
        <w:gridCol w:w="1778"/>
      </w:tblGrid>
      <w:tr>
        <w:trPr>
          <w:trHeight w:val="32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78"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上海东方龙新媒体有限公司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220,000.00</w:t>
            </w:r>
          </w:p>
        </w:tc>
      </w:tr>
      <w:tr>
        <w:trPr>
          <w:trHeight w:val="32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110,005,024.00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65.31%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2,701,278.33</w:t>
            </w:r>
          </w:p>
        </w:tc>
      </w:tr>
    </w:tbl>
    <w:p>
      <w:pPr>
        <w:spacing w:line="240" w:lineRule="auto" w:before="3"/>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5）因金融资产转移而终止确认的应收账款"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6）转移应收账款且继续涉入形成的资产、负债金额"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6、预付款项" w:id="228"/>
      <w:bookmarkEnd w:id="22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预付款项按账龄列示"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21,007,448.81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22,780,193.92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17,416,094.74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720,564.77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223,959.02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38,484,543.55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23,931,717.71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账龄超过</w:t>
      </w:r>
      <w:r>
        <w:rPr>
          <w:spacing w:val="-60"/>
        </w:rPr>
        <w:t> </w:t>
      </w:r>
      <w:r>
        <w:rPr>
          <w:rFonts w:ascii="Times New Roman" w:hAnsi="Times New Roman" w:cs="Times New Roman" w:eastAsia="Times New Roman" w:hint="default"/>
        </w:rPr>
        <w:t>1 </w:t>
      </w:r>
      <w:r>
        <w:rPr/>
        <w:t>年且金额重要的预付款项未及时结算原因的说明：</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spacing w:val="19"/>
        </w:rPr>
        <w:t>房租押金</w:t>
      </w:r>
      <w:r>
        <w:rPr>
          <w:spacing w:val="27"/>
        </w:rPr>
        <w:t> </w:t>
      </w:r>
      <w:r>
        <w:rPr>
          <w:rFonts w:ascii="Times New Roman" w:hAnsi="Times New Roman" w:cs="Times New Roman" w:eastAsia="Times New Roman" w:hint="default"/>
        </w:rPr>
        <w:t>1,032,948.00 </w:t>
      </w:r>
      <w:r>
        <w:rPr>
          <w:rFonts w:ascii="Times New Roman" w:hAnsi="Times New Roman" w:cs="Times New Roman" w:eastAsia="Times New Roman" w:hint="default"/>
          <w:spacing w:val="27"/>
        </w:rPr>
        <w:t> </w:t>
      </w:r>
      <w:r>
        <w:rPr>
          <w:spacing w:val="13"/>
        </w:rPr>
        <w:t>元于</w:t>
      </w:r>
      <w:r>
        <w:rPr>
          <w:spacing w:val="27"/>
        </w:rPr>
        <w:t> </w:t>
      </w:r>
      <w:r>
        <w:rPr>
          <w:rFonts w:ascii="Times New Roman" w:hAnsi="Times New Roman" w:cs="Times New Roman" w:eastAsia="Times New Roman" w:hint="default"/>
        </w:rPr>
        <w:t>2012 </w:t>
      </w:r>
      <w:r>
        <w:rPr>
          <w:rFonts w:ascii="Times New Roman" w:hAnsi="Times New Roman" w:cs="Times New Roman" w:eastAsia="Times New Roman" w:hint="default"/>
          <w:spacing w:val="27"/>
        </w:rPr>
        <w:t> </w:t>
      </w:r>
      <w:r>
        <w:rPr>
          <w:spacing w:val="18"/>
        </w:rPr>
        <w:t>年支付，</w:t>
      </w:r>
      <w:r>
        <w:rPr>
          <w:spacing w:val="-94"/>
        </w:rPr>
        <w:t> </w:t>
      </w:r>
      <w:r>
        <w:rPr>
          <w:spacing w:val="23"/>
        </w:rPr>
        <w:t>华人汇和科技园建设有限公司购房款</w:t>
      </w:r>
    </w:p>
    <w:p>
      <w:pPr>
        <w:pStyle w:val="BodyText"/>
        <w:spacing w:line="240" w:lineRule="auto" w:before="135"/>
        <w:ind w:left="1134" w:right="1073"/>
        <w:jc w:val="left"/>
      </w:pPr>
      <w:r>
        <w:rPr>
          <w:rFonts w:ascii="Times New Roman" w:hAnsi="Times New Roman" w:cs="Times New Roman" w:eastAsia="Times New Roman" w:hint="default"/>
        </w:rPr>
        <w:t>17,406,200.00 </w:t>
      </w:r>
      <w:r>
        <w:rPr/>
        <w:t>元于</w:t>
      </w:r>
      <w:r>
        <w:rPr>
          <w:spacing w:val="-60"/>
        </w:rPr>
        <w:t> </w:t>
      </w:r>
      <w:r>
        <w:rPr>
          <w:rFonts w:ascii="Times New Roman" w:hAnsi="Times New Roman" w:cs="Times New Roman" w:eastAsia="Times New Roman" w:hint="default"/>
        </w:rPr>
        <w:t>2014 </w:t>
      </w:r>
      <w:r>
        <w:rPr/>
        <w:t>年底支付</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2）按预付对象归集的期末余额前五名的预付款情况"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21" w:type="dxa"/>
        <w:tblLayout w:type="fixed"/>
        <w:tblCellMar>
          <w:top w:w="0" w:type="dxa"/>
          <w:left w:w="0" w:type="dxa"/>
          <w:bottom w:w="0" w:type="dxa"/>
          <w:right w:w="0" w:type="dxa"/>
        </w:tblCellMar>
        <w:tblLook w:val="01E0"/>
      </w:tblPr>
      <w:tblGrid>
        <w:gridCol w:w="2916"/>
        <w:gridCol w:w="1252"/>
        <w:gridCol w:w="2256"/>
        <w:gridCol w:w="3186"/>
      </w:tblGrid>
      <w:tr>
        <w:trPr>
          <w:trHeight w:val="322"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占预付款项年末余额合计数的比例</w:t>
            </w:r>
            <w:r>
              <w:rPr>
                <w:rFonts w:ascii="Times New Roman" w:hAnsi="Times New Roman" w:cs="Times New Roman" w:eastAsia="Times New Roman" w:hint="default"/>
                <w:sz w:val="18"/>
                <w:szCs w:val="18"/>
              </w:rPr>
              <w:t>(%)</w:t>
            </w:r>
          </w:p>
        </w:tc>
      </w:tr>
      <w:tr>
        <w:trPr>
          <w:trHeight w:val="322"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华人汇和科技园建设有限公司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33,071,780.00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85.94%</w:t>
            </w:r>
          </w:p>
        </w:tc>
      </w:tr>
      <w:tr>
        <w:trPr>
          <w:trHeight w:val="322"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北京佳丰盛世商贸有限公司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2.86%</w:t>
            </w:r>
          </w:p>
        </w:tc>
      </w:tr>
      <w:tr>
        <w:trPr>
          <w:trHeight w:val="323"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北京永利多房地产有限公司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3,042,684.00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7.91%</w:t>
            </w:r>
          </w:p>
        </w:tc>
      </w:tr>
      <w:tr>
        <w:trPr>
          <w:trHeight w:val="322"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电子工业出版社</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276,811.07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0.72%</w:t>
            </w:r>
          </w:p>
        </w:tc>
      </w:tr>
      <w:tr>
        <w:trPr>
          <w:trHeight w:val="322"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北京长江新世纪文化传媒有限公司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210,190.28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0.55%</w:t>
            </w:r>
          </w:p>
        </w:tc>
      </w:tr>
      <w:tr>
        <w:trPr>
          <w:trHeight w:val="323" w:hRule="exact"/>
        </w:trPr>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37,701,465.35</w:t>
            </w:r>
          </w:p>
        </w:tc>
        <w:tc>
          <w:tcPr>
            <w:tcW w:w="225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97.98%</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b/>
          <w:bCs/>
          <w:sz w:val="9"/>
          <w:szCs w:val="9"/>
        </w:rPr>
      </w:pPr>
    </w:p>
    <w:p>
      <w:pPr>
        <w:spacing w:before="35"/>
        <w:ind w:left="1134" w:right="1073" w:firstLine="0"/>
        <w:jc w:val="left"/>
        <w:rPr>
          <w:rFonts w:ascii="宋体" w:hAnsi="宋体" w:cs="宋体" w:eastAsia="宋体" w:hint="default"/>
          <w:sz w:val="21"/>
          <w:szCs w:val="21"/>
        </w:rPr>
      </w:pPr>
      <w:bookmarkStart w:name="7、应收利息" w:id="231"/>
      <w:bookmarkEnd w:id="23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8、应收股利" w:id="232"/>
      <w:bookmarkEnd w:id="23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9、其他应收款" w:id="233"/>
      <w:bookmarkEnd w:id="23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其他应收款分类披露"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316,419.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5,610,326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9,420,4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72.17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9,249,765.7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5,610,326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9,420,4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72.17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9,249,765.7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期末单项金额重大并单项计提坏账准备的其他应收款：</w:t>
      </w:r>
    </w:p>
    <w:p>
      <w:pPr>
        <w:spacing w:line="240" w:lineRule="auto" w:before="9"/>
        <w:rPr>
          <w:rFonts w:ascii="宋体" w:hAnsi="宋体" w:cs="宋体" w:eastAsia="宋体" w:hint="default"/>
          <w:sz w:val="23"/>
          <w:szCs w:val="23"/>
        </w:rPr>
      </w:pPr>
    </w:p>
    <w:p>
      <w:pPr>
        <w:pStyle w:val="BodyText"/>
        <w:spacing w:line="451" w:lineRule="auto"/>
        <w:ind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组合中，按账龄分析法计提坏账准备的其他应收款：</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5,293,275.03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5,293,275.03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490,232.55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73,534.88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12,438.92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5,926,746.50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316,419.84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477" w:lineRule="auto" w:before="26"/>
        <w:ind w:right="4272"/>
        <w:jc w:val="left"/>
      </w:pPr>
      <w:r>
        <w:rPr/>
        <w:t>确定该组合依据的说明： 以其他应收款的账龄为信用风险特征划分组合 组合中，采用余额百分比法计提坏账准备的其他应收款：</w:t>
      </w:r>
    </w:p>
    <w:p>
      <w:pPr>
        <w:pStyle w:val="BodyText"/>
        <w:spacing w:line="451" w:lineRule="auto" w:before="72"/>
        <w:ind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本期计提、收回或转回的坏账准备情况"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本期计提坏账准备金额</w:t>
      </w:r>
      <w:r>
        <w:rPr>
          <w:spacing w:val="-61"/>
        </w:rPr>
        <w:t> </w:t>
      </w:r>
      <w:r>
        <w:rPr>
          <w:rFonts w:ascii="Times New Roman" w:hAnsi="Times New Roman" w:cs="Times New Roman" w:eastAsia="Times New Roman" w:hint="default"/>
        </w:rPr>
        <w:t>145,713.42 </w:t>
      </w:r>
      <w:r>
        <w:rPr/>
        <w:t>元；本期收回或转回坏账准备金额</w:t>
      </w:r>
      <w:r>
        <w:rPr>
          <w:spacing w:val="-60"/>
        </w:rPr>
        <w:t> </w:t>
      </w:r>
      <w:r>
        <w:rPr>
          <w:rFonts w:ascii="Times New Roman" w:hAnsi="Times New Roman" w:cs="Times New Roman" w:eastAsia="Times New Roman" w:hint="default"/>
        </w:rPr>
        <w:t>0.00 </w:t>
      </w:r>
      <w:r>
        <w:rPr/>
        <w:t>元。</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本期实际核销的其他应收款情况"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其他应收款按款项性质分类情况"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6,344,765.77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1,516,769.89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746,823.25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3,856,436.26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1,105,083.15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MOOC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81,842.25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5,926,746.50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9,420,472.17</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按欠款方归集的期末余额前五名的其他应收款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新闻出版总署</w:t>
            </w:r>
          </w:p>
        </w:tc>
        <w:tc>
          <w:tcPr>
            <w:tcW w:w="159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1,467,530.00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29,350.60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6"/>
        <w:gridCol w:w="1595"/>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北京教育科学研究 院</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16,338.00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北京市康达律师事 务所</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9,433.96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北京佳丰盛世商贸 有限公司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366,667.00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7,333.34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中央电化教育馆</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238,013.00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4,760.26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3,360,808.10</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56.71%</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67,216.16</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涉及政府补助的应收款项"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7）因金融资产转移而终止确认的其他应收款"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8）转移其他应收款且继续涉入形成的资产、负债金额"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0、存货" w:id="242"/>
      <w:bookmarkEnd w:id="24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存货分类"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8,794,654.27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1,446,666.98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1,446,666.98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8,794,654.27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1,446,666.98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1,446,666.98</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存货跌价准备"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3）存货期末余额含有借款费用资本化金额的说明"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4）期末建造合同形成的已完工未结算资产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1、划分为持有待售的资产" w:id="247"/>
      <w:bookmarkEnd w:id="24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12、一年内到期的非流动资产" w:id="248"/>
      <w:bookmarkEnd w:id="24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13、其他流动资产" w:id="249"/>
      <w:bookmarkEnd w:id="24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4、可供出售金融资产" w:id="250"/>
      <w:bookmarkEnd w:id="250"/>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可供出售金融资产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76,748,300.00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76,748,300.00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76,748,300.00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99,248,300.00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99,248,300.00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96,748,300.00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96,748,300.00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期末按公允价值计量的可供出售金融资产"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期末按成本计量的可供出售金融资产"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852"/>
        <w:gridCol w:w="881"/>
        <w:gridCol w:w="870"/>
        <w:gridCol w:w="870"/>
        <w:gridCol w:w="870"/>
        <w:gridCol w:w="870"/>
        <w:gridCol w:w="870"/>
        <w:gridCol w:w="870"/>
        <w:gridCol w:w="870"/>
        <w:gridCol w:w="870"/>
        <w:gridCol w:w="870"/>
      </w:tblGrid>
      <w:tr>
        <w:trPr>
          <w:trHeight w:val="402"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54"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天翼阅读 文化传播 有限公司</w:t>
            </w:r>
          </w:p>
        </w:tc>
        <w:tc>
          <w:tcPr>
            <w:tcW w:w="8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70,629,300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70,629,300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MOOC-C</w:t>
            </w:r>
          </w:p>
          <w:p>
            <w:pPr>
              <w:pStyle w:val="TableParagraph"/>
              <w:spacing w:line="362" w:lineRule="auto" w:before="105"/>
              <w:ind w:left="22" w:right="58"/>
              <w:jc w:val="both"/>
              <w:rPr>
                <w:rFonts w:ascii="Times New Roman" w:hAnsi="Times New Roman" w:cs="Times New Roman" w:eastAsia="Times New Roman" w:hint="default"/>
                <w:sz w:val="18"/>
                <w:szCs w:val="18"/>
              </w:rPr>
            </w:pPr>
            <w:r>
              <w:rPr>
                <w:rFonts w:ascii="Times New Roman"/>
                <w:sz w:val="18"/>
              </w:rPr>
              <w:t>NInformat</w:t>
            </w:r>
            <w:r>
              <w:rPr>
                <w:rFonts w:ascii="Times New Roman"/>
                <w:w w:val="99"/>
                <w:sz w:val="18"/>
              </w:rPr>
              <w:t> </w:t>
            </w:r>
            <w:r>
              <w:rPr>
                <w:rFonts w:ascii="Times New Roman"/>
                <w:spacing w:val="-2"/>
                <w:sz w:val="18"/>
              </w:rPr>
              <w:t>ionTechno</w:t>
            </w:r>
            <w:r>
              <w:rPr>
                <w:rFonts w:ascii="Times New Roman"/>
                <w:spacing w:val="-41"/>
                <w:sz w:val="18"/>
              </w:rPr>
              <w:t> </w:t>
            </w:r>
            <w:r>
              <w:rPr>
                <w:rFonts w:ascii="Times New Roman"/>
                <w:spacing w:val="-41"/>
                <w:sz w:val="18"/>
              </w:rPr>
            </w:r>
            <w:r>
              <w:rPr>
                <w:rFonts w:ascii="Times New Roman"/>
                <w:sz w:val="18"/>
              </w:rPr>
              <w:t>logy</w:t>
            </w:r>
          </w:p>
          <w:p>
            <w:pPr>
              <w:pStyle w:val="TableParagraph"/>
              <w:spacing w:line="21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Cayman</w:t>
            </w:r>
          </w:p>
          <w:p>
            <w:pPr>
              <w:pStyle w:val="TableParagraph"/>
              <w:spacing w:line="360" w:lineRule="auto" w:before="63"/>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Corporatio n</w:t>
            </w:r>
          </w:p>
        </w:tc>
        <w:tc>
          <w:tcPr>
            <w:tcW w:w="8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76,748,300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76,748,300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4）报告期内可供出售金融资产减值的变动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可供出售权益工具期末公允价值严重下跌或非暂时性下跌但未计提减值准备的相关说"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5、持有至到期投资" w:id="256"/>
      <w:bookmarkEnd w:id="256"/>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持有至到期投资情况"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期末重要的持有至到期投资"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本期重分类的持有至到期投资"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16、长期应收款" w:id="260"/>
      <w:bookmarkEnd w:id="260"/>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7、长期股权投资" w:id="261"/>
      <w:bookmarkEnd w:id="261"/>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广州市迈 步信息科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北京学友 园中少报 刊发行有 限责任公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39,090,47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36,131,57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51,729.24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北京鸿达 以太文化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34,414,62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35,653,20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3,295,252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73,363,08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2"/>
              <w:ind w:left="22" w:right="21"/>
              <w:jc w:val="left"/>
              <w:rPr>
                <w:rFonts w:ascii="Times New Roman" w:hAnsi="Times New Roman" w:cs="Times New Roman" w:eastAsia="Times New Roman" w:hint="default"/>
                <w:sz w:val="18"/>
                <w:szCs w:val="18"/>
              </w:rPr>
            </w:pPr>
            <w:r>
              <w:rPr>
                <w:rFonts w:ascii="Times New Roman"/>
                <w:sz w:val="18"/>
              </w:rPr>
              <w:t>JOINEA</w:t>
            </w:r>
            <w:r>
              <w:rPr>
                <w:rFonts w:ascii="Times New Roman"/>
                <w:w w:val="99"/>
                <w:sz w:val="18"/>
              </w:rPr>
              <w:t> </w:t>
            </w:r>
            <w:r>
              <w:rPr>
                <w:rFonts w:ascii="Times New Roman"/>
                <w:sz w:val="18"/>
              </w:rPr>
              <w:t>R</w:t>
            </w:r>
            <w:r>
              <w:rPr>
                <w:rFonts w:ascii="Times New Roman"/>
                <w:sz w:val="18"/>
              </w:rPr>
              <w:t> LIMITED</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148,925,0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148,925,0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73,505,10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184,578,2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36,131,57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3,346,982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3,010,627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73,363,08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148,925,0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73,505,10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184,578,2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36,131,57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3,346,982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3,010,627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73,363,08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148,925,0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其他说明</w:t>
      </w:r>
    </w:p>
    <w:p>
      <w:pPr>
        <w:spacing w:line="240" w:lineRule="auto" w:before="9"/>
        <w:rPr>
          <w:rFonts w:ascii="宋体" w:hAnsi="宋体" w:cs="宋体" w:eastAsia="宋体" w:hint="default"/>
          <w:sz w:val="23"/>
          <w:szCs w:val="23"/>
        </w:rPr>
      </w:pPr>
    </w:p>
    <w:p>
      <w:pPr>
        <w:pStyle w:val="BodyText"/>
        <w:spacing w:line="338" w:lineRule="auto"/>
        <w:ind w:left="1133" w:right="1213" w:firstLine="480"/>
        <w:jc w:val="left"/>
      </w:pPr>
      <w:r>
        <w:rPr/>
        <w:t>注</w:t>
      </w:r>
      <w:r>
        <w:rPr>
          <w:spacing w:val="-60"/>
        </w:rPr>
        <w:t> </w:t>
      </w:r>
      <w:r>
        <w:rPr>
          <w:rFonts w:ascii="Times New Roman" w:hAnsi="Times New Roman" w:cs="Times New Roman" w:eastAsia="Times New Roman" w:hint="default"/>
        </w:rPr>
        <w:t>1</w:t>
      </w:r>
      <w:r>
        <w:rPr/>
        <w:t>：因广州市迈步信息科技有限公司超额亏损，权益法核算长期股权投资账面价值已 </w:t>
      </w:r>
      <w:r>
        <w:rPr>
          <w:spacing w:val="-5"/>
        </w:rPr>
        <w:t>至零，年末累计未确认亏损详见本附注八、</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3</w:t>
      </w:r>
      <w:r>
        <w:rPr>
          <w:spacing w:val="-5"/>
        </w:rPr>
        <w:t>）所述。</w:t>
      </w:r>
    </w:p>
    <w:p>
      <w:pPr>
        <w:pStyle w:val="BodyText"/>
        <w:spacing w:line="240" w:lineRule="auto" w:before="183"/>
        <w:ind w:left="1613" w:right="1073"/>
        <w:jc w:val="left"/>
      </w:pPr>
      <w:r>
        <w:rPr/>
        <w:t>注</w:t>
      </w:r>
      <w:r>
        <w:rPr>
          <w:spacing w:val="-6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28 </w:t>
      </w:r>
      <w:r>
        <w:rPr/>
        <w:t>日，本公司之子公司北京中文在线教育科技发展有限公司、北京</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48" w:lineRule="auto" w:before="26"/>
        <w:ind w:left="1133" w:right="996"/>
        <w:jc w:val="left"/>
      </w:pPr>
      <w:r>
        <w:rPr/>
        <w:t>学友园中少报刊发行有限责任公司、北京学友园文化发展有限公司、梁学全签署股权转让协 议，各方协商同意，北京中文在线教育科技发展有限公司将其持有的北京学友园中少报刊发 行有限责任公司</w:t>
      </w:r>
      <w:r>
        <w:rPr>
          <w:spacing w:val="-53"/>
        </w:rPr>
        <w:t> </w:t>
      </w:r>
      <w:r>
        <w:rPr>
          <w:rFonts w:ascii="Times New Roman" w:hAnsi="Times New Roman" w:cs="Times New Roman" w:eastAsia="Times New Roman" w:hint="default"/>
          <w:spacing w:val="-4"/>
        </w:rPr>
        <w:t>42.86%</w:t>
      </w:r>
      <w:r>
        <w:rPr>
          <w:spacing w:val="-4"/>
        </w:rPr>
        <w:t>的股权转让给北京学友园文化发展有限公司，转让价格为</w:t>
      </w:r>
      <w:r>
        <w:rPr>
          <w:spacing w:val="-53"/>
        </w:rPr>
        <w:t> </w:t>
      </w:r>
      <w:r>
        <w:rPr>
          <w:rFonts w:ascii="Times New Roman" w:hAnsi="Times New Roman" w:cs="Times New Roman" w:eastAsia="Times New Roman" w:hint="default"/>
        </w:rPr>
        <w:t>3,860</w:t>
      </w:r>
      <w:r>
        <w:rPr>
          <w:rFonts w:ascii="Times New Roman" w:hAnsi="Times New Roman" w:cs="Times New Roman" w:eastAsia="Times New Roman" w:hint="default"/>
          <w:spacing w:val="7"/>
        </w:rPr>
        <w:t> </w:t>
      </w:r>
      <w:r>
        <w:rPr/>
        <w:t>万元； 北京中文在线教育科技发展有限公司分别于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9 </w:t>
      </w:r>
      <w:r>
        <w:rPr>
          <w:spacing w:val="-17"/>
        </w:rPr>
        <w:t>月、</w:t>
      </w:r>
      <w:r>
        <w:rPr>
          <w:rFonts w:ascii="Times New Roman" w:hAnsi="Times New Roman" w:cs="Times New Roman" w:eastAsia="Times New Roman" w:hint="default"/>
          <w:spacing w:val="-17"/>
        </w:rPr>
        <w:t>10</w:t>
      </w:r>
      <w:r>
        <w:rPr>
          <w:rFonts w:ascii="Times New Roman" w:hAnsi="Times New Roman" w:cs="Times New Roman" w:eastAsia="Times New Roman" w:hint="default"/>
        </w:rPr>
        <w:t> </w:t>
      </w:r>
      <w:r>
        <w:rPr>
          <w:spacing w:val="-17"/>
        </w:rPr>
        <w:t>月、</w:t>
      </w:r>
      <w:r>
        <w:rPr>
          <w:rFonts w:ascii="Times New Roman" w:hAnsi="Times New Roman" w:cs="Times New Roman" w:eastAsia="Times New Roman" w:hint="default"/>
          <w:spacing w:val="-17"/>
        </w:rPr>
        <w:t>12</w:t>
      </w:r>
      <w:r>
        <w:rPr>
          <w:rFonts w:ascii="Times New Roman" w:hAnsi="Times New Roman" w:cs="Times New Roman" w:eastAsia="Times New Roman" w:hint="default"/>
        </w:rPr>
        <w:t> </w:t>
      </w:r>
      <w:r>
        <w:rPr/>
        <w:t>月收到</w:t>
      </w:r>
      <w:r>
        <w:rPr>
          <w:spacing w:val="-60"/>
        </w:rPr>
        <w:t> </w:t>
      </w:r>
      <w:r>
        <w:rPr>
          <w:rFonts w:ascii="Times New Roman" w:hAnsi="Times New Roman" w:cs="Times New Roman" w:eastAsia="Times New Roman" w:hint="default"/>
        </w:rPr>
        <w:t>1,800 </w:t>
      </w:r>
      <w:r>
        <w:rPr>
          <w:spacing w:val="-14"/>
        </w:rPr>
        <w:t>万、</w:t>
      </w:r>
      <w:r>
        <w:rPr>
          <w:rFonts w:ascii="Times New Roman" w:hAnsi="Times New Roman" w:cs="Times New Roman" w:eastAsia="Times New Roman" w:hint="default"/>
          <w:spacing w:val="-14"/>
        </w:rPr>
        <w:t>200</w:t>
      </w:r>
      <w:r>
        <w:rPr>
          <w:rFonts w:ascii="Times New Roman" w:hAnsi="Times New Roman" w:cs="Times New Roman" w:eastAsia="Times New Roman" w:hint="default"/>
        </w:rPr>
        <w:t> </w:t>
      </w:r>
      <w:r>
        <w:rPr/>
        <w:t>万、 </w:t>
      </w:r>
      <w:r>
        <w:rPr>
          <w:rFonts w:ascii="Times New Roman" w:hAnsi="Times New Roman" w:cs="Times New Roman" w:eastAsia="Times New Roman" w:hint="default"/>
        </w:rPr>
        <w:t>1,860 </w:t>
      </w:r>
      <w:r>
        <w:rPr/>
        <w:t>万共计</w:t>
      </w:r>
      <w:r>
        <w:rPr>
          <w:spacing w:val="-60"/>
        </w:rPr>
        <w:t> </w:t>
      </w:r>
      <w:r>
        <w:rPr>
          <w:rFonts w:ascii="Times New Roman" w:hAnsi="Times New Roman" w:cs="Times New Roman" w:eastAsia="Times New Roman" w:hint="default"/>
        </w:rPr>
        <w:t>3,860 </w:t>
      </w:r>
      <w:r>
        <w:rPr/>
        <w:t>万元。</w:t>
      </w:r>
    </w:p>
    <w:p>
      <w:pPr>
        <w:pStyle w:val="BodyText"/>
        <w:spacing w:line="338" w:lineRule="auto" w:before="172"/>
        <w:ind w:left="1133" w:right="997" w:firstLine="480"/>
        <w:jc w:val="left"/>
      </w:pPr>
      <w:r>
        <w:rPr/>
        <w:t>注</w:t>
      </w:r>
      <w:r>
        <w:rPr>
          <w:spacing w:val="-59"/>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7"/>
        </w:rPr>
        <w:t>日，本公司、北京世纪泓慧投资中心（有限合伙）、谭军安签署股</w:t>
      </w:r>
      <w:r>
        <w:rPr/>
        <w:t> </w:t>
      </w:r>
      <w:r>
        <w:rPr>
          <w:spacing w:val="-4"/>
        </w:rPr>
        <w:t>权转让协议，各方同意，本公司以</w:t>
      </w:r>
      <w:r>
        <w:rPr>
          <w:spacing w:val="-72"/>
        </w:rPr>
        <w:t> </w:t>
      </w:r>
      <w:r>
        <w:rPr>
          <w:rFonts w:ascii="Times New Roman" w:hAnsi="Times New Roman" w:cs="Times New Roman" w:eastAsia="Times New Roman" w:hint="default"/>
        </w:rPr>
        <w:t>1,585.32</w:t>
      </w:r>
      <w:r>
        <w:rPr>
          <w:rFonts w:ascii="Times New Roman" w:hAnsi="Times New Roman" w:cs="Times New Roman" w:eastAsia="Times New Roman" w:hint="default"/>
          <w:spacing w:val="-12"/>
        </w:rPr>
        <w:t> </w:t>
      </w:r>
      <w:r>
        <w:rPr/>
        <w:t>万元现金受让北京世纪泓慧投资中心（有限合伙） 持有北京鸿达以太文化发展有限公司</w:t>
      </w:r>
      <w:r>
        <w:rPr>
          <w:spacing w:val="-60"/>
        </w:rPr>
        <w:t> </w:t>
      </w:r>
      <w:r>
        <w:rPr>
          <w:rFonts w:ascii="Times New Roman" w:hAnsi="Times New Roman" w:cs="Times New Roman" w:eastAsia="Times New Roman" w:hint="default"/>
          <w:spacing w:val="-4"/>
        </w:rPr>
        <w:t>24.02%</w:t>
      </w:r>
      <w:r>
        <w:rPr>
          <w:spacing w:val="-4"/>
        </w:rPr>
        <w:t>的股权，以</w:t>
      </w:r>
      <w:r>
        <w:rPr>
          <w:spacing w:val="-60"/>
        </w:rPr>
        <w:t> </w:t>
      </w:r>
      <w:r>
        <w:rPr>
          <w:rFonts w:ascii="Times New Roman" w:hAnsi="Times New Roman" w:cs="Times New Roman" w:eastAsia="Times New Roman" w:hint="default"/>
        </w:rPr>
        <w:t>1,980.00 </w:t>
      </w:r>
      <w:r>
        <w:rPr/>
        <w:t>万元现金受让谭军安持有北 京鸿达以太文化发展有限公司</w:t>
      </w:r>
      <w:r>
        <w:rPr>
          <w:spacing w:val="-57"/>
        </w:rPr>
        <w:t> </w:t>
      </w:r>
      <w:r>
        <w:rPr>
          <w:rFonts w:ascii="Times New Roman" w:hAnsi="Times New Roman" w:cs="Times New Roman" w:eastAsia="Times New Roman" w:hint="default"/>
          <w:spacing w:val="-3"/>
        </w:rPr>
        <w:t>30.00%</w:t>
      </w:r>
      <w:r>
        <w:rPr>
          <w:spacing w:val="-3"/>
        </w:rPr>
        <w:t>的股权，本公司按合同约定于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月支付全部股</w:t>
      </w:r>
    </w:p>
    <w:p>
      <w:pPr>
        <w:pStyle w:val="BodyText"/>
        <w:spacing w:line="338" w:lineRule="auto" w:before="27"/>
        <w:ind w:left="1133" w:right="1117"/>
        <w:jc w:val="left"/>
      </w:pPr>
      <w:r>
        <w:rPr/>
        <w:t>权转让款项；北京鸿达以太文化发展有限公司于</w:t>
      </w:r>
      <w:r>
        <w:rPr>
          <w:spacing w:val="-6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4"/>
        </w:rPr>
        <w:t>日完成工商登记变更。股权</w:t>
      </w:r>
      <w:r>
        <w:rPr/>
        <w:t> 转让完成后成为本公司全资子公司，纳入合并范围。</w:t>
      </w:r>
    </w:p>
    <w:p>
      <w:pPr>
        <w:pStyle w:val="BodyText"/>
        <w:spacing w:line="338" w:lineRule="auto" w:before="211"/>
        <w:ind w:left="1134" w:right="1132" w:firstLine="480"/>
        <w:jc w:val="both"/>
      </w:pPr>
      <w:r>
        <w:rPr/>
        <w:t>注</w:t>
      </w:r>
      <w:r>
        <w:rPr>
          <w:spacing w:val="-69"/>
        </w:rPr>
        <w:t>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日，股份公司董事会会议决议，本公司之子公司中文在线教育集团 有限公司拟以</w:t>
      </w:r>
      <w:r>
        <w:rPr>
          <w:spacing w:val="-65"/>
        </w:rPr>
        <w:t> </w:t>
      </w:r>
      <w:r>
        <w:rPr>
          <w:rFonts w:ascii="Times New Roman" w:hAnsi="Times New Roman" w:cs="Times New Roman" w:eastAsia="Times New Roman" w:hint="default"/>
        </w:rPr>
        <w:t>2,300</w:t>
      </w:r>
      <w:r>
        <w:rPr>
          <w:rFonts w:ascii="Times New Roman" w:hAnsi="Times New Roman" w:cs="Times New Roman" w:eastAsia="Times New Roman" w:hint="default"/>
          <w:spacing w:val="-5"/>
        </w:rPr>
        <w:t> </w:t>
      </w:r>
      <w:r>
        <w:rPr/>
        <w:t>万美元投资</w:t>
      </w:r>
      <w:r>
        <w:rPr>
          <w:spacing w:val="-65"/>
        </w:rPr>
        <w:t> </w:t>
      </w:r>
      <w:r>
        <w:rPr>
          <w:rFonts w:ascii="Times New Roman" w:hAnsi="Times New Roman" w:cs="Times New Roman" w:eastAsia="Times New Roman" w:hint="default"/>
        </w:rPr>
        <w:t>JOINGEAR</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（一家英属维京群岛法律下设立的</w:t>
      </w:r>
      <w:r>
        <w:rPr>
          <w:spacing w:val="-65"/>
        </w:rPr>
        <w:t> </w:t>
      </w:r>
      <w:r>
        <w:rPr>
          <w:rFonts w:ascii="Times New Roman" w:hAnsi="Times New Roman" w:cs="Times New Roman" w:eastAsia="Times New Roman" w:hint="default"/>
        </w:rPr>
        <w:t>BVI</w:t>
      </w:r>
      <w:r>
        <w:rPr>
          <w:rFonts w:ascii="Times New Roman" w:hAnsi="Times New Roman" w:cs="Times New Roman" w:eastAsia="Times New Roman" w:hint="default"/>
          <w:spacing w:val="-1"/>
          <w:w w:val="99"/>
        </w:rPr>
        <w:t> </w:t>
      </w:r>
      <w:r>
        <w:rPr/>
        <w:t>公司）获得其</w:t>
      </w:r>
      <w:r>
        <w:rPr>
          <w:spacing w:val="-61"/>
        </w:rPr>
        <w:t> </w:t>
      </w:r>
      <w:r>
        <w:rPr>
          <w:rFonts w:ascii="Times New Roman" w:hAnsi="Times New Roman" w:cs="Times New Roman" w:eastAsia="Times New Roman" w:hint="default"/>
        </w:rPr>
        <w:t>38.33%</w:t>
      </w:r>
      <w:r>
        <w:rPr/>
        <w:t>的股权。</w:t>
      </w:r>
    </w:p>
    <w:p>
      <w:pPr>
        <w:spacing w:line="240" w:lineRule="auto" w:before="12"/>
        <w:rPr>
          <w:rFonts w:ascii="宋体" w:hAnsi="宋体" w:cs="宋体" w:eastAsia="宋体" w:hint="default"/>
          <w:sz w:val="20"/>
          <w:szCs w:val="20"/>
        </w:rPr>
      </w:pPr>
    </w:p>
    <w:p>
      <w:pPr>
        <w:spacing w:before="0"/>
        <w:ind w:left="1134" w:right="1073" w:firstLine="0"/>
        <w:jc w:val="left"/>
        <w:rPr>
          <w:rFonts w:ascii="宋体" w:hAnsi="宋体" w:cs="宋体" w:eastAsia="宋体" w:hint="default"/>
          <w:sz w:val="21"/>
          <w:szCs w:val="21"/>
        </w:rPr>
      </w:pPr>
      <w:bookmarkStart w:name="18、投资性房地产" w:id="262"/>
      <w:bookmarkEnd w:id="262"/>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采用成本计量模式的投资性房地产"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采用公允价值计量模式的投资性房地产"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3）未办妥产权证书的投资性房地产情况"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19、固定资产" w:id="266"/>
      <w:bookmarkEnd w:id="26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固定资产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81"/>
        <w:gridCol w:w="2403"/>
      </w:tblGrid>
      <w:tr>
        <w:trPr>
          <w:trHeight w:val="402" w:hRule="exact"/>
        </w:trPr>
        <w:tc>
          <w:tcPr>
            <w:tcW w:w="240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办公用设备及其他</w:t>
            </w:r>
          </w:p>
        </w:tc>
        <w:tc>
          <w:tcPr>
            <w:tcW w:w="2403"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2,136,030.00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7,492,252.42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9,628,282.42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778,599.54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7,494,821.60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8,273,421.14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265,152.00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265,152.00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2,649,477.54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14,987,074.02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17,636,551.56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1,240,037.96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3,538,257.94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4,778,295.90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509,680.54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1,695,739.69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2,205,420.23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227,911.32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227,911.32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227,911.32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227,911.32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1,521,807.18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5,233,997.63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6,755,804.81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9,753,076.39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10,880,746.75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895,992.04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3,953,994.48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4,849,986.52</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暂时闲置的固定资产情况"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通过融资租赁租入的固定资产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4）通过经营租赁租出的固定资产"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未办妥产权证书的固定资产情况"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0、在建工程" w:id="272"/>
      <w:bookmarkEnd w:id="27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1、工程物资" w:id="273"/>
      <w:bookmarkEnd w:id="27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2、固定资产清理" w:id="274"/>
      <w:bookmarkEnd w:id="274"/>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3、生产性生物资产" w:id="275"/>
      <w:bookmarkEnd w:id="275"/>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采用成本计量模式的生产性生物资产"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采用公允价值计量模式的生产性生物资产"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4、油气资产" w:id="278"/>
      <w:bookmarkEnd w:id="278"/>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5、无形资产" w:id="279"/>
      <w:bookmarkEnd w:id="27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无形资产情况"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6"/>
        <w:gridCol w:w="1367"/>
        <w:gridCol w:w="1367"/>
        <w:gridCol w:w="1355"/>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买断版权</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867,486.77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98,174,182.46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102,541,669.23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676,209.39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85,698,173.47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86,374,382.86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1,543,696.16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183,539,022.60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188,582,718.76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485,740.74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38,366,535.21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41,052,275.95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154,503.11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23,710,557.19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24,165,060.30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61,743,759.07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64,884,002.92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903,452.31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121,795,263.53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123,698,715.84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381,746.03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59,807,647.25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61,489,393.28</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Times New Roman" w:hAnsi="Times New Roman" w:cs="Times New Roman" w:eastAsia="Times New Roman" w:hint="default"/>
          <w:sz w:val="16"/>
          <w:szCs w:val="16"/>
        </w:rPr>
      </w:pPr>
    </w:p>
    <w:p>
      <w:pPr>
        <w:pStyle w:val="BodyText"/>
        <w:spacing w:line="240" w:lineRule="auto" w:before="26"/>
        <w:ind w:right="1073"/>
        <w:jc w:val="left"/>
      </w:pPr>
      <w:r>
        <w:rPr/>
        <w:t>本期末通过公司内部研发形成的无形资产占无形资产余额的比例。</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未办妥产权证书的土地使用权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6、开发支出" w:id="282"/>
      <w:bookmarkEnd w:id="28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2124"/>
        <w:gridCol w:w="1451"/>
        <w:gridCol w:w="2124"/>
        <w:gridCol w:w="2124"/>
        <w:gridCol w:w="1871"/>
      </w:tblGrid>
      <w:tr>
        <w:trPr>
          <w:trHeight w:val="401" w:hRule="exact"/>
        </w:trPr>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6"/>
              <w:jc w:val="right"/>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资产管理平台</w:t>
            </w:r>
          </w:p>
        </w:tc>
        <w:tc>
          <w:tcPr>
            <w:tcW w:w="1451"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3,432,209.62</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3,432,209.62</w:t>
            </w:r>
          </w:p>
        </w:tc>
      </w:tr>
      <w:tr>
        <w:trPr>
          <w:trHeight w:val="403" w:hRule="exact"/>
        </w:trPr>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3,432,209.62</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3,432,209.62</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其他说明</w:t>
      </w:r>
    </w:p>
    <w:p>
      <w:pPr>
        <w:spacing w:line="240" w:lineRule="auto" w:before="9"/>
        <w:rPr>
          <w:rFonts w:ascii="宋体" w:hAnsi="宋体" w:cs="宋体" w:eastAsia="宋体" w:hint="default"/>
          <w:sz w:val="23"/>
          <w:szCs w:val="23"/>
        </w:rPr>
      </w:pPr>
    </w:p>
    <w:p>
      <w:pPr>
        <w:pStyle w:val="BodyText"/>
        <w:spacing w:line="338" w:lineRule="auto"/>
        <w:ind w:left="1134" w:right="1130" w:firstLine="480"/>
        <w:jc w:val="both"/>
      </w:pPr>
      <w:r>
        <w:rPr/>
        <w:t>公司从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3"/>
        </w:rPr>
        <w:t>年启动资产管理平台系统升级计划，整个升级系统计划在五年内完成，并且</w:t>
      </w:r>
      <w:r>
        <w:rPr/>
        <w:t> 在总体规划的前提下采取分步实施、分步上线的实施策略。具体的实施规划如下：</w:t>
      </w:r>
    </w:p>
    <w:p>
      <w:pPr>
        <w:pStyle w:val="BodyText"/>
        <w:spacing w:line="350" w:lineRule="auto" w:before="211"/>
        <w:ind w:left="1134" w:right="1169" w:firstLine="480"/>
        <w:jc w:val="both"/>
      </w:pPr>
      <w:r>
        <w:rPr/>
        <w:t>第一阶段（</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6"/>
        </w:rPr>
        <w:t>月），建设内容：项目整体论证、规划以及内容管理</w:t>
      </w:r>
      <w:r>
        <w:rPr/>
        <w:t> 系统基础功能建设。基础功能建设包括：原始文件库建设、成品文件库建设、元数据管理、 应用报表分析、日志管理、系统管理等五大基础模块。为内容管理平台搭建坚实的基础，建 立统一的内容数据标准以及加工数据标准。</w:t>
      </w:r>
    </w:p>
    <w:p>
      <w:pPr>
        <w:pStyle w:val="BodyText"/>
        <w:spacing w:line="350" w:lineRule="auto" w:before="199"/>
        <w:ind w:left="1133" w:right="1169" w:firstLine="480"/>
        <w:jc w:val="both"/>
      </w:pPr>
      <w:r>
        <w:rPr/>
        <w:t>第二阶段（</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6"/>
        </w:rPr>
        <w:t>月），建设内容：合同管理系统，规范合同拟定、合</w:t>
      </w:r>
      <w:r>
        <w:rPr/>
        <w:t> 同审核与审批、合同登记与签章、合同履行、合同变更和解除、合同归档及借阅、合同纠纷 处理等各合同管理环节中的相关工作，便于合同分类、统计分析，防范和降低因合同管理带 来的风险。</w:t>
      </w:r>
    </w:p>
    <w:p>
      <w:pPr>
        <w:pStyle w:val="BodyText"/>
        <w:spacing w:line="348" w:lineRule="auto" w:before="199"/>
        <w:ind w:left="1134" w:right="1169" w:firstLine="480"/>
        <w:jc w:val="both"/>
      </w:pPr>
      <w:r>
        <w:rPr/>
        <w:t>第三阶段（</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6"/>
        </w:rPr>
        <w:t>月），建设内容：充分利用系统内、外部海量数据，</w:t>
      </w:r>
      <w:r>
        <w:rPr/>
        <w:t> 根据业务需求建立多维度的数据分析模型，利用列表和图形分析工具全方面的展示，提取有 价值的数据。</w:t>
      </w:r>
    </w:p>
    <w:p>
      <w:pPr>
        <w:pStyle w:val="BodyText"/>
        <w:spacing w:line="350" w:lineRule="auto" w:before="202"/>
        <w:ind w:left="1133" w:right="1131" w:firstLine="480"/>
        <w:jc w:val="both"/>
      </w:pPr>
      <w:r>
        <w:rPr>
          <w:spacing w:val="-3"/>
        </w:rPr>
        <w:t>第四阶段（</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8"/>
        </w:rPr>
        <w:t>月），建设内容：资产平台功能优化，实现结构化文</w:t>
      </w:r>
      <w:r>
        <w:rPr/>
        <w:t> 档尤其是复合文档的片段级管理、支持专题知识库的创建、支持不同特色资源库的构建与管 理、实现海量数据的存储以及高效检索，重点解决海量文件以及碎片化的文件在后续对日后 业务指导规划工作，建立多维度的生产数据分析模型，为生产提供指导性的意见。</w:t>
      </w:r>
    </w:p>
    <w:p>
      <w:pPr>
        <w:spacing w:after="0" w:line="350" w:lineRule="auto"/>
        <w:jc w:val="both"/>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截止本报告期末，项目处于第一阶段</w:t>
      </w:r>
      <w:r>
        <w:rPr>
          <w:rFonts w:ascii="Times New Roman" w:hAnsi="Times New Roman" w:cs="Times New Roman" w:eastAsia="Times New Roman" w:hint="default"/>
        </w:rPr>
        <w:t>——</w:t>
      </w:r>
      <w:r>
        <w:rPr/>
        <w:t>内容管理系统基础功能建设阶段。</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27、商誉" w:id="283"/>
      <w:bookmarkEnd w:id="28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商誉账面原值"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广州市四月天信 息科技有限公司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1,654,444.08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1,654,444.08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北京鸿达以太文 化发展有限公司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16,097,735.35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16,097,735.35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1,654,444.08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16,097,735.35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17,752,179.43</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商誉减值准备"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8、长期待摊费用" w:id="286"/>
      <w:bookmarkEnd w:id="286"/>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257,172.76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540,831.73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164,881.78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633,122.71</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257,172.76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540,831.73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164,881.78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633,122.71</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9、递延所得税资产/递延所得税负债" w:id="287"/>
      <w:bookmarkEnd w:id="287"/>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未经抵销的递延所得税资产"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8,736,083.64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1,381,136.93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4,790,811.02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758,134.02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7,570,934.35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1,135,640.15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联营企业权益法累计损 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尚未发放的职工薪酬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730,343.48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109,551.52</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7,240,806.92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1,086,121.04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1,795,799.87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290,441.68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21,479,326.98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3,221,899.05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188,218.14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28,232.72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38,644,435.68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5,867,389.74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16,287,888.97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2,503,767.41</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未经抵销的递延所得税负债"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25,916,189.61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3,887,428.44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25,916,189.61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3,887,428.44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5"/>
        <w:ind w:left="1134" w:right="1073" w:firstLine="0"/>
        <w:jc w:val="left"/>
        <w:rPr>
          <w:rFonts w:ascii="宋体" w:hAnsi="宋体" w:cs="宋体" w:eastAsia="宋体" w:hint="default"/>
          <w:sz w:val="21"/>
          <w:szCs w:val="21"/>
        </w:rPr>
      </w:pPr>
      <w:bookmarkStart w:name="（3）以抵销后净额列示的递延所得税资产或负债"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5,867,389.74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2,503,767.41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3,887,428.44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4）未确认递延所得税资产明细"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28,116.59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3,046,323.32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10,187,041.25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6,225,850.93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10,215,157.84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9,272,174.25</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未确认递延所得税资产的可抵扣亏损将于以下年度到期"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3,514.20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1,899,000.77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10,187,041.25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10,187,041.25</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1,902,514.97</w:t>
            </w:r>
          </w:p>
        </w:tc>
        <w:tc>
          <w:tcPr>
            <w:tcW w:w="2392"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0、其他非流动资产" w:id="293"/>
      <w:bookmarkEnd w:id="29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1、短期借款" w:id="294"/>
      <w:bookmarkEnd w:id="294"/>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短期借款分类"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249,352,800.00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249,352,800.00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短期借款分类的说明：</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日，本公司与江苏银行股份有限公司北京中关村支行签订流动资金借款</w:t>
      </w:r>
    </w:p>
    <w:p>
      <w:pPr>
        <w:pStyle w:val="BodyText"/>
        <w:spacing w:line="338" w:lineRule="auto" w:before="135"/>
        <w:ind w:left="1133" w:right="1132"/>
        <w:jc w:val="both"/>
      </w:pPr>
      <w:r>
        <w:rPr>
          <w:spacing w:val="-4"/>
        </w:rPr>
        <w:t>合同，借款金额为</w:t>
      </w:r>
      <w:r>
        <w:rPr>
          <w:spacing w:val="-60"/>
        </w:rPr>
        <w:t> </w:t>
      </w:r>
      <w:r>
        <w:rPr>
          <w:rFonts w:ascii="Times New Roman" w:hAnsi="Times New Roman" w:cs="Times New Roman" w:eastAsia="Times New Roman" w:hint="default"/>
        </w:rPr>
        <w:t>10,000.00 </w:t>
      </w:r>
      <w:r>
        <w:rPr>
          <w:spacing w:val="-4"/>
        </w:rPr>
        <w:t>万元，借款期限为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spacing w:val="-10"/>
        </w:rPr>
        <w:t>日，由</w:t>
      </w:r>
      <w:r>
        <w:rPr/>
        <w:t> 本公司之股东童之磊提供保证担保。</w:t>
      </w:r>
    </w:p>
    <w:p>
      <w:pPr>
        <w:pStyle w:val="BodyText"/>
        <w:spacing w:line="240" w:lineRule="auto" w:before="211"/>
        <w:ind w:left="1613"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日，本公司之子公司中文在线教育集团有限公司与江苏银行股份有限公</w:t>
      </w:r>
    </w:p>
    <w:p>
      <w:pPr>
        <w:pStyle w:val="BodyText"/>
        <w:spacing w:line="338" w:lineRule="auto" w:before="135"/>
        <w:ind w:left="1134" w:right="1130"/>
        <w:jc w:val="both"/>
      </w:pPr>
      <w:r>
        <w:rPr/>
        <w:t>司上海分行签订流动资金借款合同，借款金额</w:t>
      </w:r>
      <w:r>
        <w:rPr>
          <w:spacing w:val="-63"/>
        </w:rPr>
        <w:t> </w:t>
      </w:r>
      <w:r>
        <w:rPr>
          <w:rFonts w:ascii="Times New Roman" w:hAnsi="Times New Roman" w:cs="Times New Roman" w:eastAsia="Times New Roman" w:hint="default"/>
        </w:rPr>
        <w:t>2,300</w:t>
      </w:r>
      <w:r>
        <w:rPr>
          <w:rFonts w:ascii="Times New Roman" w:hAnsi="Times New Roman" w:cs="Times New Roman" w:eastAsia="Times New Roman" w:hint="default"/>
          <w:spacing w:val="-3"/>
        </w:rPr>
        <w:t> </w:t>
      </w:r>
      <w:r>
        <w:rPr/>
        <w:t>万美元，借款期限为</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 至</w:t>
      </w:r>
      <w:r>
        <w:rPr>
          <w:spacing w:val="-6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日，借款用于投资境外公司</w:t>
      </w:r>
      <w:r>
        <w:rPr>
          <w:spacing w:val="-65"/>
        </w:rPr>
        <w:t> </w:t>
      </w:r>
      <w:r>
        <w:rPr>
          <w:rFonts w:ascii="Times New Roman" w:hAnsi="Times New Roman" w:cs="Times New Roman" w:eastAsia="Times New Roman" w:hint="default"/>
        </w:rPr>
        <w:t>JOINGEAR</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6"/>
        </w:rPr>
        <w:t> </w:t>
      </w:r>
      <w:r>
        <w:rPr>
          <w:rFonts w:ascii="Times New Roman" w:hAnsi="Times New Roman" w:cs="Times New Roman" w:eastAsia="Times New Roman" w:hint="default"/>
        </w:rPr>
        <w:t>38.33%</w:t>
      </w:r>
      <w:r>
        <w:rPr/>
        <w:t>的股权；该项借 款以江苏银行股份有限公司北京分行签发的</w:t>
      </w:r>
      <w:r>
        <w:rPr>
          <w:spacing w:val="-60"/>
        </w:rPr>
        <w:t> </w:t>
      </w:r>
      <w:r>
        <w:rPr>
          <w:rFonts w:ascii="Times New Roman" w:hAnsi="Times New Roman" w:cs="Times New Roman" w:eastAsia="Times New Roman" w:hint="default"/>
        </w:rPr>
        <w:t>2,352 </w:t>
      </w:r>
      <w:r>
        <w:rPr/>
        <w:t>万美元的信用证提供质押担保</w:t>
      </w:r>
    </w:p>
    <w:p>
      <w:pPr>
        <w:spacing w:line="240" w:lineRule="auto" w:before="11"/>
        <w:rPr>
          <w:rFonts w:ascii="宋体" w:hAnsi="宋体" w:cs="宋体" w:eastAsia="宋体" w:hint="default"/>
          <w:sz w:val="20"/>
          <w:szCs w:val="20"/>
        </w:rPr>
      </w:pPr>
    </w:p>
    <w:p>
      <w:pPr>
        <w:spacing w:before="0"/>
        <w:ind w:left="1133" w:right="0" w:firstLine="0"/>
        <w:jc w:val="both"/>
        <w:rPr>
          <w:rFonts w:ascii="宋体" w:hAnsi="宋体" w:cs="宋体" w:eastAsia="宋体" w:hint="default"/>
          <w:sz w:val="21"/>
          <w:szCs w:val="21"/>
        </w:rPr>
      </w:pPr>
      <w:bookmarkStart w:name="（2）已逾期未偿还的短期借款情况"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3" w:right="1153" w:firstLine="480"/>
        <w:jc w:val="left"/>
      </w:pPr>
      <w:r>
        <w:rPr/>
        <w:t>本期末已逾期未偿还的短期借款总额为元，其中重要的已逾期未偿还的短期借款情况如 下：</w:t>
      </w:r>
    </w:p>
    <w:p>
      <w:pPr>
        <w:spacing w:before="1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2、以公允价值计量且其变动计入当期损益的金融负债" w:id="297"/>
      <w:bookmarkEnd w:id="297"/>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3、衍生金融负债" w:id="298"/>
      <w:bookmarkEnd w:id="298"/>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34、应付票据" w:id="299"/>
      <w:bookmarkEnd w:id="29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5、应付账款" w:id="300"/>
      <w:bookmarkEnd w:id="300"/>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应付账款列示"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50,204,974.04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32,480,250.85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50,204,974.04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32,480,250.85</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账龄超过1年的重要应付账款"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广州亚盟信息技术有限公司（原文网）</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李亚男</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238,095.24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陕西人民出版社</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218,759.65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北京师联教育科学研究所</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154,555.08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北京交通大学出版社有限责任公司</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153,960.09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6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1,116,088.06</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6、预收款项" w:id="303"/>
      <w:bookmarkEnd w:id="303"/>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预收款项列示"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17,392,899.78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12,110,316.70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17,392,899.78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12,110,316.70</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账龄超过1年的重要预收款项"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山东广电新媒体有限责任公司</w:t>
            </w:r>
          </w:p>
        </w:tc>
        <w:tc>
          <w:tcPr>
            <w:tcW w:w="31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北京文畅智悦文化有限公司</w:t>
            </w:r>
          </w:p>
        </w:tc>
        <w:tc>
          <w:tcPr>
            <w:tcW w:w="31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76"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期末建造合同形成的已结算未完工项目情况"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7、应付职工薪酬" w:id="307"/>
      <w:bookmarkEnd w:id="307"/>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应付职工薪酬列示"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10,829,046.16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125,692,924.02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119,364,364.33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17,157,605.85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300,951.63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4,940,310.90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4,793,886.05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447,376.48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680,169.64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680,169.64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11,129,997.79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131,313,404.56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124,838,420.02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17,604,982.33</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短期薪酬列示"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5,553,357.92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110,624,283.92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105,811,066.90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10,366,574.94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3,289,061.15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3,289,061.15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212,549.54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3,386,014.42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3,296,152.06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302,411.90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189,589.66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3,007,113.71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2,928,661.07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268,042.30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127,306.71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122,149.61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11,896.06</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245,341.38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22,473.54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120,895.00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5,056,421.70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3,997,524.53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2,686,222.22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6,367,724.01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10,829,046.16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125,692,924.02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119,364,364.33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17,157,605.85</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设定提存计划列示"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4,667,435.75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4,526,330.89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423,054.58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272,875.15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267,555.16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24,321.90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4,940,310.90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4,793,886.05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447,376.48</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8、应交税费" w:id="311"/>
      <w:bookmarkEnd w:id="311"/>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4,736,212.55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6,753,350.13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259,961.23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5,784,742.09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5,721,156.19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3,866,922.61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932,915.70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384,481.42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558,006.82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280,235.42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408,716.49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24,870.84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38,194.67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15,077,464.93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14,672,301.23</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9、应付利息" w:id="312"/>
      <w:bookmarkEnd w:id="312"/>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184,723.14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101,077.78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184,723.14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101,077.78</w:t>
            </w:r>
          </w:p>
        </w:tc>
      </w:tr>
    </w:tbl>
    <w:p>
      <w:pPr>
        <w:spacing w:line="240" w:lineRule="auto" w:before="3"/>
        <w:rPr>
          <w:rFonts w:ascii="宋体" w:hAnsi="宋体" w:cs="宋体" w:eastAsia="宋体" w:hint="default"/>
          <w:sz w:val="19"/>
          <w:szCs w:val="19"/>
        </w:rPr>
      </w:pPr>
    </w:p>
    <w:p>
      <w:pPr>
        <w:spacing w:before="35"/>
        <w:ind w:left="1114" w:right="9487" w:firstLine="0"/>
        <w:jc w:val="center"/>
        <w:rPr>
          <w:rFonts w:ascii="宋体" w:hAnsi="宋体" w:cs="宋体" w:eastAsia="宋体" w:hint="default"/>
          <w:sz w:val="21"/>
          <w:szCs w:val="21"/>
        </w:rPr>
      </w:pPr>
      <w:bookmarkStart w:name="40、应付股利" w:id="313"/>
      <w:bookmarkEnd w:id="313"/>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after="0" w:line="240" w:lineRule="auto"/>
        <w:jc w:val="center"/>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41、其他应付款" w:id="314"/>
      <w:bookmarkEnd w:id="31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按款项性质列示其他应付款"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586,724.17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527,625.70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586,724.17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527,625.70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账龄超过1年的重要其他应付款"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42、划分为持有待售的负债" w:id="317"/>
      <w:bookmarkEnd w:id="317"/>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3、一年内到期的非流动负债" w:id="318"/>
      <w:bookmarkEnd w:id="318"/>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4、其他流动负债" w:id="319"/>
      <w:bookmarkEnd w:id="319"/>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45、长期借款" w:id="320"/>
      <w:bookmarkEnd w:id="320"/>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46、应付债券" w:id="321"/>
      <w:bookmarkEnd w:id="321"/>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47" w:lineRule="auto" w:before="0"/>
        <w:ind w:left="1134" w:right="9296" w:hanging="35"/>
        <w:jc w:val="center"/>
        <w:rPr>
          <w:rFonts w:ascii="宋体" w:hAnsi="宋体" w:cs="宋体" w:eastAsia="宋体" w:hint="default"/>
          <w:sz w:val="24"/>
          <w:szCs w:val="24"/>
        </w:rPr>
      </w:pPr>
      <w:r>
        <w:rPr>
          <w:rFonts w:ascii="宋体" w:hAnsi="宋体" w:cs="宋体" w:eastAsia="宋体" w:hint="default"/>
          <w:sz w:val="24"/>
          <w:szCs w:val="24"/>
        </w:rPr>
        <w:t>无。 </w:t>
      </w:r>
      <w:bookmarkStart w:name="47、长期应付款" w:id="322"/>
      <w:bookmarkEnd w:id="322"/>
      <w:r>
        <w:rPr>
          <w:rFonts w:ascii="宋体" w:hAnsi="宋体" w:cs="宋体" w:eastAsia="宋体" w:hint="default"/>
          <w:sz w:val="24"/>
          <w:szCs w:val="24"/>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4"/>
          <w:szCs w:val="24"/>
        </w:rPr>
        <w:t>无。</w:t>
      </w:r>
    </w:p>
    <w:p>
      <w:pPr>
        <w:spacing w:before="93"/>
        <w:ind w:left="1134" w:right="1073" w:firstLine="0"/>
        <w:jc w:val="left"/>
        <w:rPr>
          <w:rFonts w:ascii="宋体" w:hAnsi="宋体" w:cs="宋体" w:eastAsia="宋体" w:hint="default"/>
          <w:sz w:val="21"/>
          <w:szCs w:val="21"/>
        </w:rPr>
      </w:pPr>
      <w:bookmarkStart w:name="48、长期应付职工薪酬" w:id="323"/>
      <w:bookmarkEnd w:id="323"/>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after="0" w:line="240" w:lineRule="auto"/>
        <w:jc w:val="center"/>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49、专项应付款" w:id="324"/>
      <w:bookmarkEnd w:id="324"/>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50、预计负债" w:id="325"/>
      <w:bookmarkEnd w:id="325"/>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51、递延收益" w:id="326"/>
      <w:bookmarkEnd w:id="326"/>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15,699,999.92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8,880,000.33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9D9D9"/>
          </w:tcPr>
          <w:p>
            <w:pPr/>
          </w:p>
        </w:tc>
        <w:tc>
          <w:tcPr>
            <w:tcW w:w="1607" w:type="dxa"/>
            <w:vMerge w:val="restart"/>
            <w:tcBorders>
              <w:top w:val="single" w:sz="4" w:space="0" w:color="000000"/>
              <w:left w:val="single" w:sz="9" w:space="0" w:color="D9D9D9"/>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1,795,799.87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835,849.06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434,083.84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2,197,565.09</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书香中国业务后续 服务而确认</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递延服务收入</w:t>
            </w:r>
          </w:p>
        </w:tc>
        <w:tc>
          <w:tcPr>
            <w:tcW w:w="1607" w:type="dxa"/>
            <w:vMerge/>
            <w:tcBorders>
              <w:left w:val="single" w:sz="9" w:space="0" w:color="D9D9D9"/>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9D9D9"/>
          </w:tcPr>
          <w:p>
            <w:pPr/>
          </w:p>
        </w:tc>
        <w:tc>
          <w:tcPr>
            <w:tcW w:w="1607" w:type="dxa"/>
            <w:vMerge/>
            <w:tcBorders>
              <w:left w:val="single" w:sz="9" w:space="0" w:color="D9D9D9"/>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5,195,800.12</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22,015,849.06</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16,134,083.76</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11,077,565.42</w:t>
            </w:r>
          </w:p>
        </w:tc>
        <w:tc>
          <w:tcPr>
            <w:tcW w:w="1595"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涉及政府补助的项目：</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文化创意产业发 展专项资金补助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基于原创模式的 协同出版服务与 应用平台补助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购房补贴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基于手机微出版 技术的原创聚合 暨富媒体发布平 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上海市服务业引 导配套资金</w:t>
            </w:r>
            <w:r>
              <w:rPr>
                <w:rFonts w:ascii="Times New Roman" w:hAnsi="Times New Roman" w:cs="Times New Roman" w:eastAsia="Times New Roman" w:hint="default"/>
                <w:sz w:val="18"/>
                <w:szCs w:val="18"/>
              </w:rPr>
              <w:t>-</w:t>
            </w:r>
            <w:r>
              <w:rPr>
                <w:rFonts w:ascii="宋体" w:hAnsi="宋体" w:cs="宋体" w:eastAsia="宋体" w:hint="default"/>
                <w:sz w:val="18"/>
                <w:szCs w:val="18"/>
              </w:rPr>
              <w:t>数 字教育出版综合 服务平台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北京文创</w:t>
            </w:r>
            <w:r>
              <w:rPr>
                <w:rFonts w:ascii="Times New Roman" w:hAnsi="Times New Roman" w:cs="Times New Roman" w:eastAsia="Times New Roman" w:hint="default"/>
                <w:sz w:val="18"/>
                <w:szCs w:val="18"/>
              </w:rPr>
              <w:t>-</w:t>
            </w:r>
            <w:r>
              <w:rPr>
                <w:rFonts w:ascii="宋体" w:hAnsi="宋体" w:cs="宋体" w:eastAsia="宋体" w:hint="default"/>
                <w:sz w:val="18"/>
                <w:szCs w:val="18"/>
              </w:rPr>
              <w:t>多终 端媒体阅读服务 平台建设及书香 东城应用示范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年北京市高 新技术成果转化 项目补助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东城区财力贡献 奖励</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面向复合出版的 版权资源管理发 布系统研发与应 用补助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年北京市音 像、电子、网络 出版物专项资金 项目补助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面向机构的移动 互联网阅读服务 平台建设及行业 示范项目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基于多屏互动的 </w:t>
            </w:r>
            <w:r>
              <w:rPr>
                <w:rFonts w:ascii="Times New Roman" w:hAnsi="Times New Roman" w:cs="Times New Roman" w:eastAsia="Times New Roman" w:hint="default"/>
                <w:sz w:val="18"/>
                <w:szCs w:val="18"/>
              </w:rPr>
              <w:t>“</w:t>
            </w:r>
            <w:r>
              <w:rPr>
                <w:rFonts w:ascii="宋体" w:hAnsi="宋体" w:cs="宋体" w:eastAsia="宋体" w:hint="default"/>
                <w:sz w:val="18"/>
                <w:szCs w:val="18"/>
              </w:rPr>
              <w:t>农家书屋数字 阅机</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上海市张江高科 技园区管理委员 会支持企业资金 补贴款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3,400,000.25</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19,655,000.00</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14,174,999.92</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8,880,000.33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2、其他非流动负债" w:id="327"/>
      <w:bookmarkEnd w:id="327"/>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53、股本" w:id="328"/>
      <w:bookmarkEnd w:id="328"/>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120,000,000.00</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4、其他权益工具" w:id="329"/>
      <w:bookmarkEnd w:id="329"/>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55、资本公积" w:id="330"/>
      <w:bookmarkEnd w:id="330"/>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29,880,245.78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137,468,281.40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167,348,527.18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21,479,326.98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21,479,326.98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29,880,245.78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158,947,608.38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188,827,854.16</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其他说明，包括本期增减变动情况、变动原因说明：</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1</w:t>
      </w:r>
      <w:r>
        <w:rPr/>
        <w:t>、本公司公开发行股票产生的股票溢价，公开发行股票事项详见本附注一所述。</w:t>
      </w:r>
    </w:p>
    <w:p>
      <w:pPr>
        <w:spacing w:line="240" w:lineRule="auto" w:before="4"/>
        <w:rPr>
          <w:rFonts w:ascii="宋体" w:hAnsi="宋体" w:cs="宋体" w:eastAsia="宋体" w:hint="default"/>
          <w:sz w:val="22"/>
          <w:szCs w:val="22"/>
        </w:rPr>
      </w:pPr>
    </w:p>
    <w:p>
      <w:pPr>
        <w:pStyle w:val="BodyText"/>
        <w:spacing w:line="350" w:lineRule="auto"/>
        <w:ind w:left="1133" w:right="1170" w:firstLine="480"/>
        <w:jc w:val="both"/>
      </w:pPr>
      <w:r>
        <w:rPr>
          <w:rFonts w:ascii="Times New Roman" w:hAnsi="Times New Roman" w:cs="Times New Roman" w:eastAsia="Times New Roman" w:hint="default"/>
        </w:rPr>
        <w:t>2</w:t>
      </w:r>
      <w:r>
        <w:rPr/>
        <w:t>、本公司本年度实施了股权激励计划，按照《企业会计准则第</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股份支付》的 有关规定，公司在等待期内的每个资产负债表日，以对可行权权益工具数量的最佳估计为基 础，按照权益工具在授予日的公允价值，将当期取得的服务计入相关资产成本或当期费用， 同时计入资本公积中的其他资本公积。</w:t>
      </w:r>
    </w:p>
    <w:p>
      <w:pPr>
        <w:spacing w:line="240" w:lineRule="auto" w:before="2"/>
        <w:rPr>
          <w:rFonts w:ascii="宋体" w:hAnsi="宋体" w:cs="宋体" w:eastAsia="宋体" w:hint="default"/>
          <w:sz w:val="22"/>
          <w:szCs w:val="22"/>
        </w:rPr>
      </w:pPr>
    </w:p>
    <w:p>
      <w:pPr>
        <w:spacing w:before="0"/>
        <w:ind w:left="1134" w:right="1073" w:firstLine="0"/>
        <w:jc w:val="left"/>
        <w:rPr>
          <w:rFonts w:ascii="宋体" w:hAnsi="宋体" w:cs="宋体" w:eastAsia="宋体" w:hint="default"/>
          <w:sz w:val="21"/>
          <w:szCs w:val="21"/>
        </w:rPr>
      </w:pPr>
      <w:bookmarkStart w:name="56、库存股" w:id="331"/>
      <w:bookmarkEnd w:id="331"/>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57、其他综合收益" w:id="332"/>
      <w:bookmarkEnd w:id="332"/>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58、专项储备" w:id="333"/>
      <w:bookmarkEnd w:id="333"/>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14" w:right="9487" w:firstLine="0"/>
        <w:jc w:val="center"/>
        <w:rPr>
          <w:rFonts w:ascii="宋体" w:hAnsi="宋体" w:cs="宋体" w:eastAsia="宋体" w:hint="default"/>
          <w:sz w:val="21"/>
          <w:szCs w:val="21"/>
        </w:rPr>
      </w:pPr>
      <w:bookmarkStart w:name="59、盈余公积" w:id="334"/>
      <w:bookmarkEnd w:id="334"/>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20,198,350.08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1,227,986.08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21,426,336.16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20,198,350.08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1,227,986.08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21,426,336.16</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0、未分配利润" w:id="335"/>
      <w:bookmarkEnd w:id="335"/>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161,127,686.55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129,661,894.51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161,127,686.55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129,661,894.51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31,254,698.39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46,169,543.67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1,227,986.08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6,403,951.32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8,299,800.31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181,554,398.86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161,127,686.55</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调整期初未分配利润明细：</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1)</w:t>
      </w:r>
      <w:r>
        <w:rPr/>
        <w:t>、由于《企业会计准则》及其相关新规定进行追溯调整，影响期初未分配利润元。</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2)</w:t>
      </w:r>
      <w:r>
        <w:rPr/>
        <w:t>、由于会计政策变更，影响期初未分配利润元。</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3)</w:t>
      </w:r>
      <w:r>
        <w:rPr/>
        <w:t>、由于重大会计差错更正，影响期初未分配利润元。</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4)</w:t>
      </w:r>
      <w:r>
        <w:rPr/>
        <w:t>、由于同一控制导致的合并范围变更，影响期初未分配利润元。</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5)</w:t>
      </w:r>
      <w:r>
        <w:rPr/>
        <w:t>、其他调整合计影响期初未分配利润元。</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61、营业收入和营业成本" w:id="336"/>
      <w:bookmarkEnd w:id="336"/>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390,246,185.64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206,120,487.59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144,735,750.21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390,246,185.64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206,120,487.59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144,735,750.21</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2、营业税金及附加" w:id="337"/>
      <w:bookmarkEnd w:id="337"/>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-77,457.18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652,863.56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790,426.45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860,006.11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596,408.24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653,548.64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213,547.92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357,080.18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1,522,925.43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2,523,498.49</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63、销售费用" w:id="338"/>
      <w:bookmarkEnd w:id="338"/>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23,475,348.12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22,250,735.06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194,708.21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271,674.33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1,661,467.07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565,647.60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1,714,806.13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1,476,164.16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2,080,209.25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1,481,507.90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173,177.29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141,842.84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162,981.21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369,779.49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13,094,283.93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1,720,093.69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42,556,981.21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28,277,445.07</w:t>
            </w:r>
          </w:p>
        </w:tc>
      </w:tr>
    </w:tbl>
    <w:p>
      <w:pPr>
        <w:spacing w:line="240" w:lineRule="auto" w:before="0"/>
        <w:rPr>
          <w:rFonts w:ascii="宋体" w:hAnsi="宋体" w:cs="宋体" w:eastAsia="宋体" w:hint="default"/>
          <w:sz w:val="13"/>
          <w:szCs w:val="13"/>
        </w:rPr>
      </w:pPr>
    </w:p>
    <w:p>
      <w:pPr>
        <w:pStyle w:val="BodyText"/>
        <w:spacing w:line="357" w:lineRule="auto" w:before="26"/>
        <w:ind w:left="1134" w:right="1152" w:firstLine="480"/>
        <w:jc w:val="left"/>
      </w:pPr>
      <w:r>
        <w:rPr/>
        <w:t>其他说明：本公司销售费用本年度增长主要是本公司为开拓泛娱乐市场，在该市场投入 的广告费用。</w:t>
      </w:r>
    </w:p>
    <w:p>
      <w:pPr>
        <w:spacing w:line="240" w:lineRule="auto" w:before="8"/>
        <w:rPr>
          <w:rFonts w:ascii="宋体" w:hAnsi="宋体" w:cs="宋体" w:eastAsia="宋体" w:hint="default"/>
          <w:sz w:val="21"/>
          <w:szCs w:val="21"/>
        </w:rPr>
      </w:pPr>
    </w:p>
    <w:p>
      <w:pPr>
        <w:spacing w:before="0"/>
        <w:ind w:left="1134" w:right="1073" w:firstLine="0"/>
        <w:jc w:val="left"/>
        <w:rPr>
          <w:rFonts w:ascii="宋体" w:hAnsi="宋体" w:cs="宋体" w:eastAsia="宋体" w:hint="default"/>
          <w:sz w:val="21"/>
          <w:szCs w:val="21"/>
        </w:rPr>
      </w:pPr>
      <w:bookmarkStart w:name="64、管理费用" w:id="339"/>
      <w:bookmarkEnd w:id="339"/>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63,859,757.43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31,924,600.61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21,479,326.98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18,934,518.94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12,485,000.14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6,344,785.73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6,331,166.02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2,813,138.45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2,349,151.18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1,415,278.70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613,851.13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1,117,817.19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752,044.19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892,912.38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556,967.57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270,439.38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197,430.91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295,627.34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195,579.93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395,541.35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379,165.83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516,113.77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478,739.12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469,517.56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387,444.78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323,821.72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232,700.66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313,800.00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138,087.87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404,988.58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938,391.70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315,968.56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120,539,776.49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57,918,599.21</w:t>
            </w:r>
          </w:p>
        </w:tc>
      </w:tr>
    </w:tbl>
    <w:p>
      <w:pPr>
        <w:spacing w:line="240" w:lineRule="auto" w:before="0"/>
        <w:rPr>
          <w:rFonts w:ascii="宋体" w:hAnsi="宋体" w:cs="宋体" w:eastAsia="宋体" w:hint="default"/>
          <w:sz w:val="13"/>
          <w:szCs w:val="13"/>
        </w:rPr>
      </w:pPr>
    </w:p>
    <w:p>
      <w:pPr>
        <w:pStyle w:val="BodyText"/>
        <w:spacing w:line="357" w:lineRule="auto" w:before="26"/>
        <w:ind w:left="1134" w:right="1152" w:firstLine="480"/>
        <w:jc w:val="left"/>
      </w:pPr>
      <w:r>
        <w:rPr/>
        <w:t>其他说明：本公司管理费用本年度增长主要是本公司实施股权激励计划产生的费用，以 及研发投入增加和职工薪酬增长所致。</w:t>
      </w:r>
    </w:p>
    <w:p>
      <w:pPr>
        <w:spacing w:line="240" w:lineRule="auto" w:before="8"/>
        <w:rPr>
          <w:rFonts w:ascii="宋体" w:hAnsi="宋体" w:cs="宋体" w:eastAsia="宋体" w:hint="default"/>
          <w:sz w:val="21"/>
          <w:szCs w:val="21"/>
        </w:rPr>
      </w:pPr>
    </w:p>
    <w:p>
      <w:pPr>
        <w:spacing w:before="0"/>
        <w:ind w:left="1134" w:right="1073" w:firstLine="0"/>
        <w:jc w:val="left"/>
        <w:rPr>
          <w:rFonts w:ascii="宋体" w:hAnsi="宋体" w:cs="宋体" w:eastAsia="宋体" w:hint="default"/>
          <w:sz w:val="21"/>
          <w:szCs w:val="21"/>
        </w:rPr>
      </w:pPr>
      <w:bookmarkStart w:name="65、财务费用" w:id="340"/>
      <w:bookmarkEnd w:id="340"/>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1,503,120.36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1,570,233.35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1,515,837.42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1,283,078.59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353,437.04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25,961.39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80,291.93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415,487.60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393,408.08</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6、资产减值损失" w:id="341"/>
      <w:bookmarkEnd w:id="341"/>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3,569,747.30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2,045,610.23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3,569,747.30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2,045,610.23</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7、公允价值变动收益" w:id="342"/>
      <w:bookmarkEnd w:id="342"/>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68、投资收益" w:id="343"/>
      <w:bookmarkEnd w:id="343"/>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3,346,982.20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6,076,431.33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2,468,421.61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5,815,403.81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6,076,431.33</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9、营业外收入" w:id="344"/>
      <w:bookmarkEnd w:id="344"/>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14,174,999.92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13,991,797.38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14,174,999.92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107,969.77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107,969.77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338,757.30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338,757.30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14,621,726.99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13,992,709.88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14,513,757.22</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计入当期损益的政府补助：</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文化创意产 业发展专项 资金补助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雍和园管委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基于原创模 式的协同出 版服务与应 用平台补助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2,856,666.61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入区奖励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武汉经济技 术开发区管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张江管委会 财政扶持款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张江高科技 园区管委会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上海市浦东 新区财政局 公共服务平 台项目资助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尾款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上海市科学 技术委员会 创新资金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上海市浦东 新区财政局 科技发展基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书香湖北互 联网数字图 书馆补助款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湖北省人民 政府办公厅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东城区财政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营改增财政 扶持清算资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东城区财政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298,474.21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的数字版权 保护平台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 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中关村科技 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出版内容多 业态协同发 布支撑技术 研究补贴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584,000.00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文化内容多 维度评价体 系研发补贴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629,056.59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基于数字出 版技术与企 业文化建设 融合的</w:t>
            </w:r>
            <w:r>
              <w:rPr>
                <w:rFonts w:ascii="Times New Roman" w:hAnsi="Times New Roman" w:cs="Times New Roman" w:eastAsia="Times New Roman" w:hint="default"/>
                <w:sz w:val="18"/>
                <w:szCs w:val="18"/>
              </w:rPr>
              <w:t>"</w:t>
            </w:r>
            <w:r>
              <w:rPr>
                <w:rFonts w:ascii="宋体" w:hAnsi="宋体" w:cs="宋体" w:eastAsia="宋体" w:hint="default"/>
                <w:sz w:val="18"/>
                <w:szCs w:val="18"/>
              </w:rPr>
              <w:t>红云 非公党建平 台</w:t>
            </w:r>
            <w:r>
              <w:rPr>
                <w:rFonts w:ascii="Times New Roman" w:hAnsi="Times New Roman" w:cs="Times New Roman" w:eastAsia="Times New Roman" w:hint="default"/>
                <w:sz w:val="18"/>
                <w:szCs w:val="18"/>
              </w:rPr>
              <w:t>"</w:t>
            </w:r>
            <w:r>
              <w:rPr>
                <w:rFonts w:ascii="宋体" w:hAnsi="宋体" w:cs="宋体" w:eastAsia="宋体" w:hint="default"/>
                <w:sz w:val="18"/>
                <w:szCs w:val="18"/>
              </w:rPr>
              <w:t>开发与应 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东城区财力 贡献奖励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北京市东城 区产业和投 </w:t>
            </w:r>
            <w:r>
              <w:rPr>
                <w:rFonts w:ascii="宋体" w:hAnsi="宋体" w:cs="宋体" w:eastAsia="宋体" w:hint="default"/>
                <w:spacing w:val="-13"/>
                <w:sz w:val="18"/>
                <w:szCs w:val="18"/>
              </w:rPr>
              <w:t>资促进局、北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京市东城区 行政服务中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多终端媒体 阅读服务平 台建设及书 香东城应用 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室投融资处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市高新技术 成果转化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数字教育出 版综合服务 平台</w:t>
            </w:r>
            <w:r>
              <w:rPr>
                <w:rFonts w:ascii="Times New Roman" w:hAnsi="Times New Roman" w:cs="Times New Roman" w:eastAsia="Times New Roman" w:hint="default"/>
                <w:sz w:val="18"/>
                <w:szCs w:val="18"/>
              </w:rPr>
              <w:t>(</w:t>
            </w:r>
            <w:r>
              <w:rPr>
                <w:rFonts w:ascii="宋体" w:hAnsi="宋体" w:cs="宋体" w:eastAsia="宋体" w:hint="default"/>
                <w:sz w:val="18"/>
                <w:szCs w:val="18"/>
              </w:rPr>
              <w:t>全媒体 图书出版服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left"/>
              <w:rPr>
                <w:rFonts w:ascii="宋体" w:hAnsi="宋体" w:cs="宋体" w:eastAsia="宋体" w:hint="default"/>
                <w:sz w:val="18"/>
                <w:szCs w:val="18"/>
              </w:rPr>
            </w:pPr>
            <w:r>
              <w:rPr>
                <w:rFonts w:ascii="宋体" w:hAnsi="宋体" w:cs="宋体" w:eastAsia="宋体" w:hint="default"/>
                <w:sz w:val="18"/>
                <w:szCs w:val="18"/>
              </w:rPr>
              <w:t>上海市国库 收付中心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1"/>
        <w:rPr>
          <w:rFonts w:ascii="Times New Roman" w:hAnsi="Times New Roman" w:cs="Times New Roman" w:eastAsia="Times New Roman" w:hint="default"/>
          <w:sz w:val="15"/>
          <w:szCs w:val="15"/>
        </w:rPr>
      </w:pPr>
      <w:r>
        <w:rPr/>
        <w:pict>
          <v:group style="position:absolute;margin-left:163.339996pt;margin-top:121.79998pt;width:52.7pt;height:46.85pt;mso-position-horizontal-relative:page;mso-position-vertical-relative:page;z-index:-864712" coordorigin="3267,2436" coordsize="1054,937">
            <v:shape style="position:absolute;left:3267;top:2436;width:1054;height:937" coordorigin="3267,2436" coordsize="1054,937" path="m3267,3372l4320,3372,4320,2436,3267,2436,3267,337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务平台</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基于多屏互 动的</w:t>
            </w:r>
            <w:r>
              <w:rPr>
                <w:rFonts w:ascii="Times New Roman" w:hAnsi="Times New Roman" w:cs="Times New Roman" w:eastAsia="Times New Roman" w:hint="default"/>
                <w:sz w:val="18"/>
                <w:szCs w:val="18"/>
              </w:rPr>
              <w:t>“</w:t>
            </w:r>
            <w:r>
              <w:rPr>
                <w:rFonts w:ascii="宋体" w:hAnsi="宋体" w:cs="宋体" w:eastAsia="宋体" w:hint="default"/>
                <w:sz w:val="18"/>
                <w:szCs w:val="18"/>
              </w:rPr>
              <w:t>农家书 屋数字阅读 机</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0"/>
              <w:jc w:val="both"/>
              <w:rPr>
                <w:rFonts w:ascii="宋体" w:hAnsi="宋体" w:cs="宋体" w:eastAsia="宋体" w:hint="default"/>
                <w:sz w:val="18"/>
                <w:szCs w:val="18"/>
              </w:rPr>
            </w:pPr>
            <w:r>
              <w:rPr>
                <w:rFonts w:ascii="宋体" w:hAnsi="宋体" w:cs="宋体" w:eastAsia="宋体" w:hint="default"/>
                <w:sz w:val="18"/>
                <w:szCs w:val="18"/>
              </w:rPr>
              <w:t>湖北省新闻 出版广电局 湖北省财政 厅</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19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市音像、电 </w:t>
            </w:r>
            <w:r>
              <w:rPr>
                <w:rFonts w:ascii="宋体" w:hAnsi="宋体" w:cs="宋体" w:eastAsia="宋体" w:hint="default"/>
                <w:spacing w:val="-12"/>
                <w:sz w:val="18"/>
                <w:szCs w:val="18"/>
              </w:rPr>
              <w:t>子、网络出版</w:t>
            </w:r>
            <w:r>
              <w:rPr>
                <w:rFonts w:ascii="宋体" w:hAnsi="宋体" w:cs="宋体" w:eastAsia="宋体" w:hint="default"/>
                <w:sz w:val="18"/>
                <w:szCs w:val="18"/>
              </w:rPr>
              <w:t> 物专项资金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北京市新闻 出版广电局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面向复合出 版的版权资 源管理发布 系统研发与 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面向机构的 移动互联网 阅读服务平 台建设及行 业示范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上海市张江 高科技园区 管理委员会 支持企业资 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上海市张江 高科技园区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14,174,999.9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13,991,797.3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9"/>
        <w:rPr>
          <w:rFonts w:ascii="Times New Roman" w:hAnsi="Times New Roman" w:cs="Times New Roman" w:eastAsia="Times New Roman" w:hint="default"/>
          <w:sz w:val="10"/>
          <w:szCs w:val="10"/>
        </w:rPr>
      </w:pPr>
    </w:p>
    <w:p>
      <w:pPr>
        <w:spacing w:before="35"/>
        <w:ind w:left="1134" w:right="1073" w:firstLine="0"/>
        <w:jc w:val="left"/>
        <w:rPr>
          <w:rFonts w:ascii="宋体" w:hAnsi="宋体" w:cs="宋体" w:eastAsia="宋体" w:hint="default"/>
          <w:sz w:val="21"/>
          <w:szCs w:val="21"/>
        </w:rPr>
      </w:pPr>
      <w:bookmarkStart w:name="70、营业外支出" w:id="345"/>
      <w:bookmarkEnd w:id="345"/>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7,823.20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7,823.20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7,823.20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7,823.20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428,636.64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428,636.64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112,280.63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112,280.63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548,740.47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548,740.47</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1、所得税费用" w:id="346"/>
      <w:bookmarkEnd w:id="346"/>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所得税费用表"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9,406,213.04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7,945,967.00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-3,363,622.33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-352,933.20</w:t>
            </w:r>
            <w:r>
              <w:rPr>
                <w:rFonts w:ascii="Times New Roman"/>
                <w:sz w:val="18"/>
              </w:rPr>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6,042,590.71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7,593,033.80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会计利润与所得税费用调整过程"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35,409,170.35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8,852,292.59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-4,218,388.17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246,343.89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-378,022.63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620,503.62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-475,628.74</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1,395,490.15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6,042,590.71</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72、其他综合收益" w:id="349"/>
      <w:bookmarkEnd w:id="349"/>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详见附注。</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73、现金流量表项目" w:id="350"/>
      <w:bookmarkEnd w:id="350"/>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收到的其他与经营活动有关的现金"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1,331,114.28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1,283,078.59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14,174,999.92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13,672,059.12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12,097,941.30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4,011,205.16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27,604,055.50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18,966,342.87</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支付的其他与经营活动有关的现金"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892,912.38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2,234,978.42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1,117,817.19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1,297,206.11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1,415,278.70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2,018,500.58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323,821.72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621,280.15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审计及其他专业机构服务费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2,813,138.45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2,989,718.97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295,627.34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314,483.24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6,344,785.73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6,408,566.02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270,439.38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421,486.19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138,087.87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385,425.10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20,485,982.01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7,079,292.43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25,992,720.39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7,403,803.55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60,425,311.16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31,488,540.76</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收到的其他与投资活动有关的现金"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r>
        <w:rPr/>
        <w:pict>
          <v:group style="position:absolute;margin-left:223.339996pt;margin-top:705.630005pt;width:151.25pt;height:40.8pt;mso-position-horizontal-relative:page;mso-position-vertical-relative:page;z-index:-864688" coordorigin="4467,14113" coordsize="3025,816">
            <v:group style="position:absolute;left:4478;top:14124;width:2;height:392" coordorigin="4478,14124" coordsize="2,392">
              <v:shape style="position:absolute;left:4478;top:14124;width:2;height:392" coordorigin="4478,14124" coordsize="0,392" path="m4478,14124l4478,14515e" filled="false" stroked="true" strokeweight="1.140pt" strokecolor="#ffffff">
                <v:path arrowok="t"/>
              </v:shape>
            </v:group>
            <v:group style="position:absolute;left:4490;top:14124;width:3002;height:392" coordorigin="4490,14124" coordsize="3002,392">
              <v:shape style="position:absolute;left:4490;top:14124;width:3002;height:392" coordorigin="4490,14124" coordsize="3002,392" path="m4490,14515l7491,14515,7491,14124,4490,14124,4490,14515xe" filled="true" fillcolor="#ffffff" stroked="false">
                <v:path arrowok="t"/>
                <v:fill type="solid"/>
              </v:shape>
            </v:group>
            <v:group style="position:absolute;left:4478;top:14526;width:2;height:392" coordorigin="4478,14526" coordsize="2,392">
              <v:shape style="position:absolute;left:4478;top:14526;width:2;height:392" coordorigin="4478,14526" coordsize="0,392" path="m4478,14526l4478,14917e" filled="false" stroked="true" strokeweight="1.140pt" strokecolor="#ffffff">
                <v:path arrowok="t"/>
              </v:shape>
            </v:group>
            <v:group style="position:absolute;left:4490;top:14526;width:3002;height:392" coordorigin="4490,14526" coordsize="3002,392">
              <v:shape style="position:absolute;left:4490;top:14526;width:3002;height:392" coordorigin="4490,14526" coordsize="3002,392" path="m4490,14917l7491,14917,7491,14526,4490,14526,4490,14917xe" filled="true" fillcolor="#ffffff" stroked="false">
                <v:path arrowok="t"/>
                <v:fill type="solid"/>
              </v:shape>
            </v:group>
            <w10:wrap type="none"/>
          </v:group>
        </w:pict>
      </w:r>
    </w:p>
    <w:p>
      <w:pPr>
        <w:spacing w:before="35"/>
        <w:ind w:left="1134" w:right="1073" w:firstLine="0"/>
        <w:jc w:val="left"/>
        <w:rPr>
          <w:rFonts w:ascii="宋体" w:hAnsi="宋体" w:cs="宋体" w:eastAsia="宋体" w:hint="default"/>
          <w:sz w:val="21"/>
          <w:szCs w:val="21"/>
        </w:rPr>
      </w:pPr>
      <w:bookmarkStart w:name="（4）支付的其他与投资活动有关的现金"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收到的其他与筹资活动有关的现金"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6）支付的其他与筹资活动有关的现金"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6,313,417.00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162,235,000.00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168,548,417.00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4、现金流量表补充资料" w:id="357"/>
      <w:bookmarkEnd w:id="35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现金流量表补充资料"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29,366,579.64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46,101,185.27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3,569,747.30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2,045,610.23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1,809,941.25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1,548,585.16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18,115,667.49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13,658,193.09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164,881.78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64,293.18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7,823.20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1,856,557.40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-5,815,403.81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-6,076,431.33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-3,363,622.33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-352,933.20</w:t>
            </w:r>
            <w:r>
              <w:rPr>
                <w:rFonts w:ascii="Times New Roman"/>
                <w:sz w:val="18"/>
              </w:rPr>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5,216,820.49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-1,446,666.98</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-60,066,370.70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-29,349,933.48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23,763,509.00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12,134,051.14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21,479,326.98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36,105,457.69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38,325,953.08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92,957,031.61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59,140,818.95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59,140,818.95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116,330,817.83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33,816,212.66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-57,189,998.88</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本期支付的取得子公司的现金净额"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32,788,840.00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32,788,840.00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9,671,680.51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9,671,680.51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c>
          <w:tcPr>
            <w:tcW w:w="4592" w:type="dxa"/>
            <w:tcBorders>
              <w:top w:val="single" w:sz="4" w:space="0" w:color="000000"/>
              <w:left w:val="single" w:sz="13" w:space="0" w:color="D9D9D9"/>
              <w:bottom w:val="single" w:sz="4" w:space="0" w:color="000000"/>
              <w:right w:val="single" w:sz="4" w:space="0" w:color="000000"/>
            </w:tcBorders>
          </w:tcPr>
          <w:p>
            <w:pP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23,117,159.49</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本期收到的处置子公司的现金净额"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4）现金和现金等价物的构成"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92,957,031.61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59,140,818.95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198,989.05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234,544.38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92,758,042.56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58,906,274.57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92,957,031.61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59,140,818.95</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5、所有者权益变动表项目注释" w:id="362"/>
      <w:bookmarkEnd w:id="362"/>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76、所有权或使用权受到限制的资产" w:id="363"/>
      <w:bookmarkEnd w:id="363"/>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162,856,500.00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162,856,500.00</w:t>
            </w:r>
          </w:p>
        </w:tc>
        <w:tc>
          <w:tcPr>
            <w:tcW w:w="3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7、外币货币性项目" w:id="364"/>
      <w:bookmarkEnd w:id="364"/>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外币货币性项目"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54" w:right="0"/>
              <w:jc w:val="left"/>
              <w:rPr>
                <w:rFonts w:ascii="Times New Roman" w:hAnsi="Times New Roman" w:cs="Times New Roman" w:eastAsia="Times New Roman" w:hint="default"/>
                <w:sz w:val="18"/>
                <w:szCs w:val="18"/>
              </w:rPr>
            </w:pPr>
            <w:r>
              <w:rPr>
                <w:rFonts w:ascii="Times New Roman"/>
                <w:sz w:val="18"/>
              </w:rPr>
              <w:t>198,476.24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1,288,825.31</w:t>
            </w:r>
          </w:p>
        </w:tc>
      </w:tr>
    </w:tbl>
    <w:p>
      <w:pPr>
        <w:spacing w:line="240" w:lineRule="auto" w:before="2"/>
        <w:rPr>
          <w:rFonts w:ascii="宋体" w:hAnsi="宋体" w:cs="宋体" w:eastAsia="宋体" w:hint="default"/>
          <w:sz w:val="19"/>
          <w:szCs w:val="19"/>
        </w:rPr>
      </w:pPr>
    </w:p>
    <w:p>
      <w:pPr>
        <w:spacing w:line="259" w:lineRule="auto" w:before="35"/>
        <w:ind w:left="1134" w:right="1073" w:firstLine="0"/>
        <w:jc w:val="left"/>
        <w:rPr>
          <w:rFonts w:ascii="宋体" w:hAnsi="宋体" w:cs="宋体" w:eastAsia="宋体" w:hint="default"/>
          <w:sz w:val="21"/>
          <w:szCs w:val="21"/>
        </w:rPr>
      </w:pPr>
      <w:bookmarkStart w:name="（2）境外经营实体说明，包括对于重要的境外经营实体，应披露其境外主要经营地、记账"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78、套期" w:id="367"/>
      <w:bookmarkEnd w:id="367"/>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八、合并范围的变更" w:id="368"/>
      <w:bookmarkEnd w:id="368"/>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非同一控制下企业合并" w:id="369"/>
      <w:bookmarkEnd w:id="3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本期发生的非同一控制下企业合并"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北京鸿达以 太文化发展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35,653,200.0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54.02%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付款，完成工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商变更登记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其他说明：</w:t>
      </w:r>
    </w:p>
    <w:p>
      <w:pPr>
        <w:spacing w:line="240" w:lineRule="auto" w:before="9"/>
        <w:rPr>
          <w:rFonts w:ascii="宋体" w:hAnsi="宋体" w:cs="宋体" w:eastAsia="宋体" w:hint="default"/>
          <w:sz w:val="23"/>
          <w:szCs w:val="23"/>
        </w:rPr>
      </w:pPr>
    </w:p>
    <w:p>
      <w:pPr>
        <w:pStyle w:val="BodyText"/>
        <w:spacing w:line="357" w:lineRule="auto"/>
        <w:ind w:left="1133" w:right="1153" w:firstLine="480"/>
        <w:jc w:val="left"/>
      </w:pPr>
      <w:r>
        <w:rPr/>
        <w:t>与上年相比，本年因投资新设增加北京中文万维科技有限公司，因非同一控制并购增加 北京鸿达以太文化发展有限公司。</w:t>
      </w:r>
    </w:p>
    <w:p>
      <w:pPr>
        <w:spacing w:line="240" w:lineRule="auto" w:before="8"/>
        <w:rPr>
          <w:rFonts w:ascii="宋体" w:hAnsi="宋体" w:cs="宋体" w:eastAsia="宋体" w:hint="default"/>
          <w:sz w:val="21"/>
          <w:szCs w:val="21"/>
        </w:rPr>
      </w:pPr>
    </w:p>
    <w:p>
      <w:pPr>
        <w:spacing w:before="0"/>
        <w:ind w:left="1133" w:right="1073" w:firstLine="0"/>
        <w:jc w:val="left"/>
        <w:rPr>
          <w:rFonts w:ascii="宋体" w:hAnsi="宋体" w:cs="宋体" w:eastAsia="宋体" w:hint="default"/>
          <w:sz w:val="21"/>
          <w:szCs w:val="21"/>
        </w:rPr>
      </w:pPr>
      <w:bookmarkStart w:name="（2）合并成本及商誉"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北京鸿达以太文化发展有限公司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35,653,200.00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37,709,881.67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73,363,081.67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57,265,346.32</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16,097,735.35</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被购买方于购买日可辨认资产、负债"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9,671,680.51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9,671,680.51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11,191,405.24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11,191,405.24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4,627,160.24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1,653,193.48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59,671.17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38,623,219.35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15,680,996.50</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61,807.86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61,807.86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100,874.37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100,874.37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915,163.62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915,163.62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3,887,428.44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471,470.67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471,470.67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1,796,409.69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1,796,409.69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57,265,346.32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35,236,585.15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57,265,346.32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35,236,585.15</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可辨认资产、负债公允价值的确定方法：</w:t>
      </w:r>
    </w:p>
    <w:p>
      <w:pPr>
        <w:spacing w:line="240" w:lineRule="auto" w:before="9"/>
        <w:rPr>
          <w:rFonts w:ascii="宋体" w:hAnsi="宋体" w:cs="宋体" w:eastAsia="宋体" w:hint="default"/>
          <w:sz w:val="23"/>
          <w:szCs w:val="23"/>
        </w:rPr>
      </w:pPr>
    </w:p>
    <w:p>
      <w:pPr>
        <w:pStyle w:val="BodyText"/>
        <w:spacing w:line="357" w:lineRule="auto"/>
        <w:ind w:left="1134" w:right="1152" w:firstLine="480"/>
        <w:jc w:val="left"/>
      </w:pPr>
      <w:r>
        <w:rPr/>
        <w:t>与上年相比，本年因投资新设增加北京中文万维科技有限公司，因非同一控制并购增加 北京鸿达以太文化发展有限公司。</w:t>
      </w:r>
    </w:p>
    <w:p>
      <w:pPr>
        <w:spacing w:line="240" w:lineRule="auto" w:before="8"/>
        <w:rPr>
          <w:rFonts w:ascii="宋体" w:hAnsi="宋体" w:cs="宋体" w:eastAsia="宋体" w:hint="default"/>
          <w:sz w:val="21"/>
          <w:szCs w:val="21"/>
        </w:rPr>
      </w:pPr>
    </w:p>
    <w:p>
      <w:pPr>
        <w:spacing w:before="0"/>
        <w:ind w:left="1134" w:right="1073" w:firstLine="0"/>
        <w:jc w:val="left"/>
        <w:rPr>
          <w:rFonts w:ascii="宋体" w:hAnsi="宋体" w:cs="宋体" w:eastAsia="宋体" w:hint="default"/>
          <w:sz w:val="21"/>
          <w:szCs w:val="21"/>
        </w:rPr>
      </w:pPr>
      <w:bookmarkStart w:name="（4）购买日之前持有的股权按照公允价值重新计量产生的利得或损失"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是否存在通过多次交易分步实现企业合并且在报告期内取得控制权的交易</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5）购买日或合并当期期末无法合理确定合并对价或被购买方可辨认资产、负债公允价值"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同一控制下企业合并" w:id="375"/>
      <w:bookmarkEnd w:id="3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反向购买" w:id="376"/>
      <w:bookmarkEnd w:id="3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134" w:right="1152" w:firstLine="480"/>
        <w:jc w:val="left"/>
      </w:pPr>
      <w:r>
        <w:rPr/>
        <w:t>交易基本信息、交易构成反向购买的依据、上市公司保留的资产、负债是否构成业务及 其依据、合并成本的确定、按照权益性交易处理时调整权益的金额及其计算：</w:t>
      </w:r>
    </w:p>
    <w:p>
      <w:pPr>
        <w:spacing w:line="240" w:lineRule="auto" w:before="8"/>
        <w:rPr>
          <w:rFonts w:ascii="宋体" w:hAnsi="宋体" w:cs="宋体" w:eastAsia="宋体" w:hint="default"/>
          <w:sz w:val="21"/>
          <w:szCs w:val="21"/>
        </w:rPr>
      </w:pPr>
    </w:p>
    <w:p>
      <w:pPr>
        <w:spacing w:before="0"/>
        <w:ind w:left="1134" w:right="1073" w:firstLine="0"/>
        <w:jc w:val="left"/>
        <w:rPr>
          <w:rFonts w:ascii="宋体" w:hAnsi="宋体" w:cs="宋体" w:eastAsia="宋体" w:hint="default"/>
          <w:sz w:val="21"/>
          <w:szCs w:val="21"/>
        </w:rPr>
      </w:pPr>
      <w:bookmarkStart w:name="4、处置子公司" w:id="377"/>
      <w:bookmarkEnd w:id="3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是否存在单次处置对子公司投资即丧失控制权的情形</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right="1073"/>
        <w:jc w:val="left"/>
      </w:pPr>
      <w:r>
        <w:rPr/>
        <w:t>是否存在通过多次交易分步处置对子公司投资且在本期丧失控制权的情形</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9"/>
          <w:szCs w:val="29"/>
        </w:rPr>
      </w:pPr>
    </w:p>
    <w:p>
      <w:pPr>
        <w:spacing w:before="0"/>
        <w:ind w:left="1134" w:right="0" w:firstLine="0"/>
        <w:jc w:val="both"/>
        <w:rPr>
          <w:rFonts w:ascii="宋体" w:hAnsi="宋体" w:cs="宋体" w:eastAsia="宋体" w:hint="default"/>
          <w:sz w:val="21"/>
          <w:szCs w:val="21"/>
        </w:rPr>
      </w:pPr>
      <w:bookmarkStart w:name="5、其他原因的合并范围变动" w:id="378"/>
      <w:bookmarkEnd w:id="3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640" w:lineRule="atLeast" w:before="50"/>
        <w:ind w:left="1613" w:right="1153"/>
        <w:jc w:val="left"/>
      </w:pPr>
      <w:r>
        <w:rPr/>
        <w:t>说明其他原因导致的合并范围变动（如，新设子公司、清算子公司等）及其相关情况： 本年因投资新设增加的北京中文万维科技有限公司，成立于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日，注册资</w:t>
      </w:r>
    </w:p>
    <w:p>
      <w:pPr>
        <w:pStyle w:val="BodyText"/>
        <w:spacing w:line="240" w:lineRule="auto" w:before="135"/>
        <w:ind w:left="1133" w:right="0"/>
        <w:jc w:val="both"/>
      </w:pPr>
      <w:r>
        <w:rPr/>
        <w:t>本</w:t>
      </w:r>
      <w:r>
        <w:rPr>
          <w:spacing w:val="-60"/>
        </w:rPr>
        <w:t> </w:t>
      </w:r>
      <w:r>
        <w:rPr>
          <w:rFonts w:ascii="Times New Roman" w:hAnsi="Times New Roman" w:cs="Times New Roman" w:eastAsia="Times New Roman" w:hint="default"/>
        </w:rPr>
        <w:t>1,000.00 </w:t>
      </w:r>
      <w:r>
        <w:rPr>
          <w:spacing w:val="-7"/>
        </w:rPr>
        <w:t>万元，本公司认缴</w:t>
      </w:r>
      <w:r>
        <w:rPr>
          <w:spacing w:val="-60"/>
        </w:rPr>
        <w:t> </w:t>
      </w:r>
      <w:r>
        <w:rPr>
          <w:rFonts w:ascii="Times New Roman" w:hAnsi="Times New Roman" w:cs="Times New Roman" w:eastAsia="Times New Roman" w:hint="default"/>
          <w:spacing w:val="-8"/>
        </w:rPr>
        <w:t>70%</w:t>
      </w:r>
      <w:r>
        <w:rPr>
          <w:spacing w:val="-8"/>
        </w:rPr>
        <w:t>股权，至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日止北京中文万维科技有限公司</w:t>
      </w:r>
    </w:p>
    <w:p>
      <w:pPr>
        <w:spacing w:line="491" w:lineRule="auto" w:before="135"/>
        <w:ind w:left="1133" w:right="8122" w:firstLine="0"/>
        <w:jc w:val="both"/>
        <w:rPr>
          <w:rFonts w:ascii="宋体" w:hAnsi="宋体" w:cs="宋体" w:eastAsia="宋体" w:hint="default"/>
          <w:sz w:val="21"/>
          <w:szCs w:val="21"/>
        </w:rPr>
      </w:pPr>
      <w:r>
        <w:rPr>
          <w:rFonts w:ascii="宋体" w:hAnsi="宋体" w:cs="宋体" w:eastAsia="宋体" w:hint="default"/>
          <w:sz w:val="24"/>
          <w:szCs w:val="24"/>
        </w:rPr>
        <w:t>实收资本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1,000.00 </w:t>
      </w:r>
      <w:r>
        <w:rPr>
          <w:rFonts w:ascii="宋体" w:hAnsi="宋体" w:cs="宋体" w:eastAsia="宋体" w:hint="default"/>
          <w:sz w:val="24"/>
          <w:szCs w:val="24"/>
        </w:rPr>
        <w:t>万元。 </w:t>
      </w:r>
      <w:bookmarkStart w:name="九、在其他主体中的权益" w:id="379"/>
      <w:bookmarkEnd w:id="379"/>
      <w:r>
        <w:rPr>
          <w:rFonts w:ascii="宋体" w:hAnsi="宋体" w:cs="宋体" w:eastAsia="宋体" w:hint="default"/>
          <w:sz w:val="24"/>
          <w:szCs w:val="24"/>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bookmarkStart w:name="1、在子公司中的权益" w:id="380"/>
      <w:bookmarkEnd w:id="38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78"/>
        <w:ind w:left="1133" w:right="0" w:firstLine="0"/>
        <w:jc w:val="both"/>
        <w:rPr>
          <w:rFonts w:ascii="宋体" w:hAnsi="宋体" w:cs="宋体" w:eastAsia="宋体" w:hint="default"/>
          <w:sz w:val="21"/>
          <w:szCs w:val="21"/>
        </w:rPr>
      </w:pPr>
      <w:bookmarkStart w:name="（1）企业集团的构成"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北京中文在线文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上海中文在线文 化发展有限公司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杭州中文在线信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北京中文在线教 育科技发展有限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广州市四月天信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湖北中文在线数 字出版有限公司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北京汤圆和它的 小伙伴们网络科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中文在线教育集 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北京中文万维科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北京鸿达以太文 化发展有限公司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bl>
    <w:p>
      <w:pPr>
        <w:spacing w:line="240" w:lineRule="auto" w:before="3"/>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重要的非全资子公司"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杭州中文在线信息科技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-261,314.72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445,403.58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北京中文万维科技有限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-1,626,804.03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1,373,195.97</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重要非全资子公司的主要财务信息"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杭州中 文在线 信息科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1,017,88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1,045,77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2,063,65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1,511,07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1,401,57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2,912,65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文万维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8,329,96</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1.11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9,056,22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4,478,90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9.49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4,478,90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杭州中文在 线信息科技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339,011.36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-871,049.06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-871,049.06</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50,185.12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820,085.17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-227,861.34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-227,861.34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624,478.09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北京中文万 维科技有限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5,007,170.70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-5,422,680.10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-5,422,680.10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-5,575,376.23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4）使用企业集团资产和清偿企业集团债务的重大限制"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向纳入合并财务报表范围的结构化主体提供的财务支持或其他支持"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在子公司的所有者权益份额发生变化且仍控制子公司的交易" w:id="386"/>
      <w:bookmarkEnd w:id="3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在合营安排或联营企业中的权益" w:id="387"/>
      <w:bookmarkEnd w:id="38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重要的合营企业或联营企业"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广州市迈步信息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2）重要合营企业的主要财务信息"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重要联营企业的主要财务信息"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迈步科技</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迈步科技</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1,563,877.36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3,355,517.38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326,835.47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1,856,206.11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3,682,352.85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2,856,610.06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5,235,003.98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2,856,610.06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5,235,003.98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-1,008,529.15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-1,552,651.13</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-453,838.12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-698,693.01</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453,838.12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698,693.01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8,351,622.51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544,121.98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1,749,009.95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544,121.98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1,749,009.95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4）不重要的合营企业和联营企业的汇总财务信息" w:id="391"/>
      <w:bookmarkEnd w:id="3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5）合营企业或联营企业向本公司转移资金的能力存在重大限制的说明"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6）合营企业或联营企业发生的超额亏损" w:id="393"/>
      <w:bookmarkEnd w:id="3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6"/>
              <w:jc w:val="left"/>
              <w:rPr>
                <w:rFonts w:ascii="宋体" w:hAnsi="宋体" w:cs="宋体" w:eastAsia="宋体" w:hint="default"/>
                <w:sz w:val="18"/>
                <w:szCs w:val="18"/>
              </w:rPr>
            </w:pPr>
            <w:r>
              <w:rPr>
                <w:rFonts w:ascii="宋体" w:hAnsi="宋体" w:cs="宋体" w:eastAsia="宋体" w:hint="default"/>
                <w:sz w:val="18"/>
                <w:szCs w:val="18"/>
              </w:rPr>
              <w:t>广州市迈步信息科技有限公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698,693.01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4" w:right="0"/>
              <w:jc w:val="left"/>
              <w:rPr>
                <w:rFonts w:ascii="Times New Roman" w:hAnsi="Times New Roman" w:cs="Times New Roman" w:eastAsia="Times New Roman" w:hint="default"/>
                <w:sz w:val="18"/>
                <w:szCs w:val="18"/>
              </w:rPr>
            </w:pPr>
            <w:r>
              <w:rPr>
                <w:rFonts w:ascii="Times New Roman"/>
                <w:sz w:val="18"/>
              </w:rPr>
              <w:t>-2444854.89</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1" w:right="0"/>
              <w:jc w:val="left"/>
              <w:rPr>
                <w:rFonts w:ascii="Times New Roman" w:hAnsi="Times New Roman" w:cs="Times New Roman" w:eastAsia="Times New Roman" w:hint="default"/>
                <w:sz w:val="18"/>
                <w:szCs w:val="18"/>
              </w:rPr>
            </w:pPr>
            <w:r>
              <w:rPr>
                <w:rFonts w:ascii="Times New Roman"/>
                <w:sz w:val="18"/>
              </w:rPr>
              <w:t>453,838.12</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与合营企业投资相关的未确认承诺"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8）与合营企业或联营企业投资相关的或有负债"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0" w:firstLine="0"/>
        <w:jc w:val="both"/>
        <w:rPr>
          <w:rFonts w:ascii="宋体" w:hAnsi="宋体" w:cs="宋体" w:eastAsia="宋体" w:hint="default"/>
          <w:sz w:val="21"/>
          <w:szCs w:val="21"/>
        </w:rPr>
      </w:pPr>
      <w:bookmarkStart w:name="4、重要的共同经营" w:id="396"/>
      <w:bookmarkEnd w:id="3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line="240" w:lineRule="auto" w:before="8"/>
        <w:rPr>
          <w:rFonts w:ascii="宋体" w:hAnsi="宋体" w:cs="宋体" w:eastAsia="宋体" w:hint="default"/>
          <w:sz w:val="30"/>
          <w:szCs w:val="30"/>
        </w:rPr>
      </w:pPr>
    </w:p>
    <w:p>
      <w:pPr>
        <w:spacing w:before="0"/>
        <w:ind w:left="1134" w:right="0" w:firstLine="0"/>
        <w:jc w:val="both"/>
        <w:rPr>
          <w:rFonts w:ascii="宋体" w:hAnsi="宋体" w:cs="宋体" w:eastAsia="宋体" w:hint="default"/>
          <w:sz w:val="21"/>
          <w:szCs w:val="21"/>
        </w:rPr>
      </w:pPr>
      <w:bookmarkStart w:name="5、在未纳入合并财务报表范围的结构化主体中的权益" w:id="397"/>
      <w:bookmarkEnd w:id="39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Heading2"/>
        <w:spacing w:line="528" w:lineRule="auto" w:before="0"/>
        <w:ind w:right="7152" w:firstLine="480"/>
        <w:jc w:val="left"/>
        <w:rPr>
          <w:b w:val="0"/>
          <w:bCs w:val="0"/>
        </w:rPr>
      </w:pPr>
      <w:r>
        <w:rPr>
          <w:rFonts w:ascii="宋体" w:hAnsi="宋体" w:cs="宋体" w:eastAsia="宋体" w:hint="default"/>
          <w:b w:val="0"/>
          <w:bCs w:val="0"/>
        </w:rPr>
        <w:t>无。 </w:t>
      </w:r>
      <w:bookmarkStart w:name="十、与金融工具相关的风险" w:id="398"/>
      <w:bookmarkEnd w:id="398"/>
      <w:r>
        <w:rPr>
          <w:rFonts w:ascii="宋体" w:hAnsi="宋体" w:cs="宋体" w:eastAsia="宋体" w:hint="default"/>
          <w:b w:val="0"/>
          <w:bCs w:val="0"/>
        </w:rPr>
      </w:r>
      <w:r>
        <w:rPr>
          <w:w w:val="95"/>
        </w:rPr>
        <w:t>十、与金融工具相关的风险</w:t>
      </w:r>
      <w:r>
        <w:rPr>
          <w:b w:val="0"/>
          <w:bCs w:val="0"/>
        </w:rPr>
      </w:r>
    </w:p>
    <w:p>
      <w:pPr>
        <w:pStyle w:val="BodyText"/>
        <w:spacing w:line="357" w:lineRule="auto" w:before="88"/>
        <w:ind w:left="1134" w:right="1170" w:firstLine="480"/>
        <w:jc w:val="both"/>
      </w:pPr>
      <w:r>
        <w:rPr/>
        <w:t>本公司的主要金融工具包括货币资金、借款、应收款项、应付款项、可供出售金融资产 等，各项金融工具的详细情况说明见本附注六。与这些金融工具有关的风险，以及本公司为 降低这些风险所采取的风险管理政策如下所述。本公司管理层对这些风险敞口进行管理和监 控以确保将上述风险控制在限定的范围之内。</w:t>
      </w:r>
    </w:p>
    <w:p>
      <w:pPr>
        <w:pStyle w:val="BodyText"/>
        <w:spacing w:line="451" w:lineRule="auto" w:before="192"/>
        <w:ind w:left="1613" w:right="1153"/>
        <w:jc w:val="left"/>
      </w:pPr>
      <w:r>
        <w:rPr>
          <w:rFonts w:ascii="Times New Roman" w:hAnsi="Times New Roman" w:cs="Times New Roman" w:eastAsia="Times New Roman" w:hint="default"/>
        </w:rPr>
        <w:t>1</w:t>
      </w:r>
      <w:r>
        <w:rPr/>
        <w:t>、各类风险管理目标和政策 本公司从事风险管理的目标是在风险和收益之间取得适当的平衡，将风险对本公司经营</w:t>
      </w:r>
    </w:p>
    <w:p>
      <w:pPr>
        <w:pStyle w:val="BodyText"/>
        <w:spacing w:line="257" w:lineRule="exact"/>
        <w:ind w:left="1133" w:right="0"/>
        <w:jc w:val="both"/>
      </w:pPr>
      <w:r>
        <w:rPr/>
        <w:t>业绩的负面影响降低到最低水平，使股东及其它权益投资者的利益最大化。基于该风险管理</w:t>
      </w:r>
    </w:p>
    <w:p>
      <w:pPr>
        <w:pStyle w:val="BodyText"/>
        <w:spacing w:line="357" w:lineRule="auto" w:before="154"/>
        <w:ind w:left="1133" w:right="1170"/>
        <w:jc w:val="both"/>
      </w:pPr>
      <w:r>
        <w:rPr/>
        <w:t>目标，本公司风险管理的基本策略是确定和分析本公司所面临的各种风险，建立适当的风险 承受底线并进行风险管理，并及时可靠地对各种风险进行监督，将风险控制在限定的范围之 内。</w:t>
      </w:r>
    </w:p>
    <w:p>
      <w:pPr>
        <w:pStyle w:val="BodyText"/>
        <w:spacing w:line="451" w:lineRule="auto" w:before="192"/>
        <w:ind w:left="1613" w:right="8953"/>
        <w:jc w:val="left"/>
      </w:pPr>
      <w:r>
        <w:rPr>
          <w:rFonts w:ascii="Times New Roman" w:hAnsi="Times New Roman" w:cs="Times New Roman" w:eastAsia="Times New Roman" w:hint="default"/>
        </w:rPr>
        <w:t>(1)</w:t>
      </w:r>
      <w:r>
        <w:rPr/>
        <w:t>市场风险</w:t>
      </w:r>
      <w:r>
        <w:rPr>
          <w:w w:val="99"/>
        </w:rPr>
        <w:t> </w:t>
      </w:r>
      <w:r>
        <w:rPr>
          <w:rFonts w:ascii="Times New Roman" w:hAnsi="Times New Roman" w:cs="Times New Roman" w:eastAsia="Times New Roman" w:hint="default"/>
        </w:rPr>
        <w:t>1</w:t>
      </w:r>
      <w:r>
        <w:rPr/>
        <w:t>）汇率风险</w:t>
      </w:r>
    </w:p>
    <w:p>
      <w:pPr>
        <w:pStyle w:val="BodyText"/>
        <w:spacing w:line="240" w:lineRule="auto" w:before="58"/>
        <w:ind w:right="1073"/>
        <w:jc w:val="left"/>
      </w:pPr>
      <w:r>
        <w:rPr>
          <w:spacing w:val="-3"/>
        </w:rPr>
        <w:t>本公司承受汇率风险主要与美元有关，其它主要业务活动以人民币计价结算。于 </w:t>
      </w:r>
      <w:r>
        <w:rPr>
          <w:rFonts w:ascii="Times New Roman" w:hAnsi="Times New Roman" w:cs="Times New Roman" w:eastAsia="Times New Roman" w:hint="default"/>
        </w:rPr>
        <w:t>2015</w:t>
      </w:r>
      <w:r>
        <w:rPr>
          <w:rFonts w:ascii="Times New Roman" w:hAnsi="Times New Roman" w:cs="Times New Roman" w:eastAsia="Times New Roman" w:hint="default"/>
          <w:spacing w:val="-33"/>
        </w:rPr>
        <w:t> </w:t>
      </w:r>
      <w:r>
        <w:rPr/>
        <w:t>年</w:t>
      </w:r>
    </w:p>
    <w:p>
      <w:pPr>
        <w:pStyle w:val="BodyText"/>
        <w:spacing w:line="240" w:lineRule="auto" w:before="135"/>
        <w:ind w:left="1134" w:right="0"/>
        <w:jc w:val="both"/>
      </w:pP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日，除下表所述资产及负债的美元余额外，本公司的资产及负债均为人民币余额。</w:t>
      </w:r>
    </w:p>
    <w:p>
      <w:pPr>
        <w:pStyle w:val="BodyText"/>
        <w:spacing w:line="240" w:lineRule="auto" w:before="212"/>
        <w:ind w:left="0" w:right="1130"/>
        <w:jc w:val="right"/>
      </w:pPr>
      <w:r>
        <w:rPr/>
        <w:t>单位：元</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230"/>
        <w:gridCol w:w="2853"/>
        <w:gridCol w:w="2773"/>
      </w:tblGrid>
      <w:tr>
        <w:trPr>
          <w:trHeight w:val="347" w:hRule="exact"/>
        </w:trPr>
        <w:tc>
          <w:tcPr>
            <w:tcW w:w="4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198,476.24</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306.01</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53" w:type="dxa"/>
            <w:tcBorders>
              <w:top w:val="single" w:sz="6" w:space="0" w:color="000000"/>
              <w:left w:val="single" w:sz="6" w:space="0" w:color="000000"/>
              <w:bottom w:val="single" w:sz="6" w:space="0" w:color="000000"/>
              <w:right w:val="single" w:sz="6" w:space="0" w:color="000000"/>
            </w:tcBorders>
          </w:tcPr>
          <w:p>
            <w:pP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1,223,800.00</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23,000,000</w:t>
            </w:r>
          </w:p>
        </w:tc>
        <w:tc>
          <w:tcPr>
            <w:tcW w:w="27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13"/>
          <w:szCs w:val="13"/>
        </w:rPr>
      </w:pPr>
    </w:p>
    <w:p>
      <w:pPr>
        <w:pStyle w:val="BodyText"/>
        <w:spacing w:line="451" w:lineRule="auto" w:before="26"/>
        <w:ind w:right="1152"/>
        <w:jc w:val="left"/>
      </w:pPr>
      <w:r>
        <w:rPr>
          <w:rFonts w:ascii="Times New Roman" w:hAnsi="Times New Roman" w:cs="Times New Roman" w:eastAsia="Times New Roman" w:hint="default"/>
        </w:rPr>
        <w:t>2)</w:t>
      </w:r>
      <w:r>
        <w:rPr/>
        <w:t>利率风险</w:t>
      </w:r>
      <w:r>
        <w:rPr>
          <w:w w:val="99"/>
        </w:rPr>
        <w:t> </w:t>
      </w:r>
      <w:r>
        <w:rPr/>
        <w:t>本公司的利率风险产生于银行借款带息债务。浮动利率的金融负债使本公司面临现金流</w:t>
      </w:r>
    </w:p>
    <w:p>
      <w:pPr>
        <w:spacing w:after="0" w:line="451"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357" w:lineRule="auto" w:before="26"/>
        <w:ind w:left="1134" w:right="1130"/>
        <w:jc w:val="both"/>
      </w:pPr>
      <w:r>
        <w:rPr/>
        <w:t>量利率风险，固定利率的金融负债使本公司面临公允价值利率风险。本公司根据当时的市场 环境来决定固定利率及浮动利率合同的相对比例。于</w:t>
      </w:r>
      <w:r>
        <w:rPr>
          <w:spacing w:val="-6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日，本公司的带息债务</w:t>
      </w:r>
    </w:p>
    <w:p>
      <w:pPr>
        <w:pStyle w:val="BodyText"/>
        <w:spacing w:line="240" w:lineRule="auto" w:before="5"/>
        <w:ind w:left="1133" w:right="0"/>
        <w:jc w:val="both"/>
      </w:pPr>
      <w:r>
        <w:rPr/>
        <w:t>主要为人民币计价的固定利率合同，金额为</w:t>
      </w:r>
      <w:r>
        <w:rPr>
          <w:spacing w:val="-60"/>
        </w:rPr>
        <w:t> </w:t>
      </w:r>
      <w:r>
        <w:rPr>
          <w:rFonts w:ascii="Times New Roman" w:hAnsi="Times New Roman" w:cs="Times New Roman" w:eastAsia="Times New Roman" w:hint="default"/>
        </w:rPr>
        <w:t>249,352,800.00 </w:t>
      </w:r>
      <w:r>
        <w:rPr/>
        <w:t>元。</w:t>
      </w:r>
    </w:p>
    <w:p>
      <w:pPr>
        <w:spacing w:line="240" w:lineRule="auto" w:before="4"/>
        <w:rPr>
          <w:rFonts w:ascii="宋体" w:hAnsi="宋体" w:cs="宋体" w:eastAsia="宋体" w:hint="default"/>
          <w:sz w:val="22"/>
          <w:szCs w:val="22"/>
        </w:rPr>
      </w:pPr>
    </w:p>
    <w:p>
      <w:pPr>
        <w:pStyle w:val="BodyText"/>
        <w:spacing w:line="240" w:lineRule="auto"/>
        <w:ind w:left="1613" w:right="1073"/>
        <w:jc w:val="left"/>
      </w:pPr>
      <w:r>
        <w:rPr>
          <w:rFonts w:ascii="Times New Roman" w:hAnsi="Times New Roman" w:cs="Times New Roman" w:eastAsia="Times New Roman" w:hint="default"/>
        </w:rPr>
        <w:t>(2)</w:t>
      </w:r>
      <w:r>
        <w:rPr/>
        <w:t>信用风险</w:t>
      </w:r>
    </w:p>
    <w:p>
      <w:pPr>
        <w:spacing w:line="240" w:lineRule="auto" w:before="4"/>
        <w:rPr>
          <w:rFonts w:ascii="宋体" w:hAnsi="宋体" w:cs="宋体" w:eastAsia="宋体" w:hint="default"/>
          <w:sz w:val="22"/>
          <w:szCs w:val="22"/>
        </w:rPr>
      </w:pPr>
    </w:p>
    <w:p>
      <w:pPr>
        <w:pStyle w:val="BodyText"/>
        <w:spacing w:line="348" w:lineRule="auto"/>
        <w:ind w:left="1133" w:right="1131" w:firstLine="480"/>
        <w:jc w:val="both"/>
      </w:pPr>
      <w:r>
        <w:rPr/>
        <w:t>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日，可能引起本公司财务损失的最大信用风险敞口主要来自于合同另</w:t>
      </w:r>
      <w:r>
        <w:rPr/>
        <w:t> 一方未能履行义务而导致本公司金融资产产生的损失，具体包括合并资产负债表中已确认的 金融资产的账面金额。</w:t>
      </w:r>
    </w:p>
    <w:p>
      <w:pPr>
        <w:pStyle w:val="BodyText"/>
        <w:spacing w:line="357" w:lineRule="auto" w:before="202"/>
        <w:ind w:left="1133" w:right="1170" w:firstLine="480"/>
        <w:jc w:val="both"/>
      </w:pPr>
      <w:r>
        <w:rPr/>
        <w:t>为降低信用风险，本公司成立专门部门确定信用额度、进行信用审批，并执行其它监控 程序以确保采取必要的措施回收过期债权。此外，本公司于每个资产负债表日审核每一单项 应收款的回收情况，以确保就无法回收的款项计提充分的坏账准备。因此，本公司管理层认 为本公司所承担的信用风险已经大为降低。</w:t>
      </w:r>
    </w:p>
    <w:p>
      <w:pPr>
        <w:pStyle w:val="BodyText"/>
        <w:spacing w:line="240" w:lineRule="auto" w:before="192"/>
        <w:ind w:left="1613" w:right="1073"/>
        <w:jc w:val="left"/>
      </w:pPr>
      <w:r>
        <w:rPr/>
        <w:t>本公司的流动资金存放在信用评级较高的银行，故流动资金的信用风险较低。</w:t>
      </w:r>
    </w:p>
    <w:p>
      <w:pPr>
        <w:spacing w:line="240" w:lineRule="auto" w:before="9"/>
        <w:rPr>
          <w:rFonts w:ascii="宋体" w:hAnsi="宋体" w:cs="宋体" w:eastAsia="宋体" w:hint="default"/>
          <w:sz w:val="23"/>
          <w:szCs w:val="23"/>
        </w:rPr>
      </w:pPr>
    </w:p>
    <w:p>
      <w:pPr>
        <w:pStyle w:val="BodyText"/>
        <w:spacing w:line="357" w:lineRule="auto"/>
        <w:ind w:left="1133" w:right="1170" w:firstLine="480"/>
        <w:jc w:val="both"/>
      </w:pPr>
      <w:r>
        <w:rPr/>
        <w:t>本公司采用了必要的政策确保所有销售客户均具有良好的信用记录。除应收账款金额前 五名外，本公司无其他重大信用集中风险。</w:t>
      </w:r>
    </w:p>
    <w:p>
      <w:pPr>
        <w:pStyle w:val="BodyText"/>
        <w:spacing w:line="240" w:lineRule="auto" w:before="192"/>
        <w:ind w:right="1073"/>
        <w:jc w:val="left"/>
      </w:pPr>
      <w:r>
        <w:rPr/>
        <w:t>应收账款前五名金额合计：</w:t>
      </w:r>
      <w:r>
        <w:rPr>
          <w:rFonts w:ascii="Times New Roman" w:hAnsi="Times New Roman" w:cs="Times New Roman" w:eastAsia="Times New Roman" w:hint="default"/>
        </w:rPr>
        <w:t>110,005,024.00</w:t>
      </w:r>
      <w:r>
        <w:rPr>
          <w:rFonts w:ascii="Times New Roman" w:hAnsi="Times New Roman" w:cs="Times New Roman" w:eastAsia="Times New Roman" w:hint="default"/>
          <w:spacing w:val="-9"/>
        </w:rPr>
        <w:t> </w:t>
      </w:r>
      <w:r>
        <w:rPr/>
        <w:t>元。</w:t>
      </w:r>
    </w:p>
    <w:p>
      <w:pPr>
        <w:spacing w:line="240" w:lineRule="auto" w:before="4"/>
        <w:rPr>
          <w:rFonts w:ascii="宋体" w:hAnsi="宋体" w:cs="宋体" w:eastAsia="宋体" w:hint="default"/>
          <w:sz w:val="22"/>
          <w:szCs w:val="22"/>
        </w:rPr>
      </w:pPr>
    </w:p>
    <w:p>
      <w:pPr>
        <w:pStyle w:val="BodyText"/>
        <w:spacing w:line="451" w:lineRule="auto"/>
        <w:ind w:left="1613" w:right="1153"/>
        <w:jc w:val="left"/>
      </w:pPr>
      <w:r>
        <w:rPr>
          <w:rFonts w:ascii="Times New Roman" w:hAnsi="Times New Roman" w:cs="Times New Roman" w:eastAsia="Times New Roman" w:hint="default"/>
        </w:rPr>
        <w:t>(3)</w:t>
      </w:r>
      <w:r>
        <w:rPr/>
        <w:t>流动风险</w:t>
      </w:r>
      <w:r>
        <w:rPr>
          <w:w w:val="99"/>
        </w:rPr>
        <w:t> </w:t>
      </w:r>
      <w:r>
        <w:rPr/>
        <w:t>流动风险为本公司在到期日无法履行其财务义务的风险。本公司管理流动性风险的方法</w:t>
      </w:r>
    </w:p>
    <w:p>
      <w:pPr>
        <w:pStyle w:val="BodyText"/>
        <w:spacing w:line="257" w:lineRule="exact"/>
        <w:ind w:left="1133" w:right="0"/>
        <w:jc w:val="both"/>
      </w:pPr>
      <w:r>
        <w:rPr/>
        <w:t>是确保有足够的资金流动性来履行到期债务，而不至于造成不可接受的损失或对企业信誉造</w:t>
      </w:r>
    </w:p>
    <w:p>
      <w:pPr>
        <w:pStyle w:val="BodyText"/>
        <w:spacing w:line="357" w:lineRule="auto" w:before="154"/>
        <w:ind w:left="1133" w:right="1169"/>
        <w:jc w:val="both"/>
      </w:pPr>
      <w:r>
        <w:rPr/>
        <w:t>成损害。本公司定期分析负债结构和期限，以确保有充裕的资金。本公司管理层对银行借款 的使用情况进行监控并确保遵守借款协议。同时与金融机构进行融资磋商，以保持一定的授 信额度，减低流动性风险。</w:t>
      </w:r>
    </w:p>
    <w:p>
      <w:pPr>
        <w:spacing w:line="240" w:lineRule="auto" w:before="11"/>
        <w:rPr>
          <w:rFonts w:ascii="宋体" w:hAnsi="宋体" w:cs="宋体" w:eastAsia="宋体" w:hint="default"/>
          <w:sz w:val="19"/>
          <w:szCs w:val="19"/>
        </w:rPr>
      </w:pPr>
    </w:p>
    <w:p>
      <w:pPr>
        <w:pStyle w:val="Heading2"/>
        <w:spacing w:line="528" w:lineRule="auto" w:before="0"/>
        <w:ind w:left="1613" w:right="8344" w:hanging="480"/>
        <w:jc w:val="left"/>
        <w:rPr>
          <w:rFonts w:ascii="宋体" w:hAnsi="宋体" w:cs="宋体" w:eastAsia="宋体" w:hint="default"/>
          <w:b w:val="0"/>
          <w:bCs w:val="0"/>
        </w:rPr>
      </w:pPr>
      <w:bookmarkStart w:name="十一、公允价值的披露" w:id="399"/>
      <w:bookmarkEnd w:id="399"/>
      <w:r>
        <w:rPr>
          <w:b w:val="0"/>
          <w:bCs w:val="0"/>
        </w:rPr>
      </w:r>
      <w:r>
        <w:rPr/>
        <w:t>十一、公允价值的披露</w:t>
      </w:r>
      <w:r>
        <w:rPr>
          <w:w w:val="99"/>
        </w:rPr>
        <w:t> </w:t>
      </w:r>
      <w:r>
        <w:rPr>
          <w:rFonts w:ascii="宋体" w:hAnsi="宋体" w:cs="宋体" w:eastAsia="宋体" w:hint="default"/>
          <w:b w:val="0"/>
          <w:bCs w:val="0"/>
        </w:rPr>
        <w:t>无。</w:t>
      </w:r>
    </w:p>
    <w:p>
      <w:pPr>
        <w:spacing w:after="0" w:line="528" w:lineRule="auto"/>
        <w:jc w:val="left"/>
        <w:rPr>
          <w:rFonts w:ascii="宋体" w:hAnsi="宋体" w:cs="宋体" w:eastAsia="宋体" w:hint="default"/>
        </w:rPr>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十二、关联方及关联交易" w:id="400"/>
      <w:bookmarkEnd w:id="400"/>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本企业的母公司情况" w:id="401"/>
      <w:bookmarkEnd w:id="40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本企业的子公司情况" w:id="402"/>
      <w:bookmarkEnd w:id="4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本企业子公司的情况详见附注九、</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1</w:t>
      </w:r>
      <w:r>
        <w:rPr>
          <w:spacing w:val="-120"/>
        </w:rPr>
        <w:t>）。</w:t>
      </w:r>
      <w:r>
        <w:rPr/>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3、本企业合营和联营企业情况" w:id="403"/>
      <w:bookmarkEnd w:id="4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本企业重要的合营或联营企业详见附注九、</w:t>
      </w:r>
      <w:r>
        <w:rPr>
          <w:rFonts w:ascii="Times New Roman" w:hAnsi="Times New Roman" w:cs="Times New Roman" w:eastAsia="Times New Roman" w:hint="default"/>
        </w:rPr>
        <w:t>3</w:t>
      </w:r>
      <w:r>
        <w:rPr>
          <w:spacing w:val="-120"/>
        </w:rPr>
        <w:t>、</w:t>
      </w:r>
      <w:r>
        <w:rPr/>
        <w:t>（</w:t>
      </w:r>
      <w:r>
        <w:rPr>
          <w:rFonts w:ascii="Times New Roman" w:hAnsi="Times New Roman" w:cs="Times New Roman" w:eastAsia="Times New Roman" w:hint="default"/>
        </w:rPr>
        <w:t>3</w:t>
      </w:r>
      <w:r>
        <w:rPr>
          <w:spacing w:val="-120"/>
        </w:rPr>
        <w:t>）。</w:t>
      </w:r>
      <w:r>
        <w:rPr/>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4、其他关联方情况" w:id="404"/>
      <w:bookmarkEnd w:id="40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本公司董事任职单位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天翼阅读文化传播有限公司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w:t>
            </w:r>
          </w:p>
        </w:tc>
      </w:tr>
    </w:tbl>
    <w:p>
      <w:pPr>
        <w:spacing w:line="240" w:lineRule="auto" w:before="3"/>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5、关联交易情况" w:id="405"/>
      <w:bookmarkEnd w:id="40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购销商品、提供和接受劳务的关联交易"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采购商品</w:t>
      </w:r>
      <w:r>
        <w:rPr>
          <w:rFonts w:ascii="Times New Roman" w:hAnsi="Times New Roman" w:cs="Times New Roman" w:eastAsia="Times New Roman" w:hint="default"/>
        </w:rPr>
        <w:t>/</w:t>
      </w:r>
      <w:r>
        <w:rPr/>
        <w:t>接受劳务情况表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广州市迈步信息科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1,225,521.37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北京鸿达以太文化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6,114,928.32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385,559.63</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天翼阅读文化传播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11,714,592.33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943,396.23</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出售商品</w:t>
      </w:r>
      <w:r>
        <w:rPr>
          <w:rFonts w:ascii="Times New Roman" w:hAnsi="Times New Roman" w:cs="Times New Roman" w:eastAsia="Times New Roman" w:hint="default"/>
        </w:rPr>
        <w:t>/</w:t>
      </w:r>
      <w:r>
        <w:rPr/>
        <w:t>提供劳务情况表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广州市迈步信息科技有限公司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合作运营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1,817,376.18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2,729,186.99</w:t>
            </w:r>
          </w:p>
        </w:tc>
      </w:tr>
    </w:tbl>
    <w:p>
      <w:pPr>
        <w:spacing w:after="0" w:line="240" w:lineRule="auto"/>
        <w:jc w:val="lef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北京鸿达以太文化发展有限公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合作运营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155,750.03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472,476.80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天翼阅读文化传播有限公司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15,981,512.20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购销商品、提供和接受劳务的关联交易说明</w:t>
      </w:r>
    </w:p>
    <w:p>
      <w:pPr>
        <w:spacing w:line="240" w:lineRule="auto" w:before="9"/>
        <w:rPr>
          <w:rFonts w:ascii="宋体" w:hAnsi="宋体" w:cs="宋体" w:eastAsia="宋体" w:hint="default"/>
          <w:sz w:val="23"/>
          <w:szCs w:val="23"/>
        </w:rPr>
      </w:pPr>
    </w:p>
    <w:p>
      <w:pPr>
        <w:pStyle w:val="BodyText"/>
        <w:spacing w:line="357" w:lineRule="auto"/>
        <w:ind w:left="1134" w:right="1152" w:firstLine="480"/>
        <w:jc w:val="left"/>
      </w:pPr>
      <w:r>
        <w:rPr/>
        <w:t>本公司向联营公司鸿达以太采购的商品包括音频产品以及音频数字版权产品，以满足丰 富数字版权内容和业务发展的需要，定价参照市场交易价格。</w:t>
      </w:r>
    </w:p>
    <w:p>
      <w:pPr>
        <w:pStyle w:val="BodyText"/>
        <w:spacing w:line="348" w:lineRule="auto" w:before="192"/>
        <w:ind w:left="1133" w:right="1169" w:firstLine="480"/>
        <w:jc w:val="both"/>
      </w:pP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日，本公司与联营公司迈步科技签订渠道推广合作协议，双方约定合作 拓展电子图书市场，本公司提供电子图书内容，通过迈步科技进行渠道推广，为手机用户提 供电子图书阅读服务，双方按照合同约定的比例进行分成，定价参照市场交易价格。</w:t>
      </w:r>
    </w:p>
    <w:p>
      <w:pPr>
        <w:pStyle w:val="BodyText"/>
        <w:spacing w:line="345" w:lineRule="auto" w:before="202"/>
        <w:ind w:left="1133" w:right="1000" w:firstLine="480"/>
        <w:jc w:val="left"/>
      </w:pP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日，本公司分别与联营公司鸿达以太、迈步科技签订《中文在线数字出 </w:t>
      </w:r>
      <w:r>
        <w:rPr>
          <w:spacing w:val="-5"/>
        </w:rPr>
        <w:t>版运营合作协议》，双方约定合作运营手机阅读业务，包括中国移动、中国联通、中国电信三</w:t>
      </w:r>
      <w:r>
        <w:rPr/>
        <w:t> 家通信运营商各自的手机阅读基地</w:t>
      </w:r>
      <w:r>
        <w:rPr>
          <w:spacing w:val="-52"/>
        </w:rPr>
        <w:t> </w:t>
      </w:r>
      <w:r>
        <w:rPr>
          <w:rFonts w:ascii="Times New Roman" w:hAnsi="Times New Roman" w:cs="Times New Roman" w:eastAsia="Times New Roman" w:hint="default"/>
          <w:spacing w:val="-1"/>
          <w:w w:val="99"/>
        </w:rPr>
        <w:t>CP</w:t>
      </w:r>
      <w:r>
        <w:rPr>
          <w:rFonts w:ascii="Times New Roman" w:hAnsi="Times New Roman" w:cs="Times New Roman" w:eastAsia="Times New Roman" w:hint="default"/>
          <w:spacing w:val="8"/>
          <w:w w:val="99"/>
        </w:rPr>
        <w:t> </w:t>
      </w:r>
      <w:r>
        <w:rPr>
          <w:spacing w:val="-11"/>
        </w:rPr>
        <w:t>业务和其他手机阅读业务（包括图书、报刊、漫画等）。</w:t>
      </w:r>
      <w:r>
        <w:rPr/>
        <w:t> 双方按照合同约定的分成比例进行分成，其中，本公司授权给鸿达以太、迈步科技的图书作 品所产生的收益由中文在线和鸿达以太、迈步科技按照</w:t>
      </w:r>
      <w:r>
        <w:rPr>
          <w:spacing w:val="-61"/>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10%</w:t>
      </w:r>
      <w:r>
        <w:rPr/>
        <w:t>的比例进行分配，鸿达以 太、迈步科技自有版权的图书作品所产生的收益由双方按照</w:t>
      </w:r>
      <w:r>
        <w:rPr>
          <w:spacing w:val="-60"/>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的比例进行分配；定 价参照市场交易价格。</w:t>
      </w:r>
    </w:p>
    <w:p>
      <w:pPr>
        <w:spacing w:line="240" w:lineRule="auto" w:before="7"/>
        <w:rPr>
          <w:rFonts w:ascii="宋体" w:hAnsi="宋体" w:cs="宋体" w:eastAsia="宋体" w:hint="default"/>
          <w:sz w:val="22"/>
          <w:szCs w:val="22"/>
        </w:rPr>
      </w:pPr>
    </w:p>
    <w:p>
      <w:pPr>
        <w:spacing w:before="0"/>
        <w:ind w:left="1133" w:right="1073" w:firstLine="0"/>
        <w:jc w:val="left"/>
        <w:rPr>
          <w:rFonts w:ascii="宋体" w:hAnsi="宋体" w:cs="宋体" w:eastAsia="宋体" w:hint="default"/>
          <w:sz w:val="21"/>
          <w:szCs w:val="21"/>
        </w:rPr>
      </w:pPr>
      <w:bookmarkStart w:name="（2）关联受托管理/承包及委托管理/出包情况"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关联租赁情况"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关联租赁情况说明</w:t>
      </w:r>
    </w:p>
    <w:p>
      <w:pPr>
        <w:spacing w:line="240" w:lineRule="auto" w:before="9"/>
        <w:rPr>
          <w:rFonts w:ascii="宋体" w:hAnsi="宋体" w:cs="宋体" w:eastAsia="宋体" w:hint="default"/>
          <w:sz w:val="23"/>
          <w:szCs w:val="23"/>
        </w:rPr>
      </w:pPr>
    </w:p>
    <w:p>
      <w:pPr>
        <w:pStyle w:val="BodyText"/>
        <w:spacing w:line="240" w:lineRule="auto"/>
        <w:ind w:left="1613" w:right="1073"/>
        <w:jc w:val="left"/>
      </w:pPr>
      <w:r>
        <w:rPr/>
        <w:t>本公司之子公司中文教育分别于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spacing w:val="-6"/>
        </w:rPr>
        <w:t>日、</w:t>
      </w:r>
      <w:r>
        <w:rPr>
          <w:rFonts w:ascii="Times New Roman" w:hAnsi="Times New Roman" w:cs="Times New Roman" w:eastAsia="Times New Roman" w:hint="default"/>
          <w:spacing w:val="-6"/>
        </w:rPr>
        <w:t>2012</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30 </w:t>
      </w:r>
      <w:r>
        <w:rPr>
          <w:spacing w:val="-6"/>
        </w:rPr>
        <w:t>日、</w:t>
      </w:r>
      <w:r>
        <w:rPr>
          <w:rFonts w:ascii="Times New Roman" w:hAnsi="Times New Roman" w:cs="Times New Roman" w:eastAsia="Times New Roman" w:hint="default"/>
          <w:spacing w:val="-6"/>
        </w:rPr>
        <w:t>2013</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p>
    <w:p>
      <w:pPr>
        <w:pStyle w:val="BodyText"/>
        <w:spacing w:line="338" w:lineRule="auto" w:before="135"/>
        <w:ind w:left="1133" w:right="1116"/>
        <w:jc w:val="left"/>
      </w:pPr>
      <w:r>
        <w:rPr>
          <w:rFonts w:ascii="Times New Roman" w:hAnsi="Times New Roman" w:cs="Times New Roman" w:eastAsia="Times New Roman" w:hint="default"/>
        </w:rPr>
        <w:t>13 </w:t>
      </w:r>
      <w:r>
        <w:rPr>
          <w:spacing w:val="-4"/>
        </w:rPr>
        <w:t>日与启迪控股股份有限公司签订《清华科技园科技大厦写字间租赁合同》，双方约定中文</w:t>
      </w:r>
      <w:r>
        <w:rPr>
          <w:spacing w:val="-84"/>
        </w:rPr>
        <w:t> </w:t>
      </w:r>
      <w:r>
        <w:rPr>
          <w:spacing w:val="-84"/>
        </w:rPr>
      </w:r>
      <w:r>
        <w:rPr/>
        <w:t>教育承租启迪控股股份有限公司位于北京中关村东路一号院</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号楼</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座二层的</w:t>
      </w:r>
      <w:r>
        <w:rPr>
          <w:spacing w:val="-63"/>
        </w:rPr>
        <w:t> </w:t>
      </w:r>
      <w:r>
        <w:rPr>
          <w:rFonts w:ascii="Times New Roman" w:hAnsi="Times New Roman" w:cs="Times New Roman" w:eastAsia="Times New Roman" w:hint="default"/>
        </w:rPr>
        <w:t>204</w:t>
      </w:r>
      <w:r>
        <w:rPr>
          <w:rFonts w:ascii="Times New Roman" w:hAnsi="Times New Roman" w:cs="Times New Roman" w:eastAsia="Times New Roman" w:hint="default"/>
          <w:spacing w:val="-3"/>
        </w:rPr>
        <w:t> </w:t>
      </w:r>
      <w:r>
        <w:rPr/>
        <w:t>号房间作 为其办公场所，该房屋总建筑面积</w:t>
      </w:r>
      <w:r>
        <w:rPr>
          <w:spacing w:val="-60"/>
        </w:rPr>
        <w:t> </w:t>
      </w:r>
      <w:r>
        <w:rPr>
          <w:rFonts w:ascii="Times New Roman" w:hAnsi="Times New Roman" w:cs="Times New Roman" w:eastAsia="Times New Roman" w:hint="default"/>
        </w:rPr>
        <w:t>33.79 </w:t>
      </w:r>
      <w:r>
        <w:rPr/>
        <w:t>平方米，租金为每日为</w:t>
      </w:r>
      <w:r>
        <w:rPr>
          <w:spacing w:val="-60"/>
        </w:rPr>
        <w:t> </w:t>
      </w:r>
      <w:r>
        <w:rPr>
          <w:rFonts w:ascii="Times New Roman" w:hAnsi="Times New Roman" w:cs="Times New Roman" w:eastAsia="Times New Roman" w:hint="default"/>
        </w:rPr>
        <w:t>202.74 </w:t>
      </w:r>
      <w:r>
        <w:rPr/>
        <w:t>元，上述房屋续租至</w:t>
      </w:r>
    </w:p>
    <w:p>
      <w:pPr>
        <w:pStyle w:val="BodyText"/>
        <w:spacing w:line="240" w:lineRule="auto" w:before="27"/>
        <w:ind w:left="1133" w:right="1073"/>
        <w:jc w:val="left"/>
      </w:pP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14 </w:t>
      </w:r>
      <w:r>
        <w:rPr/>
        <w:t>日。</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4）关联担保情况"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本公司作为被担保方</w:t>
      </w:r>
    </w:p>
    <w:p>
      <w:pPr>
        <w:spacing w:line="240" w:lineRule="auto" w:before="2"/>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中文在线教育集团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149,352,800.00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关联担保情况说明</w:t>
      </w:r>
    </w:p>
    <w:p>
      <w:pPr>
        <w:spacing w:line="240" w:lineRule="auto" w:before="9"/>
        <w:rPr>
          <w:rFonts w:ascii="宋体" w:hAnsi="宋体" w:cs="宋体" w:eastAsia="宋体" w:hint="default"/>
          <w:sz w:val="23"/>
          <w:szCs w:val="23"/>
        </w:rPr>
      </w:pPr>
    </w:p>
    <w:p>
      <w:pPr>
        <w:pStyle w:val="BodyText"/>
        <w:spacing w:line="240" w:lineRule="auto"/>
        <w:ind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日，本公司与江苏银行股份有限公司北京中关村支行签订流动资金借款</w:t>
      </w:r>
    </w:p>
    <w:p>
      <w:pPr>
        <w:pStyle w:val="BodyText"/>
        <w:spacing w:line="338" w:lineRule="auto" w:before="135"/>
        <w:ind w:left="1133" w:right="1132"/>
        <w:jc w:val="both"/>
      </w:pPr>
      <w:r>
        <w:rPr>
          <w:spacing w:val="-4"/>
        </w:rPr>
        <w:t>合同，借款金额为</w:t>
      </w:r>
      <w:r>
        <w:rPr>
          <w:spacing w:val="-60"/>
        </w:rPr>
        <w:t> </w:t>
      </w:r>
      <w:r>
        <w:rPr>
          <w:rFonts w:ascii="Times New Roman" w:hAnsi="Times New Roman" w:cs="Times New Roman" w:eastAsia="Times New Roman" w:hint="default"/>
        </w:rPr>
        <w:t>10,000.00 </w:t>
      </w:r>
      <w:r>
        <w:rPr>
          <w:spacing w:val="-4"/>
        </w:rPr>
        <w:t>万元，借款期限为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spacing w:val="-10"/>
        </w:rPr>
        <w:t>日，由</w:t>
      </w:r>
      <w:r>
        <w:rPr/>
        <w:t> 本公司之股东童之磊提供保证担保。</w:t>
      </w:r>
    </w:p>
    <w:p>
      <w:pPr>
        <w:pStyle w:val="BodyText"/>
        <w:spacing w:line="240" w:lineRule="auto" w:before="211"/>
        <w:ind w:left="1613" w:right="107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日，本公司之子公司中文在线教育集团有限公司与江苏银行股份有限公</w:t>
      </w:r>
    </w:p>
    <w:p>
      <w:pPr>
        <w:pStyle w:val="BodyText"/>
        <w:spacing w:line="338" w:lineRule="auto" w:before="135"/>
        <w:ind w:left="1134" w:right="1130"/>
        <w:jc w:val="both"/>
      </w:pPr>
      <w:r>
        <w:rPr/>
        <w:t>司上海分行签订流动资金借款合同，借款金额</w:t>
      </w:r>
      <w:r>
        <w:rPr>
          <w:spacing w:val="-63"/>
        </w:rPr>
        <w:t> </w:t>
      </w:r>
      <w:r>
        <w:rPr>
          <w:rFonts w:ascii="Times New Roman" w:hAnsi="Times New Roman" w:cs="Times New Roman" w:eastAsia="Times New Roman" w:hint="default"/>
        </w:rPr>
        <w:t>2,300</w:t>
      </w:r>
      <w:r>
        <w:rPr>
          <w:rFonts w:ascii="Times New Roman" w:hAnsi="Times New Roman" w:cs="Times New Roman" w:eastAsia="Times New Roman" w:hint="default"/>
          <w:spacing w:val="-3"/>
        </w:rPr>
        <w:t> </w:t>
      </w:r>
      <w:r>
        <w:rPr/>
        <w:t>万美元，借款期限为</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 至</w:t>
      </w:r>
      <w:r>
        <w:rPr>
          <w:spacing w:val="-6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日，借款用于投资境外公司</w:t>
      </w:r>
      <w:r>
        <w:rPr>
          <w:spacing w:val="-65"/>
        </w:rPr>
        <w:t> </w:t>
      </w:r>
      <w:r>
        <w:rPr>
          <w:rFonts w:ascii="Times New Roman" w:hAnsi="Times New Roman" w:cs="Times New Roman" w:eastAsia="Times New Roman" w:hint="default"/>
        </w:rPr>
        <w:t>JOINGEAR</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6"/>
        </w:rPr>
        <w:t> </w:t>
      </w:r>
      <w:r>
        <w:rPr>
          <w:rFonts w:ascii="Times New Roman" w:hAnsi="Times New Roman" w:cs="Times New Roman" w:eastAsia="Times New Roman" w:hint="default"/>
        </w:rPr>
        <w:t>38.33%</w:t>
      </w:r>
      <w:r>
        <w:rPr/>
        <w:t>的股权；该项借 款以江苏银行股份有限公司北京分行签发的</w:t>
      </w:r>
      <w:r>
        <w:rPr>
          <w:spacing w:val="-60"/>
        </w:rPr>
        <w:t> </w:t>
      </w:r>
      <w:r>
        <w:rPr>
          <w:rFonts w:ascii="Times New Roman" w:hAnsi="Times New Roman" w:cs="Times New Roman" w:eastAsia="Times New Roman" w:hint="default"/>
        </w:rPr>
        <w:t>2,352 </w:t>
      </w:r>
      <w:r>
        <w:rPr/>
        <w:t>万美元的信用证提供质押担保。</w:t>
      </w:r>
    </w:p>
    <w:p>
      <w:pPr>
        <w:spacing w:line="240" w:lineRule="auto" w:before="12"/>
        <w:rPr>
          <w:rFonts w:ascii="宋体" w:hAnsi="宋体" w:cs="宋体" w:eastAsia="宋体" w:hint="default"/>
          <w:sz w:val="20"/>
          <w:szCs w:val="20"/>
        </w:rPr>
      </w:pPr>
    </w:p>
    <w:p>
      <w:pPr>
        <w:spacing w:before="0"/>
        <w:ind w:left="1133" w:right="0" w:firstLine="0"/>
        <w:jc w:val="both"/>
        <w:rPr>
          <w:rFonts w:ascii="宋体" w:hAnsi="宋体" w:cs="宋体" w:eastAsia="宋体" w:hint="default"/>
          <w:sz w:val="21"/>
          <w:szCs w:val="21"/>
        </w:rPr>
      </w:pPr>
      <w:bookmarkStart w:name="（5）关联方资金拆借"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0" w:firstLine="0"/>
        <w:jc w:val="both"/>
        <w:rPr>
          <w:rFonts w:ascii="宋体" w:hAnsi="宋体" w:cs="宋体" w:eastAsia="宋体" w:hint="default"/>
          <w:sz w:val="21"/>
          <w:szCs w:val="21"/>
        </w:rPr>
      </w:pPr>
      <w:bookmarkStart w:name="（6）关联方资产转让、债务重组情况"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0" w:firstLine="0"/>
        <w:jc w:val="both"/>
        <w:rPr>
          <w:rFonts w:ascii="宋体" w:hAnsi="宋体" w:cs="宋体" w:eastAsia="宋体" w:hint="default"/>
          <w:sz w:val="21"/>
          <w:szCs w:val="21"/>
        </w:rPr>
      </w:pPr>
      <w:bookmarkStart w:name="（7）关键管理人员报酬"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3,247,920.09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3,169,355.30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关联方应收应付款项" w:id="413"/>
      <w:bookmarkEnd w:id="41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应收项目"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广州市迈步信息科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1,926,418.76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872,070.35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启迪控股股份有限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70,756.26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70,553.52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天翼阅读文化传播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4,544,810.38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90,896.21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1,709,765.26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99,195.30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应付项目"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北京鸿达以太文化发展有限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170,100.00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506,332.08</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7、关联方承诺" w:id="416"/>
      <w:bookmarkEnd w:id="41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06" w:lineRule="auto" w:before="0"/>
        <w:ind w:left="1134" w:right="8750" w:firstLine="480"/>
        <w:jc w:val="left"/>
        <w:rPr>
          <w:rFonts w:ascii="宋体" w:hAnsi="宋体" w:cs="宋体" w:eastAsia="宋体" w:hint="default"/>
          <w:sz w:val="21"/>
          <w:szCs w:val="21"/>
        </w:rPr>
      </w:pPr>
      <w:r>
        <w:rPr>
          <w:rFonts w:ascii="宋体" w:hAnsi="宋体" w:cs="宋体" w:eastAsia="宋体" w:hint="default"/>
          <w:sz w:val="24"/>
          <w:szCs w:val="24"/>
        </w:rPr>
        <w:t>无。 </w:t>
      </w:r>
      <w:bookmarkStart w:name="十三、股份支付" w:id="417"/>
      <w:bookmarkEnd w:id="417"/>
      <w:r>
        <w:rPr>
          <w:rFonts w:ascii="宋体" w:hAnsi="宋体" w:cs="宋体" w:eastAsia="宋体" w:hint="default"/>
          <w:sz w:val="24"/>
          <w:szCs w:val="24"/>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18"/>
      <w:bookmarkEnd w:id="4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8"/>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069" w:right="7861" w:firstLine="0"/>
        <w:jc w:val="center"/>
        <w:rPr>
          <w:rFonts w:ascii="宋体" w:hAnsi="宋体" w:cs="宋体" w:eastAsia="宋体" w:hint="default"/>
          <w:sz w:val="21"/>
          <w:szCs w:val="21"/>
        </w:rPr>
      </w:pPr>
      <w:bookmarkStart w:name="2、以权益结算的股份支付情况" w:id="419"/>
      <w:bookmarkEnd w:id="4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069" w:right="7861" w:firstLine="0"/>
        <w:jc w:val="center"/>
        <w:rPr>
          <w:rFonts w:ascii="宋体" w:hAnsi="宋体" w:cs="宋体" w:eastAsia="宋体" w:hint="default"/>
          <w:sz w:val="21"/>
          <w:szCs w:val="21"/>
        </w:rPr>
      </w:pPr>
      <w:bookmarkStart w:name="3、以现金结算的股份支付情况" w:id="420"/>
      <w:bookmarkEnd w:id="4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069" w:right="7861" w:firstLine="0"/>
        <w:jc w:val="center"/>
        <w:rPr>
          <w:rFonts w:ascii="宋体" w:hAnsi="宋体" w:cs="宋体" w:eastAsia="宋体" w:hint="default"/>
          <w:sz w:val="21"/>
          <w:szCs w:val="21"/>
        </w:rPr>
      </w:pPr>
      <w:bookmarkStart w:name="4、股份支付的修改、终止情况" w:id="421"/>
      <w:bookmarkEnd w:id="4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十四、承诺及或有事项" w:id="422"/>
      <w:bookmarkEnd w:id="422"/>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重要承诺事项" w:id="423"/>
      <w:bookmarkEnd w:id="4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资产负债表日存在的重要承诺</w:t>
      </w:r>
    </w:p>
    <w:p>
      <w:pPr>
        <w:spacing w:line="240" w:lineRule="auto" w:before="9"/>
        <w:rPr>
          <w:rFonts w:ascii="宋体" w:hAnsi="宋体" w:cs="宋体" w:eastAsia="宋体" w:hint="default"/>
          <w:sz w:val="23"/>
          <w:szCs w:val="23"/>
        </w:rPr>
      </w:pPr>
    </w:p>
    <w:p>
      <w:pPr>
        <w:pStyle w:val="BodyText"/>
        <w:spacing w:line="240" w:lineRule="auto"/>
        <w:ind w:right="1073"/>
        <w:jc w:val="left"/>
      </w:pPr>
      <w:r>
        <w:rPr/>
        <w:t>本公司之子公司湖北中文在线于</w:t>
      </w:r>
      <w:r>
        <w:rPr>
          <w:spacing w:val="-7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72"/>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日与华人汇和科技园建设有限公司签署</w:t>
      </w:r>
    </w:p>
    <w:p>
      <w:pPr>
        <w:pStyle w:val="BodyText"/>
        <w:spacing w:line="240" w:lineRule="auto" w:before="135"/>
        <w:ind w:left="1133" w:right="1073"/>
        <w:jc w:val="left"/>
      </w:pPr>
      <w:r>
        <w:rPr/>
        <w:t>商品房买卖合同，购买第</w:t>
      </w:r>
      <w:r>
        <w:rPr>
          <w:spacing w:val="-61"/>
        </w:rPr>
        <w:t> </w:t>
      </w:r>
      <w:r>
        <w:rPr>
          <w:rFonts w:ascii="Times New Roman" w:hAnsi="Times New Roman" w:cs="Times New Roman" w:eastAsia="Times New Roman" w:hint="default"/>
        </w:rPr>
        <w:t>B4</w:t>
      </w:r>
      <w:r>
        <w:rPr>
          <w:rFonts w:ascii="Times New Roman" w:hAnsi="Times New Roman" w:cs="Times New Roman" w:eastAsia="Times New Roman" w:hint="default"/>
          <w:spacing w:val="-1"/>
        </w:rPr>
        <w:t> </w:t>
      </w:r>
      <w:r>
        <w:rPr/>
        <w:t>幢</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层建筑面积共计</w:t>
      </w:r>
      <w:r>
        <w:rPr>
          <w:spacing w:val="-61"/>
        </w:rPr>
        <w:t> </w:t>
      </w:r>
      <w:r>
        <w:rPr>
          <w:rFonts w:ascii="Times New Roman" w:hAnsi="Times New Roman" w:cs="Times New Roman" w:eastAsia="Times New Roman" w:hint="default"/>
        </w:rPr>
        <w:t>5274.61</w:t>
      </w:r>
      <w:r>
        <w:rPr>
          <w:rFonts w:ascii="Times New Roman" w:hAnsi="Times New Roman" w:cs="Times New Roman" w:eastAsia="Times New Roman" w:hint="default"/>
          <w:spacing w:val="-1"/>
        </w:rPr>
        <w:t> </w:t>
      </w:r>
      <w:r>
        <w:rPr/>
        <w:t>平米，单价每平米</w:t>
      </w:r>
      <w:r>
        <w:rPr>
          <w:spacing w:val="-61"/>
        </w:rPr>
        <w:t> </w:t>
      </w:r>
      <w:r>
        <w:rPr>
          <w:rFonts w:ascii="Times New Roman" w:hAnsi="Times New Roman" w:cs="Times New Roman" w:eastAsia="Times New Roman" w:hint="default"/>
        </w:rPr>
        <w:t>6600</w:t>
      </w:r>
      <w:r>
        <w:rPr>
          <w:rFonts w:ascii="Times New Roman" w:hAnsi="Times New Roman" w:cs="Times New Roman" w:eastAsia="Times New Roman" w:hint="default"/>
          <w:spacing w:val="-1"/>
        </w:rPr>
        <w:t> </w:t>
      </w:r>
      <w:r>
        <w:rPr/>
        <w:t>元，总</w:t>
      </w:r>
    </w:p>
    <w:p>
      <w:pPr>
        <w:pStyle w:val="BodyText"/>
        <w:spacing w:line="240" w:lineRule="auto" w:before="135"/>
        <w:ind w:left="1133" w:right="1073"/>
        <w:jc w:val="left"/>
      </w:pPr>
      <w:r>
        <w:rPr/>
        <w:t>金额</w:t>
      </w:r>
      <w:r>
        <w:rPr>
          <w:spacing w:val="-60"/>
        </w:rPr>
        <w:t> </w:t>
      </w:r>
      <w:r>
        <w:rPr>
          <w:rFonts w:ascii="Times New Roman" w:hAnsi="Times New Roman" w:cs="Times New Roman" w:eastAsia="Times New Roman" w:hint="default"/>
        </w:rPr>
        <w:t>34,812,400.00 </w:t>
      </w:r>
      <w:r>
        <w:rPr/>
        <w:t>元，在合同签署后</w:t>
      </w:r>
      <w:r>
        <w:rPr>
          <w:spacing w:val="-60"/>
        </w:rPr>
        <w:t> </w:t>
      </w:r>
      <w:r>
        <w:rPr>
          <w:rFonts w:ascii="Times New Roman" w:hAnsi="Times New Roman" w:cs="Times New Roman" w:eastAsia="Times New Roman" w:hint="default"/>
        </w:rPr>
        <w:t>5 </w:t>
      </w:r>
      <w:r>
        <w:rPr/>
        <w:t>个工作日内支付总房款</w:t>
      </w:r>
      <w:r>
        <w:rPr>
          <w:spacing w:val="-60"/>
        </w:rPr>
        <w:t> </w:t>
      </w:r>
      <w:r>
        <w:rPr>
          <w:rFonts w:ascii="Times New Roman" w:hAnsi="Times New Roman" w:cs="Times New Roman" w:eastAsia="Times New Roman" w:hint="default"/>
        </w:rPr>
        <w:t>50%</w:t>
      </w:r>
      <w:r>
        <w:rPr/>
        <w:t>即</w:t>
      </w:r>
      <w:r>
        <w:rPr>
          <w:spacing w:val="-60"/>
        </w:rPr>
        <w:t> </w:t>
      </w:r>
      <w:r>
        <w:rPr>
          <w:rFonts w:ascii="Times New Roman" w:hAnsi="Times New Roman" w:cs="Times New Roman" w:eastAsia="Times New Roman" w:hint="default"/>
        </w:rPr>
        <w:t>17,406,200.00 </w:t>
      </w:r>
      <w:r>
        <w:rPr/>
        <w:t>元、在</w:t>
      </w:r>
    </w:p>
    <w:p>
      <w:pPr>
        <w:pStyle w:val="BodyText"/>
        <w:spacing w:line="240" w:lineRule="auto" w:before="135"/>
        <w:ind w:left="1133" w:right="1073"/>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日前支付</w:t>
      </w:r>
      <w:r>
        <w:rPr>
          <w:spacing w:val="-60"/>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w:t>
      </w:r>
      <w:r>
        <w:rPr/>
        <w:t>即</w:t>
      </w:r>
      <w:r>
        <w:rPr>
          <w:spacing w:val="-60"/>
        </w:rPr>
        <w:t> </w:t>
      </w:r>
      <w:r>
        <w:rPr>
          <w:rFonts w:ascii="Times New Roman" w:hAnsi="Times New Roman" w:cs="Times New Roman" w:eastAsia="Times New Roman" w:hint="default"/>
        </w:rPr>
        <w:t>15,665,580.00 </w:t>
      </w:r>
      <w:r>
        <w:rPr/>
        <w:t>元</w:t>
      </w:r>
      <w:r>
        <w:rPr>
          <w:spacing w:val="-120"/>
        </w:rPr>
        <w:t>，</w:t>
      </w:r>
      <w:r>
        <w:rPr/>
        <w:t>在房产管理部门办理登记备案</w:t>
      </w:r>
      <w:r>
        <w:rPr>
          <w:spacing w:val="-60"/>
        </w:rPr>
        <w:t> </w:t>
      </w:r>
      <w:r>
        <w:rPr>
          <w:rFonts w:ascii="Times New Roman" w:hAnsi="Times New Roman" w:cs="Times New Roman" w:eastAsia="Times New Roman" w:hint="default"/>
        </w:rPr>
        <w:t>5 </w:t>
      </w:r>
      <w:r>
        <w:rPr/>
        <w:t>日内付</w:t>
      </w:r>
      <w:r>
        <w:rPr>
          <w:spacing w:val="-60"/>
        </w:rPr>
        <w:t> </w:t>
      </w:r>
      <w:r>
        <w:rPr>
          <w:rFonts w:ascii="Times New Roman" w:hAnsi="Times New Roman" w:cs="Times New Roman" w:eastAsia="Times New Roman" w:hint="default"/>
        </w:rPr>
        <w:t>5%</w:t>
      </w:r>
    </w:p>
    <w:p>
      <w:pPr>
        <w:pStyle w:val="BodyText"/>
        <w:spacing w:line="240" w:lineRule="auto" w:before="135"/>
        <w:ind w:left="1134" w:right="1073"/>
        <w:jc w:val="left"/>
      </w:pPr>
      <w:r>
        <w:rPr/>
        <w:t>及</w:t>
      </w:r>
      <w:r>
        <w:rPr>
          <w:spacing w:val="-60"/>
        </w:rPr>
        <w:t> </w:t>
      </w:r>
      <w:r>
        <w:rPr>
          <w:rFonts w:ascii="Times New Roman" w:hAnsi="Times New Roman" w:cs="Times New Roman" w:eastAsia="Times New Roman" w:hint="default"/>
        </w:rPr>
        <w:t>1,740,620.00 </w:t>
      </w:r>
      <w:r>
        <w:rPr>
          <w:spacing w:val="-5"/>
        </w:rPr>
        <w:t>元，湖北中文在线于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4 </w:t>
      </w:r>
      <w:r>
        <w:rPr/>
        <w:t>日支付</w:t>
      </w:r>
      <w:r>
        <w:rPr>
          <w:spacing w:val="-60"/>
        </w:rPr>
        <w:t> </w:t>
      </w:r>
      <w:r>
        <w:rPr>
          <w:rFonts w:ascii="Times New Roman" w:hAnsi="Times New Roman" w:cs="Times New Roman" w:eastAsia="Times New Roman" w:hint="default"/>
        </w:rPr>
        <w:t>17,406,200.00 </w:t>
      </w:r>
      <w:r>
        <w:rPr>
          <w:spacing w:val="-14"/>
        </w:rPr>
        <w:t>元，在</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p>
    <w:p>
      <w:pPr>
        <w:pStyle w:val="BodyText"/>
        <w:spacing w:line="240" w:lineRule="auto" w:before="135"/>
        <w:ind w:left="1134" w:right="1073"/>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日支付</w:t>
      </w:r>
      <w:r>
        <w:rPr>
          <w:spacing w:val="-58"/>
        </w:rPr>
        <w:t> </w:t>
      </w:r>
      <w:r>
        <w:rPr>
          <w:rFonts w:ascii="Times New Roman" w:hAnsi="Times New Roman" w:cs="Times New Roman" w:eastAsia="Times New Roman" w:hint="default"/>
        </w:rPr>
        <w:t>15,665,580.00</w:t>
      </w:r>
      <w:r>
        <w:rPr>
          <w:rFonts w:ascii="Times New Roman" w:hAnsi="Times New Roman" w:cs="Times New Roman" w:eastAsia="Times New Roman" w:hint="default"/>
          <w:spacing w:val="2"/>
        </w:rPr>
        <w:t> </w:t>
      </w:r>
      <w:r>
        <w:rPr>
          <w:spacing w:val="-3"/>
        </w:rPr>
        <w:t>元，并计入预付账款。同时房屋买卖合同补充协议约定，湖北中文在</w:t>
      </w:r>
    </w:p>
    <w:p>
      <w:pPr>
        <w:pStyle w:val="BodyText"/>
        <w:spacing w:line="240" w:lineRule="auto" w:before="135"/>
        <w:ind w:left="1134" w:right="1073"/>
        <w:jc w:val="left"/>
      </w:pPr>
      <w:r>
        <w:rPr/>
        <w:t>线承诺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日之前完成</w:t>
      </w:r>
      <w:r>
        <w:rPr>
          <w:spacing w:val="-60"/>
        </w:rPr>
        <w:t> </w:t>
      </w:r>
      <w:r>
        <w:rPr>
          <w:rFonts w:ascii="Times New Roman" w:hAnsi="Times New Roman" w:cs="Times New Roman" w:eastAsia="Times New Roman" w:hint="default"/>
        </w:rPr>
        <w:t>B4 </w:t>
      </w:r>
      <w:r>
        <w:rPr/>
        <w:t>幢余下</w:t>
      </w:r>
      <w:r>
        <w:rPr>
          <w:spacing w:val="-60"/>
        </w:rPr>
        <w:t> </w:t>
      </w:r>
      <w:r>
        <w:rPr>
          <w:rFonts w:ascii="Times New Roman" w:hAnsi="Times New Roman" w:cs="Times New Roman" w:eastAsia="Times New Roman" w:hint="default"/>
        </w:rPr>
        <w:t>4 </w:t>
      </w:r>
      <w:r>
        <w:rPr/>
        <w:t>层</w:t>
      </w:r>
      <w:r>
        <w:rPr>
          <w:spacing w:val="-60"/>
        </w:rPr>
        <w:t> </w:t>
      </w:r>
      <w:r>
        <w:rPr>
          <w:rFonts w:ascii="Times New Roman" w:hAnsi="Times New Roman" w:cs="Times New Roman" w:eastAsia="Times New Roman" w:hint="default"/>
        </w:rPr>
        <w:t>3323.12 </w:t>
      </w:r>
      <w:r>
        <w:rPr>
          <w:spacing w:val="-5"/>
        </w:rPr>
        <w:t>平米的物业招商销售工作，承诺销</w:t>
      </w:r>
    </w:p>
    <w:p>
      <w:pPr>
        <w:pStyle w:val="BodyText"/>
        <w:spacing w:line="338" w:lineRule="auto" w:before="135"/>
        <w:ind w:left="1133" w:right="1116"/>
        <w:jc w:val="left"/>
      </w:pPr>
      <w:r>
        <w:rPr/>
        <w:t>售价格为</w:t>
      </w:r>
      <w:r>
        <w:rPr>
          <w:spacing w:val="-58"/>
        </w:rPr>
        <w:t> </w:t>
      </w:r>
      <w:r>
        <w:rPr>
          <w:rFonts w:ascii="Times New Roman" w:hAnsi="Times New Roman" w:cs="Times New Roman" w:eastAsia="Times New Roman" w:hint="default"/>
        </w:rPr>
        <w:t>6600</w:t>
      </w:r>
      <w:r>
        <w:rPr>
          <w:rFonts w:ascii="Times New Roman" w:hAnsi="Times New Roman" w:cs="Times New Roman" w:eastAsia="Times New Roman" w:hint="default"/>
          <w:spacing w:val="2"/>
        </w:rPr>
        <w:t> </w:t>
      </w:r>
      <w:r>
        <w:rPr>
          <w:spacing w:val="-5"/>
        </w:rPr>
        <w:t>元每平米，如不能在</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日之前完成，将按照承诺价格自行购买相</w:t>
      </w:r>
      <w:r>
        <w:rPr/>
        <w:t> 应物业，届时将另行签署商品房买卖合同；截止本财务报告报出日，该事项尚处于协商中。</w:t>
      </w:r>
    </w:p>
    <w:p>
      <w:pPr>
        <w:spacing w:line="240" w:lineRule="auto" w:before="1"/>
        <w:rPr>
          <w:rFonts w:ascii="宋体" w:hAnsi="宋体" w:cs="宋体" w:eastAsia="宋体" w:hint="default"/>
          <w:sz w:val="23"/>
          <w:szCs w:val="23"/>
        </w:rPr>
      </w:pPr>
    </w:p>
    <w:p>
      <w:pPr>
        <w:spacing w:before="0"/>
        <w:ind w:left="1133" w:right="1073" w:firstLine="0"/>
        <w:jc w:val="left"/>
        <w:rPr>
          <w:rFonts w:ascii="宋体" w:hAnsi="宋体" w:cs="宋体" w:eastAsia="宋体" w:hint="default"/>
          <w:sz w:val="21"/>
          <w:szCs w:val="21"/>
        </w:rPr>
      </w:pPr>
      <w:bookmarkStart w:name="2、或有事项" w:id="424"/>
      <w:bookmarkEnd w:id="42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资产负债表日存在的重要或有事项"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截止</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日，本公司无重大或有事项。</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2）公司没有需要披露的重要或有事项，也应予以说明"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公司不存在需要披露的重要或有事项。</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其他" w:id="427"/>
      <w:bookmarkEnd w:id="4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499" w:lineRule="auto" w:before="0"/>
        <w:ind w:left="1133" w:right="3913" w:firstLine="48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日，本公司无需披露的其他重要事项。 </w:t>
      </w:r>
      <w:bookmarkStart w:name="十五、资产负债表日后事项" w:id="428"/>
      <w:bookmarkEnd w:id="428"/>
      <w:r>
        <w:rPr>
          <w:rFonts w:ascii="宋体" w:hAnsi="宋体" w:cs="宋体" w:eastAsia="宋体" w:hint="default"/>
          <w:sz w:val="24"/>
          <w:szCs w:val="24"/>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pStyle w:val="BodyText"/>
        <w:spacing w:line="240" w:lineRule="auto" w:before="116"/>
        <w:ind w:left="1613"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8"/>
          <w:szCs w:val="8"/>
        </w:rPr>
      </w:pPr>
    </w:p>
    <w:p>
      <w:pPr>
        <w:pStyle w:val="Heading2"/>
        <w:spacing w:line="240" w:lineRule="auto"/>
        <w:ind w:right="1073"/>
        <w:jc w:val="left"/>
        <w:rPr>
          <w:b w:val="0"/>
          <w:bCs w:val="0"/>
        </w:rPr>
      </w:pPr>
      <w:bookmarkStart w:name="十六、其他重要事项" w:id="429"/>
      <w:bookmarkEnd w:id="42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前期会计差错更正" w:id="430"/>
      <w:bookmarkEnd w:id="4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2、债务重组" w:id="431"/>
      <w:bookmarkEnd w:id="4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3、资产置换" w:id="432"/>
      <w:bookmarkEnd w:id="4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年金计划" w:id="433"/>
      <w:bookmarkEnd w:id="4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5、终止经营" w:id="434"/>
      <w:bookmarkEnd w:id="43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6、分部信息" w:id="435"/>
      <w:bookmarkEnd w:id="43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7、其他对投资者决策有影响的重要交易和事项" w:id="436"/>
      <w:bookmarkEnd w:id="43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06" w:lineRule="auto" w:before="0"/>
        <w:ind w:left="1133" w:right="6432" w:firstLine="480"/>
        <w:jc w:val="left"/>
        <w:rPr>
          <w:rFonts w:ascii="宋体" w:hAnsi="宋体" w:cs="宋体" w:eastAsia="宋体" w:hint="default"/>
          <w:sz w:val="21"/>
          <w:szCs w:val="21"/>
        </w:rPr>
      </w:pPr>
      <w:r>
        <w:rPr>
          <w:rFonts w:ascii="宋体" w:hAnsi="宋体" w:cs="宋体" w:eastAsia="宋体" w:hint="default"/>
          <w:sz w:val="24"/>
          <w:szCs w:val="24"/>
        </w:rPr>
        <w:t>无。 </w:t>
      </w:r>
      <w:bookmarkStart w:name="十七、母公司财务报表主要项目注释" w:id="437"/>
      <w:bookmarkEnd w:id="437"/>
      <w:r>
        <w:rPr>
          <w:rFonts w:ascii="宋体" w:hAnsi="宋体" w:cs="宋体" w:eastAsia="宋体" w:hint="default"/>
          <w:sz w:val="24"/>
          <w:szCs w:val="24"/>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bookmarkStart w:name="1、应收账款" w:id="438"/>
      <w:bookmarkEnd w:id="43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64"/>
        <w:ind w:left="1133" w:right="1073" w:firstLine="0"/>
        <w:jc w:val="left"/>
        <w:rPr>
          <w:rFonts w:ascii="宋体" w:hAnsi="宋体" w:cs="宋体" w:eastAsia="宋体" w:hint="default"/>
          <w:sz w:val="21"/>
          <w:szCs w:val="21"/>
        </w:rPr>
      </w:pPr>
      <w:bookmarkStart w:name="（1）应收账款分类披露"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106,132,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085.20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3,978,84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102,153,2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75,767,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518.80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74,043,653.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106,132,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085.20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3,978,84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102,153,2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40.16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75,767,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518.80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1,723,865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74,043,653.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期末单项金额重大并单项计提坏账准备的应收账款：</w:t>
      </w:r>
    </w:p>
    <w:p>
      <w:pPr>
        <w:spacing w:line="240" w:lineRule="auto" w:before="9"/>
        <w:rPr>
          <w:rFonts w:ascii="宋体" w:hAnsi="宋体" w:cs="宋体" w:eastAsia="宋体" w:hint="default"/>
          <w:sz w:val="23"/>
          <w:szCs w:val="23"/>
        </w:rPr>
      </w:pPr>
    </w:p>
    <w:p>
      <w:pPr>
        <w:pStyle w:val="BodyText"/>
        <w:spacing w:line="451"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93,076,748.10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1,861,534.99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93,076,748.10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1,861,534.99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5,748,385.17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862,257.78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1,024,954.55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512,477.28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358,850.00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358,850.00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383,725.00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100,592,662.82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3,978,845.04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477" w:lineRule="auto" w:before="26"/>
        <w:ind w:right="4512"/>
        <w:jc w:val="left"/>
      </w:pPr>
      <w:r>
        <w:rPr/>
        <w:t>确定该组合依据的说明： 以其应收账款的账龄为信用风险特征划分组合。 组合中，采用余额百分比法计提坏账准备的应收账款：</w:t>
      </w:r>
    </w:p>
    <w:p>
      <w:pPr>
        <w:pStyle w:val="BodyText"/>
        <w:spacing w:line="451" w:lineRule="auto" w:before="72"/>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pStyle w:val="BodyText"/>
        <w:spacing w:line="240" w:lineRule="auto" w:before="98"/>
        <w:ind w:left="1613" w:right="995"/>
        <w:jc w:val="left"/>
      </w:pPr>
      <w:r>
        <w:rPr>
          <w:spacing w:val="-3"/>
        </w:rPr>
        <w:t>采用其他方法计提坏账准备的组合为与交易对象关系的组合，该组合为应收关联方款项，</w:t>
      </w:r>
    </w:p>
    <w:p>
      <w:pPr>
        <w:spacing w:after="0" w:line="240" w:lineRule="auto"/>
        <w:jc w:val="left"/>
        <w:sectPr>
          <w:pgSz w:w="11910" w:h="16840"/>
          <w:pgMar w:header="414" w:footer="979" w:top="1260" w:bottom="1160" w:left="0" w:right="0"/>
        </w:sectPr>
      </w:pPr>
    </w:p>
    <w:p>
      <w:pPr>
        <w:spacing w:line="240" w:lineRule="auto" w:before="4"/>
        <w:rPr>
          <w:rFonts w:ascii="宋体" w:hAnsi="宋体" w:cs="宋体" w:eastAsia="宋体" w:hint="default"/>
          <w:sz w:val="14"/>
          <w:szCs w:val="14"/>
        </w:rPr>
      </w:pPr>
    </w:p>
    <w:p>
      <w:pPr>
        <w:pStyle w:val="BodyText"/>
        <w:spacing w:line="240" w:lineRule="auto" w:before="26"/>
        <w:ind w:left="1134" w:right="1073"/>
        <w:jc w:val="left"/>
      </w:pPr>
      <w:r>
        <w:rPr/>
        <w:t>期末应收款项余额为</w:t>
      </w:r>
      <w:r>
        <w:rPr>
          <w:spacing w:val="-60"/>
        </w:rPr>
        <w:t> </w:t>
      </w:r>
      <w:r>
        <w:rPr>
          <w:rFonts w:ascii="Times New Roman" w:hAnsi="Times New Roman" w:cs="Times New Roman" w:eastAsia="Times New Roman" w:hint="default"/>
        </w:rPr>
        <w:t>5,539,422.38 </w:t>
      </w:r>
      <w:r>
        <w:rPr/>
        <w:t>元，不计提坏账准备。</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2）本期计提、收回或转回的坏账准备情况"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本期计提坏账准备金额</w:t>
      </w:r>
      <w:r>
        <w:rPr>
          <w:spacing w:val="-60"/>
        </w:rPr>
        <w:t> </w:t>
      </w:r>
      <w:r>
        <w:rPr>
          <w:rFonts w:ascii="Times New Roman" w:hAnsi="Times New Roman" w:cs="Times New Roman" w:eastAsia="Times New Roman" w:hint="default"/>
        </w:rPr>
        <w:t>2,254,979.91 </w:t>
      </w:r>
      <w:r>
        <w:rPr/>
        <w:t>元；本期收回或转回坏账准备金额</w:t>
      </w:r>
      <w:r>
        <w:rPr>
          <w:spacing w:val="-60"/>
        </w:rPr>
        <w:t> </w:t>
      </w:r>
      <w:r>
        <w:rPr>
          <w:rFonts w:ascii="Times New Roman" w:hAnsi="Times New Roman" w:cs="Times New Roman" w:eastAsia="Times New Roman" w:hint="default"/>
        </w:rPr>
        <w:t>0.00 </w:t>
      </w:r>
      <w:r>
        <w:rPr/>
        <w:t>元。</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本期实际核销的应收账款情况"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按欠款方归集的期末余额前五名的应收账款情况"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21" w:type="dxa"/>
        <w:tblLayout w:type="fixed"/>
        <w:tblCellMar>
          <w:top w:w="0" w:type="dxa"/>
          <w:left w:w="0" w:type="dxa"/>
          <w:bottom w:w="0" w:type="dxa"/>
          <w:right w:w="0" w:type="dxa"/>
        </w:tblCellMar>
        <w:tblLook w:val="01E0"/>
      </w:tblPr>
      <w:tblGrid>
        <w:gridCol w:w="2802"/>
        <w:gridCol w:w="1702"/>
        <w:gridCol w:w="1700"/>
        <w:gridCol w:w="1923"/>
        <w:gridCol w:w="1728"/>
      </w:tblGrid>
      <w:tr>
        <w:trPr>
          <w:trHeight w:val="634"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280" w:right="144"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 合计数的比例</w:t>
            </w:r>
            <w:r>
              <w:rPr>
                <w:rFonts w:ascii="Times New Roman" w:hAnsi="Times New Roman" w:cs="Times New Roman" w:eastAsia="Times New Roman"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49,064,200.00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1,461,615.05</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北京新浪互联信息服务有限公司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420,000.00</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苏州美生元信息科技有限公司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170,000.00</w:t>
            </w:r>
          </w:p>
        </w:tc>
      </w:tr>
      <w:tr>
        <w:trPr>
          <w:trHeight w:val="63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3"/>
                <w:sz w:val="18"/>
                <w:szCs w:val="18"/>
              </w:rPr>
              <w:t>百视通网络电视技术发展有限责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140,000.00</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上海克顿文化传媒有限公司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36,000.00</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87,364,200.00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82.32%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2,227,615.05</w:t>
            </w:r>
          </w:p>
        </w:tc>
      </w:tr>
    </w:tbl>
    <w:p>
      <w:pPr>
        <w:spacing w:line="240" w:lineRule="auto" w:before="2"/>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5）因金融资产转移而终止确认的应收账款"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6）转移应收账款且继续涉入形成的资产、负债金额" w:id="444"/>
      <w:bookmarkEnd w:id="4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2、其他应收款" w:id="445"/>
      <w:bookmarkEnd w:id="4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其他应收款分类披露"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62"/>
        <w:gridCol w:w="751"/>
        <w:gridCol w:w="812"/>
        <w:gridCol w:w="643"/>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30,977,7</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40.93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179,428.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30,798,31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2.64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left"/>
              <w:rPr>
                <w:rFonts w:ascii="Times New Roman" w:hAnsi="Times New Roman" w:cs="Times New Roman" w:eastAsia="Times New Roman" w:hint="default"/>
                <w:sz w:val="18"/>
                <w:szCs w:val="18"/>
              </w:rPr>
            </w:pPr>
            <w:r>
              <w:rPr>
                <w:rFonts w:ascii="Times New Roman"/>
                <w:sz w:val="18"/>
              </w:rPr>
              <w:t>56,853,</w:t>
            </w:r>
          </w:p>
          <w:p>
            <w:pPr>
              <w:pStyle w:val="TableParagraph"/>
              <w:spacing w:line="240" w:lineRule="auto" w:before="105"/>
              <w:ind w:left="114" w:right="0"/>
              <w:jc w:val="left"/>
              <w:rPr>
                <w:rFonts w:ascii="Times New Roman" w:hAnsi="Times New Roman" w:cs="Times New Roman" w:eastAsia="Times New Roman" w:hint="default"/>
                <w:sz w:val="18"/>
                <w:szCs w:val="18"/>
              </w:rPr>
            </w:pPr>
            <w:r>
              <w:rPr>
                <w:rFonts w:ascii="Times New Roman"/>
                <w:sz w:val="18"/>
              </w:rPr>
              <w:t>165.07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103,555.7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56,749,609.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30,977,7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179,428.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30,798,31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56,853,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165.07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56,749,609.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期末单项金额重大并单项计提坏账准备的其他应收款：</w:t>
      </w:r>
    </w:p>
    <w:p>
      <w:pPr>
        <w:spacing w:line="240" w:lineRule="auto" w:before="9"/>
        <w:rPr>
          <w:rFonts w:ascii="宋体" w:hAnsi="宋体" w:cs="宋体" w:eastAsia="宋体" w:hint="default"/>
          <w:sz w:val="23"/>
          <w:szCs w:val="23"/>
        </w:rPr>
      </w:pPr>
    </w:p>
    <w:p>
      <w:pPr>
        <w:pStyle w:val="BodyText"/>
        <w:spacing w:line="451" w:lineRule="auto"/>
        <w:ind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组合中，按账龄分析法计提坏账准备的其他应收款：</w:t>
      </w:r>
    </w:p>
    <w:p>
      <w:pPr>
        <w:pStyle w:val="BodyText"/>
        <w:spacing w:line="240" w:lineRule="auto" w:before="98"/>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3,855,002.20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77,100.04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3,855,002.20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77,100.04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73,258.55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10,988.78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12,438.92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6,219.46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67,120.00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4,025,819.67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179,428.29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477" w:lineRule="auto" w:before="26"/>
        <w:ind w:right="4272"/>
        <w:jc w:val="left"/>
      </w:pPr>
      <w:r>
        <w:rPr/>
        <w:t>确定该组合依据的说明： 以其他应收款的账龄为信用风险特征划分组合。 组合中，采用余额百分比法计提坏账准备的其他应收款：</w:t>
      </w:r>
    </w:p>
    <w:p>
      <w:pPr>
        <w:pStyle w:val="BodyText"/>
        <w:spacing w:line="451" w:lineRule="auto" w:before="72"/>
        <w:ind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451" w:lineRule="auto" w:before="98"/>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与交易对象关系组合：应收关联方的款项，不计提坏账准备。该组合其他应收款期末余</w:t>
      </w:r>
    </w:p>
    <w:p>
      <w:pPr>
        <w:pStyle w:val="BodyText"/>
        <w:spacing w:line="275" w:lineRule="exact"/>
        <w:ind w:left="1134" w:right="1073"/>
        <w:jc w:val="left"/>
      </w:pPr>
      <w:r>
        <w:rPr/>
        <w:t>额为</w:t>
      </w:r>
      <w:r>
        <w:rPr>
          <w:spacing w:val="-60"/>
        </w:rPr>
        <w:t> </w:t>
      </w:r>
      <w:r>
        <w:rPr>
          <w:rFonts w:ascii="Times New Roman" w:hAnsi="Times New Roman" w:cs="Times New Roman" w:eastAsia="Times New Roman" w:hint="default"/>
        </w:rPr>
        <w:t>26,951,921.26 </w:t>
      </w:r>
      <w:r>
        <w:rPr/>
        <w:t>元。</w:t>
      </w:r>
    </w:p>
    <w:p>
      <w:pPr>
        <w:spacing w:after="0" w:line="275" w:lineRule="exact"/>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2）本期计提、收回或转回的坏账准备情况"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本期计提坏账准备金额</w:t>
      </w:r>
      <w:r>
        <w:rPr>
          <w:spacing w:val="-60"/>
        </w:rPr>
        <w:t> </w:t>
      </w:r>
      <w:r>
        <w:rPr>
          <w:rFonts w:ascii="Times New Roman" w:hAnsi="Times New Roman" w:cs="Times New Roman" w:eastAsia="Times New Roman" w:hint="default"/>
        </w:rPr>
        <w:t>75,872.56 </w:t>
      </w:r>
      <w:r>
        <w:rPr/>
        <w:t>元；本期收回或转回坏账准备金额</w:t>
      </w:r>
      <w:r>
        <w:rPr>
          <w:spacing w:val="-60"/>
        </w:rPr>
        <w:t> </w:t>
      </w:r>
      <w:r>
        <w:rPr>
          <w:rFonts w:ascii="Times New Roman" w:hAnsi="Times New Roman" w:cs="Times New Roman" w:eastAsia="Times New Roman" w:hint="default"/>
        </w:rPr>
        <w:t>0.00 </w:t>
      </w:r>
      <w:r>
        <w:rPr/>
        <w:t>元。</w:t>
      </w:r>
    </w:p>
    <w:p>
      <w:pPr>
        <w:spacing w:line="240" w:lineRule="auto" w:before="3"/>
        <w:rPr>
          <w:rFonts w:ascii="宋体" w:hAnsi="宋体" w:cs="宋体" w:eastAsia="宋体" w:hint="default"/>
          <w:sz w:val="29"/>
          <w:szCs w:val="29"/>
        </w:rPr>
      </w:pPr>
    </w:p>
    <w:p>
      <w:pPr>
        <w:spacing w:before="0"/>
        <w:ind w:left="1133" w:right="1073" w:firstLine="0"/>
        <w:jc w:val="left"/>
        <w:rPr>
          <w:rFonts w:ascii="宋体" w:hAnsi="宋体" w:cs="宋体" w:eastAsia="宋体" w:hint="default"/>
          <w:sz w:val="21"/>
          <w:szCs w:val="21"/>
        </w:rPr>
      </w:pPr>
      <w:bookmarkStart w:name="（3）本期实际核销的其他应收款情况"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613" w:right="1073"/>
        <w:jc w:val="left"/>
      </w:pPr>
      <w:r>
        <w:rPr/>
        <w:t>无。</w:t>
      </w:r>
    </w:p>
    <w:p>
      <w:pPr>
        <w:spacing w:line="240" w:lineRule="auto" w:before="8"/>
        <w:rPr>
          <w:rFonts w:ascii="宋体" w:hAnsi="宋体" w:cs="宋体" w:eastAsia="宋体" w:hint="default"/>
          <w:sz w:val="30"/>
          <w:szCs w:val="30"/>
        </w:rPr>
      </w:pPr>
    </w:p>
    <w:p>
      <w:pPr>
        <w:spacing w:before="0"/>
        <w:ind w:left="1133" w:right="1073" w:firstLine="0"/>
        <w:jc w:val="left"/>
        <w:rPr>
          <w:rFonts w:ascii="宋体" w:hAnsi="宋体" w:cs="宋体" w:eastAsia="宋体" w:hint="default"/>
          <w:sz w:val="21"/>
          <w:szCs w:val="21"/>
        </w:rPr>
      </w:pPr>
      <w:bookmarkStart w:name="（4）其他应收款按款项性质分类情况"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6,344,765.77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职工借款及备用金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668,534.10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735,043.42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2,804,148.00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879,448.63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27,033,360.73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48,893,907.25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30,977,740.93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56,853,165.07</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按欠款方归集的期末余额前五名的其他应收款情况" w:id="450"/>
      <w:bookmarkEnd w:id="4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北京中文在线教育科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9,768,988.92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北京汤圆和它的小伙 伴们网络科技有限公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7,921,775.00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中文在线教育集团有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7,361,157.34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广州四月天信息技术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新闻出版总署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1,467,530.00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29,350.60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28,419,451.26</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91.74%</w:t>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29,350.60</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6）涉及政府补助的应收款项"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t>无。</w:t>
      </w:r>
    </w:p>
    <w:p>
      <w:pPr>
        <w:spacing w:after="0" w:line="240" w:lineRule="auto"/>
        <w:jc w:val="left"/>
        <w:sectPr>
          <w:pgSz w:w="11910" w:h="16840"/>
          <w:pgMar w:header="414" w:footer="979" w:top="1260" w:bottom="1160" w:left="0" w:right="0"/>
        </w:sectPr>
      </w:pPr>
    </w:p>
    <w:p>
      <w:pPr>
        <w:spacing w:line="240" w:lineRule="auto" w:before="6"/>
        <w:rPr>
          <w:rFonts w:ascii="宋体" w:hAnsi="宋体" w:cs="宋体" w:eastAsia="宋体" w:hint="default"/>
          <w:sz w:val="9"/>
          <w:szCs w:val="9"/>
        </w:rPr>
      </w:pPr>
    </w:p>
    <w:p>
      <w:pPr>
        <w:spacing w:before="35"/>
        <w:ind w:left="1134" w:right="1073" w:firstLine="0"/>
        <w:jc w:val="left"/>
        <w:rPr>
          <w:rFonts w:ascii="宋体" w:hAnsi="宋体" w:cs="宋体" w:eastAsia="宋体" w:hint="default"/>
          <w:sz w:val="21"/>
          <w:szCs w:val="21"/>
        </w:rPr>
      </w:pPr>
      <w:bookmarkStart w:name="（7）因金融资产转移而终止确认的其他应收款" w:id="452"/>
      <w:bookmarkEnd w:id="4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8）转移其他应收款且继续涉入形成的资产、负债金额"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114" w:right="9310"/>
        <w:jc w:val="center"/>
      </w:pPr>
      <w:r>
        <w:rPr/>
        <w:t>无。</w:t>
      </w:r>
    </w:p>
    <w:p>
      <w:pPr>
        <w:spacing w:line="240" w:lineRule="auto" w:before="8"/>
        <w:rPr>
          <w:rFonts w:ascii="宋体" w:hAnsi="宋体" w:cs="宋体" w:eastAsia="宋体" w:hint="default"/>
          <w:sz w:val="30"/>
          <w:szCs w:val="30"/>
        </w:rPr>
      </w:pPr>
    </w:p>
    <w:p>
      <w:pPr>
        <w:spacing w:before="0"/>
        <w:ind w:left="1134" w:right="1073" w:firstLine="0"/>
        <w:jc w:val="left"/>
        <w:rPr>
          <w:rFonts w:ascii="宋体" w:hAnsi="宋体" w:cs="宋体" w:eastAsia="宋体" w:hint="default"/>
          <w:sz w:val="21"/>
          <w:szCs w:val="21"/>
        </w:rPr>
      </w:pPr>
      <w:bookmarkStart w:name="3、长期股权投资" w:id="454"/>
      <w:bookmarkEnd w:id="45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122,894,616.66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122,894,616.66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71,053,934.99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71,053,934.99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34,414,628.71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34,414,628.71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122,894,616.66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122,894,616.66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105,468,563.70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105,468,563.70</w:t>
            </w: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1）对子公司投资"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北京中文在线文 化传媒有限公司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上海中文在线文 化发展有限公司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杭州中文在线信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北京中文在线教 育科技发展公司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20,449,035.32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2,277,600.00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21,726,635.32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广州市四月天信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2,796,989.67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2,796,989.67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湖北中文在线数 字出版有限公司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both"/>
              <w:rPr>
                <w:rFonts w:ascii="宋体" w:hAnsi="宋体" w:cs="宋体" w:eastAsia="宋体" w:hint="default"/>
                <w:sz w:val="18"/>
                <w:szCs w:val="18"/>
              </w:rPr>
            </w:pPr>
            <w:r>
              <w:rPr>
                <w:rFonts w:ascii="宋体" w:hAnsi="宋体" w:cs="宋体" w:eastAsia="宋体" w:hint="default"/>
                <w:sz w:val="18"/>
                <w:szCs w:val="18"/>
              </w:rPr>
              <w:t>北京汤圆和它的 小伙伴们网络科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中文在线教育集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北京中文万维科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北京鸿达以太文 化发展有限公司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73,363,081.67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73,363,081.67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71,053,934.99</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82,640,681.67</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30,800,000.00</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122,894,616.66</w:t>
            </w:r>
          </w:p>
        </w:tc>
        <w:tc>
          <w:tcPr>
            <w:tcW w:w="138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2）对联营、合营企业投资"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广州市迈 步信息科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北京鸿达 以太文化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34,414,62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4,414,628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34,414,62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4,414,628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34,414,62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4,414,628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3）其他说明"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left="1133" w:right="1131" w:firstLine="480"/>
        <w:jc w:val="both"/>
      </w:pPr>
      <w:r>
        <w:rPr/>
        <w:t>通过增资收购北京鸿达以太文化发展有限公司剩余</w:t>
      </w:r>
      <w:r>
        <w:rPr>
          <w:spacing w:val="-47"/>
        </w:rPr>
        <w:t> </w:t>
      </w:r>
      <w:r>
        <w:rPr>
          <w:rFonts w:ascii="Times New Roman" w:hAnsi="Times New Roman" w:cs="Times New Roman" w:eastAsia="Times New Roman" w:hint="default"/>
          <w:spacing w:val="-3"/>
        </w:rPr>
        <w:t>54.02%</w:t>
      </w:r>
      <w:r>
        <w:rPr>
          <w:spacing w:val="-3"/>
        </w:rPr>
        <w:t>的股权，鸿达以太由公司的联</w:t>
      </w:r>
      <w:r>
        <w:rPr/>
        <w:t> 营企业变更为全资子公司；因完成增资的时点为本报告期末，本期利润表合并范围未包括鸿 达以太，仍对其确认联营企业投资收益。</w:t>
      </w:r>
    </w:p>
    <w:p>
      <w:pPr>
        <w:spacing w:line="240" w:lineRule="auto" w:before="5"/>
        <w:rPr>
          <w:rFonts w:ascii="宋体" w:hAnsi="宋体" w:cs="宋体" w:eastAsia="宋体" w:hint="default"/>
          <w:sz w:val="22"/>
          <w:szCs w:val="22"/>
        </w:rPr>
      </w:pPr>
    </w:p>
    <w:p>
      <w:pPr>
        <w:spacing w:before="0"/>
        <w:ind w:left="1134" w:right="1073" w:firstLine="0"/>
        <w:jc w:val="left"/>
        <w:rPr>
          <w:rFonts w:ascii="宋体" w:hAnsi="宋体" w:cs="宋体" w:eastAsia="宋体" w:hint="default"/>
          <w:sz w:val="21"/>
          <w:szCs w:val="21"/>
        </w:rPr>
      </w:pPr>
      <w:bookmarkStart w:name="4、营业收入和营业成本" w:id="458"/>
      <w:bookmarkEnd w:id="4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3750"/>
        <w:gridCol w:w="381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185,625,365.74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94,189,984.01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176,240,104.57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82,766,518.64</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185,625,365.74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94,189,984.01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176,240,104.57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82,766,518.64</w:t>
            </w:r>
          </w:p>
        </w:tc>
      </w:tr>
    </w:tbl>
    <w:p>
      <w:pPr>
        <w:spacing w:line="240" w:lineRule="auto" w:before="3"/>
        <w:rPr>
          <w:rFonts w:ascii="宋体" w:hAnsi="宋体" w:cs="宋体" w:eastAsia="宋体" w:hint="default"/>
          <w:sz w:val="19"/>
          <w:szCs w:val="19"/>
        </w:rPr>
      </w:pPr>
    </w:p>
    <w:p>
      <w:pPr>
        <w:spacing w:before="35"/>
        <w:ind w:left="1134" w:right="1073" w:firstLine="0"/>
        <w:jc w:val="left"/>
        <w:rPr>
          <w:rFonts w:ascii="宋体" w:hAnsi="宋体" w:cs="宋体" w:eastAsia="宋体" w:hint="default"/>
          <w:sz w:val="21"/>
          <w:szCs w:val="21"/>
        </w:rPr>
      </w:pPr>
      <w:bookmarkStart w:name="5、投资收益" w:id="459"/>
      <w:bookmarkEnd w:id="4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7,943,930.94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22,714,007.52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3,295,252.96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2,731,289.17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11,239,183.90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25,445,296.69</w:t>
            </w:r>
          </w:p>
        </w:tc>
      </w:tr>
    </w:tbl>
    <w:p>
      <w:pPr>
        <w:spacing w:line="240" w:lineRule="auto" w:before="2"/>
        <w:rPr>
          <w:rFonts w:ascii="宋体" w:hAnsi="宋体" w:cs="宋体" w:eastAsia="宋体" w:hint="default"/>
          <w:sz w:val="18"/>
          <w:szCs w:val="18"/>
        </w:rPr>
      </w:pPr>
    </w:p>
    <w:p>
      <w:pPr>
        <w:pStyle w:val="Heading2"/>
        <w:spacing w:line="240" w:lineRule="auto"/>
        <w:ind w:right="1073"/>
        <w:jc w:val="left"/>
        <w:rPr>
          <w:b w:val="0"/>
          <w:bCs w:val="0"/>
        </w:rPr>
      </w:pPr>
      <w:bookmarkStart w:name="十八、补充资料" w:id="460"/>
      <w:bookmarkEnd w:id="46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133" w:right="1073" w:firstLine="0"/>
        <w:jc w:val="left"/>
        <w:rPr>
          <w:rFonts w:ascii="宋体" w:hAnsi="宋体" w:cs="宋体" w:eastAsia="宋体" w:hint="default"/>
          <w:sz w:val="21"/>
          <w:szCs w:val="21"/>
        </w:rPr>
      </w:pPr>
      <w:bookmarkStart w:name="1、当期非经常性损益明细表" w:id="461"/>
      <w:bookmarkEnd w:id="4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1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2,460,598.41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14,174,999.92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-202,159.97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2,272,174.94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79,108.59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14,082,154.83</w:t>
            </w:r>
          </w:p>
        </w:tc>
        <w:tc>
          <w:tcPr>
            <w:tcW w:w="3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BodyText"/>
        <w:spacing w:line="240" w:lineRule="auto" w:before="26"/>
        <w:ind w:right="1073"/>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5"/>
        <w:ind w:left="1133" w:right="115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before="211"/>
        <w:ind w:left="1613"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净资产收益率及每股收益" w:id="462"/>
      <w:bookmarkEnd w:id="4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414" w:footer="979" w:top="1260" w:bottom="1160" w:left="0" w:right="0"/>
        </w:sectPr>
      </w:pPr>
    </w:p>
    <w:p>
      <w:pPr>
        <w:spacing w:line="240" w:lineRule="auto" w:before="3"/>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0.150</w:t>
            </w:r>
          </w:p>
        </w:tc>
      </w:tr>
    </w:tbl>
    <w:p>
      <w:pPr>
        <w:spacing w:line="240" w:lineRule="auto" w:before="3"/>
        <w:rPr>
          <w:rFonts w:ascii="宋体" w:hAnsi="宋体" w:cs="宋体" w:eastAsia="宋体" w:hint="default"/>
          <w:b/>
          <w:bCs/>
          <w:sz w:val="19"/>
          <w:szCs w:val="19"/>
        </w:rPr>
      </w:pPr>
    </w:p>
    <w:p>
      <w:pPr>
        <w:spacing w:before="35"/>
        <w:ind w:left="1134" w:right="1073" w:firstLine="0"/>
        <w:jc w:val="left"/>
        <w:rPr>
          <w:rFonts w:ascii="宋体" w:hAnsi="宋体" w:cs="宋体" w:eastAsia="宋体" w:hint="default"/>
          <w:sz w:val="21"/>
          <w:szCs w:val="21"/>
        </w:rPr>
      </w:pPr>
      <w:bookmarkStart w:name="3、境内外会计准则下会计数据差异" w:id="463"/>
      <w:bookmarkEnd w:id="4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73" w:firstLine="0"/>
        <w:jc w:val="left"/>
        <w:rPr>
          <w:rFonts w:ascii="宋体" w:hAnsi="宋体" w:cs="宋体" w:eastAsia="宋体" w:hint="default"/>
          <w:sz w:val="21"/>
          <w:szCs w:val="21"/>
        </w:rPr>
      </w:pPr>
      <w:bookmarkStart w:name="（1）同时按照国际会计准则与按中国会计准则披露的财务报告中净利润和净资产差异情况"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before="0"/>
        <w:ind w:left="1134" w:right="1073" w:firstLine="0"/>
        <w:jc w:val="left"/>
        <w:rPr>
          <w:rFonts w:ascii="宋体" w:hAnsi="宋体" w:cs="宋体" w:eastAsia="宋体" w:hint="default"/>
          <w:sz w:val="21"/>
          <w:szCs w:val="21"/>
        </w:rPr>
      </w:pPr>
      <w:bookmarkStart w:name="（2）同时按照境外会计准则与按中国会计准则披露的财务报告中净利润和净资产差异情况"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right="1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9"/>
          <w:szCs w:val="29"/>
        </w:rPr>
      </w:pPr>
    </w:p>
    <w:p>
      <w:pPr>
        <w:spacing w:line="259" w:lineRule="auto" w:before="0"/>
        <w:ind w:left="1134" w:right="1073" w:firstLine="0"/>
        <w:jc w:val="left"/>
        <w:rPr>
          <w:rFonts w:ascii="宋体" w:hAnsi="宋体" w:cs="宋体" w:eastAsia="宋体" w:hint="default"/>
          <w:sz w:val="21"/>
          <w:szCs w:val="21"/>
        </w:rPr>
      </w:pPr>
      <w:bookmarkStart w:name="（3）境内外会计准则下会计数据差异原因说明，对已经境外审计机构审计的数据进行差异" w:id="466"/>
      <w:bookmarkEnd w:id="4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after="0" w:line="259" w:lineRule="auto"/>
        <w:jc w:val="left"/>
        <w:rPr>
          <w:rFonts w:ascii="宋体" w:hAnsi="宋体" w:cs="宋体" w:eastAsia="宋体" w:hint="default"/>
          <w:sz w:val="21"/>
          <w:szCs w:val="21"/>
        </w:rPr>
        <w:sectPr>
          <w:pgSz w:w="11910" w:h="16840"/>
          <w:pgMar w:header="414" w:footer="979" w:top="1260" w:bottom="1160" w:left="0" w:right="0"/>
        </w:sectPr>
      </w:pPr>
    </w:p>
    <w:p>
      <w:pPr>
        <w:spacing w:line="240" w:lineRule="auto" w:before="1"/>
        <w:rPr>
          <w:rFonts w:ascii="宋体" w:hAnsi="宋体" w:cs="宋体" w:eastAsia="宋体" w:hint="default"/>
          <w:b/>
          <w:bCs/>
          <w:sz w:val="25"/>
          <w:szCs w:val="25"/>
        </w:rPr>
      </w:pPr>
    </w:p>
    <w:p>
      <w:pPr>
        <w:pStyle w:val="Heading1"/>
        <w:spacing w:line="240" w:lineRule="auto"/>
        <w:ind w:right="1115"/>
        <w:jc w:val="center"/>
        <w:rPr>
          <w:b w:val="0"/>
          <w:bCs w:val="0"/>
        </w:rPr>
      </w:pPr>
      <w:bookmarkStart w:name="_TOC_250000" w:id="467"/>
      <w:bookmarkStart w:name="第十一节 备查文件目录" w:id="468"/>
      <w:r>
        <w:rPr>
          <w:b w:val="0"/>
          <w:bCs w:val="0"/>
        </w:rPr>
      </w:r>
      <w:r>
        <w:rPr/>
        <w:t>第十一节</w:t>
      </w:r>
      <w:r>
        <w:rPr>
          <w:spacing w:val="-8"/>
        </w:rPr>
        <w:t> </w:t>
      </w:r>
      <w:r>
        <w:rPr/>
        <w:t>备查文件目录</w:t>
      </w:r>
      <w:bookmarkEnd w:id="467"/>
      <w:r>
        <w:rPr>
          <w:b w:val="0"/>
          <w:bCs w:val="0"/>
        </w:rPr>
      </w:r>
    </w:p>
    <w:p>
      <w:pPr>
        <w:spacing w:line="240" w:lineRule="auto" w:before="10"/>
        <w:rPr>
          <w:rFonts w:ascii="宋体" w:hAnsi="宋体" w:cs="宋体" w:eastAsia="宋体" w:hint="default"/>
          <w:b/>
          <w:bCs/>
          <w:sz w:val="44"/>
          <w:szCs w:val="44"/>
        </w:rPr>
      </w:pPr>
    </w:p>
    <w:p>
      <w:pPr>
        <w:pStyle w:val="BodyText"/>
        <w:spacing w:line="477" w:lineRule="auto"/>
        <w:ind w:left="1613" w:right="995"/>
        <w:jc w:val="left"/>
      </w:pPr>
      <w:r>
        <w:rPr/>
        <w:t>一、载有法定代表人、主管会计工作负责人、会计机构负责人签名并盖章的会计报表。 二、载有会计师事务所盖章、注册会计师签名并盖章的审计报告原件。 </w:t>
      </w:r>
      <w:r>
        <w:rPr>
          <w:spacing w:val="-3"/>
        </w:rPr>
        <w:t>三、报告期内在中国证监会指定报纸上公开披露过的所有公司文件的正本及公告的原稿。</w:t>
      </w:r>
      <w:r>
        <w:rPr>
          <w:spacing w:val="-85"/>
        </w:rPr>
        <w:t> </w:t>
      </w:r>
      <w:r>
        <w:rPr>
          <w:spacing w:val="-85"/>
        </w:rPr>
      </w:r>
      <w:r>
        <w:rPr/>
        <w:t>四、其他相关资料。</w:t>
      </w:r>
    </w:p>
    <w:p>
      <w:pPr>
        <w:pStyle w:val="BodyText"/>
        <w:spacing w:line="240" w:lineRule="auto" w:before="72"/>
        <w:ind w:right="1073"/>
        <w:jc w:val="left"/>
      </w:pPr>
      <w:r>
        <w:rPr/>
        <w:t>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5"/>
          <w:szCs w:val="35"/>
        </w:rPr>
      </w:pPr>
    </w:p>
    <w:p>
      <w:pPr>
        <w:pStyle w:val="BodyText"/>
        <w:spacing w:line="626" w:lineRule="auto"/>
        <w:ind w:left="6414" w:right="1649"/>
        <w:jc w:val="center"/>
      </w:pPr>
      <w:r>
        <w:rPr/>
        <w:t>中文在线数字出版集团股份有限公司 法定代表人：童之磊</w:t>
      </w:r>
    </w:p>
    <w:p>
      <w:pPr>
        <w:pStyle w:val="BodyText"/>
        <w:spacing w:line="240" w:lineRule="auto" w:before="119"/>
        <w:ind w:left="6292" w:right="1649"/>
        <w:jc w:val="cente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p>
    <w:sectPr>
      <w:pgSz w:w="11910" w:h="16840"/>
      <w:pgMar w:header="414" w:footer="979" w:top="12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768" type="#_x0000_t75" stroked="false">
          <v:imagedata r:id="rId1" o:title=""/>
        </v:shape>
      </w:pict>
    </w:r>
    <w:r>
      <w:rPr/>
      <w:pict>
        <v:shape style="position:absolute;margin-left:533.179993pt;margin-top:795.517944pt;width:6.5pt;height:11pt;mso-position-horizontal-relative:page;mso-position-vertical-relative:page;z-index:-865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720" type="#_x0000_t75" stroked="false">
          <v:imagedata r:id="rId1" o:title=""/>
        </v:shape>
      </w:pict>
    </w:r>
    <w:r>
      <w:rPr/>
      <w:pict>
        <v:shape style="position:absolute;margin-left:527.679993pt;margin-top:781.957947pt;width:13pt;height:11pt;mso-position-horizontal-relative:page;mso-position-vertical-relative:page;z-index:-865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5600" type="#_x0000_t75" stroked="false">
          <v:imagedata r:id="rId1" o:title=""/>
        </v:shape>
      </w:pict>
    </w:r>
    <w:r>
      <w:rPr/>
      <w:pict>
        <v:shape style="position:absolute;margin-left:758.97998pt;margin-top:535.357971pt;width:13pt;height:11pt;mso-position-horizontal-relative:page;mso-position-vertical-relative:page;z-index:-865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504" type="#_x0000_t75" stroked="false">
          <v:imagedata r:id="rId1" o:title=""/>
        </v:shape>
      </w:pict>
    </w:r>
    <w:r>
      <w:rPr/>
      <w:pict>
        <v:shape style="position:absolute;margin-left:527.679993pt;margin-top:781.957947pt;width:13pt;height:11pt;mso-position-horizontal-relative:page;mso-position-vertical-relative:page;z-index:-865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456" type="#_x0000_t75" stroked="false">
          <v:imagedata r:id="rId1" o:title=""/>
        </v:shape>
      </w:pict>
    </w:r>
    <w:r>
      <w:rPr/>
      <w:pict>
        <v:shape style="position:absolute;margin-left:524.179993pt;margin-top:781.957947pt;width:15.5pt;height:11pt;mso-position-horizontal-relative:page;mso-position-vertical-relative:page;z-index:-865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408" type="#_x0000_t75" stroked="false">
          <v:imagedata r:id="rId1" o:title=""/>
        </v:shape>
      </w:pict>
    </w:r>
    <w:r>
      <w:rPr/>
      <w:pict>
        <v:shape style="position:absolute;margin-left:523.179993pt;margin-top:781.957947pt;width:17.5pt;height:11pt;mso-position-horizontal-relative:page;mso-position-vertical-relative:page;z-index:-86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360" type="#_x0000_t75" stroked="false">
          <v:imagedata r:id="rId1" o:title=""/>
        </v:shape>
      </w:pict>
    </w:r>
    <w:r>
      <w:rPr/>
      <w:pict>
        <v:shape style="position:absolute;margin-left:523.179993pt;margin-top:781.957947pt;width:17.5pt;height:11pt;mso-position-horizontal-relative:page;mso-position-vertical-relative:page;z-index:-86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865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1.699997pt;margin-top:20.699982pt;width:488.85pt;height:42.65pt;mso-position-horizontal-relative:page;mso-position-vertical-relative:page;z-index:-865672" coordorigin="1034,414" coordsize="9777,85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034;top:414;width:1720;height:853" type="#_x0000_t75" stroked="false">
              <v:imagedata r:id="rId1" o:title=""/>
            </v:shape>
          </v:group>
          <w10:wrap type="none"/>
        </v:group>
      </w:pict>
    </w:r>
    <w:r>
      <w:rPr/>
      <w:pict>
        <v:shape style="position:absolute;margin-left:308.160004pt;margin-top:42.865608pt;width:231.55pt;height:11.5pt;mso-position-horizontal-relative:page;mso-position-vertical-relative:page;z-index:-865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865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1.699997pt;margin-top:20.699982pt;width:488.85pt;height:42.65pt;mso-position-horizontal-relative:page;mso-position-vertical-relative:page;z-index:-865552" coordorigin="1034,414" coordsize="9777,85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034;top:414;width:1720;height:853" type="#_x0000_t75" stroked="false">
              <v:imagedata r:id="rId1" o:title=""/>
            </v:shape>
          </v:group>
          <w10:wrap type="none"/>
        </v:group>
      </w:pict>
    </w:r>
    <w:r>
      <w:rPr/>
      <w:pict>
        <v:shape style="position:absolute;margin-left:308.160004pt;margin-top:42.865608pt;width:231.55pt;height:11.5pt;mso-position-horizontal-relative:page;mso-position-vertical-relative:page;z-index:-865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614"/>
    </w:pPr>
    <w:rPr>
      <w:rFonts w:ascii="宋体" w:hAnsi="宋体" w:eastAsia="宋体"/>
      <w:sz w:val="24"/>
      <w:szCs w:val="24"/>
    </w:rPr>
  </w:style>
  <w:style w:styleId="Heading1" w:type="paragraph">
    <w:name w:val="Heading 1"/>
    <w:basedOn w:val="Normal"/>
    <w:uiPriority w:val="1"/>
    <w:qFormat/>
    <w:pPr>
      <w:spacing w:before="1"/>
      <w:ind w:left="1114"/>
      <w:outlineLvl w:val="1"/>
    </w:pPr>
    <w:rPr>
      <w:rFonts w:ascii="宋体" w:hAnsi="宋体" w:eastAsia="宋体"/>
      <w:b/>
      <w:bCs/>
      <w:sz w:val="32"/>
      <w:szCs w:val="32"/>
    </w:rPr>
  </w:style>
  <w:style w:styleId="Heading2" w:type="paragraph">
    <w:name w:val="Heading 2"/>
    <w:basedOn w:val="Normal"/>
    <w:uiPriority w:val="1"/>
    <w:qFormat/>
    <w:pPr>
      <w:spacing w:before="26"/>
      <w:ind w:left="113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header" Target="header2.xml"/><Relationship Id="rId11" Type="http://schemas.openxmlformats.org/officeDocument/2006/relationships/hyperlink" Target="http://www.chineseall.com/" TargetMode="External"/><Relationship Id="rId12" Type="http://schemas.openxmlformats.org/officeDocument/2006/relationships/hyperlink" Target="mailto:ir@chineseall.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5.jpe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中文在线数字出版集团股份有限公司</dc:creator>
  <dc:title>中文在线数字出版集团股份有限公司2015年年度报告全文</dc:title>
  <dcterms:created xsi:type="dcterms:W3CDTF">2020-05-04T16:48:06Z</dcterms:created>
  <dcterms:modified xsi:type="dcterms:W3CDTF">2020-05-04T16:48:06Z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Office Word 2007</vt:lpwstr>
  </property>
  <property fmtid="{D5CDD505-2E9C-101B-9397-08002B2CF9AE}" pid="4" name="LastSaved">
    <vt:filetime>2020-05-04T00:00:00Z</vt:filetime>
  </property>
</Properties>
</file>